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重庆市九龙坡区城市管理局（本级）</w:t>
      </w:r>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2026年预算公开情况说明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pPr>
      <w:r>
        <w:rPr>
          <w:rFonts w:hint="eastAsia"/>
        </w:rPr>
        <w:t>1.</w:t>
      </w:r>
      <w:r>
        <w:t>贯彻执行有关市政公用设施运行管理、市容环境卫生管理、城市供水节水管理、园林绿化管理、城市管理执法等城市管理的</w:t>
      </w:r>
      <w:r>
        <w:rPr>
          <w:rFonts w:hint="eastAsia"/>
        </w:rPr>
        <w:t>法律法规</w:t>
      </w:r>
      <w:r>
        <w:t>、规章和方针政策；拟订全区城市管理发展战略、规划和计划并组织实施。</w:t>
      </w:r>
    </w:p>
    <w:p>
      <w:pPr>
        <w:adjustRightInd w:val="0"/>
        <w:snapToGrid w:val="0"/>
        <w:spacing w:line="600" w:lineRule="exact"/>
        <w:ind w:firstLine="640" w:firstLineChars="200"/>
      </w:pPr>
      <w:r>
        <w:rPr>
          <w:rFonts w:hint="eastAsia"/>
        </w:rPr>
        <w:t>2.</w:t>
      </w:r>
      <w:r>
        <w:t>负责全区城市管理基础设施维护工程技术方案的审查工作；负责城市管理工作的组织协调、监督检查和考核评价。</w:t>
      </w:r>
    </w:p>
    <w:p>
      <w:pPr>
        <w:adjustRightInd w:val="0"/>
        <w:snapToGrid w:val="0"/>
        <w:spacing w:line="600" w:lineRule="exact"/>
        <w:ind w:firstLine="640" w:firstLineChars="200"/>
      </w:pPr>
      <w:r>
        <w:rPr>
          <w:rFonts w:hint="eastAsia"/>
        </w:rPr>
        <w:t>3.</w:t>
      </w:r>
      <w:r>
        <w:t>负责区管城市道路、人行地下通道</w:t>
      </w:r>
      <w:r>
        <w:rPr>
          <w:rFonts w:hint="eastAsia"/>
        </w:rPr>
        <w:t>、</w:t>
      </w:r>
      <w:r>
        <w:t>桥梁、隧道等设施维护的管理；负责城市道路照明、景观照明等城市照明设施维护和建设的管理；负责镇（街道）市政设施维护管理的指导监督；指导区级社会单位市政设施维护管理工作。</w:t>
      </w:r>
    </w:p>
    <w:p>
      <w:pPr>
        <w:adjustRightInd w:val="0"/>
        <w:snapToGrid w:val="0"/>
        <w:spacing w:line="600" w:lineRule="exact"/>
        <w:ind w:firstLine="640" w:firstLineChars="200"/>
      </w:pPr>
      <w:r>
        <w:rPr>
          <w:rFonts w:hint="eastAsia"/>
        </w:rPr>
        <w:t>4.</w:t>
      </w:r>
      <w:r>
        <w:t>负责全区城市供水、节水</w:t>
      </w:r>
      <w:r>
        <w:rPr>
          <w:rFonts w:hint="eastAsia"/>
        </w:rPr>
        <w:t>、</w:t>
      </w:r>
      <w:r>
        <w:t>供热的监督管理，以及相关费用征收管理工作；监督管理城市供水水质。</w:t>
      </w:r>
    </w:p>
    <w:p>
      <w:pPr>
        <w:adjustRightInd w:val="0"/>
        <w:snapToGrid w:val="0"/>
        <w:spacing w:line="600" w:lineRule="exact"/>
        <w:ind w:firstLine="640" w:firstLineChars="200"/>
      </w:pPr>
      <w:r>
        <w:rPr>
          <w:rFonts w:hint="eastAsia"/>
        </w:rPr>
        <w:t>5.</w:t>
      </w:r>
      <w:r>
        <w:t>负责全区城市环境卫生管理、城市水域环境卫生管理、城市生活垃圾处置费征收管理和城市环境卫生设施管理。</w:t>
      </w:r>
    </w:p>
    <w:p>
      <w:pPr>
        <w:adjustRightInd w:val="0"/>
        <w:snapToGrid w:val="0"/>
        <w:spacing w:line="600" w:lineRule="exact"/>
        <w:ind w:firstLine="640" w:firstLineChars="200"/>
      </w:pPr>
      <w:r>
        <w:rPr>
          <w:rFonts w:hint="eastAsia"/>
        </w:rPr>
        <w:t>6.</w:t>
      </w:r>
      <w:r>
        <w:t>组织开展辖区城市市容环境综合整治工作。</w:t>
      </w:r>
    </w:p>
    <w:p>
      <w:pPr>
        <w:adjustRightInd w:val="0"/>
        <w:snapToGrid w:val="0"/>
        <w:spacing w:line="600" w:lineRule="exact"/>
        <w:ind w:firstLine="640" w:firstLineChars="200"/>
      </w:pPr>
      <w:r>
        <w:rPr>
          <w:rFonts w:hint="eastAsia"/>
        </w:rPr>
        <w:t>7.</w:t>
      </w:r>
      <w:r>
        <w:t>指导监督全区城</w:t>
      </w:r>
      <w:r>
        <w:rPr>
          <w:rFonts w:hint="eastAsia"/>
        </w:rPr>
        <w:t>市户外广告、店招店牌设置管理工作。</w:t>
      </w:r>
    </w:p>
    <w:p>
      <w:pPr>
        <w:adjustRightInd w:val="0"/>
        <w:snapToGrid w:val="0"/>
        <w:spacing w:line="600" w:lineRule="exact"/>
        <w:ind w:firstLine="640" w:firstLineChars="200"/>
      </w:pPr>
      <w:r>
        <w:rPr>
          <w:rFonts w:hint="eastAsia"/>
        </w:rPr>
        <w:t>8.</w:t>
      </w:r>
      <w:r>
        <w:t>负责全区城市生活垃圾、城市建筑垃圾、城市水域垃圾等处置的监督管理；负责城市生活垃圾经营性服务的监督。</w:t>
      </w:r>
    </w:p>
    <w:p>
      <w:pPr>
        <w:adjustRightInd w:val="0"/>
        <w:snapToGrid w:val="0"/>
        <w:spacing w:line="600" w:lineRule="exact"/>
        <w:ind w:firstLine="640" w:firstLineChars="200"/>
      </w:pPr>
      <w:r>
        <w:rPr>
          <w:rFonts w:hint="eastAsia"/>
        </w:rPr>
        <w:t>9.</w:t>
      </w:r>
      <w:r>
        <w:t>负责农村生活垃圾治理的业务指导和监督管理。</w:t>
      </w:r>
    </w:p>
    <w:p>
      <w:pPr>
        <w:adjustRightInd w:val="0"/>
        <w:snapToGrid w:val="0"/>
        <w:spacing w:line="600" w:lineRule="exact"/>
        <w:ind w:firstLine="640" w:firstLineChars="200"/>
      </w:pPr>
      <w:r>
        <w:rPr>
          <w:rFonts w:hint="eastAsia"/>
        </w:rPr>
        <w:t>10.</w:t>
      </w:r>
      <w:r>
        <w:t>负责全区园林绿化管理和城市公园行业管理；依法负责城市建设项目绿化工程设计方案管理工作；负责城市古树名木保护管理工作；指导监督城市公园应急避难场地的规划、建设、管理工作。</w:t>
      </w:r>
    </w:p>
    <w:p>
      <w:pPr>
        <w:adjustRightInd w:val="0"/>
        <w:snapToGrid w:val="0"/>
        <w:spacing w:line="600" w:lineRule="exact"/>
        <w:ind w:firstLine="640" w:firstLineChars="200"/>
      </w:pPr>
      <w:r>
        <w:rPr>
          <w:rFonts w:hint="eastAsia"/>
        </w:rPr>
        <w:t>11.</w:t>
      </w:r>
      <w:r>
        <w:t>负责园林绿化行业市场管理；指导监督园林绿化定额、质量管理。</w:t>
      </w:r>
    </w:p>
    <w:p>
      <w:pPr>
        <w:adjustRightInd w:val="0"/>
        <w:snapToGrid w:val="0"/>
        <w:spacing w:line="600" w:lineRule="exact"/>
        <w:ind w:firstLine="640" w:firstLineChars="200"/>
      </w:pPr>
      <w:r>
        <w:rPr>
          <w:rFonts w:hint="eastAsia"/>
        </w:rPr>
        <w:t>12.</w:t>
      </w:r>
      <w:r>
        <w:t>负责授权范围内的城市管理综合行政执法工作；指导监督镇、街、商圈城市管理综合行政执法工作。</w:t>
      </w:r>
    </w:p>
    <w:p>
      <w:pPr>
        <w:adjustRightInd w:val="0"/>
        <w:snapToGrid w:val="0"/>
        <w:spacing w:line="600" w:lineRule="exact"/>
        <w:ind w:firstLine="640" w:firstLineChars="200"/>
      </w:pPr>
      <w:r>
        <w:rPr>
          <w:rFonts w:hint="eastAsia"/>
        </w:rPr>
        <w:t>13.</w:t>
      </w:r>
      <w:r>
        <w:t>负责城市管理的数字化、智慧化平台建设与运行的监管；负责城市管理的科学研究和创新管理成果的推广和运用；开展城市管理行业人员培训。</w:t>
      </w:r>
    </w:p>
    <w:p>
      <w:pPr>
        <w:adjustRightInd w:val="0"/>
        <w:snapToGrid w:val="0"/>
        <w:spacing w:line="600" w:lineRule="exact"/>
        <w:ind w:firstLine="640" w:firstLineChars="200"/>
      </w:pPr>
      <w:r>
        <w:rPr>
          <w:rFonts w:hint="eastAsia"/>
        </w:rPr>
        <w:t>14.</w:t>
      </w:r>
      <w:r>
        <w:t>负责城市管理行业安全生产、安全运行的监督、管理和指导；负责城市管理行业应急管理、应对处置的组织、协调和指导。</w:t>
      </w:r>
    </w:p>
    <w:p>
      <w:pPr>
        <w:adjustRightInd w:val="0"/>
        <w:snapToGrid w:val="0"/>
        <w:spacing w:line="600" w:lineRule="exact"/>
        <w:ind w:firstLine="640" w:firstLineChars="200"/>
      </w:pPr>
      <w:r>
        <w:rPr>
          <w:rFonts w:hint="eastAsia"/>
        </w:rPr>
        <w:t>15.</w:t>
      </w:r>
      <w:r>
        <w:t>负责制定机关及所属单位节能减排计划并监督实施。</w:t>
      </w:r>
    </w:p>
    <w:p>
      <w:pPr>
        <w:adjustRightInd w:val="0"/>
        <w:snapToGrid w:val="0"/>
        <w:spacing w:line="600" w:lineRule="exact"/>
        <w:ind w:firstLine="640" w:firstLineChars="200"/>
      </w:pPr>
      <w:r>
        <w:rPr>
          <w:rFonts w:hint="eastAsia"/>
        </w:rPr>
        <w:t>16.承办区政府和上级业务主管部门交办的其他事项。</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pPr>
      <w:r>
        <w:t>根据上述职责，重庆市九龙坡区城市管理局内设7个职能科室，分别为办公室、法制科、市容环卫科、园林绿化科、市政科、安全与督查科、供节水管理科。</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hint="eastAsia" w:cs="仿宋_GB2312"/>
          <w:szCs w:val="22"/>
        </w:rPr>
      </w:pPr>
      <w:r>
        <w:rPr>
          <w:rFonts w:hint="eastAsia" w:ascii="方正楷体_GBK" w:eastAsia="方正楷体_GBK" w:cs="仿宋_GB2312"/>
        </w:rPr>
        <w:t>（一）收入预算：</w:t>
      </w:r>
      <w:r>
        <w:rPr>
          <w:rFonts w:hint="eastAsia" w:cs="仿宋_GB2312"/>
        </w:rPr>
        <w:t>2026年年初预算数</w:t>
      </w:r>
      <w:r>
        <w:rPr>
          <w:rFonts w:hint="eastAsia" w:cs="仿宋_GB2312"/>
          <w:lang w:val="en-US" w:eastAsia="zh-CN"/>
        </w:rPr>
        <w:t>24,347.32</w:t>
      </w:r>
      <w:r>
        <w:rPr>
          <w:rFonts w:hint="eastAsia" w:cs="仿宋_GB2312"/>
        </w:rPr>
        <w:t>万元，其中：一般公共预算拨款</w:t>
      </w:r>
      <w:r>
        <w:rPr>
          <w:rFonts w:hint="eastAsia" w:cs="仿宋_GB2312"/>
          <w:lang w:val="en-US" w:eastAsia="zh-CN"/>
        </w:rPr>
        <w:t>17,852.65</w:t>
      </w:r>
      <w:r>
        <w:rPr>
          <w:rFonts w:hint="eastAsia" w:cs="仿宋_GB2312"/>
        </w:rPr>
        <w:t>万元，政府性基金预算拨款</w:t>
      </w:r>
      <w:r>
        <w:rPr>
          <w:rFonts w:hint="eastAsia" w:cs="仿宋_GB2312"/>
          <w:lang w:val="en-US" w:eastAsia="zh-CN"/>
        </w:rPr>
        <w:t>6,494.68</w:t>
      </w:r>
      <w:r>
        <w:rPr>
          <w:rFonts w:hint="eastAsia" w:cs="仿宋_GB2312"/>
        </w:rPr>
        <w:t>万元。收入较2025年增加</w:t>
      </w:r>
      <w:r>
        <w:rPr>
          <w:rFonts w:hint="eastAsia" w:cs="仿宋_GB2312"/>
          <w:lang w:val="en-US" w:eastAsia="zh-CN"/>
        </w:rPr>
        <w:t>10,914.63</w:t>
      </w:r>
      <w:r>
        <w:rPr>
          <w:rFonts w:hint="eastAsia" w:cs="仿宋_GB2312"/>
        </w:rPr>
        <w:t>万元，主要是</w:t>
      </w:r>
      <w:r>
        <w:rPr>
          <w:rFonts w:hint="eastAsia" w:cs="仿宋_GB2312"/>
          <w:szCs w:val="22"/>
        </w:rPr>
        <w:t>一般公共预算拨款增加</w:t>
      </w:r>
      <w:r>
        <w:rPr>
          <w:rFonts w:hint="eastAsia" w:cs="仿宋_GB2312"/>
          <w:szCs w:val="22"/>
          <w:lang w:val="en-US" w:eastAsia="zh-CN"/>
        </w:rPr>
        <w:t>7,458.18</w:t>
      </w:r>
      <w:r>
        <w:rPr>
          <w:rFonts w:hint="eastAsia" w:cs="仿宋_GB2312"/>
          <w:szCs w:val="22"/>
        </w:rPr>
        <w:t>万元，政府性基金预算拨款</w:t>
      </w:r>
      <w:r>
        <w:rPr>
          <w:rFonts w:hint="eastAsia" w:cs="仿宋_GB2312"/>
          <w:szCs w:val="22"/>
          <w:lang w:eastAsia="zh-CN"/>
        </w:rPr>
        <w:t>增加</w:t>
      </w:r>
      <w:r>
        <w:rPr>
          <w:rFonts w:hint="eastAsia" w:cs="仿宋_GB2312"/>
          <w:szCs w:val="22"/>
          <w:lang w:val="en-US" w:eastAsia="zh-CN"/>
        </w:rPr>
        <w:t>3,456.45</w:t>
      </w:r>
      <w:r>
        <w:rPr>
          <w:rFonts w:hint="eastAsia" w:cs="仿宋_GB2312"/>
          <w:szCs w:val="22"/>
        </w:rPr>
        <w:t>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2026年年初预算数</w:t>
      </w:r>
      <w:r>
        <w:rPr>
          <w:rFonts w:hint="eastAsia" w:cs="仿宋_GB2312"/>
          <w:lang w:val="en-US" w:eastAsia="zh-CN"/>
        </w:rPr>
        <w:t>24,347.32</w:t>
      </w:r>
      <w:r>
        <w:rPr>
          <w:rFonts w:hint="eastAsia" w:cs="仿宋_GB2312"/>
        </w:rPr>
        <w:t>万元，其中：社会保障和就业支出预算1</w:t>
      </w:r>
      <w:r>
        <w:rPr>
          <w:rFonts w:cs="仿宋_GB2312"/>
        </w:rPr>
        <w:t>63.03</w:t>
      </w:r>
      <w:r>
        <w:rPr>
          <w:rFonts w:hint="eastAsia" w:cs="仿宋_GB2312"/>
        </w:rPr>
        <w:t>万元，卫生健康支出预算3</w:t>
      </w:r>
      <w:r>
        <w:rPr>
          <w:rFonts w:cs="仿宋_GB2312"/>
        </w:rPr>
        <w:t>4.81</w:t>
      </w:r>
      <w:r>
        <w:rPr>
          <w:rFonts w:hint="eastAsia" w:cs="仿宋_GB2312"/>
        </w:rPr>
        <w:t>万元，节能环保支出预算</w:t>
      </w:r>
      <w:r>
        <w:rPr>
          <w:rFonts w:hint="eastAsia" w:cs="仿宋_GB2312"/>
          <w:lang w:val="en-US" w:eastAsia="zh-CN"/>
        </w:rPr>
        <w:t>10,650.26</w:t>
      </w:r>
      <w:r>
        <w:rPr>
          <w:rFonts w:hint="eastAsia" w:cs="仿宋_GB2312"/>
        </w:rPr>
        <w:t>万元，城乡社区支出预算</w:t>
      </w:r>
      <w:r>
        <w:rPr>
          <w:rFonts w:hint="eastAsia" w:cs="仿宋_GB2312"/>
          <w:lang w:val="en-US" w:eastAsia="zh-CN"/>
        </w:rPr>
        <w:t>13,457.70</w:t>
      </w:r>
      <w:r>
        <w:rPr>
          <w:rFonts w:hint="eastAsia" w:cs="仿宋_GB2312"/>
        </w:rPr>
        <w:t>万元，住房保障支出预算3</w:t>
      </w:r>
      <w:r>
        <w:rPr>
          <w:rFonts w:cs="仿宋_GB2312"/>
        </w:rPr>
        <w:t>9.99</w:t>
      </w:r>
      <w:r>
        <w:rPr>
          <w:rFonts w:hint="eastAsia" w:cs="仿宋_GB2312"/>
        </w:rPr>
        <w:t>万元</w:t>
      </w:r>
      <w:r>
        <w:rPr>
          <w:rFonts w:hint="eastAsia" w:cs="仿宋_GB2312"/>
          <w:lang w:eastAsia="zh-CN"/>
        </w:rPr>
        <w:t>，资源勘探工业信息等支出</w:t>
      </w:r>
      <w:r>
        <w:rPr>
          <w:rFonts w:hint="eastAsia" w:cs="仿宋_GB2312"/>
          <w:lang w:val="en-US" w:eastAsia="zh-CN"/>
        </w:rPr>
        <w:t>1.54万元</w:t>
      </w:r>
      <w:r>
        <w:rPr>
          <w:rFonts w:hint="eastAsia" w:cs="仿宋_GB2312"/>
        </w:rPr>
        <w:t>。支出预算较2025年增加</w:t>
      </w:r>
      <w:r>
        <w:rPr>
          <w:rFonts w:hint="eastAsia" w:cs="仿宋_GB2312"/>
          <w:lang w:val="en-US" w:eastAsia="zh-CN"/>
        </w:rPr>
        <w:t>10,914.63</w:t>
      </w:r>
      <w:r>
        <w:rPr>
          <w:rFonts w:hint="eastAsia" w:cs="仿宋_GB2312"/>
        </w:rPr>
        <w:t>万元，主要是基本支出预算增加5</w:t>
      </w:r>
      <w:r>
        <w:rPr>
          <w:rFonts w:cs="仿宋_GB2312"/>
        </w:rPr>
        <w:t>6.38</w:t>
      </w:r>
      <w:r>
        <w:rPr>
          <w:rFonts w:hint="eastAsia" w:cs="仿宋_GB2312"/>
        </w:rPr>
        <w:t>万元，项目支出预算增加</w:t>
      </w:r>
      <w:r>
        <w:rPr>
          <w:rFonts w:hint="eastAsia" w:cs="仿宋_GB2312"/>
          <w:highlight w:val="none"/>
          <w:lang w:val="en-US" w:eastAsia="zh-CN"/>
        </w:rPr>
        <w:t>10,858.25</w:t>
      </w:r>
      <w:r>
        <w:rPr>
          <w:rFonts w:hint="eastAsia" w:cs="仿宋_GB2312"/>
        </w:rPr>
        <w:t>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2026年一般公共预算财政拨款收入</w:t>
      </w:r>
      <w:r>
        <w:rPr>
          <w:rFonts w:hint="eastAsia" w:cs="仿宋_GB2312"/>
          <w:lang w:val="en-US" w:eastAsia="zh-CN"/>
        </w:rPr>
        <w:t>17,852.65</w:t>
      </w:r>
      <w:r>
        <w:rPr>
          <w:rFonts w:hint="eastAsia" w:cs="仿宋_GB2312"/>
        </w:rPr>
        <w:t>万元，一般公共预算财政拨款支出</w:t>
      </w:r>
      <w:r>
        <w:rPr>
          <w:rFonts w:hint="eastAsia" w:cs="仿宋_GB2312"/>
          <w:lang w:val="en-US" w:eastAsia="zh-CN"/>
        </w:rPr>
        <w:t>17,852.65</w:t>
      </w:r>
      <w:r>
        <w:rPr>
          <w:rFonts w:hint="eastAsia" w:cs="仿宋_GB2312"/>
        </w:rPr>
        <w:t>万元，比2025年增加</w:t>
      </w:r>
      <w:r>
        <w:rPr>
          <w:rFonts w:hint="eastAsia" w:cs="仿宋_GB2312"/>
          <w:lang w:val="en-US" w:eastAsia="zh-CN"/>
        </w:rPr>
        <w:t>7,458.18</w:t>
      </w:r>
      <w:r>
        <w:rPr>
          <w:rFonts w:hint="eastAsia" w:cs="仿宋_GB2312"/>
        </w:rPr>
        <w:t>万元。其中：基本支出6</w:t>
      </w:r>
      <w:r>
        <w:rPr>
          <w:rFonts w:cs="仿宋_GB2312"/>
        </w:rPr>
        <w:t>55.02</w:t>
      </w:r>
      <w:r>
        <w:rPr>
          <w:rFonts w:hint="eastAsia" w:cs="仿宋_GB2312"/>
        </w:rPr>
        <w:t>万元，比2025年增加5</w:t>
      </w:r>
      <w:r>
        <w:rPr>
          <w:rFonts w:cs="仿宋_GB2312"/>
        </w:rPr>
        <w:t>6.38</w:t>
      </w:r>
      <w:r>
        <w:rPr>
          <w:rFonts w:hint="eastAsia" w:cs="仿宋_GB2312"/>
        </w:rPr>
        <w:t>万元，主要原因是人员增加变动，主要用于保障在职人员工资福利及社会保险缴费，离休人员离休费，退休人员补助等，保障单位正常运转的各项商品服务支出；项目支出</w:t>
      </w:r>
      <w:r>
        <w:rPr>
          <w:rFonts w:hint="eastAsia" w:cs="仿宋_GB2312"/>
          <w:lang w:val="en-US" w:eastAsia="zh-CN"/>
        </w:rPr>
        <w:t>17,197.62</w:t>
      </w:r>
      <w:r>
        <w:rPr>
          <w:rFonts w:hint="eastAsia" w:cs="仿宋_GB2312"/>
        </w:rPr>
        <w:t>万元，比2025年增加</w:t>
      </w:r>
      <w:r>
        <w:rPr>
          <w:rFonts w:hint="eastAsia" w:cs="仿宋_GB2312"/>
          <w:lang w:val="en-US" w:eastAsia="zh-CN"/>
        </w:rPr>
        <w:t>7,401.80</w:t>
      </w:r>
      <w:r>
        <w:rPr>
          <w:rFonts w:hint="eastAsia" w:cs="仿宋_GB2312"/>
        </w:rPr>
        <w:t>万元，主要原因</w:t>
      </w:r>
      <w:r>
        <w:rPr>
          <w:rFonts w:hint="eastAsia" w:cs="仿宋_GB2312"/>
          <w:lang w:eastAsia="zh-CN"/>
        </w:rPr>
        <w:t>为</w:t>
      </w:r>
      <w:r>
        <w:rPr>
          <w:rFonts w:hint="eastAsia" w:cs="仿宋_GB2312"/>
          <w:szCs w:val="22"/>
        </w:rPr>
        <w:t>一是上年延续项目经费增加，二是常年性管护项目经费增加</w:t>
      </w:r>
      <w:r>
        <w:rPr>
          <w:rFonts w:hint="eastAsia" w:cs="仿宋_GB2312"/>
          <w:szCs w:val="22"/>
          <w:lang w:eastAsia="zh-CN"/>
        </w:rPr>
        <w:t>。</w:t>
      </w:r>
      <w:r>
        <w:rPr>
          <w:rFonts w:hint="eastAsia" w:cs="仿宋_GB2312"/>
          <w:szCs w:val="22"/>
        </w:rPr>
        <w:t>主</w:t>
      </w:r>
      <w:r>
        <w:rPr>
          <w:rFonts w:hint="eastAsia" w:cs="仿宋_GB2312"/>
        </w:rPr>
        <w:t>要用于城市管理、市政设施管护、绿化管护、供节水管理、环卫清扫保洁等重点工作。</w:t>
      </w:r>
    </w:p>
    <w:p>
      <w:pPr>
        <w:adjustRightInd w:val="0"/>
        <w:snapToGrid w:val="0"/>
        <w:spacing w:line="600" w:lineRule="exact"/>
        <w:ind w:firstLine="640" w:firstLineChars="200"/>
        <w:rPr>
          <w:rFonts w:hint="eastAsia" w:cs="仿宋_GB2312"/>
        </w:rPr>
      </w:pPr>
      <w:r>
        <w:rPr>
          <w:rFonts w:hint="eastAsia" w:cs="仿宋_GB2312"/>
        </w:rPr>
        <w:t>2026年政府性基金预算收入</w:t>
      </w:r>
      <w:r>
        <w:rPr>
          <w:rFonts w:hint="eastAsia" w:cs="仿宋_GB2312"/>
          <w:lang w:val="en-US" w:eastAsia="zh-CN"/>
        </w:rPr>
        <w:t>6,494.68</w:t>
      </w:r>
      <w:r>
        <w:rPr>
          <w:rFonts w:hint="eastAsia" w:cs="仿宋_GB2312"/>
        </w:rPr>
        <w:t>万元，政府性基金预算支出</w:t>
      </w:r>
      <w:r>
        <w:rPr>
          <w:rFonts w:hint="eastAsia" w:cs="仿宋_GB2312"/>
          <w:lang w:val="en-US" w:eastAsia="zh-CN"/>
        </w:rPr>
        <w:t>6,494.68万</w:t>
      </w:r>
      <w:r>
        <w:rPr>
          <w:rFonts w:hint="eastAsia" w:cs="仿宋_GB2312"/>
        </w:rPr>
        <w:t>元，比2025年</w:t>
      </w:r>
      <w:r>
        <w:rPr>
          <w:rFonts w:hint="eastAsia" w:cs="仿宋_GB2312"/>
          <w:lang w:eastAsia="zh-CN"/>
        </w:rPr>
        <w:t>增加</w:t>
      </w:r>
      <w:r>
        <w:rPr>
          <w:rFonts w:hint="eastAsia" w:cs="仿宋_GB2312"/>
          <w:szCs w:val="22"/>
          <w:lang w:val="en-US" w:eastAsia="zh-CN"/>
        </w:rPr>
        <w:t>3,456.45</w:t>
      </w:r>
      <w:r>
        <w:rPr>
          <w:rFonts w:hint="eastAsia" w:cs="仿宋_GB2312"/>
        </w:rPr>
        <w:t>万元，主要原因是</w:t>
      </w:r>
      <w:r>
        <w:rPr>
          <w:rFonts w:hint="eastAsia" w:cs="仿宋_GB2312"/>
          <w:lang w:eastAsia="zh-CN"/>
        </w:rPr>
        <w:t>根据实际工作情况安排</w:t>
      </w:r>
      <w:r>
        <w:rPr>
          <w:rFonts w:hint="eastAsia" w:cs="仿宋_GB231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 xml:space="preserve">2026年“三公”经费预算8万元，与2025年持平。其中：因公出国（境）费用 </w:t>
      </w:r>
      <w:r>
        <w:rPr>
          <w:rFonts w:cs="仿宋_GB2312"/>
        </w:rPr>
        <w:t>0</w:t>
      </w:r>
      <w:r>
        <w:rPr>
          <w:rFonts w:hint="eastAsia" w:cs="仿宋_GB2312"/>
        </w:rPr>
        <w:t xml:space="preserve"> 万元，与2025年相比无变化；公务接待费5万元，与2025年相比无变化；公务用车运行维护费3万元，与2025年相比无变化；公务用车购置费0万元，与2025年相比无变化。</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1.机关运行经费。2026年一般公共预算财政拨款运行经费1</w:t>
      </w:r>
      <w:r>
        <w:rPr>
          <w:rFonts w:cs="仿宋_GB2312"/>
        </w:rPr>
        <w:t>32.15</w:t>
      </w:r>
      <w:r>
        <w:rPr>
          <w:rFonts w:hint="eastAsia" w:cs="仿宋_GB2312"/>
        </w:rPr>
        <w:t>万元，比上年增加8</w:t>
      </w:r>
      <w:r>
        <w:rPr>
          <w:rFonts w:cs="仿宋_GB2312"/>
        </w:rPr>
        <w:t>.39</w:t>
      </w:r>
      <w:r>
        <w:rPr>
          <w:rFonts w:hint="eastAsia" w:cs="仿宋_GB2312"/>
        </w:rPr>
        <w:t>万元，主要原因为人员增加。主要用于办公费、印刷费、邮电费、水电费、物管费、差旅费、会议费、培训费及其他商品和服务支出等。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2.政府采购情况。本单位政府采购预算总额1</w:t>
      </w:r>
      <w:r>
        <w:rPr>
          <w:rFonts w:cs="仿宋_GB2312"/>
        </w:rPr>
        <w:t>4431.22</w:t>
      </w:r>
      <w:r>
        <w:rPr>
          <w:rFonts w:hint="eastAsia" w:cs="仿宋_GB2312"/>
        </w:rPr>
        <w:t>万元：政府采购货物预算0万元、政府采购工程预算0 万元、政府采购服务预算1</w:t>
      </w:r>
      <w:r>
        <w:rPr>
          <w:rFonts w:cs="仿宋_GB2312"/>
        </w:rPr>
        <w:t>4431.22</w:t>
      </w:r>
      <w:r>
        <w:rPr>
          <w:rFonts w:hint="eastAsia" w:cs="仿宋_GB2312"/>
        </w:rPr>
        <w:t xml:space="preserve"> 万元；其中一般公共预算拨款政府采购1</w:t>
      </w:r>
      <w:r>
        <w:rPr>
          <w:rFonts w:cs="仿宋_GB2312"/>
        </w:rPr>
        <w:t>4431.22</w:t>
      </w:r>
      <w:r>
        <w:rPr>
          <w:rFonts w:hint="eastAsia" w:cs="仿宋_GB2312"/>
        </w:rPr>
        <w:t>万元：政府采购货物预算</w:t>
      </w:r>
      <w:r>
        <w:rPr>
          <w:rFonts w:cs="仿宋_GB2312"/>
        </w:rPr>
        <w:t>0</w:t>
      </w:r>
      <w:r>
        <w:rPr>
          <w:rFonts w:hint="eastAsia" w:cs="仿宋_GB2312"/>
        </w:rPr>
        <w:t>万元、政府采购工程预算</w:t>
      </w:r>
      <w:r>
        <w:rPr>
          <w:rFonts w:cs="仿宋_GB2312"/>
        </w:rPr>
        <w:t>0</w:t>
      </w:r>
      <w:r>
        <w:rPr>
          <w:rFonts w:hint="eastAsia" w:cs="仿宋_GB2312"/>
        </w:rPr>
        <w:t>万元、政府采购服务预算 1</w:t>
      </w:r>
      <w:r>
        <w:rPr>
          <w:rFonts w:cs="仿宋_GB2312"/>
        </w:rPr>
        <w:t>4431.22</w:t>
      </w:r>
      <w:r>
        <w:rPr>
          <w:rFonts w:hint="eastAsia" w:cs="仿宋_GB2312"/>
        </w:rPr>
        <w:t xml:space="preserve"> 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 xml:space="preserve">2026年项目支出均实行了绩效目标管理，涉及一般公共预算当年财政拨款 </w:t>
      </w:r>
      <w:r>
        <w:rPr>
          <w:rFonts w:hint="eastAsia" w:cs="仿宋_GB2312"/>
          <w:color w:val="000000"/>
          <w:lang w:val="en-US" w:eastAsia="zh-CN"/>
        </w:rPr>
        <w:t>17,197.62</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4.国有资产占有使用情况。截止2025年12月，本单位共有车辆1辆，其中一般公务用车</w:t>
      </w:r>
      <w:r>
        <w:rPr>
          <w:rFonts w:cs="仿宋_GB2312"/>
          <w:color w:val="000000"/>
        </w:rPr>
        <w:t>1</w:t>
      </w:r>
      <w:r>
        <w:rPr>
          <w:rFonts w:hint="eastAsia" w:cs="仿宋_GB2312"/>
          <w:color w:val="000000"/>
        </w:rPr>
        <w:t>辆、执勤执法用车0辆。2026年一般公共预算安排购置车辆0辆。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3" w:firstLineChars="200"/>
        <w:rPr>
          <w:rFonts w:cs="仿宋_GB2312"/>
          <w:b/>
        </w:rPr>
      </w:pPr>
    </w:p>
    <w:p>
      <w:pPr>
        <w:adjustRightInd w:val="0"/>
        <w:snapToGrid w:val="0"/>
        <w:spacing w:line="600" w:lineRule="exact"/>
        <w:ind w:firstLine="640" w:firstLineChars="200"/>
      </w:pPr>
      <w:r>
        <w:rPr>
          <w:rFonts w:hint="eastAsia" w:cs="仿宋_GB2312"/>
        </w:rPr>
        <w:t>部门预算公开联系人：</w:t>
      </w:r>
      <w:r>
        <w:rPr>
          <w:rFonts w:hint="eastAsia" w:cs="仿宋_GB2312"/>
          <w:lang w:val="en-US" w:eastAsia="zh-CN"/>
        </w:rPr>
        <w:t>周</w:t>
      </w:r>
      <w:r>
        <w:rPr>
          <w:rFonts w:hint="eastAsia" w:cs="仿宋_GB2312"/>
          <w:lang w:eastAsia="zh-CN"/>
        </w:rPr>
        <w:t>老师</w:t>
      </w:r>
      <w:r>
        <w:rPr>
          <w:rFonts w:hint="eastAsia" w:cs="仿宋_GB2312"/>
        </w:rPr>
        <w:t xml:space="preserve">  联系</w:t>
      </w:r>
      <w:r>
        <w:rPr>
          <w:rFonts w:hint="eastAsia"/>
        </w:rPr>
        <w:t>电话：023-</w:t>
      </w:r>
      <w:r>
        <w:rPr>
          <w:rFonts w:hint="eastAsia"/>
          <w:lang w:val="en-US" w:eastAsia="zh-CN"/>
        </w:rPr>
        <w:t>68883136</w:t>
      </w:r>
    </w:p>
    <w:p>
      <w:pPr>
        <w:adjustRightInd w:val="0"/>
        <w:snapToGrid w:val="0"/>
        <w:spacing w:line="600" w:lineRule="exact"/>
        <w:ind w:firstLine="643" w:firstLineChars="200"/>
        <w:rPr>
          <w:b/>
        </w:rPr>
      </w:pPr>
    </w:p>
    <w:p>
      <w:pPr>
        <w:pStyle w:val="2"/>
        <w:tabs>
          <w:tab w:val="left" w:pos="1560"/>
        </w:tabs>
        <w:adjustRightInd w:val="0"/>
        <w:snapToGrid w:val="0"/>
        <w:spacing w:line="600" w:lineRule="exact"/>
        <w:ind w:left="1600" w:leftChars="200" w:right="0" w:rightChars="0" w:hanging="960" w:hangingChars="300"/>
        <w:rPr>
          <w:rFonts w:eastAsia="方正仿宋_GBK"/>
          <w:sz w:val="32"/>
          <w:szCs w:val="32"/>
        </w:rPr>
      </w:pPr>
      <w:r>
        <w:rPr>
          <w:rFonts w:hint="eastAsia" w:eastAsia="方正仿宋_GBK"/>
          <w:sz w:val="32"/>
          <w:szCs w:val="32"/>
        </w:rPr>
        <w:t>附表：1.2026年重庆市九龙坡区城市管理局</w:t>
      </w:r>
      <w:r>
        <w:rPr>
          <w:rFonts w:hint="eastAsia" w:eastAsia="方正仿宋_GBK"/>
          <w:sz w:val="32"/>
          <w:szCs w:val="32"/>
          <w:lang w:val="en-US" w:eastAsia="zh-CN"/>
        </w:rPr>
        <w:t>(本级）</w:t>
      </w:r>
      <w:r>
        <w:rPr>
          <w:rFonts w:hint="eastAsia" w:eastAsia="方正仿宋_GBK"/>
          <w:sz w:val="32"/>
          <w:szCs w:val="32"/>
        </w:rPr>
        <w:t>财政拨款收支总表</w:t>
      </w:r>
    </w:p>
    <w:p>
      <w:pPr>
        <w:pStyle w:val="2"/>
        <w:adjustRightInd w:val="0"/>
        <w:snapToGrid w:val="0"/>
        <w:spacing w:line="600" w:lineRule="exact"/>
        <w:ind w:left="1600" w:leftChars="500" w:right="0" w:rightChars="0" w:firstLine="0" w:firstLineChars="0"/>
        <w:jc w:val="left"/>
        <w:rPr>
          <w:rFonts w:eastAsia="方正仿宋_GBK"/>
          <w:sz w:val="32"/>
          <w:szCs w:val="32"/>
        </w:rPr>
      </w:pPr>
      <w:r>
        <w:rPr>
          <w:rFonts w:hint="eastAsia" w:eastAsia="方正仿宋_GBK"/>
          <w:sz w:val="32"/>
          <w:szCs w:val="32"/>
        </w:rPr>
        <w:t>2.2026年重庆市九龙坡区城市管理局</w:t>
      </w:r>
      <w:r>
        <w:rPr>
          <w:rFonts w:hint="eastAsia" w:eastAsia="方正仿宋_GBK"/>
          <w:sz w:val="32"/>
          <w:szCs w:val="32"/>
          <w:lang w:val="en-US" w:eastAsia="zh-CN"/>
        </w:rPr>
        <w:t>(本级）</w:t>
      </w:r>
      <w:r>
        <w:rPr>
          <w:rFonts w:hint="eastAsia" w:eastAsia="方正仿宋_GBK"/>
          <w:sz w:val="32"/>
          <w:szCs w:val="32"/>
        </w:rPr>
        <w:t>一般公共预算财政拨款支出预算表</w:t>
      </w:r>
    </w:p>
    <w:p>
      <w:pPr>
        <w:pStyle w:val="2"/>
        <w:adjustRightInd w:val="0"/>
        <w:snapToGrid w:val="0"/>
        <w:spacing w:line="600" w:lineRule="exact"/>
        <w:ind w:left="1600" w:leftChars="500" w:right="0" w:rightChars="0" w:firstLine="0" w:firstLineChars="0"/>
        <w:jc w:val="left"/>
        <w:rPr>
          <w:rFonts w:eastAsia="方正仿宋_GBK"/>
          <w:sz w:val="32"/>
          <w:szCs w:val="32"/>
        </w:rPr>
      </w:pPr>
      <w:r>
        <w:rPr>
          <w:rFonts w:hint="eastAsia" w:eastAsia="方正仿宋_GBK"/>
          <w:sz w:val="32"/>
          <w:szCs w:val="32"/>
        </w:rPr>
        <w:t>3.2026年重庆市九龙坡区城市管理局</w:t>
      </w:r>
      <w:r>
        <w:rPr>
          <w:rFonts w:hint="eastAsia" w:eastAsia="方正仿宋_GBK"/>
          <w:sz w:val="32"/>
          <w:szCs w:val="32"/>
          <w:lang w:val="en-US" w:eastAsia="zh-CN"/>
        </w:rPr>
        <w:t>(本级）</w:t>
      </w:r>
      <w:r>
        <w:rPr>
          <w:rFonts w:hint="eastAsia" w:eastAsia="方正仿宋_GBK"/>
          <w:sz w:val="32"/>
          <w:szCs w:val="32"/>
        </w:rPr>
        <w:t>一般公共预算财政拨款基本支出预算表</w:t>
      </w:r>
    </w:p>
    <w:p>
      <w:pPr>
        <w:pStyle w:val="2"/>
        <w:adjustRightInd w:val="0"/>
        <w:snapToGrid w:val="0"/>
        <w:spacing w:line="600" w:lineRule="exact"/>
        <w:ind w:left="1600" w:leftChars="500" w:right="0" w:rightChars="0" w:firstLine="0" w:firstLineChars="0"/>
        <w:jc w:val="left"/>
        <w:rPr>
          <w:rFonts w:eastAsia="方正仿宋_GBK"/>
          <w:sz w:val="32"/>
          <w:szCs w:val="32"/>
        </w:rPr>
      </w:pPr>
      <w:r>
        <w:rPr>
          <w:rFonts w:hint="eastAsia" w:eastAsia="方正仿宋_GBK"/>
          <w:sz w:val="32"/>
          <w:szCs w:val="32"/>
        </w:rPr>
        <w:t>4.2026年重庆市九龙坡区城市管理局</w:t>
      </w:r>
      <w:r>
        <w:rPr>
          <w:rFonts w:hint="eastAsia" w:eastAsia="方正仿宋_GBK"/>
          <w:sz w:val="32"/>
          <w:szCs w:val="32"/>
          <w:lang w:val="en-US" w:eastAsia="zh-CN"/>
        </w:rPr>
        <w:t>(本级）</w:t>
      </w:r>
      <w:r>
        <w:rPr>
          <w:rFonts w:hint="eastAsia" w:eastAsia="方正仿宋_GBK"/>
          <w:sz w:val="32"/>
          <w:szCs w:val="32"/>
        </w:rPr>
        <w:t>一般公共预算财政拨款基本支出预算表（政府预算支出经济分类科目）</w:t>
      </w:r>
    </w:p>
    <w:p>
      <w:pPr>
        <w:pStyle w:val="2"/>
        <w:adjustRightInd w:val="0"/>
        <w:snapToGrid w:val="0"/>
        <w:spacing w:line="600" w:lineRule="exact"/>
        <w:ind w:left="1600" w:leftChars="500" w:right="0" w:rightChars="0" w:firstLine="0" w:firstLineChars="0"/>
        <w:jc w:val="left"/>
        <w:rPr>
          <w:rFonts w:eastAsia="方正仿宋_GBK"/>
          <w:sz w:val="32"/>
          <w:szCs w:val="32"/>
        </w:rPr>
      </w:pPr>
      <w:r>
        <w:rPr>
          <w:rFonts w:hint="eastAsia" w:eastAsia="方正仿宋_GBK"/>
          <w:sz w:val="32"/>
          <w:szCs w:val="32"/>
        </w:rPr>
        <w:t>5.2026年重庆市九龙坡区城市管理局</w:t>
      </w:r>
      <w:r>
        <w:rPr>
          <w:rFonts w:hint="eastAsia" w:eastAsia="方正仿宋_GBK"/>
          <w:sz w:val="32"/>
          <w:szCs w:val="32"/>
          <w:lang w:val="en-US" w:eastAsia="zh-CN"/>
        </w:rPr>
        <w:t>(本级）</w:t>
      </w:r>
      <w:r>
        <w:rPr>
          <w:rFonts w:hint="eastAsia" w:eastAsia="方正仿宋_GBK"/>
          <w:sz w:val="32"/>
          <w:szCs w:val="32"/>
        </w:rPr>
        <w:t>一般公共预算“三公”经费支出表</w:t>
      </w:r>
    </w:p>
    <w:p>
      <w:pPr>
        <w:adjustRightInd w:val="0"/>
        <w:snapToGrid w:val="0"/>
        <w:spacing w:line="600" w:lineRule="exact"/>
        <w:ind w:left="1600" w:leftChars="500"/>
        <w:jc w:val="left"/>
        <w:rPr>
          <w:szCs w:val="32"/>
        </w:rPr>
      </w:pPr>
      <w:r>
        <w:rPr>
          <w:rFonts w:hint="eastAsia"/>
          <w:szCs w:val="32"/>
        </w:rPr>
        <w:t>6.2026年重庆市九龙坡区城市管理局</w:t>
      </w:r>
      <w:r>
        <w:rPr>
          <w:rFonts w:hint="eastAsia" w:eastAsia="方正仿宋_GBK"/>
          <w:sz w:val="32"/>
          <w:szCs w:val="32"/>
          <w:lang w:val="en-US" w:eastAsia="zh-CN"/>
        </w:rPr>
        <w:t>(本级）</w:t>
      </w:r>
      <w:r>
        <w:rPr>
          <w:rFonts w:hint="eastAsia"/>
          <w:szCs w:val="32"/>
        </w:rPr>
        <w:t>政府性基金预算支出表</w:t>
      </w:r>
    </w:p>
    <w:p>
      <w:pPr>
        <w:adjustRightInd w:val="0"/>
        <w:snapToGrid w:val="0"/>
        <w:spacing w:line="600" w:lineRule="exact"/>
        <w:ind w:left="1600" w:leftChars="500"/>
        <w:jc w:val="left"/>
        <w:rPr>
          <w:szCs w:val="32"/>
        </w:rPr>
      </w:pPr>
      <w:r>
        <w:rPr>
          <w:rFonts w:hint="eastAsia"/>
          <w:szCs w:val="32"/>
        </w:rPr>
        <w:t>7.2026年重庆市九龙坡区城市管理局</w:t>
      </w:r>
      <w:r>
        <w:rPr>
          <w:rFonts w:hint="eastAsia" w:eastAsia="方正仿宋_GBK"/>
          <w:sz w:val="32"/>
          <w:szCs w:val="32"/>
          <w:lang w:val="en-US" w:eastAsia="zh-CN"/>
        </w:rPr>
        <w:t>(本级）</w:t>
      </w:r>
      <w:r>
        <w:rPr>
          <w:rFonts w:hint="eastAsia"/>
          <w:szCs w:val="32"/>
        </w:rPr>
        <w:t>收支总表</w:t>
      </w:r>
    </w:p>
    <w:p>
      <w:pPr>
        <w:adjustRightInd w:val="0"/>
        <w:snapToGrid w:val="0"/>
        <w:spacing w:line="600" w:lineRule="exact"/>
        <w:ind w:left="1600" w:leftChars="500"/>
        <w:jc w:val="left"/>
        <w:rPr>
          <w:szCs w:val="32"/>
        </w:rPr>
      </w:pPr>
      <w:r>
        <w:rPr>
          <w:rFonts w:hint="eastAsia"/>
          <w:szCs w:val="32"/>
        </w:rPr>
        <w:t>8.2026年重庆市九龙坡区城市管理局</w:t>
      </w:r>
      <w:r>
        <w:rPr>
          <w:rFonts w:hint="eastAsia" w:eastAsia="方正仿宋_GBK"/>
          <w:sz w:val="32"/>
          <w:szCs w:val="32"/>
          <w:lang w:val="en-US" w:eastAsia="zh-CN"/>
        </w:rPr>
        <w:t>(本级）</w:t>
      </w:r>
      <w:r>
        <w:rPr>
          <w:rFonts w:hint="eastAsia"/>
          <w:szCs w:val="32"/>
        </w:rPr>
        <w:t>收入总表</w:t>
      </w:r>
    </w:p>
    <w:p>
      <w:pPr>
        <w:adjustRightInd w:val="0"/>
        <w:snapToGrid w:val="0"/>
        <w:spacing w:line="600" w:lineRule="exact"/>
        <w:ind w:left="1600" w:leftChars="500"/>
        <w:jc w:val="left"/>
        <w:rPr>
          <w:szCs w:val="32"/>
        </w:rPr>
      </w:pPr>
      <w:r>
        <w:rPr>
          <w:rFonts w:hint="eastAsia"/>
          <w:szCs w:val="32"/>
        </w:rPr>
        <w:t>9.2026年重庆市九龙坡区城市管理局</w:t>
      </w:r>
      <w:r>
        <w:rPr>
          <w:rFonts w:hint="eastAsia" w:eastAsia="方正仿宋_GBK"/>
          <w:sz w:val="32"/>
          <w:szCs w:val="32"/>
          <w:lang w:val="en-US" w:eastAsia="zh-CN"/>
        </w:rPr>
        <w:t>(本级）</w:t>
      </w:r>
      <w:r>
        <w:rPr>
          <w:rFonts w:hint="eastAsia"/>
          <w:szCs w:val="32"/>
        </w:rPr>
        <w:t>支出总表（功能科目分类到项）</w:t>
      </w:r>
    </w:p>
    <w:p>
      <w:pPr>
        <w:adjustRightInd w:val="0"/>
        <w:snapToGrid w:val="0"/>
        <w:spacing w:line="600" w:lineRule="exact"/>
        <w:ind w:left="1600" w:leftChars="500"/>
        <w:jc w:val="left"/>
        <w:rPr>
          <w:szCs w:val="32"/>
        </w:rPr>
      </w:pPr>
      <w:r>
        <w:rPr>
          <w:rFonts w:hint="eastAsia"/>
          <w:szCs w:val="32"/>
        </w:rPr>
        <w:t>10.2026年重庆市九龙坡区城市管理局</w:t>
      </w:r>
      <w:r>
        <w:rPr>
          <w:rFonts w:hint="eastAsia" w:eastAsia="方正仿宋_GBK"/>
          <w:sz w:val="32"/>
          <w:szCs w:val="32"/>
          <w:lang w:val="en-US" w:eastAsia="zh-CN"/>
        </w:rPr>
        <w:t>(本级）</w:t>
      </w:r>
      <w:r>
        <w:rPr>
          <w:rFonts w:hint="eastAsia"/>
          <w:szCs w:val="32"/>
        </w:rPr>
        <w:t>一般公共预算财政拨款项目支出预算表（部门预算支出经济分类科目）</w:t>
      </w:r>
    </w:p>
    <w:p>
      <w:pPr>
        <w:adjustRightInd w:val="0"/>
        <w:snapToGrid w:val="0"/>
        <w:spacing w:line="600" w:lineRule="exact"/>
        <w:ind w:left="1600" w:leftChars="500"/>
        <w:jc w:val="left"/>
        <w:rPr>
          <w:szCs w:val="32"/>
        </w:rPr>
      </w:pPr>
      <w:r>
        <w:rPr>
          <w:rFonts w:hint="eastAsia"/>
          <w:szCs w:val="32"/>
        </w:rPr>
        <w:t>11.2026年重庆市九龙坡区城市管理局</w:t>
      </w:r>
      <w:r>
        <w:rPr>
          <w:rFonts w:hint="eastAsia" w:eastAsia="方正仿宋_GBK"/>
          <w:sz w:val="32"/>
          <w:szCs w:val="32"/>
          <w:lang w:val="en-US" w:eastAsia="zh-CN"/>
        </w:rPr>
        <w:t>(本级）</w:t>
      </w:r>
      <w:r>
        <w:rPr>
          <w:rFonts w:hint="eastAsia"/>
          <w:szCs w:val="32"/>
        </w:rPr>
        <w:t>一般公共预算财政拨款项目支出预算表（政府预算支出经济分类科目）</w:t>
      </w:r>
    </w:p>
    <w:p>
      <w:pPr>
        <w:adjustRightInd w:val="0"/>
        <w:snapToGrid w:val="0"/>
        <w:spacing w:line="600" w:lineRule="exact"/>
        <w:ind w:left="1600" w:leftChars="500"/>
        <w:jc w:val="left"/>
        <w:rPr>
          <w:szCs w:val="32"/>
        </w:rPr>
      </w:pPr>
      <w:r>
        <w:rPr>
          <w:rFonts w:hint="eastAsia"/>
          <w:szCs w:val="32"/>
        </w:rPr>
        <w:t>12.2026年重庆市九龙坡区城市管理局</w:t>
      </w:r>
      <w:r>
        <w:rPr>
          <w:rFonts w:hint="eastAsia" w:eastAsia="方正仿宋_GBK"/>
          <w:sz w:val="32"/>
          <w:szCs w:val="32"/>
          <w:lang w:val="en-US" w:eastAsia="zh-CN"/>
        </w:rPr>
        <w:t>(本级）</w:t>
      </w:r>
      <w:r>
        <w:rPr>
          <w:rFonts w:hint="eastAsia"/>
          <w:szCs w:val="32"/>
        </w:rPr>
        <w:t>政府采购明细表</w:t>
      </w:r>
    </w:p>
    <w:p>
      <w:pPr>
        <w:adjustRightInd w:val="0"/>
        <w:snapToGrid w:val="0"/>
        <w:spacing w:line="600" w:lineRule="exact"/>
        <w:ind w:left="1600" w:leftChars="500" w:firstLine="0" w:firstLineChars="0"/>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szCs w:val="32"/>
          <w:highlight w:val="none"/>
        </w:rPr>
        <w:t>13.2026年</w:t>
      </w:r>
      <w:r>
        <w:rPr>
          <w:rFonts w:hint="eastAsia"/>
          <w:szCs w:val="32"/>
          <w:highlight w:val="none"/>
          <w:lang w:eastAsia="zh-CN"/>
        </w:rPr>
        <w:t>重庆市</w:t>
      </w:r>
      <w:r>
        <w:rPr>
          <w:rFonts w:hint="eastAsia"/>
          <w:szCs w:val="32"/>
          <w:highlight w:val="none"/>
        </w:rPr>
        <w:t>九龙坡区城市管理局</w:t>
      </w:r>
      <w:r>
        <w:rPr>
          <w:rFonts w:hint="eastAsia" w:eastAsia="方正仿宋_GBK"/>
          <w:sz w:val="32"/>
          <w:szCs w:val="32"/>
          <w:highlight w:val="none"/>
          <w:lang w:val="en-US" w:eastAsia="zh-CN"/>
        </w:rPr>
        <w:t>(本级）</w:t>
      </w:r>
      <w:r>
        <w:rPr>
          <w:rFonts w:hint="eastAsia"/>
          <w:szCs w:val="32"/>
          <w:highlight w:val="none"/>
        </w:rPr>
        <w:t>项目绩效目标表</w:t>
      </w:r>
      <w:r>
        <w:rPr>
          <w:highlight w:val="none"/>
        </w:rPr>
        <w:br w:type="page"/>
      </w:r>
    </w:p>
    <w:tbl>
      <w:tblPr>
        <w:tblStyle w:val="5"/>
        <w:tblW w:w="14165" w:type="dxa"/>
        <w:jc w:val="center"/>
        <w:tblInd w:w="0" w:type="dxa"/>
        <w:tblLayout w:type="fixed"/>
        <w:tblCellMar>
          <w:top w:w="0" w:type="dxa"/>
          <w:left w:w="108" w:type="dxa"/>
          <w:bottom w:w="0" w:type="dxa"/>
          <w:right w:w="108" w:type="dxa"/>
        </w:tblCellMar>
      </w:tblPr>
      <w:tblGrid>
        <w:gridCol w:w="2666"/>
        <w:gridCol w:w="1201"/>
        <w:gridCol w:w="2425"/>
        <w:gridCol w:w="1198"/>
        <w:gridCol w:w="1932"/>
        <w:gridCol w:w="2221"/>
        <w:gridCol w:w="2522"/>
      </w:tblGrid>
      <w:tr>
        <w:tblPrEx>
          <w:tblLayout w:type="fixed"/>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shd w:val="clear" w:color="auto" w:fill="auto"/>
            <w:vAlign w:val="center"/>
          </w:tcPr>
          <w:p>
            <w:pPr>
              <w:widowControl/>
              <w:snapToGrid w:val="0"/>
              <w:jc w:val="left"/>
              <w:rPr>
                <w:rFonts w:ascii="方正楷体_GBK" w:hAnsi="等线" w:eastAsia="方正楷体_GBK" w:cs="宋体"/>
                <w:color w:val="000000"/>
                <w:kern w:val="0"/>
                <w:sz w:val="20"/>
              </w:rPr>
            </w:pPr>
            <w:bookmarkStart w:id="0" w:name="_Hlk221213984"/>
            <w:r>
              <w:rPr>
                <w:rFonts w:hint="eastAsia"/>
              </w:rPr>
              <w:t>附表</w:t>
            </w:r>
            <w:r>
              <w:rPr>
                <w:rFonts w:hint="eastAsia"/>
                <w:szCs w:val="32"/>
              </w:rPr>
              <w:t>1</w:t>
            </w:r>
            <w:bookmarkEnd w:id="0"/>
          </w:p>
        </w:tc>
        <w:tc>
          <w:tcPr>
            <w:tcW w:w="1201" w:type="dxa"/>
            <w:tcBorders>
              <w:top w:val="nil"/>
              <w:left w:val="nil"/>
              <w:bottom w:val="nil"/>
              <w:right w:val="nil"/>
            </w:tcBorders>
            <w:shd w:val="clear" w:color="auto" w:fill="auto"/>
            <w:noWrap/>
            <w:vAlign w:val="center"/>
          </w:tcPr>
          <w:p>
            <w:pPr>
              <w:widowControl/>
              <w:snapToGrid w:val="0"/>
              <w:jc w:val="left"/>
              <w:rPr>
                <w:rFonts w:ascii="方正楷体_GBK" w:hAnsi="等线" w:eastAsia="方正楷体_GBK" w:cs="宋体"/>
                <w:color w:val="000000"/>
                <w:kern w:val="0"/>
                <w:sz w:val="20"/>
              </w:rPr>
            </w:pPr>
          </w:p>
        </w:tc>
        <w:tc>
          <w:tcPr>
            <w:tcW w:w="242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9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93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22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52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0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2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9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93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22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52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14165" w:type="dxa"/>
            <w:gridSpan w:val="7"/>
            <w:tcBorders>
              <w:top w:val="nil"/>
              <w:left w:val="nil"/>
              <w:bottom w:val="nil"/>
              <w:right w:val="nil"/>
            </w:tcBorders>
            <w:shd w:val="clear" w:color="auto" w:fill="auto"/>
            <w:vAlign w:val="center"/>
          </w:tcPr>
          <w:p>
            <w:pPr>
              <w:widowControl/>
              <w:snapToGrid w:val="0"/>
              <w:jc w:val="center"/>
              <w:rPr>
                <w:rFonts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w:t>
            </w:r>
            <w:r>
              <w:rPr>
                <w:rFonts w:ascii="方正小标宋_GBK" w:hAnsi="等线" w:eastAsia="方正小标宋_GBK" w:cs="宋体"/>
                <w:color w:val="000000"/>
                <w:kern w:val="0"/>
                <w:sz w:val="34"/>
                <w:szCs w:val="34"/>
              </w:rPr>
              <w:t>026</w:t>
            </w:r>
            <w:r>
              <w:rPr>
                <w:rFonts w:hint="eastAsia" w:ascii="方正小标宋_GBK" w:hAnsi="等线" w:eastAsia="方正小标宋_GBK" w:cs="宋体"/>
                <w:color w:val="000000"/>
                <w:kern w:val="0"/>
                <w:sz w:val="34"/>
                <w:szCs w:val="34"/>
              </w:rPr>
              <w:t>年重庆市九龙坡区城市管理局（本级）财政拨款收支总表</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nil"/>
              <w:bottom w:val="nil"/>
              <w:right w:val="nil"/>
            </w:tcBorders>
            <w:shd w:val="clear" w:color="auto" w:fill="auto"/>
            <w:noWrap/>
            <w:vAlign w:val="center"/>
          </w:tcPr>
          <w:p>
            <w:pPr>
              <w:widowControl/>
              <w:snapToGrid w:val="0"/>
              <w:jc w:val="center"/>
              <w:rPr>
                <w:rFonts w:ascii="方正小标宋_GBK" w:hAnsi="等线" w:eastAsia="方正小标宋_GBK" w:cs="宋体"/>
                <w:color w:val="000000"/>
                <w:kern w:val="0"/>
                <w:sz w:val="34"/>
                <w:szCs w:val="34"/>
              </w:rPr>
            </w:pPr>
          </w:p>
        </w:tc>
        <w:tc>
          <w:tcPr>
            <w:tcW w:w="120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2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9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93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22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522"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2"/>
                <w:szCs w:val="22"/>
              </w:rPr>
            </w:pPr>
            <w:r>
              <w:rPr>
                <w:rFonts w:hint="eastAsia" w:ascii="方正楷体_GBK" w:hAnsi="等线" w:eastAsia="方正楷体_GBK" w:cs="宋体"/>
                <w:color w:val="000000"/>
                <w:kern w:val="0"/>
                <w:sz w:val="22"/>
                <w:szCs w:val="22"/>
              </w:rPr>
              <w:t>单位：万元</w:t>
            </w:r>
          </w:p>
        </w:tc>
      </w:tr>
      <w:tr>
        <w:tblPrEx>
          <w:tblLayout w:type="fixed"/>
          <w:tblCellMar>
            <w:top w:w="0" w:type="dxa"/>
            <w:left w:w="108" w:type="dxa"/>
            <w:bottom w:w="0" w:type="dxa"/>
            <w:right w:w="108" w:type="dxa"/>
          </w:tblCellMar>
        </w:tblPrEx>
        <w:trPr>
          <w:trHeight w:val="0" w:hRule="atLeast"/>
          <w:jc w:val="center"/>
        </w:trPr>
        <w:tc>
          <w:tcPr>
            <w:tcW w:w="3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收入</w:t>
            </w:r>
          </w:p>
        </w:tc>
        <w:tc>
          <w:tcPr>
            <w:tcW w:w="10298" w:type="dxa"/>
            <w:gridSpan w:val="5"/>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支出</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项目</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预算数</w:t>
            </w: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项目</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合计</w:t>
            </w: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一般公共预算</w:t>
            </w: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政府性基金预算</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国有资本经营预算</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一、本年收入</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24,347.32</w:t>
            </w: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一、本年支出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24,347.32</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17,852.65</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4"/>
                <w:szCs w:val="24"/>
              </w:rPr>
            </w:pPr>
            <w:r>
              <w:rPr>
                <w:rFonts w:hint="eastAsia" w:eastAsia="等线"/>
                <w:b/>
                <w:bCs/>
                <w:color w:val="000000"/>
                <w:kern w:val="0"/>
                <w:sz w:val="24"/>
                <w:szCs w:val="24"/>
                <w:lang w:val="en-US" w:eastAsia="zh-CN"/>
              </w:rPr>
              <w:t>6,494.68</w:t>
            </w:r>
            <w:r>
              <w:rPr>
                <w:rFonts w:eastAsia="等线"/>
                <w:b/>
                <w:bCs/>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4"/>
                <w:szCs w:val="24"/>
              </w:rPr>
            </w:pPr>
            <w:r>
              <w:rPr>
                <w:rFonts w:eastAsia="等线"/>
                <w:b/>
                <w:bCs/>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一般公共预算资金</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17,852.65</w:t>
            </w: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社会保障和就业支出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163.03</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163.03</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政府性基金预算资金</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6,494.68</w:t>
            </w: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卫生健康支出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34.81</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34.81</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国有资本经营预算资金</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节能环保支出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10,650.26</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10,650.26</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城乡社区支出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13,457.70</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6,963.02</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hint="eastAsia" w:eastAsia="等线"/>
                <w:color w:val="000000"/>
                <w:kern w:val="0"/>
                <w:sz w:val="24"/>
                <w:szCs w:val="24"/>
                <w:lang w:val="en-US" w:eastAsia="zh-CN"/>
              </w:rPr>
              <w:t>6,494.68</w:t>
            </w:r>
            <w:r>
              <w:rPr>
                <w:rFonts w:eastAsia="等线"/>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住房保障支出</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39.99</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4"/>
                <w:szCs w:val="24"/>
              </w:rPr>
            </w:pPr>
            <w:r>
              <w:rPr>
                <w:rFonts w:eastAsia="等线"/>
                <w:color w:val="000000"/>
                <w:kern w:val="0"/>
                <w:sz w:val="24"/>
                <w:szCs w:val="24"/>
              </w:rPr>
              <w:t>39.99</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358"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hint="eastAsia" w:ascii="宋体" w:hAnsi="宋体" w:eastAsia="宋体" w:cs="宋体"/>
                <w:color w:val="000000"/>
                <w:kern w:val="0"/>
                <w:sz w:val="18"/>
                <w:szCs w:val="18"/>
                <w:lang w:val="en-US" w:eastAsia="zh-CN"/>
              </w:rPr>
            </w:pPr>
            <w:r>
              <w:rPr>
                <w:rFonts w:hint="eastAsia" w:ascii="方正仿宋_GBK" w:hAnsi="等线" w:cs="宋体"/>
                <w:color w:val="000000"/>
                <w:kern w:val="0"/>
                <w:sz w:val="24"/>
                <w:szCs w:val="24"/>
                <w:lang w:val="en-US" w:eastAsia="zh-CN"/>
              </w:rPr>
              <w:t>资源勘探工业信息等支出</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1.54</w:t>
            </w: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4"/>
                <w:szCs w:val="24"/>
                <w:lang w:val="en-US" w:eastAsia="zh-CN"/>
              </w:rPr>
            </w:pPr>
            <w:r>
              <w:rPr>
                <w:rFonts w:hint="eastAsia" w:eastAsia="等线"/>
                <w:color w:val="000000"/>
                <w:kern w:val="0"/>
                <w:sz w:val="24"/>
                <w:szCs w:val="24"/>
                <w:lang w:val="en-US" w:eastAsia="zh-CN"/>
              </w:rPr>
              <w:t>1.54</w:t>
            </w: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358"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hint="eastAsia" w:ascii="宋体" w:hAnsi="宋体" w:eastAsia="宋体" w:cs="宋体"/>
                <w:color w:val="000000"/>
                <w:kern w:val="0"/>
                <w:sz w:val="18"/>
                <w:szCs w:val="18"/>
              </w:rPr>
            </w:pP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hint="eastAsia" w:ascii="宋体" w:hAnsi="宋体" w:eastAsia="宋体" w:cs="宋体"/>
                <w:color w:val="000000"/>
                <w:kern w:val="0"/>
                <w:sz w:val="18"/>
                <w:szCs w:val="18"/>
              </w:rPr>
            </w:pP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eastAsia" w:ascii="宋体" w:hAnsi="宋体" w:eastAsia="宋体" w:cs="宋体"/>
                <w:color w:val="000000"/>
                <w:kern w:val="0"/>
                <w:sz w:val="18"/>
                <w:szCs w:val="18"/>
              </w:rPr>
            </w:pP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eastAsia"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二、上年结转</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二、结转下年</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一般公共预算拨款</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政府性基金预算拨款</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国有资本经营收入</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315" w:hRule="atLeast"/>
          <w:jc w:val="center"/>
        </w:trPr>
        <w:tc>
          <w:tcPr>
            <w:tcW w:w="2666"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0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425"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193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宋体" w:hAnsi="宋体" w:eastAsia="宋体" w:cs="宋体"/>
                <w:color w:val="000000"/>
                <w:kern w:val="0"/>
                <w:sz w:val="18"/>
                <w:szCs w:val="18"/>
              </w:rPr>
            </w:pPr>
          </w:p>
        </w:tc>
        <w:tc>
          <w:tcPr>
            <w:tcW w:w="2221"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22" w:type="dxa"/>
            <w:tcBorders>
              <w:top w:val="nil"/>
              <w:left w:val="nil"/>
              <w:bottom w:val="single" w:color="000000" w:sz="4" w:space="0"/>
              <w:right w:val="single" w:color="000000" w:sz="4" w:space="0"/>
            </w:tcBorders>
            <w:shd w:val="clear" w:color="auto" w:fill="auto"/>
            <w:vAlign w:val="center"/>
          </w:tcPr>
          <w:p>
            <w:pPr>
              <w:widowControl/>
              <w:snapToGrid w:val="0"/>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2666"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收入合计</w:t>
            </w:r>
          </w:p>
        </w:tc>
        <w:tc>
          <w:tcPr>
            <w:tcW w:w="12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24,347.32</w:t>
            </w:r>
          </w:p>
        </w:tc>
        <w:tc>
          <w:tcPr>
            <w:tcW w:w="242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支出合计</w:t>
            </w:r>
          </w:p>
        </w:tc>
        <w:tc>
          <w:tcPr>
            <w:tcW w:w="119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24,347.32</w:t>
            </w:r>
          </w:p>
        </w:tc>
        <w:tc>
          <w:tcPr>
            <w:tcW w:w="193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17,852.65</w:t>
            </w:r>
          </w:p>
        </w:tc>
        <w:tc>
          <w:tcPr>
            <w:tcW w:w="22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4"/>
                <w:szCs w:val="24"/>
              </w:rPr>
            </w:pPr>
            <w:r>
              <w:rPr>
                <w:rFonts w:hint="eastAsia" w:eastAsia="等线"/>
                <w:b/>
                <w:bCs/>
                <w:color w:val="000000"/>
                <w:kern w:val="0"/>
                <w:sz w:val="24"/>
                <w:szCs w:val="24"/>
                <w:lang w:val="en-US" w:eastAsia="zh-CN"/>
              </w:rPr>
              <w:t>6,494.68</w:t>
            </w:r>
            <w:r>
              <w:rPr>
                <w:rFonts w:eastAsia="等线"/>
                <w:b/>
                <w:bCs/>
                <w:color w:val="000000"/>
                <w:kern w:val="0"/>
                <w:sz w:val="24"/>
                <w:szCs w:val="24"/>
              </w:rPr>
              <w:t>　</w:t>
            </w:r>
          </w:p>
        </w:tc>
        <w:tc>
          <w:tcPr>
            <w:tcW w:w="252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4"/>
                <w:szCs w:val="24"/>
              </w:rPr>
            </w:pPr>
            <w:r>
              <w:rPr>
                <w:rFonts w:eastAsia="等线"/>
                <w:b/>
                <w:bCs/>
                <w:color w:val="000000"/>
                <w:kern w:val="0"/>
                <w:sz w:val="24"/>
                <w:szCs w:val="24"/>
              </w:rPr>
              <w:t>　</w:t>
            </w:r>
          </w:p>
        </w:tc>
      </w:tr>
    </w:tbl>
    <w:p>
      <w:pPr>
        <w:sectPr>
          <w:pgSz w:w="16838" w:h="11906" w:orient="landscape"/>
          <w:pgMar w:top="1800" w:right="1440" w:bottom="1800" w:left="1440" w:header="851" w:footer="992" w:gutter="0"/>
          <w:pgNumType w:fmt="decimal"/>
          <w:cols w:space="425" w:num="1"/>
          <w:docGrid w:type="lines" w:linePitch="435" w:charSpace="0"/>
        </w:sectPr>
      </w:pPr>
    </w:p>
    <w:tbl>
      <w:tblPr>
        <w:tblStyle w:val="5"/>
        <w:tblW w:w="8522" w:type="dxa"/>
        <w:tblInd w:w="108" w:type="dxa"/>
        <w:tblLayout w:type="fixed"/>
        <w:tblCellMar>
          <w:top w:w="0" w:type="dxa"/>
          <w:left w:w="108" w:type="dxa"/>
          <w:bottom w:w="0" w:type="dxa"/>
          <w:right w:w="108" w:type="dxa"/>
        </w:tblCellMar>
      </w:tblPr>
      <w:tblGrid>
        <w:gridCol w:w="1361"/>
        <w:gridCol w:w="3458"/>
        <w:gridCol w:w="1144"/>
        <w:gridCol w:w="1185"/>
        <w:gridCol w:w="1374"/>
      </w:tblGrid>
      <w:tr>
        <w:tblPrEx>
          <w:tblLayout w:type="fixed"/>
          <w:tblCellMar>
            <w:top w:w="0" w:type="dxa"/>
            <w:left w:w="108" w:type="dxa"/>
            <w:bottom w:w="0" w:type="dxa"/>
            <w:right w:w="108" w:type="dxa"/>
          </w:tblCellMar>
        </w:tblPrEx>
        <w:trPr>
          <w:trHeight w:val="0" w:hRule="atLeast"/>
        </w:trPr>
        <w:tc>
          <w:tcPr>
            <w:tcW w:w="1361" w:type="dxa"/>
            <w:tcBorders>
              <w:top w:val="nil"/>
              <w:left w:val="nil"/>
              <w:bottom w:val="nil"/>
              <w:right w:val="nil"/>
            </w:tcBorders>
            <w:shd w:val="clear" w:color="auto" w:fill="auto"/>
            <w:vAlign w:val="center"/>
          </w:tcPr>
          <w:p>
            <w:pPr>
              <w:widowControl/>
              <w:snapToGrid w:val="0"/>
              <w:jc w:val="left"/>
              <w:rPr>
                <w:rFonts w:ascii="方正楷体_GBK" w:hAnsi="等线" w:eastAsia="方正楷体_GBK" w:cs="宋体"/>
                <w:color w:val="000000"/>
                <w:kern w:val="0"/>
                <w:sz w:val="20"/>
              </w:rPr>
            </w:pPr>
            <w:r>
              <w:rPr>
                <w:rFonts w:hint="eastAsia"/>
              </w:rPr>
              <w:t>附表2</w:t>
            </w:r>
          </w:p>
        </w:tc>
        <w:tc>
          <w:tcPr>
            <w:tcW w:w="3458"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44"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85"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74"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0" w:hRule="atLeast"/>
        </w:trPr>
        <w:tc>
          <w:tcPr>
            <w:tcW w:w="1361" w:type="dxa"/>
            <w:tcBorders>
              <w:top w:val="nil"/>
              <w:left w:val="nil"/>
              <w:bottom w:val="nil"/>
              <w:right w:val="nil"/>
            </w:tcBorders>
            <w:shd w:val="clear" w:color="auto" w:fill="auto"/>
            <w:noWrap/>
            <w:vAlign w:val="center"/>
          </w:tcPr>
          <w:p>
            <w:pPr>
              <w:widowControl/>
              <w:snapToGrid w:val="0"/>
              <w:jc w:val="left"/>
              <w:rPr>
                <w:rFonts w:ascii="宋体" w:hAnsi="宋体" w:eastAsia="宋体" w:cs="宋体"/>
                <w:kern w:val="0"/>
                <w:sz w:val="18"/>
                <w:szCs w:val="18"/>
              </w:rPr>
            </w:pPr>
          </w:p>
        </w:tc>
        <w:tc>
          <w:tcPr>
            <w:tcW w:w="345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4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8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7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trPr>
        <w:tc>
          <w:tcPr>
            <w:tcW w:w="8522" w:type="dxa"/>
            <w:gridSpan w:val="5"/>
            <w:vMerge w:val="restart"/>
            <w:tcBorders>
              <w:top w:val="nil"/>
              <w:left w:val="nil"/>
              <w:bottom w:val="nil"/>
              <w:right w:val="nil"/>
            </w:tcBorders>
            <w:shd w:val="clear" w:color="auto" w:fill="auto"/>
            <w:vAlign w:val="center"/>
          </w:tcPr>
          <w:p>
            <w:pPr>
              <w:widowControl/>
              <w:snapToGrid w:val="0"/>
              <w:jc w:val="center"/>
              <w:rPr>
                <w:rFonts w:hint="eastAsia"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2026年重庆市九龙坡区城市管理局（本级）</w:t>
            </w:r>
          </w:p>
          <w:p>
            <w:pPr>
              <w:widowControl/>
              <w:snapToGrid w:val="0"/>
              <w:jc w:val="center"/>
              <w:rPr>
                <w:rFonts w:ascii="方正小标宋_GBK" w:hAnsi="等线" w:eastAsia="方正小标宋_GBK" w:cs="宋体"/>
                <w:color w:val="000000"/>
                <w:kern w:val="0"/>
                <w:sz w:val="28"/>
                <w:szCs w:val="28"/>
              </w:rPr>
            </w:pPr>
            <w:r>
              <w:rPr>
                <w:rFonts w:hint="eastAsia" w:ascii="方正小标宋_GBK" w:hAnsi="等线" w:eastAsia="方正小标宋_GBK" w:cs="宋体"/>
                <w:color w:val="000000"/>
                <w:kern w:val="0"/>
                <w:sz w:val="34"/>
                <w:szCs w:val="34"/>
              </w:rPr>
              <w:t>一般公共预算财政拨款支出预算表</w:t>
            </w:r>
          </w:p>
        </w:tc>
      </w:tr>
      <w:tr>
        <w:tblPrEx>
          <w:tblLayout w:type="fixed"/>
          <w:tblCellMar>
            <w:top w:w="0" w:type="dxa"/>
            <w:left w:w="108" w:type="dxa"/>
            <w:bottom w:w="0" w:type="dxa"/>
            <w:right w:w="108" w:type="dxa"/>
          </w:tblCellMar>
        </w:tblPrEx>
        <w:trPr>
          <w:trHeight w:val="312" w:hRule="atLeast"/>
        </w:trPr>
        <w:tc>
          <w:tcPr>
            <w:tcW w:w="8522" w:type="dxa"/>
            <w:gridSpan w:val="5"/>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28"/>
                <w:szCs w:val="28"/>
              </w:rPr>
            </w:pPr>
          </w:p>
        </w:tc>
      </w:tr>
      <w:tr>
        <w:tblPrEx>
          <w:tblLayout w:type="fixed"/>
          <w:tblCellMar>
            <w:top w:w="0" w:type="dxa"/>
            <w:left w:w="108" w:type="dxa"/>
            <w:bottom w:w="0" w:type="dxa"/>
            <w:right w:w="108" w:type="dxa"/>
          </w:tblCellMar>
        </w:tblPrEx>
        <w:trPr>
          <w:trHeight w:val="0" w:hRule="atLeast"/>
        </w:trPr>
        <w:tc>
          <w:tcPr>
            <w:tcW w:w="1361"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458"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44"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85"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74"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0" w:hRule="atLeast"/>
        </w:trPr>
        <w:tc>
          <w:tcPr>
            <w:tcW w:w="1361"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458"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44"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85"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74"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0" w:hRule="atLeast"/>
        </w:trPr>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功能分类科目</w:t>
            </w:r>
          </w:p>
        </w:tc>
        <w:tc>
          <w:tcPr>
            <w:tcW w:w="3703" w:type="dxa"/>
            <w:gridSpan w:val="3"/>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2026年预算数</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 科目编码</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科目名称</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小计</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基本支出 </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项目支出 </w:t>
            </w:r>
          </w:p>
        </w:tc>
      </w:tr>
      <w:tr>
        <w:tblPrEx>
          <w:tblLayout w:type="fixed"/>
          <w:tblCellMar>
            <w:top w:w="0" w:type="dxa"/>
            <w:left w:w="108" w:type="dxa"/>
            <w:bottom w:w="0" w:type="dxa"/>
            <w:right w:w="108" w:type="dxa"/>
          </w:tblCellMar>
        </w:tblPrEx>
        <w:trPr>
          <w:trHeight w:val="0" w:hRule="atLeast"/>
        </w:trPr>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0"/>
              </w:rPr>
            </w:pPr>
            <w:r>
              <w:rPr>
                <w:rFonts w:hint="eastAsia" w:ascii="方正仿宋_GBK" w:hAnsi="等线" w:cs="宋体"/>
                <w:b/>
                <w:bCs/>
                <w:color w:val="000000"/>
                <w:kern w:val="0"/>
                <w:sz w:val="20"/>
              </w:rPr>
              <w:t>合计</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lang w:val="en-US" w:eastAsia="zh-CN"/>
              </w:rPr>
            </w:pPr>
            <w:r>
              <w:rPr>
                <w:rFonts w:hint="eastAsia" w:eastAsia="等线"/>
                <w:color w:val="000000"/>
                <w:kern w:val="0"/>
                <w:sz w:val="20"/>
                <w:lang w:val="en-US" w:eastAsia="zh-CN"/>
              </w:rPr>
              <w:t>17,852.65</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655.02</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lang w:val="en-US" w:eastAsia="zh-CN"/>
              </w:rPr>
            </w:pPr>
            <w:r>
              <w:rPr>
                <w:rFonts w:hint="eastAsia" w:eastAsia="等线"/>
                <w:color w:val="000000"/>
                <w:kern w:val="0"/>
                <w:sz w:val="20"/>
                <w:lang w:val="en-US" w:eastAsia="zh-CN"/>
              </w:rPr>
              <w:t>17,197.62</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208</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社会保障和就业支出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163.03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163.03</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20805</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行政事业单位养老支出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163.03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163.03</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2080505</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机关事业单位基本养老保险缴费支出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42.71</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42.71</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2080506</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机关事业单位职业年金缴费支出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21.35</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21.35</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2080599</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其他行政事业单位养老支出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98.97</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98.97</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210</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卫生健康支出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34.81</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34.81</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21011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行政事业单位医疗</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34.81</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34.81</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2101101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行政单位医疗</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22.69</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22.69</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2101103</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公务员医疗补助</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8.12</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8.12</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2101199</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其他行政事业单位医疗支出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4.00</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4.00</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211</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节能环保支出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r>
              <w:rPr>
                <w:rFonts w:hint="eastAsia" w:eastAsia="等线"/>
                <w:color w:val="000000"/>
                <w:kern w:val="0"/>
                <w:sz w:val="20"/>
                <w:highlight w:val="none"/>
                <w:lang w:val="en-US" w:eastAsia="zh-CN"/>
              </w:rPr>
              <w:t>10,650.26</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r>
              <w:rPr>
                <w:rFonts w:hint="eastAsia" w:eastAsia="等线"/>
                <w:color w:val="000000"/>
                <w:kern w:val="0"/>
                <w:sz w:val="20"/>
                <w:highlight w:val="none"/>
                <w:lang w:val="en-US" w:eastAsia="zh-CN"/>
              </w:rPr>
              <w:t>10,650.26</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21103</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污染防治</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10,650.26</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10,650.26</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2110304</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固体废弃物与化学品</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3,506.83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3,506.83</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2110399</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其他污染防治支出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7,143.43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7,143.43</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212</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城乡社区支出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6,963.02</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r>
              <w:rPr>
                <w:rFonts w:eastAsia="等线"/>
                <w:color w:val="000000"/>
                <w:kern w:val="0"/>
                <w:sz w:val="20"/>
                <w:highlight w:val="none"/>
              </w:rPr>
              <w:t>417.20</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yellow"/>
                <w:lang w:val="en-US" w:eastAsia="zh-CN"/>
              </w:rPr>
            </w:pPr>
            <w:r>
              <w:rPr>
                <w:rFonts w:hint="eastAsia" w:eastAsia="等线"/>
                <w:color w:val="000000"/>
                <w:kern w:val="0"/>
                <w:sz w:val="20"/>
                <w:highlight w:val="none"/>
                <w:lang w:val="en-US" w:eastAsia="zh-CN"/>
              </w:rPr>
              <w:t>6,545.82</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城乡社区管理事务</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747.19</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417.20</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329.98</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2120101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行政运行</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417.20</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417.20</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2120199</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其他城乡社区管理事务支出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329.98</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329.98</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21203</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城乡社区公共设施</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5,784.33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5,784.33</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2120399</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其他城乡社区公共设施支出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5,784.33</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5,784.33</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21205</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城乡社区环境卫生</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431.50</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431.50</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2120501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城乡社区环境卫生</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431.50</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431.50</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cs="宋体"/>
                <w:color w:val="000000"/>
                <w:kern w:val="0"/>
                <w:sz w:val="20"/>
              </w:rPr>
            </w:pPr>
            <w:r>
              <w:rPr>
                <w:rFonts w:hint="eastAsia" w:ascii="方正仿宋_GBK" w:hAnsi="等线" w:cs="宋体"/>
                <w:color w:val="000000"/>
                <w:kern w:val="0"/>
                <w:sz w:val="20"/>
              </w:rPr>
              <w:t>215</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20"/>
                <w:lang w:eastAsia="zh-CN"/>
              </w:rPr>
            </w:pPr>
            <w:r>
              <w:rPr>
                <w:rFonts w:hint="eastAsia" w:ascii="方正仿宋_GBK" w:hAnsi="等线" w:cs="宋体"/>
                <w:color w:val="000000"/>
                <w:kern w:val="0"/>
                <w:sz w:val="20"/>
                <w:lang w:eastAsia="zh-CN"/>
              </w:rPr>
              <w:t>资源勘探工业信息等支出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hint="eastAsia" w:eastAsia="等线"/>
                <w:color w:val="000000"/>
                <w:kern w:val="0"/>
                <w:sz w:val="20"/>
                <w:lang w:val="en-US" w:eastAsia="zh-CN"/>
              </w:rPr>
              <w:t>1.54</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lang w:val="en-US" w:eastAsia="zh-CN"/>
              </w:rPr>
            </w:pPr>
            <w:r>
              <w:rPr>
                <w:rFonts w:hint="eastAsia" w:eastAsia="等线"/>
                <w:color w:val="000000"/>
                <w:kern w:val="0"/>
                <w:sz w:val="20"/>
                <w:lang w:val="en-US" w:eastAsia="zh-CN"/>
              </w:rPr>
              <w:t>1.54</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20"/>
                <w:lang w:val="en-US" w:eastAsia="zh-CN"/>
              </w:rPr>
            </w:pPr>
            <w:r>
              <w:rPr>
                <w:rFonts w:hint="eastAsia" w:ascii="方正仿宋_GBK" w:hAnsi="等线" w:cs="宋体"/>
                <w:color w:val="000000"/>
                <w:kern w:val="0"/>
                <w:sz w:val="20"/>
                <w:lang w:val="en-US" w:eastAsia="zh-CN"/>
              </w:rPr>
              <w:t>21505</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20"/>
                <w:lang w:val="en-US" w:eastAsia="zh-CN"/>
              </w:rPr>
            </w:pPr>
            <w:r>
              <w:rPr>
                <w:rFonts w:hint="eastAsia" w:ascii="方正仿宋_GBK" w:hAnsi="等线" w:cs="宋体"/>
                <w:color w:val="000000"/>
                <w:kern w:val="0"/>
                <w:sz w:val="20"/>
                <w:lang w:val="en-US" w:eastAsia="zh-CN"/>
              </w:rPr>
              <w:t xml:space="preserve"> 工业和信息产业</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r>
              <w:rPr>
                <w:rFonts w:hint="eastAsia" w:eastAsia="等线"/>
                <w:color w:val="000000"/>
                <w:kern w:val="0"/>
                <w:sz w:val="20"/>
                <w:highlight w:val="none"/>
                <w:lang w:val="en-US" w:eastAsia="zh-CN"/>
              </w:rPr>
              <w:t>1.54</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highlight w:val="none"/>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hint="default" w:eastAsia="等线"/>
                <w:color w:val="000000"/>
                <w:kern w:val="0"/>
                <w:sz w:val="20"/>
                <w:highlight w:val="none"/>
                <w:lang w:val="en-US" w:eastAsia="zh-CN"/>
              </w:rPr>
            </w:pPr>
            <w:r>
              <w:rPr>
                <w:rFonts w:hint="eastAsia" w:eastAsia="等线"/>
                <w:color w:val="000000"/>
                <w:kern w:val="0"/>
                <w:sz w:val="20"/>
                <w:highlight w:val="none"/>
                <w:lang w:val="en-US" w:eastAsia="zh-CN"/>
              </w:rPr>
              <w:t>1.54</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cs="宋体"/>
                <w:color w:val="000000"/>
                <w:kern w:val="0"/>
                <w:sz w:val="20"/>
                <w:lang w:val="en-US" w:eastAsia="zh-CN"/>
              </w:rPr>
            </w:pPr>
            <w:r>
              <w:rPr>
                <w:rFonts w:hint="eastAsia" w:ascii="方正仿宋_GBK" w:hAnsi="等线" w:cs="宋体"/>
                <w:color w:val="000000"/>
                <w:kern w:val="0"/>
                <w:sz w:val="20"/>
                <w:lang w:val="en-US" w:eastAsia="zh-CN"/>
              </w:rPr>
              <w:t>2150516</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20"/>
                <w:lang w:val="en-US" w:eastAsia="zh-CN"/>
              </w:rPr>
            </w:pPr>
            <w:r>
              <w:rPr>
                <w:rFonts w:hint="eastAsia" w:ascii="方正仿宋_GBK" w:hAnsi="等线" w:cs="宋体"/>
                <w:color w:val="000000"/>
                <w:kern w:val="0"/>
                <w:sz w:val="20"/>
                <w:lang w:val="en-US" w:eastAsia="zh-CN"/>
              </w:rPr>
              <w:t xml:space="preserve"> 工程建设及运行维护</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both"/>
              <w:rPr>
                <w:rFonts w:eastAsia="等线"/>
                <w:color w:val="000000"/>
                <w:kern w:val="0"/>
                <w:sz w:val="20"/>
              </w:rPr>
            </w:pPr>
            <w:r>
              <w:rPr>
                <w:rFonts w:hint="eastAsia" w:eastAsia="等线"/>
                <w:color w:val="000000"/>
                <w:kern w:val="0"/>
                <w:sz w:val="20"/>
                <w:lang w:val="en-US" w:eastAsia="zh-CN"/>
              </w:rPr>
              <w:t xml:space="preserve">   1.54</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both"/>
              <w:rPr>
                <w:rFonts w:hint="default" w:eastAsia="等线"/>
                <w:color w:val="000000"/>
                <w:kern w:val="0"/>
                <w:sz w:val="20"/>
                <w:lang w:val="en-US" w:eastAsia="zh-CN"/>
              </w:rPr>
            </w:pPr>
            <w:r>
              <w:rPr>
                <w:rFonts w:hint="eastAsia" w:eastAsia="等线"/>
                <w:color w:val="000000"/>
                <w:kern w:val="0"/>
                <w:sz w:val="20"/>
                <w:lang w:val="en-US" w:eastAsia="zh-CN"/>
              </w:rPr>
              <w:t xml:space="preserve">    1.54</w:t>
            </w: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221</w:t>
            </w:r>
          </w:p>
        </w:tc>
        <w:tc>
          <w:tcPr>
            <w:tcW w:w="345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住房保障支出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39.99</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39.99</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22102</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住房改革支出</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39.99</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39.99</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2210201</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住房公积金</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36.52</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36.52</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36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2210203</w:t>
            </w:r>
          </w:p>
        </w:tc>
        <w:tc>
          <w:tcPr>
            <w:tcW w:w="3458"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购房补贴</w:t>
            </w:r>
          </w:p>
        </w:tc>
        <w:tc>
          <w:tcPr>
            <w:tcW w:w="114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3.47</w:t>
            </w:r>
          </w:p>
        </w:tc>
        <w:tc>
          <w:tcPr>
            <w:tcW w:w="1185"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3.47</w:t>
            </w:r>
          </w:p>
        </w:tc>
        <w:tc>
          <w:tcPr>
            <w:tcW w:w="1374"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p>
        </w:tc>
      </w:tr>
    </w:tbl>
    <w:p/>
    <w:p>
      <w:pPr>
        <w:pStyle w:val="7"/>
        <w:ind w:firstLine="420"/>
      </w:pPr>
    </w:p>
    <w:tbl>
      <w:tblPr>
        <w:tblStyle w:val="5"/>
        <w:tblW w:w="8522" w:type="dxa"/>
        <w:tblInd w:w="108" w:type="dxa"/>
        <w:tblLayout w:type="fixed"/>
        <w:tblCellMar>
          <w:top w:w="0" w:type="dxa"/>
          <w:left w:w="108" w:type="dxa"/>
          <w:bottom w:w="0" w:type="dxa"/>
          <w:right w:w="108" w:type="dxa"/>
        </w:tblCellMar>
      </w:tblPr>
      <w:tblGrid>
        <w:gridCol w:w="1473"/>
        <w:gridCol w:w="2537"/>
        <w:gridCol w:w="1100"/>
        <w:gridCol w:w="1500"/>
        <w:gridCol w:w="1912"/>
      </w:tblGrid>
      <w:tr>
        <w:tblPrEx>
          <w:tblLayout w:type="fixed"/>
          <w:tblCellMar>
            <w:top w:w="0" w:type="dxa"/>
            <w:left w:w="108" w:type="dxa"/>
            <w:bottom w:w="0" w:type="dxa"/>
            <w:right w:w="108" w:type="dxa"/>
          </w:tblCellMar>
        </w:tblPrEx>
        <w:trPr>
          <w:trHeight w:val="0" w:hRule="atLeast"/>
        </w:trPr>
        <w:tc>
          <w:tcPr>
            <w:tcW w:w="1473" w:type="dxa"/>
            <w:tcBorders>
              <w:top w:val="nil"/>
              <w:left w:val="nil"/>
              <w:bottom w:val="nil"/>
              <w:right w:val="nil"/>
            </w:tcBorders>
            <w:shd w:val="clear" w:color="auto" w:fill="auto"/>
            <w:noWrap/>
            <w:vAlign w:val="center"/>
          </w:tcPr>
          <w:p>
            <w:pPr>
              <w:widowControl/>
              <w:snapToGrid w:val="0"/>
              <w:jc w:val="left"/>
              <w:rPr>
                <w:rFonts w:hint="eastAsia"/>
              </w:rPr>
            </w:pPr>
          </w:p>
          <w:p>
            <w:pPr>
              <w:widowControl/>
              <w:snapToGrid w:val="0"/>
              <w:jc w:val="left"/>
              <w:rPr>
                <w:rFonts w:ascii="方正楷体_GBK" w:hAnsi="等线" w:eastAsia="方正楷体_GBK" w:cs="宋体"/>
                <w:color w:val="000000"/>
                <w:kern w:val="0"/>
                <w:sz w:val="20"/>
              </w:rPr>
            </w:pPr>
            <w:bookmarkStart w:id="1" w:name="_GoBack"/>
            <w:bookmarkEnd w:id="1"/>
            <w:r>
              <w:rPr>
                <w:rFonts w:hint="eastAsia"/>
              </w:rPr>
              <w:t>附表3</w:t>
            </w:r>
          </w:p>
        </w:tc>
        <w:tc>
          <w:tcPr>
            <w:tcW w:w="2537" w:type="dxa"/>
            <w:tcBorders>
              <w:top w:val="nil"/>
              <w:left w:val="nil"/>
              <w:bottom w:val="nil"/>
              <w:right w:val="nil"/>
            </w:tcBorders>
            <w:shd w:val="clear" w:color="auto" w:fill="auto"/>
            <w:noWrap/>
            <w:vAlign w:val="center"/>
          </w:tcPr>
          <w:p>
            <w:pPr>
              <w:widowControl/>
              <w:snapToGrid w:val="0"/>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0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50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91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trPr>
        <w:tc>
          <w:tcPr>
            <w:tcW w:w="8522" w:type="dxa"/>
            <w:gridSpan w:val="5"/>
            <w:vMerge w:val="restart"/>
            <w:tcBorders>
              <w:top w:val="nil"/>
              <w:left w:val="nil"/>
              <w:bottom w:val="nil"/>
              <w:right w:val="nil"/>
            </w:tcBorders>
            <w:shd w:val="clear" w:color="auto" w:fill="auto"/>
            <w:noWrap/>
            <w:vAlign w:val="center"/>
          </w:tcPr>
          <w:p>
            <w:pPr>
              <w:widowControl/>
              <w:snapToGrid w:val="0"/>
              <w:jc w:val="center"/>
              <w:rPr>
                <w:rFonts w:hint="eastAsia"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2026年重庆市九龙坡区城市管理局（本级）</w:t>
            </w:r>
          </w:p>
          <w:p>
            <w:pPr>
              <w:widowControl/>
              <w:snapToGrid w:val="0"/>
              <w:jc w:val="center"/>
              <w:rPr>
                <w:rFonts w:ascii="方正小标宋_GBK" w:hAnsi="等线" w:eastAsia="方正小标宋_GBK" w:cs="宋体"/>
                <w:color w:val="000000"/>
                <w:kern w:val="0"/>
                <w:sz w:val="28"/>
                <w:szCs w:val="28"/>
              </w:rPr>
            </w:pPr>
            <w:r>
              <w:rPr>
                <w:rFonts w:hint="eastAsia" w:ascii="方正小标宋_GBK" w:hAnsi="等线" w:eastAsia="方正小标宋_GBK" w:cs="宋体"/>
                <w:color w:val="000000"/>
                <w:kern w:val="0"/>
                <w:sz w:val="34"/>
                <w:szCs w:val="34"/>
              </w:rPr>
              <w:t>一般公共预算财政拨款基本支出预算表</w:t>
            </w:r>
          </w:p>
        </w:tc>
      </w:tr>
      <w:tr>
        <w:tblPrEx>
          <w:tblLayout w:type="fixed"/>
          <w:tblCellMar>
            <w:top w:w="0" w:type="dxa"/>
            <w:left w:w="108" w:type="dxa"/>
            <w:bottom w:w="0" w:type="dxa"/>
            <w:right w:w="108" w:type="dxa"/>
          </w:tblCellMar>
        </w:tblPrEx>
        <w:trPr>
          <w:trHeight w:val="312" w:hRule="atLeast"/>
        </w:trPr>
        <w:tc>
          <w:tcPr>
            <w:tcW w:w="8522" w:type="dxa"/>
            <w:gridSpan w:val="5"/>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28"/>
                <w:szCs w:val="28"/>
              </w:rPr>
            </w:pPr>
          </w:p>
        </w:tc>
      </w:tr>
      <w:tr>
        <w:tblPrEx>
          <w:tblLayout w:type="fixed"/>
          <w:tblCellMar>
            <w:top w:w="0" w:type="dxa"/>
            <w:left w:w="108" w:type="dxa"/>
            <w:bottom w:w="0" w:type="dxa"/>
            <w:right w:w="108" w:type="dxa"/>
          </w:tblCellMar>
        </w:tblPrEx>
        <w:trPr>
          <w:trHeight w:val="0" w:hRule="atLeast"/>
        </w:trPr>
        <w:tc>
          <w:tcPr>
            <w:tcW w:w="8522" w:type="dxa"/>
            <w:gridSpan w:val="5"/>
            <w:tcBorders>
              <w:top w:val="nil"/>
              <w:left w:val="nil"/>
              <w:bottom w:val="nil"/>
              <w:right w:val="nil"/>
            </w:tcBorders>
            <w:shd w:val="clear" w:color="auto" w:fill="auto"/>
            <w:noWrap/>
            <w:vAlign w:val="center"/>
          </w:tcPr>
          <w:p>
            <w:pPr>
              <w:widowControl/>
              <w:snapToGrid w:val="0"/>
              <w:jc w:val="center"/>
              <w:rPr>
                <w:rFonts w:ascii="方正仿宋_GBK" w:hAnsi="等线" w:cs="宋体"/>
                <w:color w:val="000000"/>
                <w:kern w:val="0"/>
                <w:sz w:val="20"/>
              </w:rPr>
            </w:pPr>
            <w:r>
              <w:rPr>
                <w:rFonts w:hint="eastAsia" w:ascii="方正仿宋_GBK" w:hAnsi="等线" w:cs="宋体"/>
                <w:color w:val="000000"/>
                <w:kern w:val="0"/>
                <w:sz w:val="20"/>
              </w:rPr>
              <w:t>（部门预算支出经济分类科目）</w:t>
            </w:r>
          </w:p>
        </w:tc>
      </w:tr>
      <w:tr>
        <w:tblPrEx>
          <w:tblLayout w:type="fixed"/>
          <w:tblCellMar>
            <w:top w:w="0" w:type="dxa"/>
            <w:left w:w="108" w:type="dxa"/>
            <w:bottom w:w="0" w:type="dxa"/>
            <w:right w:w="108" w:type="dxa"/>
          </w:tblCellMar>
        </w:tblPrEx>
        <w:trPr>
          <w:trHeight w:val="0" w:hRule="atLeast"/>
        </w:trPr>
        <w:tc>
          <w:tcPr>
            <w:tcW w:w="1473"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37"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0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0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912"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经济分类科目</w:t>
            </w:r>
          </w:p>
        </w:tc>
        <w:tc>
          <w:tcPr>
            <w:tcW w:w="45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2026年基本支出</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科目编码</w:t>
            </w:r>
          </w:p>
        </w:tc>
        <w:tc>
          <w:tcPr>
            <w:tcW w:w="2537"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科目名称</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总计</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人员经费</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日常公用经费</w:t>
            </w:r>
          </w:p>
        </w:tc>
      </w:tr>
      <w:tr>
        <w:tblPrEx>
          <w:tblLayout w:type="fixed"/>
          <w:tblCellMar>
            <w:top w:w="0" w:type="dxa"/>
            <w:left w:w="108" w:type="dxa"/>
            <w:bottom w:w="0" w:type="dxa"/>
            <w:right w:w="108" w:type="dxa"/>
          </w:tblCellMar>
        </w:tblPrEx>
        <w:trPr>
          <w:trHeight w:val="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0"/>
              </w:rPr>
            </w:pPr>
            <w:r>
              <w:rPr>
                <w:rFonts w:hint="eastAsia" w:ascii="方正仿宋_GBK" w:hAnsi="等线" w:cs="宋体"/>
                <w:b/>
                <w:bCs/>
                <w:color w:val="000000"/>
                <w:kern w:val="0"/>
                <w:sz w:val="20"/>
              </w:rPr>
              <w:t>合计</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b/>
                <w:bCs/>
                <w:color w:val="000000"/>
                <w:kern w:val="0"/>
                <w:sz w:val="20"/>
              </w:rPr>
            </w:pPr>
            <w:r>
              <w:rPr>
                <w:rFonts w:eastAsia="等线"/>
                <w:b/>
                <w:bCs/>
                <w:color w:val="000000"/>
                <w:kern w:val="0"/>
                <w:sz w:val="20"/>
              </w:rPr>
              <w:t>655.02</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b/>
                <w:bCs/>
                <w:color w:val="000000"/>
                <w:kern w:val="0"/>
                <w:sz w:val="20"/>
              </w:rPr>
            </w:pPr>
            <w:r>
              <w:rPr>
                <w:rFonts w:eastAsia="等线"/>
                <w:b/>
                <w:bCs/>
                <w:color w:val="000000"/>
                <w:kern w:val="0"/>
                <w:sz w:val="20"/>
              </w:rPr>
              <w:t>522.87</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b/>
                <w:bCs/>
                <w:color w:val="000000"/>
                <w:kern w:val="0"/>
                <w:sz w:val="20"/>
              </w:rPr>
            </w:pPr>
            <w:r>
              <w:rPr>
                <w:rFonts w:eastAsia="等线"/>
                <w:b/>
                <w:bCs/>
                <w:color w:val="000000"/>
                <w:kern w:val="0"/>
                <w:sz w:val="20"/>
              </w:rPr>
              <w:t>132.15</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301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工资福利支出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460.50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444.50</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16.00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基本工资</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111.50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111.50</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30102</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津贴补贴</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66.43</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66.43</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30103</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奖金</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129.84</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129.84</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30106</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伙食补助费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16.00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16.00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30108</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机关事业单位基本养老保险缴费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42.71</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42.71</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30109</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职业年金缴费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21.35</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21.35</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30110</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职工基本医疗保险缴费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22.69</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22.69</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30111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公务员医疗补助缴费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2.72</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2.72</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30112</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其他社会保障缴费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4.80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4.80</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30113</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住房公积金</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36.52</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36.52</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30114</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医疗费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2.55</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2.55</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30199</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其他工资福利支出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3.40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3.40</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302</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商品和服务支出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90.16</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90.16</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30201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办公费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30205</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水费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0.51</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0.51</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30206</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电费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4.19</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4.19</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30207</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邮电费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8.00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8.00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30209</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物业管理费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6.01</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6.01</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30211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差旅费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1.24</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1.24</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30216</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培训费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2.75</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2.75</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30217</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公务接待费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5.00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5.00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30227</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委托业务费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5.49</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5.49</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30228</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工会经费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10.26</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10.26</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30231</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公务用车运行维护费</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3.00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30239</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其他交通费用</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18.70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18.70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30299</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其他商品和服务支出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19.00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19.00</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303</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对个人和家庭的补助</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104.37</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78.37</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25.99</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30305</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生活补助</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93.76</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71.82</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21.94</w:t>
            </w:r>
          </w:p>
        </w:tc>
      </w:tr>
      <w:tr>
        <w:tblPrEx>
          <w:tblLayout w:type="fixed"/>
          <w:tblCellMar>
            <w:top w:w="0" w:type="dxa"/>
            <w:left w:w="108" w:type="dxa"/>
            <w:bottom w:w="0" w:type="dxa"/>
            <w:right w:w="108" w:type="dxa"/>
          </w:tblCellMar>
        </w:tblPrEx>
        <w:trPr>
          <w:trHeight w:val="0" w:hRule="atLeast"/>
        </w:trPr>
        <w:tc>
          <w:tcPr>
            <w:tcW w:w="14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  30307</w:t>
            </w:r>
          </w:p>
        </w:tc>
        <w:tc>
          <w:tcPr>
            <w:tcW w:w="2537"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0"/>
              </w:rPr>
            </w:pPr>
            <w:r>
              <w:rPr>
                <w:rFonts w:hint="eastAsia" w:ascii="方正仿宋_GBK" w:hAnsi="等线" w:cs="宋体"/>
                <w:color w:val="000000"/>
                <w:kern w:val="0"/>
                <w:sz w:val="20"/>
              </w:rPr>
              <w:t>医疗费补助</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10.60</w:t>
            </w:r>
          </w:p>
        </w:tc>
        <w:tc>
          <w:tcPr>
            <w:tcW w:w="15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6.55</w:t>
            </w:r>
          </w:p>
        </w:tc>
        <w:tc>
          <w:tcPr>
            <w:tcW w:w="1912"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20"/>
              </w:rPr>
            </w:pPr>
            <w:r>
              <w:rPr>
                <w:rFonts w:eastAsia="等线"/>
                <w:color w:val="000000"/>
                <w:kern w:val="0"/>
                <w:sz w:val="20"/>
              </w:rPr>
              <w:t>4.05</w:t>
            </w:r>
          </w:p>
        </w:tc>
      </w:tr>
    </w:tbl>
    <w:p/>
    <w:p>
      <w:pPr>
        <w:widowControl/>
        <w:snapToGrid w:val="0"/>
        <w:jc w:val="left"/>
      </w:pPr>
    </w:p>
    <w:p>
      <w:pPr>
        <w:widowControl/>
        <w:snapToGrid w:val="0"/>
        <w:jc w:val="left"/>
      </w:pPr>
    </w:p>
    <w:p/>
    <w:tbl>
      <w:tblPr>
        <w:tblStyle w:val="5"/>
        <w:tblW w:w="8522" w:type="dxa"/>
        <w:tblInd w:w="108" w:type="dxa"/>
        <w:tblLayout w:type="fixed"/>
        <w:tblCellMar>
          <w:top w:w="0" w:type="dxa"/>
          <w:left w:w="108" w:type="dxa"/>
          <w:bottom w:w="0" w:type="dxa"/>
          <w:right w:w="108" w:type="dxa"/>
        </w:tblCellMar>
      </w:tblPr>
      <w:tblGrid>
        <w:gridCol w:w="2373"/>
        <w:gridCol w:w="3746"/>
        <w:gridCol w:w="2403"/>
      </w:tblGrid>
      <w:tr>
        <w:tblPrEx>
          <w:tblLayout w:type="fixed"/>
          <w:tblCellMar>
            <w:top w:w="0" w:type="dxa"/>
            <w:left w:w="108" w:type="dxa"/>
            <w:bottom w:w="0" w:type="dxa"/>
            <w:right w:w="108" w:type="dxa"/>
          </w:tblCellMar>
        </w:tblPrEx>
        <w:trPr>
          <w:trHeight w:val="0" w:hRule="atLeast"/>
        </w:trPr>
        <w:tc>
          <w:tcPr>
            <w:tcW w:w="237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r>
              <w:rPr>
                <w:rFonts w:hint="eastAsia"/>
              </w:rPr>
              <w:t>附表4</w:t>
            </w:r>
          </w:p>
        </w:tc>
        <w:tc>
          <w:tcPr>
            <w:tcW w:w="3746"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0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trPr>
        <w:tc>
          <w:tcPr>
            <w:tcW w:w="8522" w:type="dxa"/>
            <w:gridSpan w:val="3"/>
            <w:tcBorders>
              <w:top w:val="nil"/>
              <w:left w:val="nil"/>
              <w:bottom w:val="nil"/>
              <w:right w:val="nil"/>
            </w:tcBorders>
            <w:shd w:val="clear" w:color="auto" w:fill="auto"/>
            <w:vAlign w:val="center"/>
          </w:tcPr>
          <w:p>
            <w:pPr>
              <w:widowControl/>
              <w:snapToGrid w:val="0"/>
              <w:jc w:val="center"/>
              <w:rPr>
                <w:rFonts w:hint="eastAsia"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2026年重庆市九龙坡区城市管理局（本级）</w:t>
            </w:r>
          </w:p>
          <w:p>
            <w:pPr>
              <w:widowControl/>
              <w:snapToGrid w:val="0"/>
              <w:jc w:val="center"/>
              <w:rPr>
                <w:rFonts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一般公共预算财政拨款基本支出预算表</w:t>
            </w:r>
          </w:p>
        </w:tc>
      </w:tr>
      <w:tr>
        <w:tblPrEx>
          <w:tblLayout w:type="fixed"/>
          <w:tblCellMar>
            <w:top w:w="0" w:type="dxa"/>
            <w:left w:w="108" w:type="dxa"/>
            <w:bottom w:w="0" w:type="dxa"/>
            <w:right w:w="108" w:type="dxa"/>
          </w:tblCellMar>
        </w:tblPrEx>
        <w:trPr>
          <w:trHeight w:val="0" w:hRule="atLeast"/>
        </w:trPr>
        <w:tc>
          <w:tcPr>
            <w:tcW w:w="8522" w:type="dxa"/>
            <w:gridSpan w:val="3"/>
            <w:tcBorders>
              <w:top w:val="nil"/>
              <w:left w:val="nil"/>
              <w:bottom w:val="nil"/>
              <w:right w:val="nil"/>
            </w:tcBorders>
            <w:shd w:val="clear" w:color="auto" w:fill="auto"/>
            <w:vAlign w:val="center"/>
          </w:tcPr>
          <w:p>
            <w:pPr>
              <w:widowControl/>
              <w:snapToGrid w:val="0"/>
              <w:jc w:val="center"/>
              <w:rPr>
                <w:rFonts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（政府预算支出经济分类科目）</w:t>
            </w:r>
          </w:p>
        </w:tc>
      </w:tr>
      <w:tr>
        <w:tblPrEx>
          <w:tblLayout w:type="fixed"/>
          <w:tblCellMar>
            <w:top w:w="0" w:type="dxa"/>
            <w:left w:w="108" w:type="dxa"/>
            <w:bottom w:w="0" w:type="dxa"/>
            <w:right w:w="108" w:type="dxa"/>
          </w:tblCellMar>
        </w:tblPrEx>
        <w:trPr>
          <w:trHeight w:val="0" w:hRule="atLeast"/>
        </w:trPr>
        <w:tc>
          <w:tcPr>
            <w:tcW w:w="2373" w:type="dxa"/>
            <w:tcBorders>
              <w:top w:val="nil"/>
              <w:left w:val="nil"/>
              <w:bottom w:val="nil"/>
              <w:right w:val="nil"/>
            </w:tcBorders>
            <w:shd w:val="clear" w:color="auto" w:fill="auto"/>
            <w:noWrap/>
            <w:vAlign w:val="center"/>
          </w:tcPr>
          <w:p>
            <w:pPr>
              <w:widowControl/>
              <w:snapToGrid w:val="0"/>
              <w:jc w:val="center"/>
              <w:rPr>
                <w:rFonts w:ascii="方正楷体_GBK" w:hAnsi="等线" w:eastAsia="方正楷体_GBK" w:cs="宋体"/>
                <w:color w:val="000000"/>
                <w:kern w:val="0"/>
                <w:sz w:val="24"/>
                <w:szCs w:val="24"/>
              </w:rPr>
            </w:pPr>
          </w:p>
        </w:tc>
        <w:tc>
          <w:tcPr>
            <w:tcW w:w="3746"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03" w:type="dxa"/>
            <w:tcBorders>
              <w:top w:val="nil"/>
              <w:left w:val="nil"/>
              <w:bottom w:val="nil"/>
              <w:right w:val="nil"/>
            </w:tcBorders>
            <w:shd w:val="clear" w:color="auto" w:fill="auto"/>
            <w:vAlign w:val="center"/>
          </w:tcPr>
          <w:p>
            <w:pPr>
              <w:widowControl/>
              <w:snapToGrid w:val="0"/>
              <w:jc w:val="right"/>
              <w:rPr>
                <w:rFonts w:ascii="方正仿宋_GBK" w:hAnsi="等线" w:cs="宋体"/>
                <w:color w:val="000000"/>
                <w:kern w:val="0"/>
                <w:sz w:val="24"/>
                <w:szCs w:val="24"/>
              </w:rPr>
            </w:pPr>
            <w:r>
              <w:rPr>
                <w:rFonts w:hint="eastAsia" w:ascii="方正仿宋_GBK" w:hAnsi="等线" w:cs="宋体"/>
                <w:color w:val="000000"/>
                <w:kern w:val="0"/>
                <w:sz w:val="24"/>
                <w:szCs w:val="24"/>
              </w:rPr>
              <w:t>单位：万元</w:t>
            </w:r>
          </w:p>
        </w:tc>
      </w:tr>
      <w:tr>
        <w:tblPrEx>
          <w:tblLayout w:type="fixed"/>
          <w:tblCellMar>
            <w:top w:w="0" w:type="dxa"/>
            <w:left w:w="108" w:type="dxa"/>
            <w:bottom w:w="0" w:type="dxa"/>
            <w:right w:w="108" w:type="dxa"/>
          </w:tblCellMar>
        </w:tblPrEx>
        <w:trPr>
          <w:trHeight w:val="0" w:hRule="atLeast"/>
        </w:trPr>
        <w:tc>
          <w:tcPr>
            <w:tcW w:w="6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政府预算经济科目</w:t>
            </w:r>
          </w:p>
        </w:tc>
        <w:tc>
          <w:tcPr>
            <w:tcW w:w="2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基本支出</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b/>
                <w:bCs/>
                <w:color w:val="000000"/>
                <w:kern w:val="0"/>
                <w:sz w:val="28"/>
                <w:szCs w:val="28"/>
              </w:rPr>
            </w:pPr>
            <w:r>
              <w:rPr>
                <w:rFonts w:hint="eastAsia" w:ascii="方正黑体_GBK" w:hAnsi="等线" w:eastAsia="方正黑体_GBK" w:cs="宋体"/>
                <w:b/>
                <w:bCs/>
                <w:color w:val="000000"/>
                <w:kern w:val="0"/>
                <w:sz w:val="28"/>
                <w:szCs w:val="28"/>
              </w:rPr>
              <w:t>科目编码</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b/>
                <w:bCs/>
                <w:color w:val="000000"/>
                <w:kern w:val="0"/>
                <w:sz w:val="28"/>
                <w:szCs w:val="28"/>
              </w:rPr>
            </w:pPr>
            <w:r>
              <w:rPr>
                <w:rFonts w:hint="eastAsia" w:ascii="方正黑体_GBK" w:hAnsi="等线" w:eastAsia="方正黑体_GBK" w:cs="宋体"/>
                <w:b/>
                <w:bCs/>
                <w:color w:val="000000"/>
                <w:kern w:val="0"/>
                <w:sz w:val="28"/>
                <w:szCs w:val="28"/>
              </w:rPr>
              <w:t>科目名称</w:t>
            </w:r>
          </w:p>
        </w:tc>
        <w:tc>
          <w:tcPr>
            <w:tcW w:w="2403"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大黑_GBK" w:hAnsi="方正大黑_GBK" w:eastAsia="等线" w:cs="宋体"/>
                <w:color w:val="000000"/>
                <w:kern w:val="0"/>
                <w:sz w:val="28"/>
                <w:szCs w:val="28"/>
              </w:rPr>
            </w:pPr>
          </w:p>
        </w:tc>
      </w:tr>
      <w:tr>
        <w:tblPrEx>
          <w:tblLayout w:type="fixed"/>
          <w:tblCellMar>
            <w:top w:w="0" w:type="dxa"/>
            <w:left w:w="108" w:type="dxa"/>
            <w:bottom w:w="0" w:type="dxa"/>
            <w:right w:w="108" w:type="dxa"/>
          </w:tblCellMar>
        </w:tblPrEx>
        <w:trPr>
          <w:trHeight w:val="0" w:hRule="atLeast"/>
        </w:trPr>
        <w:tc>
          <w:tcPr>
            <w:tcW w:w="6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b/>
                <w:bCs/>
                <w:color w:val="000000"/>
                <w:kern w:val="0"/>
                <w:sz w:val="24"/>
                <w:szCs w:val="24"/>
              </w:rPr>
            </w:pPr>
            <w:r>
              <w:rPr>
                <w:rFonts w:eastAsia="等线"/>
                <w:b/>
                <w:bCs/>
                <w:color w:val="000000"/>
                <w:kern w:val="0"/>
                <w:sz w:val="24"/>
                <w:szCs w:val="24"/>
              </w:rPr>
              <w:t>655.02</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501</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机关工资福利支出</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460.50</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50101</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工资奖金津补贴</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307.76</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50102</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社会保障缴费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94.27</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50103</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住房公积金</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36.52</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50199</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其他工资福利支出</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21.95</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502</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机关商品和服务支出</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90.16</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50201</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办公经费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54.91</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50203</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培训费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2.75</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50205</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委托业务费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5.49</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50206</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公务接待费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5.00</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50208</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公务用车运行维护费</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3.00</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50299</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其他商品和服务支出</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19.00</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509</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对个人和家庭的补助</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104.37</w:t>
            </w:r>
          </w:p>
        </w:tc>
      </w:tr>
      <w:tr>
        <w:tblPrEx>
          <w:tblLayout w:type="fixed"/>
          <w:tblCellMar>
            <w:top w:w="0" w:type="dxa"/>
            <w:left w:w="108" w:type="dxa"/>
            <w:bottom w:w="0" w:type="dxa"/>
            <w:right w:w="108" w:type="dxa"/>
          </w:tblCellMar>
        </w:tblPrEx>
        <w:trPr>
          <w:trHeight w:val="0" w:hRule="atLeast"/>
        </w:trPr>
        <w:tc>
          <w:tcPr>
            <w:tcW w:w="2373"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50901</w:t>
            </w:r>
          </w:p>
        </w:tc>
        <w:tc>
          <w:tcPr>
            <w:tcW w:w="3746"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社会福利和救助</w:t>
            </w:r>
          </w:p>
        </w:tc>
        <w:tc>
          <w:tcPr>
            <w:tcW w:w="2403"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104.37</w:t>
            </w:r>
          </w:p>
        </w:tc>
      </w:tr>
    </w:tbl>
    <w:p/>
    <w:p>
      <w:pPr>
        <w:pStyle w:val="7"/>
      </w:pPr>
    </w:p>
    <w:p/>
    <w:p>
      <w:pPr>
        <w:pStyle w:val="7"/>
      </w:pPr>
    </w:p>
    <w:p/>
    <w:p>
      <w:pPr>
        <w:pStyle w:val="7"/>
      </w:pPr>
    </w:p>
    <w:p/>
    <w:p>
      <w:pPr>
        <w:pStyle w:val="7"/>
      </w:pPr>
    </w:p>
    <w:p/>
    <w:p>
      <w:pPr>
        <w:pStyle w:val="7"/>
      </w:pPr>
    </w:p>
    <w:p/>
    <w:p>
      <w:pPr>
        <w:pStyle w:val="7"/>
      </w:pPr>
    </w:p>
    <w:tbl>
      <w:tblPr>
        <w:tblStyle w:val="5"/>
        <w:tblW w:w="8522" w:type="dxa"/>
        <w:jc w:val="center"/>
        <w:tblInd w:w="0" w:type="dxa"/>
        <w:tblLayout w:type="fixed"/>
        <w:tblCellMar>
          <w:top w:w="0" w:type="dxa"/>
          <w:left w:w="108" w:type="dxa"/>
          <w:bottom w:w="0" w:type="dxa"/>
          <w:right w:w="108" w:type="dxa"/>
        </w:tblCellMar>
      </w:tblPr>
      <w:tblGrid>
        <w:gridCol w:w="1025"/>
        <w:gridCol w:w="1981"/>
        <w:gridCol w:w="677"/>
        <w:gridCol w:w="1713"/>
        <w:gridCol w:w="1728"/>
        <w:gridCol w:w="1398"/>
      </w:tblGrid>
      <w:tr>
        <w:tblPrEx>
          <w:tblLayout w:type="fixed"/>
          <w:tblCellMar>
            <w:top w:w="0" w:type="dxa"/>
            <w:left w:w="108" w:type="dxa"/>
            <w:bottom w:w="0" w:type="dxa"/>
            <w:right w:w="108" w:type="dxa"/>
          </w:tblCellMar>
        </w:tblPrEx>
        <w:trPr>
          <w:trHeight w:val="0" w:hRule="atLeast"/>
          <w:jc w:val="center"/>
        </w:trPr>
        <w:tc>
          <w:tcPr>
            <w:tcW w:w="3006" w:type="dxa"/>
            <w:gridSpan w:val="2"/>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r>
              <w:rPr>
                <w:rFonts w:hint="eastAsia"/>
              </w:rPr>
              <w:t>附表</w:t>
            </w:r>
            <w:r>
              <w:rPr>
                <w:rFonts w:hint="eastAsia"/>
                <w:lang w:val="en-US" w:eastAsia="zh-CN"/>
              </w:rPr>
              <w:t>5</w:t>
            </w:r>
          </w:p>
        </w:tc>
        <w:tc>
          <w:tcPr>
            <w:tcW w:w="67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71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72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9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jc w:val="center"/>
        </w:trPr>
        <w:tc>
          <w:tcPr>
            <w:tcW w:w="8522" w:type="dxa"/>
            <w:gridSpan w:val="6"/>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2026年重庆市九龙坡区城市管理局（本级）</w:t>
            </w:r>
          </w:p>
          <w:p>
            <w:pPr>
              <w:keepNext w:val="0"/>
              <w:keepLines w:val="0"/>
              <w:pageBreakBefore w:val="0"/>
              <w:widowControl/>
              <w:kinsoku/>
              <w:wordWrap/>
              <w:overflowPunct/>
              <w:topLinePunct w:val="0"/>
              <w:autoSpaceDE/>
              <w:autoSpaceDN/>
              <w:bidi w:val="0"/>
              <w:adjustRightInd w:val="0"/>
              <w:snapToGrid w:val="0"/>
              <w:jc w:val="center"/>
              <w:textAlignment w:val="auto"/>
              <w:rPr>
                <w:rFonts w:ascii="方正小标宋_GBK" w:hAnsi="等线" w:eastAsia="方正小标宋_GBK" w:cs="宋体"/>
                <w:color w:val="000000"/>
                <w:kern w:val="0"/>
                <w:sz w:val="30"/>
                <w:szCs w:val="30"/>
              </w:rPr>
            </w:pPr>
            <w:r>
              <w:rPr>
                <w:rFonts w:hint="eastAsia" w:ascii="方正小标宋_GBK" w:hAnsi="等线" w:eastAsia="方正小标宋_GBK" w:cs="宋体"/>
                <w:color w:val="000000"/>
                <w:kern w:val="0"/>
                <w:sz w:val="34"/>
                <w:szCs w:val="34"/>
              </w:rPr>
              <w:t>一般公共预算“三公”经费支出表</w:t>
            </w:r>
          </w:p>
        </w:tc>
      </w:tr>
      <w:tr>
        <w:tblPrEx>
          <w:tblLayout w:type="fixed"/>
          <w:tblCellMar>
            <w:top w:w="0" w:type="dxa"/>
            <w:left w:w="108" w:type="dxa"/>
            <w:bottom w:w="0" w:type="dxa"/>
            <w:right w:w="108" w:type="dxa"/>
          </w:tblCellMar>
        </w:tblPrEx>
        <w:trPr>
          <w:trHeight w:val="312" w:hRule="atLeast"/>
          <w:jc w:val="center"/>
        </w:trPr>
        <w:tc>
          <w:tcPr>
            <w:tcW w:w="8522" w:type="dxa"/>
            <w:gridSpan w:val="6"/>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30"/>
                <w:szCs w:val="30"/>
              </w:rPr>
            </w:pPr>
          </w:p>
        </w:tc>
      </w:tr>
      <w:tr>
        <w:tblPrEx>
          <w:tblLayout w:type="fixed"/>
          <w:tblCellMar>
            <w:top w:w="0" w:type="dxa"/>
            <w:left w:w="108" w:type="dxa"/>
            <w:bottom w:w="0" w:type="dxa"/>
            <w:right w:w="108" w:type="dxa"/>
          </w:tblCellMar>
        </w:tblPrEx>
        <w:trPr>
          <w:trHeight w:val="312" w:hRule="atLeast"/>
          <w:jc w:val="center"/>
        </w:trPr>
        <w:tc>
          <w:tcPr>
            <w:tcW w:w="8522" w:type="dxa"/>
            <w:gridSpan w:val="6"/>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30"/>
                <w:szCs w:val="30"/>
              </w:rPr>
            </w:pPr>
          </w:p>
        </w:tc>
      </w:tr>
      <w:tr>
        <w:tblPrEx>
          <w:tblLayout w:type="fixed"/>
          <w:tblCellMar>
            <w:top w:w="0" w:type="dxa"/>
            <w:left w:w="108" w:type="dxa"/>
            <w:bottom w:w="0" w:type="dxa"/>
            <w:right w:w="108" w:type="dxa"/>
          </w:tblCellMar>
        </w:tblPrEx>
        <w:trPr>
          <w:trHeight w:val="0" w:hRule="atLeast"/>
          <w:jc w:val="center"/>
        </w:trPr>
        <w:tc>
          <w:tcPr>
            <w:tcW w:w="1025" w:type="dxa"/>
            <w:tcBorders>
              <w:top w:val="nil"/>
              <w:left w:val="nil"/>
              <w:bottom w:val="nil"/>
              <w:right w:val="nil"/>
            </w:tcBorders>
            <w:shd w:val="clear" w:color="auto" w:fill="auto"/>
            <w:noWrap/>
            <w:vAlign w:val="center"/>
          </w:tcPr>
          <w:p>
            <w:pPr>
              <w:widowControl/>
              <w:snapToGrid w:val="0"/>
              <w:jc w:val="center"/>
              <w:rPr>
                <w:rFonts w:ascii="方正小标宋_GBK" w:hAnsi="等线" w:eastAsia="方正小标宋_GBK" w:cs="宋体"/>
                <w:color w:val="000000"/>
                <w:kern w:val="0"/>
                <w:sz w:val="30"/>
                <w:szCs w:val="30"/>
              </w:rPr>
            </w:pPr>
          </w:p>
        </w:tc>
        <w:tc>
          <w:tcPr>
            <w:tcW w:w="198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67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71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72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98"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427" w:hRule="atLeast"/>
          <w:jc w:val="center"/>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2026年预算数</w:t>
            </w:r>
          </w:p>
        </w:tc>
      </w:tr>
      <w:tr>
        <w:tblPrEx>
          <w:tblLayout w:type="fixed"/>
          <w:tblCellMar>
            <w:top w:w="0" w:type="dxa"/>
            <w:left w:w="108" w:type="dxa"/>
            <w:bottom w:w="0" w:type="dxa"/>
            <w:right w:w="108" w:type="dxa"/>
          </w:tblCellMar>
        </w:tblPrEx>
        <w:trPr>
          <w:trHeight w:val="512" w:hRule="atLeast"/>
          <w:jc w:val="center"/>
        </w:trPr>
        <w:tc>
          <w:tcPr>
            <w:tcW w:w="102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合计</w:t>
            </w:r>
          </w:p>
        </w:tc>
        <w:tc>
          <w:tcPr>
            <w:tcW w:w="198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因公出国（境）费</w:t>
            </w:r>
          </w:p>
        </w:tc>
        <w:tc>
          <w:tcPr>
            <w:tcW w:w="4118" w:type="dxa"/>
            <w:gridSpan w:val="3"/>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公务用车购置及运行费</w:t>
            </w:r>
          </w:p>
        </w:tc>
        <w:tc>
          <w:tcPr>
            <w:tcW w:w="139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公务接待费</w:t>
            </w:r>
          </w:p>
        </w:tc>
      </w:tr>
      <w:tr>
        <w:tblPrEx>
          <w:tblLayout w:type="fixed"/>
          <w:tblCellMar>
            <w:top w:w="0" w:type="dxa"/>
            <w:left w:w="108" w:type="dxa"/>
            <w:bottom w:w="0" w:type="dxa"/>
            <w:right w:w="108" w:type="dxa"/>
          </w:tblCellMar>
        </w:tblPrEx>
        <w:trPr>
          <w:trHeight w:val="0" w:hRule="atLeast"/>
          <w:jc w:val="center"/>
        </w:trPr>
        <w:tc>
          <w:tcPr>
            <w:tcW w:w="1025" w:type="dxa"/>
            <w:vMerge w:val="continue"/>
            <w:tcBorders>
              <w:top w:val="nil"/>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24"/>
                <w:szCs w:val="24"/>
              </w:rPr>
            </w:pPr>
          </w:p>
        </w:tc>
        <w:tc>
          <w:tcPr>
            <w:tcW w:w="1981" w:type="dxa"/>
            <w:vMerge w:val="continue"/>
            <w:tcBorders>
              <w:top w:val="nil"/>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24"/>
                <w:szCs w:val="24"/>
              </w:rPr>
            </w:pPr>
          </w:p>
        </w:tc>
        <w:tc>
          <w:tcPr>
            <w:tcW w:w="677"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小计</w:t>
            </w:r>
          </w:p>
        </w:tc>
        <w:tc>
          <w:tcPr>
            <w:tcW w:w="1713"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公务用车购置费</w:t>
            </w:r>
          </w:p>
        </w:tc>
        <w:tc>
          <w:tcPr>
            <w:tcW w:w="1728"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公务用车运行费</w:t>
            </w:r>
          </w:p>
        </w:tc>
        <w:tc>
          <w:tcPr>
            <w:tcW w:w="1398" w:type="dxa"/>
            <w:vMerge w:val="continue"/>
            <w:tcBorders>
              <w:top w:val="nil"/>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24"/>
                <w:szCs w:val="24"/>
              </w:rPr>
            </w:pPr>
          </w:p>
        </w:tc>
      </w:tr>
      <w:tr>
        <w:tblPrEx>
          <w:tblLayout w:type="fixed"/>
          <w:tblCellMar>
            <w:top w:w="0" w:type="dxa"/>
            <w:left w:w="108" w:type="dxa"/>
            <w:bottom w:w="0" w:type="dxa"/>
            <w:right w:w="108" w:type="dxa"/>
          </w:tblCellMar>
        </w:tblPrEx>
        <w:trPr>
          <w:trHeight w:val="489" w:hRule="atLeast"/>
          <w:jc w:val="center"/>
        </w:trPr>
        <w:tc>
          <w:tcPr>
            <w:tcW w:w="102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8.00</w:t>
            </w:r>
          </w:p>
        </w:tc>
        <w:tc>
          <w:tcPr>
            <w:tcW w:w="1981"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　</w:t>
            </w:r>
          </w:p>
        </w:tc>
        <w:tc>
          <w:tcPr>
            <w:tcW w:w="677"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3.00</w:t>
            </w:r>
          </w:p>
        </w:tc>
        <w:tc>
          <w:tcPr>
            <w:tcW w:w="1713"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　</w:t>
            </w:r>
          </w:p>
        </w:tc>
        <w:tc>
          <w:tcPr>
            <w:tcW w:w="1728"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3.00</w:t>
            </w:r>
          </w:p>
        </w:tc>
        <w:tc>
          <w:tcPr>
            <w:tcW w:w="1398" w:type="dxa"/>
            <w:tcBorders>
              <w:top w:val="nil"/>
              <w:left w:val="nil"/>
              <w:bottom w:val="single" w:color="000000" w:sz="4" w:space="0"/>
              <w:right w:val="single" w:color="000000" w:sz="4" w:space="0"/>
            </w:tcBorders>
            <w:shd w:val="clear" w:color="auto" w:fill="auto"/>
            <w:vAlign w:val="center"/>
          </w:tcPr>
          <w:p>
            <w:pPr>
              <w:widowControl/>
              <w:snapToGrid w:val="0"/>
              <w:jc w:val="center"/>
              <w:rPr>
                <w:rFonts w:eastAsia="等线"/>
                <w:color w:val="000000"/>
                <w:kern w:val="0"/>
                <w:sz w:val="20"/>
              </w:rPr>
            </w:pPr>
            <w:r>
              <w:rPr>
                <w:rFonts w:eastAsia="等线"/>
                <w:color w:val="000000"/>
                <w:kern w:val="0"/>
                <w:sz w:val="20"/>
              </w:rPr>
              <w:t>5.00</w:t>
            </w:r>
          </w:p>
        </w:tc>
      </w:tr>
    </w:tbl>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tbl>
      <w:tblPr>
        <w:tblStyle w:val="5"/>
        <w:tblW w:w="8519" w:type="dxa"/>
        <w:jc w:val="center"/>
        <w:tblInd w:w="0" w:type="dxa"/>
        <w:tblLayout w:type="fixed"/>
        <w:tblCellMar>
          <w:top w:w="0" w:type="dxa"/>
          <w:left w:w="108" w:type="dxa"/>
          <w:bottom w:w="0" w:type="dxa"/>
          <w:right w:w="108" w:type="dxa"/>
        </w:tblCellMar>
      </w:tblPr>
      <w:tblGrid>
        <w:gridCol w:w="1230"/>
        <w:gridCol w:w="2556"/>
        <w:gridCol w:w="1065"/>
        <w:gridCol w:w="1801"/>
        <w:gridCol w:w="1867"/>
      </w:tblGrid>
      <w:tr>
        <w:tblPrEx>
          <w:tblLayout w:type="fixed"/>
          <w:tblCellMar>
            <w:top w:w="0" w:type="dxa"/>
            <w:left w:w="108" w:type="dxa"/>
            <w:bottom w:w="0" w:type="dxa"/>
            <w:right w:w="108" w:type="dxa"/>
          </w:tblCellMar>
        </w:tblPrEx>
        <w:trPr>
          <w:trHeight w:val="0" w:hRule="atLeast"/>
          <w:jc w:val="center"/>
        </w:trPr>
        <w:tc>
          <w:tcPr>
            <w:tcW w:w="1230" w:type="dxa"/>
            <w:tcBorders>
              <w:top w:val="nil"/>
              <w:left w:val="nil"/>
              <w:bottom w:val="nil"/>
              <w:right w:val="nil"/>
            </w:tcBorders>
            <w:shd w:val="clear" w:color="auto" w:fill="auto"/>
            <w:noWrap/>
            <w:vAlign w:val="center"/>
          </w:tcPr>
          <w:p>
            <w:pPr>
              <w:widowControl/>
              <w:snapToGrid w:val="0"/>
              <w:jc w:val="left"/>
              <w:rPr>
                <w:rFonts w:ascii="方正楷体_GBK" w:hAnsi="等线" w:eastAsia="方正楷体_GBK" w:cs="宋体"/>
                <w:color w:val="000000"/>
                <w:kern w:val="0"/>
                <w:sz w:val="20"/>
              </w:rPr>
            </w:pPr>
            <w:r>
              <w:rPr>
                <w:rFonts w:hint="eastAsia"/>
              </w:rPr>
              <w:t>附表6</w:t>
            </w:r>
          </w:p>
        </w:tc>
        <w:tc>
          <w:tcPr>
            <w:tcW w:w="255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5"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1"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67"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123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p>
        </w:tc>
        <w:tc>
          <w:tcPr>
            <w:tcW w:w="2556"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06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80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86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jc w:val="center"/>
        </w:trPr>
        <w:tc>
          <w:tcPr>
            <w:tcW w:w="8519" w:type="dxa"/>
            <w:gridSpan w:val="5"/>
            <w:vMerge w:val="restart"/>
            <w:tcBorders>
              <w:top w:val="nil"/>
              <w:left w:val="nil"/>
              <w:bottom w:val="nil"/>
              <w:right w:val="nil"/>
            </w:tcBorders>
            <w:shd w:val="clear" w:color="auto" w:fill="auto"/>
            <w:noWrap/>
            <w:vAlign w:val="center"/>
          </w:tcPr>
          <w:p>
            <w:pPr>
              <w:widowControl/>
              <w:snapToGrid w:val="0"/>
              <w:jc w:val="center"/>
              <w:rPr>
                <w:rFonts w:ascii="方正小标宋_GBK" w:hAnsi="等线" w:eastAsia="方正小标宋_GBK" w:cs="宋体"/>
                <w:color w:val="000000"/>
                <w:kern w:val="0"/>
                <w:sz w:val="28"/>
                <w:szCs w:val="28"/>
              </w:rPr>
            </w:pPr>
            <w:r>
              <w:rPr>
                <w:rFonts w:hint="eastAsia" w:ascii="方正小标宋_GBK" w:hAnsi="等线" w:eastAsia="方正小标宋_GBK" w:cs="宋体"/>
                <w:color w:val="000000"/>
                <w:kern w:val="0"/>
                <w:sz w:val="28"/>
                <w:szCs w:val="28"/>
              </w:rPr>
              <w:t>2</w:t>
            </w:r>
            <w:r>
              <w:rPr>
                <w:rFonts w:ascii="方正小标宋_GBK" w:hAnsi="等线" w:eastAsia="方正小标宋_GBK" w:cs="宋体"/>
                <w:color w:val="000000"/>
                <w:kern w:val="0"/>
                <w:sz w:val="28"/>
                <w:szCs w:val="28"/>
              </w:rPr>
              <w:t>026</w:t>
            </w:r>
            <w:r>
              <w:rPr>
                <w:rFonts w:hint="eastAsia" w:ascii="方正小标宋_GBK" w:hAnsi="等线" w:eastAsia="方正小标宋_GBK" w:cs="宋体"/>
                <w:color w:val="000000"/>
                <w:kern w:val="0"/>
                <w:sz w:val="28"/>
                <w:szCs w:val="28"/>
              </w:rPr>
              <w:t>年重庆市九龙坡区城市管理局（本级）政府性基金预算支出表</w:t>
            </w:r>
          </w:p>
        </w:tc>
      </w:tr>
      <w:tr>
        <w:tblPrEx>
          <w:tblLayout w:type="fixed"/>
          <w:tblCellMar>
            <w:top w:w="0" w:type="dxa"/>
            <w:left w:w="108" w:type="dxa"/>
            <w:bottom w:w="0" w:type="dxa"/>
            <w:right w:w="108" w:type="dxa"/>
          </w:tblCellMar>
        </w:tblPrEx>
        <w:trPr>
          <w:trHeight w:val="312" w:hRule="atLeast"/>
          <w:jc w:val="center"/>
        </w:trPr>
        <w:tc>
          <w:tcPr>
            <w:tcW w:w="8519" w:type="dxa"/>
            <w:gridSpan w:val="5"/>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28"/>
                <w:szCs w:val="28"/>
              </w:rPr>
            </w:pPr>
          </w:p>
        </w:tc>
      </w:tr>
      <w:tr>
        <w:tblPrEx>
          <w:tblLayout w:type="fixed"/>
          <w:tblCellMar>
            <w:top w:w="0" w:type="dxa"/>
            <w:left w:w="108" w:type="dxa"/>
            <w:bottom w:w="0" w:type="dxa"/>
            <w:right w:w="108" w:type="dxa"/>
          </w:tblCellMar>
        </w:tblPrEx>
        <w:trPr>
          <w:trHeight w:val="0" w:hRule="atLeast"/>
          <w:jc w:val="center"/>
        </w:trPr>
        <w:tc>
          <w:tcPr>
            <w:tcW w:w="123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5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5"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1"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67"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0" w:hRule="atLeast"/>
          <w:jc w:val="center"/>
        </w:trPr>
        <w:tc>
          <w:tcPr>
            <w:tcW w:w="1230"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556"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5"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1"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67"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551"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 科目编码</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科目名称</w:t>
            </w:r>
          </w:p>
        </w:tc>
        <w:tc>
          <w:tcPr>
            <w:tcW w:w="473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本年政府性基金预算财政拨款支出</w:t>
            </w:r>
          </w:p>
        </w:tc>
      </w:tr>
      <w:tr>
        <w:tblPrEx>
          <w:tblLayout w:type="fixed"/>
          <w:tblCellMar>
            <w:top w:w="0" w:type="dxa"/>
            <w:left w:w="108" w:type="dxa"/>
            <w:bottom w:w="0" w:type="dxa"/>
            <w:right w:w="108" w:type="dxa"/>
          </w:tblCellMar>
        </w:tblPrEx>
        <w:trPr>
          <w:trHeight w:val="486"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24"/>
                <w:szCs w:val="24"/>
              </w:rPr>
            </w:pPr>
          </w:p>
        </w:tc>
        <w:tc>
          <w:tcPr>
            <w:tcW w:w="255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24"/>
                <w:szCs w:val="24"/>
              </w:rPr>
            </w:pPr>
          </w:p>
        </w:tc>
        <w:tc>
          <w:tcPr>
            <w:tcW w:w="106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总计</w:t>
            </w:r>
          </w:p>
        </w:tc>
        <w:tc>
          <w:tcPr>
            <w:tcW w:w="180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基本支出 </w:t>
            </w:r>
          </w:p>
        </w:tc>
        <w:tc>
          <w:tcPr>
            <w:tcW w:w="1867"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 xml:space="preserve">项目支出 </w:t>
            </w:r>
          </w:p>
        </w:tc>
      </w:tr>
      <w:tr>
        <w:tblPrEx>
          <w:tblLayout w:type="fixed"/>
          <w:tblCellMar>
            <w:top w:w="0" w:type="dxa"/>
            <w:left w:w="108" w:type="dxa"/>
            <w:bottom w:w="0" w:type="dxa"/>
            <w:right w:w="108" w:type="dxa"/>
          </w:tblCellMar>
        </w:tblPrEx>
        <w:trPr>
          <w:trHeight w:val="452" w:hRule="atLeast"/>
          <w:jc w:val="center"/>
        </w:trPr>
        <w:tc>
          <w:tcPr>
            <w:tcW w:w="3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0"/>
              </w:rPr>
            </w:pPr>
            <w:r>
              <w:rPr>
                <w:rFonts w:hint="eastAsia" w:ascii="方正仿宋_GBK" w:hAnsi="等线" w:cs="宋体"/>
                <w:b/>
                <w:bCs/>
                <w:color w:val="000000"/>
                <w:kern w:val="0"/>
                <w:sz w:val="20"/>
              </w:rPr>
              <w:t>合计</w:t>
            </w:r>
          </w:p>
        </w:tc>
        <w:tc>
          <w:tcPr>
            <w:tcW w:w="106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0"/>
              </w:rPr>
            </w:pPr>
            <w:r>
              <w:rPr>
                <w:rFonts w:hint="eastAsia" w:eastAsia="等线"/>
                <w:color w:val="000000"/>
                <w:kern w:val="0"/>
                <w:sz w:val="20"/>
                <w:lang w:val="en-US" w:eastAsia="zh-CN"/>
              </w:rPr>
              <w:t>6,494.68</w:t>
            </w:r>
            <w:r>
              <w:rPr>
                <w:rFonts w:eastAsia="等线"/>
                <w:b/>
                <w:bCs/>
                <w:color w:val="000000"/>
                <w:kern w:val="0"/>
                <w:sz w:val="20"/>
              </w:rPr>
              <w:t>　</w:t>
            </w:r>
          </w:p>
        </w:tc>
        <w:tc>
          <w:tcPr>
            <w:tcW w:w="180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0"/>
              </w:rPr>
            </w:pPr>
            <w:r>
              <w:rPr>
                <w:rFonts w:eastAsia="等线"/>
                <w:b/>
                <w:bCs/>
                <w:color w:val="000000"/>
                <w:kern w:val="0"/>
                <w:sz w:val="20"/>
              </w:rPr>
              <w:t>　</w:t>
            </w:r>
          </w:p>
        </w:tc>
        <w:tc>
          <w:tcPr>
            <w:tcW w:w="186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20"/>
              </w:rPr>
            </w:pPr>
            <w:r>
              <w:rPr>
                <w:rFonts w:hint="eastAsia" w:eastAsia="等线"/>
                <w:color w:val="000000"/>
                <w:kern w:val="0"/>
                <w:sz w:val="20"/>
                <w:lang w:val="en-US" w:eastAsia="zh-CN"/>
              </w:rPr>
              <w:t>6,494.68</w:t>
            </w:r>
            <w:r>
              <w:rPr>
                <w:rFonts w:eastAsia="等线"/>
                <w:b/>
                <w:bCs/>
                <w:color w:val="000000"/>
                <w:kern w:val="0"/>
                <w:sz w:val="20"/>
              </w:rPr>
              <w:t>　</w:t>
            </w:r>
          </w:p>
        </w:tc>
      </w:tr>
      <w:tr>
        <w:tblPrEx>
          <w:tblLayout w:type="fixed"/>
          <w:tblCellMar>
            <w:top w:w="0" w:type="dxa"/>
            <w:left w:w="108" w:type="dxa"/>
            <w:bottom w:w="0" w:type="dxa"/>
            <w:right w:w="108" w:type="dxa"/>
          </w:tblCellMar>
        </w:tblPrEx>
        <w:trPr>
          <w:trHeight w:val="527" w:hRule="atLeast"/>
          <w:jc w:val="center"/>
        </w:trPr>
        <w:tc>
          <w:tcPr>
            <w:tcW w:w="1230" w:type="dxa"/>
            <w:tcBorders>
              <w:top w:val="nil"/>
              <w:left w:val="single" w:color="000000" w:sz="4" w:space="0"/>
              <w:bottom w:val="single" w:color="auto" w:sz="4" w:space="0"/>
              <w:right w:val="single" w:color="000000" w:sz="4" w:space="0"/>
            </w:tcBorders>
            <w:shd w:val="clear" w:color="auto" w:fill="auto"/>
            <w:noWrap/>
            <w:vAlign w:val="center"/>
          </w:tcPr>
          <w:p>
            <w:pPr>
              <w:widowControl/>
              <w:snapToGrid w:val="0"/>
              <w:jc w:val="left"/>
              <w:rPr>
                <w:rFonts w:hint="default"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212</w:t>
            </w:r>
          </w:p>
        </w:tc>
        <w:tc>
          <w:tcPr>
            <w:tcW w:w="2556"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hint="eastAsia"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 xml:space="preserve"> 城乡社区支出</w:t>
            </w:r>
          </w:p>
        </w:tc>
        <w:tc>
          <w:tcPr>
            <w:tcW w:w="1065"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r>
              <w:rPr>
                <w:rFonts w:eastAsia="等线"/>
                <w:color w:val="000000"/>
                <w:kern w:val="0"/>
                <w:sz w:val="20"/>
              </w:rPr>
              <w:t>　</w:t>
            </w:r>
          </w:p>
        </w:tc>
        <w:tc>
          <w:tcPr>
            <w:tcW w:w="180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20"/>
              </w:rPr>
            </w:pPr>
            <w:r>
              <w:rPr>
                <w:rFonts w:eastAsia="等线"/>
                <w:color w:val="000000"/>
                <w:kern w:val="0"/>
                <w:sz w:val="20"/>
              </w:rPr>
              <w:t>　</w:t>
            </w:r>
          </w:p>
        </w:tc>
        <w:tc>
          <w:tcPr>
            <w:tcW w:w="1867"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r>
              <w:rPr>
                <w:rFonts w:eastAsia="等线"/>
                <w:color w:val="000000"/>
                <w:kern w:val="0"/>
                <w:sz w:val="20"/>
              </w:rPr>
              <w:t>　</w:t>
            </w:r>
          </w:p>
        </w:tc>
      </w:tr>
      <w:tr>
        <w:tblPrEx>
          <w:tblLayout w:type="fixed"/>
          <w:tblCellMar>
            <w:top w:w="0" w:type="dxa"/>
            <w:left w:w="108" w:type="dxa"/>
            <w:bottom w:w="0" w:type="dxa"/>
            <w:right w:w="108" w:type="dxa"/>
          </w:tblCellMar>
        </w:tblPrEx>
        <w:trPr>
          <w:trHeight w:val="668"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 21298</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 超长期特别国债安排的支出</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p>
        </w:tc>
        <w:tc>
          <w:tcPr>
            <w:tcW w:w="18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r>
              <w:rPr>
                <w:rFonts w:eastAsia="等线"/>
                <w:color w:val="000000"/>
                <w:kern w:val="0"/>
                <w:sz w:val="20"/>
              </w:rPr>
              <w:t>　</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p>
        </w:tc>
      </w:tr>
      <w:tr>
        <w:tblPrEx>
          <w:tblLayout w:type="fixed"/>
          <w:tblCellMar>
            <w:top w:w="0" w:type="dxa"/>
            <w:left w:w="108" w:type="dxa"/>
            <w:bottom w:w="0" w:type="dxa"/>
            <w:right w:w="108" w:type="dxa"/>
          </w:tblCellMar>
        </w:tblPrEx>
        <w:trPr>
          <w:trHeight w:val="668" w:hRule="atLeast"/>
          <w:jc w:val="center"/>
        </w:trPr>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2129801</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color w:val="000000"/>
                <w:kern w:val="0"/>
                <w:sz w:val="20"/>
                <w:szCs w:val="22"/>
                <w:lang w:val="en-US" w:eastAsia="zh-CN"/>
              </w:rPr>
            </w:pPr>
            <w:r>
              <w:rPr>
                <w:rFonts w:hint="eastAsia" w:ascii="方正仿宋_GBK" w:hAnsi="等线" w:cs="宋体"/>
                <w:color w:val="000000"/>
                <w:kern w:val="0"/>
                <w:sz w:val="20"/>
                <w:szCs w:val="22"/>
                <w:lang w:val="en-US" w:eastAsia="zh-CN"/>
              </w:rPr>
              <w:t>城乡社区公共设施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p>
        </w:tc>
        <w:tc>
          <w:tcPr>
            <w:tcW w:w="18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p>
        </w:tc>
        <w:tc>
          <w:tcPr>
            <w:tcW w:w="18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eastAsia="等线"/>
                <w:color w:val="000000"/>
                <w:kern w:val="0"/>
                <w:sz w:val="20"/>
              </w:rPr>
            </w:pPr>
            <w:r>
              <w:rPr>
                <w:rFonts w:hint="eastAsia" w:eastAsia="等线"/>
                <w:color w:val="000000"/>
                <w:kern w:val="0"/>
                <w:sz w:val="20"/>
                <w:lang w:val="en-US" w:eastAsia="zh-CN"/>
              </w:rPr>
              <w:t>6,494.68</w:t>
            </w:r>
          </w:p>
        </w:tc>
      </w:tr>
    </w:tbl>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tbl>
      <w:tblPr>
        <w:tblStyle w:val="5"/>
        <w:tblW w:w="8519" w:type="dxa"/>
        <w:jc w:val="center"/>
        <w:tblInd w:w="0" w:type="dxa"/>
        <w:tblLayout w:type="fixed"/>
        <w:tblCellMar>
          <w:top w:w="0" w:type="dxa"/>
          <w:left w:w="108" w:type="dxa"/>
          <w:bottom w:w="0" w:type="dxa"/>
          <w:right w:w="108" w:type="dxa"/>
        </w:tblCellMar>
      </w:tblPr>
      <w:tblGrid>
        <w:gridCol w:w="2977"/>
        <w:gridCol w:w="1339"/>
        <w:gridCol w:w="2704"/>
        <w:gridCol w:w="1499"/>
      </w:tblGrid>
      <w:tr>
        <w:tblPrEx>
          <w:tblLayout w:type="fixed"/>
          <w:tblCellMar>
            <w:top w:w="0" w:type="dxa"/>
            <w:left w:w="108" w:type="dxa"/>
            <w:bottom w:w="0" w:type="dxa"/>
            <w:right w:w="108" w:type="dxa"/>
          </w:tblCellMar>
        </w:tblPrEx>
        <w:trPr>
          <w:trHeight w:val="0" w:hRule="atLeast"/>
          <w:jc w:val="center"/>
        </w:trPr>
        <w:tc>
          <w:tcPr>
            <w:tcW w:w="2977" w:type="dxa"/>
            <w:tcBorders>
              <w:top w:val="nil"/>
              <w:left w:val="nil"/>
              <w:bottom w:val="nil"/>
              <w:right w:val="nil"/>
            </w:tcBorders>
            <w:shd w:val="clear" w:color="auto" w:fill="auto"/>
            <w:vAlign w:val="center"/>
          </w:tcPr>
          <w:p>
            <w:pPr>
              <w:widowControl/>
              <w:snapToGrid w:val="0"/>
              <w:jc w:val="left"/>
              <w:rPr>
                <w:rFonts w:ascii="方正楷体_GBK" w:hAnsi="等线" w:eastAsia="方正楷体_GBK" w:cs="宋体"/>
                <w:color w:val="000000"/>
                <w:kern w:val="0"/>
                <w:sz w:val="20"/>
              </w:rPr>
            </w:pPr>
            <w:r>
              <w:rPr>
                <w:rFonts w:hint="eastAsia"/>
              </w:rPr>
              <w:t>附表7</w:t>
            </w:r>
          </w:p>
        </w:tc>
        <w:tc>
          <w:tcPr>
            <w:tcW w:w="1339" w:type="dxa"/>
            <w:tcBorders>
              <w:top w:val="nil"/>
              <w:left w:val="nil"/>
              <w:bottom w:val="nil"/>
              <w:right w:val="nil"/>
            </w:tcBorders>
            <w:shd w:val="clear" w:color="auto" w:fill="auto"/>
            <w:noWrap/>
            <w:vAlign w:val="center"/>
          </w:tcPr>
          <w:p>
            <w:pPr>
              <w:widowControl/>
              <w:snapToGrid w:val="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0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49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3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70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49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jc w:val="center"/>
        </w:trPr>
        <w:tc>
          <w:tcPr>
            <w:tcW w:w="8519" w:type="dxa"/>
            <w:gridSpan w:val="4"/>
            <w:vMerge w:val="restart"/>
            <w:tcBorders>
              <w:top w:val="nil"/>
              <w:left w:val="nil"/>
              <w:bottom w:val="nil"/>
              <w:right w:val="nil"/>
            </w:tcBorders>
            <w:shd w:val="clear" w:color="auto" w:fill="auto"/>
            <w:vAlign w:val="center"/>
          </w:tcPr>
          <w:p>
            <w:pPr>
              <w:widowControl/>
              <w:snapToGrid w:val="0"/>
              <w:jc w:val="center"/>
              <w:rPr>
                <w:rFonts w:ascii="方正小标宋_GBK" w:hAnsi="等线" w:eastAsia="方正小标宋_GBK" w:cs="宋体"/>
                <w:color w:val="000000"/>
                <w:kern w:val="0"/>
                <w:sz w:val="30"/>
                <w:szCs w:val="30"/>
              </w:rPr>
            </w:pPr>
            <w:r>
              <w:rPr>
                <w:rFonts w:hint="eastAsia" w:ascii="方正小标宋_GBK" w:hAnsi="等线" w:eastAsia="方正小标宋_GBK" w:cs="宋体"/>
                <w:color w:val="000000"/>
                <w:kern w:val="0"/>
                <w:sz w:val="30"/>
                <w:szCs w:val="30"/>
              </w:rPr>
              <w:t>2</w:t>
            </w:r>
            <w:r>
              <w:rPr>
                <w:rFonts w:ascii="方正小标宋_GBK" w:hAnsi="等线" w:eastAsia="方正小标宋_GBK" w:cs="宋体"/>
                <w:color w:val="000000"/>
                <w:kern w:val="0"/>
                <w:sz w:val="30"/>
                <w:szCs w:val="30"/>
              </w:rPr>
              <w:t>026</w:t>
            </w:r>
            <w:r>
              <w:rPr>
                <w:rFonts w:hint="eastAsia" w:ascii="方正小标宋_GBK" w:hAnsi="等线" w:eastAsia="方正小标宋_GBK" w:cs="宋体"/>
                <w:color w:val="000000"/>
                <w:kern w:val="0"/>
                <w:sz w:val="30"/>
                <w:szCs w:val="30"/>
              </w:rPr>
              <w:t>年重庆市九龙坡区城市管理局</w:t>
            </w:r>
            <w:r>
              <w:rPr>
                <w:rFonts w:hint="eastAsia" w:ascii="方正小标宋_GBK" w:hAnsi="等线" w:eastAsia="方正小标宋_GBK" w:cs="宋体"/>
                <w:color w:val="000000"/>
                <w:kern w:val="0"/>
                <w:sz w:val="28"/>
                <w:szCs w:val="28"/>
              </w:rPr>
              <w:t>（本级）</w:t>
            </w:r>
            <w:r>
              <w:rPr>
                <w:rFonts w:hint="eastAsia" w:ascii="方正小标宋_GBK" w:hAnsi="等线" w:eastAsia="方正小标宋_GBK" w:cs="宋体"/>
                <w:color w:val="000000"/>
                <w:kern w:val="0"/>
                <w:sz w:val="30"/>
                <w:szCs w:val="30"/>
              </w:rPr>
              <w:t>收支总表</w:t>
            </w:r>
          </w:p>
        </w:tc>
      </w:tr>
      <w:tr>
        <w:tblPrEx>
          <w:tblLayout w:type="fixed"/>
          <w:tblCellMar>
            <w:top w:w="0" w:type="dxa"/>
            <w:left w:w="108" w:type="dxa"/>
            <w:bottom w:w="0" w:type="dxa"/>
            <w:right w:w="108" w:type="dxa"/>
          </w:tblCellMar>
        </w:tblPrEx>
        <w:trPr>
          <w:trHeight w:val="312" w:hRule="atLeast"/>
          <w:jc w:val="center"/>
        </w:trPr>
        <w:tc>
          <w:tcPr>
            <w:tcW w:w="8519" w:type="dxa"/>
            <w:gridSpan w:val="4"/>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30"/>
                <w:szCs w:val="30"/>
              </w:rPr>
            </w:pP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nil"/>
              <w:bottom w:val="nil"/>
              <w:right w:val="nil"/>
            </w:tcBorders>
            <w:shd w:val="clear" w:color="auto" w:fill="auto"/>
            <w:noWrap/>
            <w:vAlign w:val="center"/>
          </w:tcPr>
          <w:p>
            <w:pPr>
              <w:widowControl/>
              <w:snapToGrid w:val="0"/>
              <w:jc w:val="center"/>
              <w:rPr>
                <w:rFonts w:ascii="方正小标宋_GBK" w:hAnsi="等线" w:eastAsia="方正小标宋_GBK" w:cs="宋体"/>
                <w:color w:val="000000"/>
                <w:kern w:val="0"/>
                <w:sz w:val="30"/>
                <w:szCs w:val="30"/>
              </w:rPr>
            </w:pPr>
          </w:p>
        </w:tc>
        <w:tc>
          <w:tcPr>
            <w:tcW w:w="133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70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49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3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70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499"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2"/>
                <w:szCs w:val="22"/>
              </w:rPr>
            </w:pPr>
            <w:r>
              <w:rPr>
                <w:rFonts w:hint="eastAsia" w:ascii="方正楷体_GBK" w:hAnsi="等线" w:eastAsia="方正楷体_GBK" w:cs="宋体"/>
                <w:color w:val="000000"/>
                <w:kern w:val="0"/>
                <w:sz w:val="22"/>
                <w:szCs w:val="22"/>
              </w:rPr>
              <w:t>单位：万元</w:t>
            </w:r>
          </w:p>
        </w:tc>
      </w:tr>
      <w:tr>
        <w:tblPrEx>
          <w:tblLayout w:type="fixed"/>
          <w:tblCellMar>
            <w:top w:w="0" w:type="dxa"/>
            <w:left w:w="108" w:type="dxa"/>
            <w:bottom w:w="0" w:type="dxa"/>
            <w:right w:w="108" w:type="dxa"/>
          </w:tblCellMar>
        </w:tblPrEx>
        <w:trPr>
          <w:trHeight w:val="0" w:hRule="atLeast"/>
          <w:jc w:val="center"/>
        </w:trPr>
        <w:tc>
          <w:tcPr>
            <w:tcW w:w="4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收入</w:t>
            </w:r>
          </w:p>
        </w:tc>
        <w:tc>
          <w:tcPr>
            <w:tcW w:w="4203"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支出</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项目</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预算数</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项目</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预算数</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hint="default" w:eastAsia="等线"/>
                <w:color w:val="000000"/>
                <w:kern w:val="0"/>
                <w:sz w:val="24"/>
                <w:szCs w:val="24"/>
                <w:lang w:val="en-US" w:eastAsia="zh-CN"/>
              </w:rPr>
            </w:pPr>
            <w:r>
              <w:rPr>
                <w:rFonts w:hint="eastAsia" w:eastAsia="等线"/>
                <w:color w:val="000000"/>
                <w:kern w:val="0"/>
                <w:sz w:val="24"/>
                <w:szCs w:val="24"/>
                <w:lang w:val="en-US" w:eastAsia="zh-CN"/>
              </w:rPr>
              <w:t>24,347.32</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hint="eastAsia" w:eastAsia="等线"/>
                <w:color w:val="000000"/>
                <w:kern w:val="0"/>
                <w:sz w:val="24"/>
                <w:szCs w:val="24"/>
                <w:lang w:val="en-US" w:eastAsia="zh-CN"/>
              </w:rPr>
              <w:t>24,347.32</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一般公共预算资金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hint="default" w:eastAsia="等线"/>
                <w:color w:val="000000"/>
                <w:kern w:val="0"/>
                <w:sz w:val="24"/>
                <w:szCs w:val="24"/>
                <w:lang w:val="en-US" w:eastAsia="zh-CN"/>
              </w:rPr>
            </w:pPr>
            <w:r>
              <w:rPr>
                <w:rFonts w:hint="eastAsia" w:eastAsia="等线"/>
                <w:color w:val="000000"/>
                <w:kern w:val="0"/>
                <w:sz w:val="24"/>
                <w:szCs w:val="24"/>
                <w:lang w:val="en-US" w:eastAsia="zh-CN"/>
              </w:rPr>
              <w:t>17,852.65</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社会保障和就业支出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163.03</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政府性基金预算资金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hint="eastAsia" w:eastAsia="等线"/>
                <w:color w:val="000000"/>
                <w:kern w:val="0"/>
                <w:sz w:val="24"/>
                <w:szCs w:val="24"/>
                <w:lang w:val="en-US" w:eastAsia="zh-CN"/>
              </w:rPr>
              <w:t>6,494.68</w:t>
            </w: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卫生健康支出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34.81</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国有资本经营预算资金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节能环保支出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hint="eastAsia" w:eastAsia="等线"/>
                <w:color w:val="000000"/>
                <w:kern w:val="0"/>
                <w:sz w:val="24"/>
                <w:szCs w:val="24"/>
                <w:lang w:val="en-US" w:eastAsia="zh-CN"/>
              </w:rPr>
              <w:t>10,650.2</w:t>
            </w:r>
            <w:r>
              <w:rPr>
                <w:rFonts w:eastAsia="等线"/>
                <w:color w:val="000000"/>
                <w:kern w:val="0"/>
                <w:sz w:val="24"/>
                <w:szCs w:val="24"/>
              </w:rPr>
              <w:t>6</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财政专户管理资金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城乡社区支出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hint="default" w:eastAsia="等线"/>
                <w:color w:val="000000"/>
                <w:kern w:val="0"/>
                <w:sz w:val="24"/>
                <w:szCs w:val="24"/>
                <w:lang w:val="en-US" w:eastAsia="zh-CN"/>
              </w:rPr>
            </w:pPr>
            <w:r>
              <w:rPr>
                <w:rFonts w:hint="eastAsia" w:eastAsia="等线"/>
                <w:color w:val="000000"/>
                <w:kern w:val="0"/>
                <w:sz w:val="24"/>
                <w:szCs w:val="24"/>
                <w:lang w:val="en-US" w:eastAsia="zh-CN"/>
              </w:rPr>
              <w:t>13,457.70</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事业收入资金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住房保障支出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39.99</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上级补助收入资金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24"/>
                <w:szCs w:val="24"/>
                <w:lang w:eastAsia="zh-CN"/>
              </w:rPr>
            </w:pPr>
            <w:r>
              <w:rPr>
                <w:rFonts w:hint="eastAsia" w:ascii="方正仿宋_GBK" w:hAnsi="等线" w:cs="宋体"/>
                <w:color w:val="000000"/>
                <w:kern w:val="0"/>
                <w:sz w:val="24"/>
                <w:szCs w:val="24"/>
                <w:lang w:eastAsia="zh-CN"/>
              </w:rPr>
              <w:t>资源勘探工业信息等支出</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hint="eastAsia" w:eastAsia="等线"/>
                <w:color w:val="000000"/>
                <w:kern w:val="0"/>
                <w:sz w:val="24"/>
                <w:szCs w:val="24"/>
                <w:lang w:val="en-US" w:eastAsia="zh-CN"/>
              </w:rPr>
              <w:t>1.54</w:t>
            </w: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xml:space="preserve">附属单位上缴收入资金 </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事业单位经营收入资金</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jc w:val="center"/>
        </w:trPr>
        <w:tc>
          <w:tcPr>
            <w:tcW w:w="2977"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xml:space="preserve">其他收入资金 </w:t>
            </w:r>
          </w:p>
        </w:tc>
        <w:tc>
          <w:tcPr>
            <w:tcW w:w="133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2704"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1499"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bl>
    <w:p>
      <w:pPr>
        <w:pStyle w:val="7"/>
        <w:ind w:firstLine="420"/>
        <w:sectPr>
          <w:pgSz w:w="11906" w:h="16838"/>
          <w:pgMar w:top="1440" w:right="1800" w:bottom="1440" w:left="1800" w:header="851" w:footer="992" w:gutter="0"/>
          <w:pgNumType w:fmt="decimal"/>
          <w:cols w:space="0" w:num="1"/>
          <w:rtlGutter w:val="0"/>
          <w:docGrid w:type="lines" w:linePitch="435" w:charSpace="0"/>
        </w:sectPr>
      </w:pPr>
    </w:p>
    <w:tbl>
      <w:tblPr>
        <w:tblStyle w:val="5"/>
        <w:tblW w:w="14174" w:type="dxa"/>
        <w:tblInd w:w="108" w:type="dxa"/>
        <w:tblLayout w:type="fixed"/>
        <w:tblCellMar>
          <w:top w:w="0" w:type="dxa"/>
          <w:left w:w="108" w:type="dxa"/>
          <w:bottom w:w="0" w:type="dxa"/>
          <w:right w:w="108" w:type="dxa"/>
        </w:tblCellMar>
      </w:tblPr>
      <w:tblGrid>
        <w:gridCol w:w="1005"/>
        <w:gridCol w:w="2531"/>
        <w:gridCol w:w="1100"/>
        <w:gridCol w:w="1203"/>
        <w:gridCol w:w="1197"/>
        <w:gridCol w:w="1341"/>
        <w:gridCol w:w="1142"/>
        <w:gridCol w:w="641"/>
        <w:gridCol w:w="811"/>
        <w:gridCol w:w="975"/>
        <w:gridCol w:w="975"/>
        <w:gridCol w:w="1253"/>
      </w:tblGrid>
      <w:tr>
        <w:tblPrEx>
          <w:tblLayout w:type="fixed"/>
        </w:tblPrEx>
        <w:trPr>
          <w:trHeight w:val="0" w:hRule="atLeast"/>
        </w:trPr>
        <w:tc>
          <w:tcPr>
            <w:tcW w:w="3536" w:type="dxa"/>
            <w:gridSpan w:val="2"/>
            <w:tcBorders>
              <w:top w:val="nil"/>
              <w:left w:val="nil"/>
              <w:bottom w:val="nil"/>
              <w:right w:val="nil"/>
            </w:tcBorders>
            <w:shd w:val="clear" w:color="auto" w:fill="auto"/>
          </w:tcPr>
          <w:p>
            <w:pPr>
              <w:snapToGrid w:val="0"/>
            </w:pPr>
            <w:r>
              <w:rPr>
                <w:rFonts w:hint="eastAsia"/>
              </w:rPr>
              <w:t>附表8</w:t>
            </w:r>
          </w:p>
        </w:tc>
        <w:tc>
          <w:tcPr>
            <w:tcW w:w="110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0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9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4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4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64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81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5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PrEx>
        <w:trPr>
          <w:trHeight w:val="312" w:hRule="atLeast"/>
        </w:trPr>
        <w:tc>
          <w:tcPr>
            <w:tcW w:w="14174" w:type="dxa"/>
            <w:gridSpan w:val="12"/>
            <w:vMerge w:val="restart"/>
            <w:tcBorders>
              <w:top w:val="nil"/>
              <w:left w:val="nil"/>
              <w:bottom w:val="nil"/>
              <w:right w:val="nil"/>
            </w:tcBorders>
            <w:shd w:val="clear" w:color="auto" w:fill="auto"/>
            <w:vAlign w:val="center"/>
          </w:tcPr>
          <w:p>
            <w:pPr>
              <w:widowControl/>
              <w:snapToGrid w:val="0"/>
              <w:jc w:val="center"/>
              <w:rPr>
                <w:rFonts w:ascii="方正小标宋_GBK" w:hAnsi="等线" w:eastAsia="方正小标宋_GBK" w:cs="宋体"/>
                <w:color w:val="000000"/>
                <w:kern w:val="0"/>
                <w:sz w:val="38"/>
                <w:szCs w:val="38"/>
              </w:rPr>
            </w:pPr>
            <w:r>
              <w:rPr>
                <w:rFonts w:hint="eastAsia" w:ascii="方正小标宋_GBK" w:hAnsi="等线" w:eastAsia="方正小标宋_GBK" w:cs="宋体"/>
                <w:color w:val="000000"/>
                <w:kern w:val="0"/>
                <w:sz w:val="38"/>
                <w:szCs w:val="38"/>
              </w:rPr>
              <w:t>2</w:t>
            </w:r>
            <w:r>
              <w:rPr>
                <w:rFonts w:ascii="方正小标宋_GBK" w:hAnsi="等线" w:eastAsia="方正小标宋_GBK" w:cs="宋体"/>
                <w:color w:val="000000"/>
                <w:kern w:val="0"/>
                <w:sz w:val="38"/>
                <w:szCs w:val="38"/>
              </w:rPr>
              <w:t>026</w:t>
            </w:r>
            <w:r>
              <w:rPr>
                <w:rFonts w:hint="eastAsia" w:ascii="方正小标宋_GBK" w:hAnsi="等线" w:eastAsia="方正小标宋_GBK" w:cs="宋体"/>
                <w:color w:val="000000"/>
                <w:kern w:val="0"/>
                <w:sz w:val="38"/>
                <w:szCs w:val="38"/>
              </w:rPr>
              <w:t>年重庆市九龙坡区城市管理局（本级）收入总表</w:t>
            </w:r>
          </w:p>
        </w:tc>
      </w:tr>
      <w:tr>
        <w:tblPrEx>
          <w:tblLayout w:type="fixed"/>
          <w:tblCellMar>
            <w:top w:w="0" w:type="dxa"/>
            <w:left w:w="108" w:type="dxa"/>
            <w:bottom w:w="0" w:type="dxa"/>
            <w:right w:w="108" w:type="dxa"/>
          </w:tblCellMar>
        </w:tblPrEx>
        <w:trPr>
          <w:trHeight w:val="312" w:hRule="atLeast"/>
        </w:trPr>
        <w:tc>
          <w:tcPr>
            <w:tcW w:w="14174" w:type="dxa"/>
            <w:gridSpan w:val="12"/>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38"/>
                <w:szCs w:val="3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53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0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03"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9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34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4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64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81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53" w:type="dxa"/>
            <w:tcBorders>
              <w:top w:val="nil"/>
              <w:left w:val="nil"/>
              <w:bottom w:val="nil"/>
              <w:right w:val="nil"/>
            </w:tcBorders>
            <w:shd w:val="clear" w:color="auto" w:fill="auto"/>
            <w:noWrap/>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0" w:hRule="atLeast"/>
        </w:trPr>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科目</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总计</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一般公共预算拨款收入</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政府性基金预算拨款收入</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国有资本经营预算拨款收入</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财政专户管理资金收入</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事业收入</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上级补助收入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附属单位上缴收入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事业单位经营收入</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其他收入</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科目编码</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黑体_GBK" w:hAnsi="等线" w:eastAsia="方正黑体_GBK" w:cs="宋体"/>
                <w:color w:val="000000"/>
                <w:kern w:val="0"/>
                <w:sz w:val="18"/>
                <w:szCs w:val="18"/>
              </w:rPr>
            </w:pPr>
            <w:r>
              <w:rPr>
                <w:rFonts w:hint="eastAsia" w:ascii="方正黑体_GBK" w:hAnsi="等线" w:eastAsia="方正黑体_GBK" w:cs="宋体"/>
                <w:color w:val="000000"/>
                <w:kern w:val="0"/>
                <w:sz w:val="18"/>
                <w:szCs w:val="18"/>
              </w:rPr>
              <w:t>科目名称</w:t>
            </w: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1203"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119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134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c>
          <w:tcPr>
            <w:tcW w:w="1253"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黑体_GBK" w:hAnsi="等线" w:eastAsia="方正黑体_GBK" w:cs="宋体"/>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rPr>
                <w:rFonts w:ascii="方正仿宋_GBK" w:hAnsi="等线" w:cs="宋体"/>
                <w:b/>
                <w:bCs/>
                <w:color w:val="000000"/>
                <w:kern w:val="0"/>
                <w:sz w:val="18"/>
                <w:szCs w:val="18"/>
              </w:rPr>
            </w:pPr>
            <w:r>
              <w:rPr>
                <w:rFonts w:hint="eastAsia" w:ascii="方正仿宋_GBK" w:hAnsi="等线" w:cs="宋体"/>
                <w:b/>
                <w:bCs/>
                <w:color w:val="000000"/>
                <w:kern w:val="0"/>
                <w:sz w:val="18"/>
                <w:szCs w:val="18"/>
              </w:rPr>
              <w:t>合计</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18"/>
                <w:szCs w:val="18"/>
                <w:lang w:val="en-US" w:eastAsia="zh-CN"/>
              </w:rPr>
            </w:pPr>
            <w:r>
              <w:rPr>
                <w:rFonts w:hint="eastAsia" w:eastAsia="等线"/>
                <w:b/>
                <w:bCs/>
                <w:color w:val="000000"/>
                <w:kern w:val="0"/>
                <w:sz w:val="18"/>
                <w:szCs w:val="18"/>
                <w:lang w:val="en-US" w:eastAsia="zh-CN"/>
              </w:rPr>
              <w:t>24,347.32</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b/>
                <w:bCs/>
                <w:color w:val="000000"/>
                <w:kern w:val="0"/>
                <w:sz w:val="18"/>
                <w:szCs w:val="18"/>
                <w:lang w:val="en-US" w:eastAsia="zh-CN"/>
              </w:rPr>
            </w:pPr>
            <w:r>
              <w:rPr>
                <w:rFonts w:hint="eastAsia" w:eastAsia="等线"/>
                <w:b/>
                <w:bCs/>
                <w:color w:val="000000"/>
                <w:kern w:val="0"/>
                <w:sz w:val="18"/>
                <w:szCs w:val="18"/>
                <w:lang w:val="en-US" w:eastAsia="zh-CN"/>
              </w:rPr>
              <w:t>17,852.65</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hint="eastAsia" w:eastAsia="等线"/>
                <w:b/>
                <w:bCs/>
                <w:color w:val="000000"/>
                <w:kern w:val="0"/>
                <w:sz w:val="18"/>
                <w:szCs w:val="18"/>
                <w:lang w:val="en-US" w:eastAsia="zh-CN"/>
              </w:rPr>
              <w:t>6,494.68</w:t>
            </w:r>
            <w:r>
              <w:rPr>
                <w:rFonts w:eastAsia="等线"/>
                <w:b/>
                <w:bCs/>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b/>
                <w:bCs/>
                <w:color w:val="000000"/>
                <w:kern w:val="0"/>
                <w:sz w:val="18"/>
                <w:szCs w:val="18"/>
              </w:rPr>
            </w:pPr>
            <w:r>
              <w:rPr>
                <w:rFonts w:eastAsia="等线"/>
                <w:b/>
                <w:bCs/>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208</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社会保障和就业支出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163.03</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163.03</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20805</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行政事业单位养老支出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163.03</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163.03</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2080505</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机关事业单位基本养老保险缴费支出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42.71</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42.71</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2080506</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机关事业单位职业年金缴费支出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21.35</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21.35</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2080599</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其他行政事业单位养老支出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98.97</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98.97</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210</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卫生健康支出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34.81</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34.81</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21011</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行政事业单位医疗</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34.81</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34.81</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2101101</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行政单位医疗</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22.69</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22.69</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2101103</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公务员医疗补助</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8.12</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8.12</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2101199</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其他行政事业单位医疗支出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4.00</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4.00</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211</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节能环保支出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10,650.26</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10,650.26</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21103</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污染防治</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10,650.26</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10,650.26</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2110304</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固体废弃物与化学品</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3,506.83</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3,506.83</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2110399</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其他污染防治支出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7,143.43</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7,143.43</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212</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城乡社区支出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rPr>
            </w:pPr>
            <w:r>
              <w:rPr>
                <w:rFonts w:hint="eastAsia" w:eastAsia="等线"/>
                <w:color w:val="000000"/>
                <w:kern w:val="0"/>
                <w:sz w:val="18"/>
                <w:szCs w:val="18"/>
                <w:highlight w:val="none"/>
                <w:lang w:val="en-US" w:eastAsia="zh-CN"/>
              </w:rPr>
              <w:t>13,457.70</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6,963.02</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hint="eastAsia" w:eastAsia="等线"/>
                <w:color w:val="000000"/>
                <w:kern w:val="0"/>
                <w:sz w:val="18"/>
                <w:szCs w:val="18"/>
                <w:lang w:val="en-US" w:eastAsia="zh-CN"/>
              </w:rPr>
              <w:t>6,494.68</w:t>
            </w: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21201</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城乡社区管理事务</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747.19</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747.19</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2120101</w:t>
            </w:r>
          </w:p>
        </w:tc>
        <w:tc>
          <w:tcPr>
            <w:tcW w:w="2531" w:type="dxa"/>
            <w:tcBorders>
              <w:top w:val="nil"/>
              <w:left w:val="nil"/>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行政运行</w:t>
            </w:r>
          </w:p>
        </w:tc>
        <w:tc>
          <w:tcPr>
            <w:tcW w:w="1100"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417.20</w:t>
            </w:r>
          </w:p>
        </w:tc>
        <w:tc>
          <w:tcPr>
            <w:tcW w:w="1203"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417.20</w:t>
            </w:r>
          </w:p>
        </w:tc>
        <w:tc>
          <w:tcPr>
            <w:tcW w:w="1197"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2120199</w:t>
            </w:r>
          </w:p>
        </w:tc>
        <w:tc>
          <w:tcPr>
            <w:tcW w:w="2531" w:type="dxa"/>
            <w:tcBorders>
              <w:top w:val="single" w:color="auto" w:sz="4" w:space="0"/>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其他城乡社区管理事务支出</w:t>
            </w:r>
          </w:p>
        </w:tc>
        <w:tc>
          <w:tcPr>
            <w:tcW w:w="1100"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329.98</w:t>
            </w:r>
          </w:p>
        </w:tc>
        <w:tc>
          <w:tcPr>
            <w:tcW w:w="1203"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329.98</w:t>
            </w:r>
          </w:p>
        </w:tc>
        <w:tc>
          <w:tcPr>
            <w:tcW w:w="119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21203</w:t>
            </w:r>
          </w:p>
        </w:tc>
        <w:tc>
          <w:tcPr>
            <w:tcW w:w="2531" w:type="dxa"/>
            <w:tcBorders>
              <w:top w:val="nil"/>
              <w:left w:val="nil"/>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城乡社区公共设施</w:t>
            </w:r>
          </w:p>
        </w:tc>
        <w:tc>
          <w:tcPr>
            <w:tcW w:w="1100"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5,784.33</w:t>
            </w:r>
          </w:p>
        </w:tc>
        <w:tc>
          <w:tcPr>
            <w:tcW w:w="1203"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5,784.33</w:t>
            </w:r>
          </w:p>
        </w:tc>
        <w:tc>
          <w:tcPr>
            <w:tcW w:w="1197"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2120399</w:t>
            </w:r>
          </w:p>
        </w:tc>
        <w:tc>
          <w:tcPr>
            <w:tcW w:w="2531" w:type="dxa"/>
            <w:tcBorders>
              <w:top w:val="single" w:color="auto" w:sz="4" w:space="0"/>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其他城乡社区公共设施支出</w:t>
            </w:r>
          </w:p>
        </w:tc>
        <w:tc>
          <w:tcPr>
            <w:tcW w:w="1100"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5,784.33</w:t>
            </w:r>
          </w:p>
        </w:tc>
        <w:tc>
          <w:tcPr>
            <w:tcW w:w="1203"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5,784.33</w:t>
            </w:r>
          </w:p>
        </w:tc>
        <w:tc>
          <w:tcPr>
            <w:tcW w:w="119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21205</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城乡社区环境卫生</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431.50</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431.50</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2120501</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城乡社区环境卫生</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431.50</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431.50</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21298</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 xml:space="preserve"> 超长期特别国债安排的支出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6,494.68</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6,494.68</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 xml:space="preserve"> 2129801</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 xml:space="preserve"> 城乡社区公共设施</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6,494.68</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highlight w:val="none"/>
              </w:rPr>
            </w:pPr>
            <w:r>
              <w:rPr>
                <w:rFonts w:hint="eastAsia" w:eastAsia="等线"/>
                <w:color w:val="000000"/>
                <w:kern w:val="0"/>
                <w:sz w:val="18"/>
                <w:szCs w:val="18"/>
                <w:highlight w:val="none"/>
                <w:lang w:val="en-US" w:eastAsia="zh-CN"/>
              </w:rPr>
              <w:t>6,494.68</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215</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18"/>
                <w:szCs w:val="18"/>
                <w:lang w:eastAsia="zh-CN"/>
              </w:rPr>
            </w:pPr>
            <w:r>
              <w:rPr>
                <w:rFonts w:hint="eastAsia" w:ascii="方正仿宋_GBK" w:hAnsi="等线" w:cs="宋体"/>
                <w:color w:val="000000"/>
                <w:kern w:val="0"/>
                <w:sz w:val="18"/>
                <w:szCs w:val="18"/>
                <w:lang w:eastAsia="zh-CN"/>
              </w:rPr>
              <w:t>资源勘探工业信息等支出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21505</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18"/>
                <w:szCs w:val="18"/>
                <w:lang w:eastAsia="zh-CN"/>
              </w:rPr>
            </w:pPr>
            <w:r>
              <w:rPr>
                <w:rFonts w:hint="eastAsia" w:ascii="方正仿宋_GBK" w:hAnsi="等线" w:cs="宋体"/>
                <w:color w:val="000000"/>
                <w:kern w:val="0"/>
                <w:sz w:val="18"/>
                <w:szCs w:val="18"/>
                <w:lang w:eastAsia="zh-CN"/>
              </w:rPr>
              <w:t>工业和信息产业</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18"/>
                <w:szCs w:val="18"/>
                <w:lang w:val="en-US" w:eastAsia="zh-CN"/>
              </w:rPr>
            </w:pPr>
            <w:r>
              <w:rPr>
                <w:rFonts w:hint="eastAsia" w:ascii="方正仿宋_GBK" w:hAnsi="等线" w:cs="宋体"/>
                <w:color w:val="000000"/>
                <w:kern w:val="0"/>
                <w:sz w:val="18"/>
                <w:szCs w:val="18"/>
                <w:lang w:val="en-US" w:eastAsia="zh-CN"/>
              </w:rPr>
              <w:t>2150516</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eastAsia="方正仿宋_GBK" w:cs="宋体"/>
                <w:color w:val="000000"/>
                <w:kern w:val="0"/>
                <w:sz w:val="18"/>
                <w:szCs w:val="18"/>
                <w:lang w:eastAsia="zh-CN"/>
              </w:rPr>
            </w:pPr>
            <w:r>
              <w:rPr>
                <w:rFonts w:hint="eastAsia" w:ascii="方正仿宋_GBK" w:hAnsi="等线" w:cs="宋体"/>
                <w:color w:val="000000"/>
                <w:kern w:val="0"/>
                <w:sz w:val="18"/>
                <w:szCs w:val="18"/>
                <w:lang w:eastAsia="zh-CN"/>
              </w:rPr>
              <w:t>工程建设及运行维护</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hint="default" w:eastAsia="等线"/>
                <w:color w:val="000000"/>
                <w:kern w:val="0"/>
                <w:sz w:val="18"/>
                <w:szCs w:val="18"/>
                <w:highlight w:val="none"/>
                <w:lang w:val="en-US" w:eastAsia="zh-CN"/>
              </w:rPr>
            </w:pPr>
            <w:r>
              <w:rPr>
                <w:rFonts w:hint="eastAsia" w:eastAsia="等线"/>
                <w:color w:val="000000"/>
                <w:kern w:val="0"/>
                <w:sz w:val="18"/>
                <w:szCs w:val="18"/>
                <w:highlight w:val="none"/>
                <w:lang w:val="en-US" w:eastAsia="zh-CN"/>
              </w:rPr>
              <w:t>1.54</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221</w:t>
            </w:r>
          </w:p>
        </w:tc>
        <w:tc>
          <w:tcPr>
            <w:tcW w:w="253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住房保障支出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39.99</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39.99</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22102</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住房改革支出</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39.99</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39.99</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2210201</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住房公积金</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36.52</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36.52</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r>
        <w:tblPrEx>
          <w:tblLayout w:type="fixed"/>
          <w:tblCellMar>
            <w:top w:w="0" w:type="dxa"/>
            <w:left w:w="108" w:type="dxa"/>
            <w:bottom w:w="0" w:type="dxa"/>
            <w:right w:w="108" w:type="dxa"/>
          </w:tblCellMar>
        </w:tblPrEx>
        <w:trPr>
          <w:trHeight w:val="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2210203</w:t>
            </w:r>
          </w:p>
        </w:tc>
        <w:tc>
          <w:tcPr>
            <w:tcW w:w="253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18"/>
                <w:szCs w:val="18"/>
              </w:rPr>
            </w:pPr>
            <w:r>
              <w:rPr>
                <w:rFonts w:hint="eastAsia" w:ascii="方正仿宋_GBK" w:hAnsi="等线" w:cs="宋体"/>
                <w:color w:val="000000"/>
                <w:kern w:val="0"/>
                <w:sz w:val="18"/>
                <w:szCs w:val="18"/>
              </w:rPr>
              <w:t>  购房补贴</w:t>
            </w:r>
          </w:p>
        </w:tc>
        <w:tc>
          <w:tcPr>
            <w:tcW w:w="1100"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3.47</w:t>
            </w:r>
          </w:p>
        </w:tc>
        <w:tc>
          <w:tcPr>
            <w:tcW w:w="1203"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eastAsia="等线"/>
                <w:color w:val="000000"/>
                <w:kern w:val="0"/>
                <w:sz w:val="18"/>
                <w:szCs w:val="18"/>
              </w:rPr>
            </w:pPr>
            <w:r>
              <w:rPr>
                <w:rFonts w:eastAsia="等线"/>
                <w:color w:val="000000"/>
                <w:kern w:val="0"/>
                <w:sz w:val="18"/>
                <w:szCs w:val="18"/>
              </w:rPr>
              <w:t>3.47</w:t>
            </w:r>
          </w:p>
        </w:tc>
        <w:tc>
          <w:tcPr>
            <w:tcW w:w="1197"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3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14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64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81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975"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c>
          <w:tcPr>
            <w:tcW w:w="1253"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eastAsia="等线"/>
                <w:color w:val="000000"/>
                <w:kern w:val="0"/>
                <w:sz w:val="18"/>
                <w:szCs w:val="18"/>
              </w:rPr>
            </w:pPr>
            <w:r>
              <w:rPr>
                <w:rFonts w:eastAsia="等线"/>
                <w:color w:val="000000"/>
                <w:kern w:val="0"/>
                <w:sz w:val="18"/>
                <w:szCs w:val="18"/>
              </w:rPr>
              <w:t>　</w:t>
            </w:r>
          </w:p>
        </w:tc>
      </w:tr>
    </w:tbl>
    <w:p>
      <w:pPr>
        <w:pStyle w:val="7"/>
        <w:ind w:firstLine="420"/>
        <w:sectPr>
          <w:pgSz w:w="16838" w:h="11906" w:orient="landscape"/>
          <w:pgMar w:top="1803" w:right="1440" w:bottom="1803" w:left="1440" w:header="851" w:footer="992" w:gutter="0"/>
          <w:pgNumType w:fmt="decimal"/>
          <w:cols w:space="0" w:num="1"/>
          <w:rtlGutter w:val="0"/>
          <w:docGrid w:type="lines" w:linePitch="436" w:charSpace="0"/>
        </w:sectPr>
      </w:pPr>
    </w:p>
    <w:tbl>
      <w:tblPr>
        <w:tblStyle w:val="5"/>
        <w:tblW w:w="8522" w:type="dxa"/>
        <w:tblInd w:w="108" w:type="dxa"/>
        <w:tblLayout w:type="fixed"/>
        <w:tblCellMar>
          <w:top w:w="0" w:type="dxa"/>
          <w:left w:w="108" w:type="dxa"/>
          <w:bottom w:w="0" w:type="dxa"/>
          <w:right w:w="108" w:type="dxa"/>
        </w:tblCellMar>
      </w:tblPr>
      <w:tblGrid>
        <w:gridCol w:w="1281"/>
        <w:gridCol w:w="3592"/>
        <w:gridCol w:w="1176"/>
        <w:gridCol w:w="1184"/>
        <w:gridCol w:w="1289"/>
      </w:tblGrid>
      <w:tr>
        <w:tblPrEx>
          <w:tblLayout w:type="fixed"/>
          <w:tblCellMar>
            <w:top w:w="0" w:type="dxa"/>
            <w:left w:w="108" w:type="dxa"/>
            <w:bottom w:w="0" w:type="dxa"/>
            <w:right w:w="108" w:type="dxa"/>
          </w:tblCellMar>
        </w:tblPrEx>
        <w:trPr>
          <w:trHeight w:val="0" w:hRule="atLeast"/>
        </w:trPr>
        <w:tc>
          <w:tcPr>
            <w:tcW w:w="1281" w:type="dxa"/>
            <w:tcBorders>
              <w:top w:val="nil"/>
              <w:left w:val="nil"/>
              <w:bottom w:val="nil"/>
              <w:right w:val="nil"/>
            </w:tcBorders>
            <w:shd w:val="clear" w:color="auto" w:fill="auto"/>
          </w:tcPr>
          <w:p>
            <w:pPr>
              <w:snapToGrid w:val="0"/>
            </w:pPr>
            <w:r>
              <w:rPr>
                <w:rFonts w:hint="eastAsia"/>
              </w:rPr>
              <w:t>附表9</w:t>
            </w:r>
          </w:p>
        </w:tc>
        <w:tc>
          <w:tcPr>
            <w:tcW w:w="3592" w:type="dxa"/>
            <w:tcBorders>
              <w:top w:val="nil"/>
              <w:left w:val="nil"/>
              <w:bottom w:val="nil"/>
              <w:right w:val="nil"/>
            </w:tcBorders>
            <w:shd w:val="clear" w:color="auto" w:fill="auto"/>
            <w:noWrap/>
          </w:tcPr>
          <w:p>
            <w:pPr>
              <w:snapToGrid w:val="0"/>
            </w:pPr>
          </w:p>
        </w:tc>
        <w:tc>
          <w:tcPr>
            <w:tcW w:w="1176"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184"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8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312" w:hRule="atLeast"/>
        </w:trPr>
        <w:tc>
          <w:tcPr>
            <w:tcW w:w="8522" w:type="dxa"/>
            <w:gridSpan w:val="5"/>
            <w:vMerge w:val="restart"/>
            <w:tcBorders>
              <w:top w:val="nil"/>
              <w:left w:val="nil"/>
              <w:bottom w:val="nil"/>
              <w:right w:val="nil"/>
            </w:tcBorders>
            <w:shd w:val="clear" w:color="auto" w:fill="auto"/>
            <w:vAlign w:val="center"/>
          </w:tcPr>
          <w:p>
            <w:pPr>
              <w:widowControl/>
              <w:snapToGrid w:val="0"/>
              <w:jc w:val="center"/>
              <w:rPr>
                <w:rFonts w:ascii="方正小标宋_GBK" w:hAnsi="等线" w:eastAsia="方正小标宋_GBK" w:cs="宋体"/>
                <w:color w:val="000000"/>
                <w:kern w:val="0"/>
                <w:sz w:val="30"/>
                <w:szCs w:val="30"/>
              </w:rPr>
            </w:pPr>
            <w:r>
              <w:rPr>
                <w:rFonts w:hint="eastAsia" w:ascii="方正小标宋_GBK" w:hAnsi="等线" w:eastAsia="方正小标宋_GBK" w:cs="宋体"/>
                <w:color w:val="000000"/>
                <w:kern w:val="0"/>
                <w:sz w:val="30"/>
                <w:szCs w:val="30"/>
              </w:rPr>
              <w:t>2</w:t>
            </w:r>
            <w:r>
              <w:rPr>
                <w:rFonts w:ascii="方正小标宋_GBK" w:hAnsi="等线" w:eastAsia="方正小标宋_GBK" w:cs="宋体"/>
                <w:color w:val="000000"/>
                <w:kern w:val="0"/>
                <w:sz w:val="30"/>
                <w:szCs w:val="30"/>
              </w:rPr>
              <w:t>026</w:t>
            </w:r>
            <w:r>
              <w:rPr>
                <w:rFonts w:hint="eastAsia" w:ascii="方正小标宋_GBK" w:hAnsi="等线" w:eastAsia="方正小标宋_GBK" w:cs="宋体"/>
                <w:color w:val="000000"/>
                <w:kern w:val="0"/>
                <w:sz w:val="30"/>
                <w:szCs w:val="30"/>
              </w:rPr>
              <w:t>年重庆市九龙坡区城市管理局</w:t>
            </w:r>
            <w:r>
              <w:rPr>
                <w:rFonts w:hint="eastAsia" w:ascii="方正小标宋_GBK" w:hAnsi="等线" w:eastAsia="方正小标宋_GBK" w:cs="宋体"/>
                <w:color w:val="000000"/>
                <w:kern w:val="0"/>
                <w:sz w:val="28"/>
                <w:szCs w:val="28"/>
              </w:rPr>
              <w:t>（本级）</w:t>
            </w:r>
            <w:r>
              <w:rPr>
                <w:rFonts w:hint="eastAsia" w:ascii="方正小标宋_GBK" w:hAnsi="等线" w:eastAsia="方正小标宋_GBK" w:cs="宋体"/>
                <w:color w:val="000000"/>
                <w:kern w:val="0"/>
                <w:sz w:val="30"/>
                <w:szCs w:val="30"/>
              </w:rPr>
              <w:t>支出总表</w:t>
            </w:r>
          </w:p>
        </w:tc>
      </w:tr>
      <w:tr>
        <w:tblPrEx>
          <w:tblLayout w:type="fixed"/>
          <w:tblCellMar>
            <w:top w:w="0" w:type="dxa"/>
            <w:left w:w="108" w:type="dxa"/>
            <w:bottom w:w="0" w:type="dxa"/>
            <w:right w:w="108" w:type="dxa"/>
          </w:tblCellMar>
        </w:tblPrEx>
        <w:trPr>
          <w:trHeight w:val="312" w:hRule="atLeast"/>
        </w:trPr>
        <w:tc>
          <w:tcPr>
            <w:tcW w:w="8522" w:type="dxa"/>
            <w:gridSpan w:val="5"/>
            <w:vMerge w:val="continue"/>
            <w:tcBorders>
              <w:top w:val="nil"/>
              <w:left w:val="nil"/>
              <w:bottom w:val="nil"/>
              <w:right w:val="nil"/>
            </w:tcBorders>
            <w:vAlign w:val="center"/>
          </w:tcPr>
          <w:p>
            <w:pPr>
              <w:widowControl/>
              <w:snapToGrid w:val="0"/>
              <w:jc w:val="left"/>
              <w:rPr>
                <w:rFonts w:ascii="方正小标宋_GBK" w:hAnsi="等线" w:eastAsia="方正小标宋_GBK" w:cs="宋体"/>
                <w:color w:val="000000"/>
                <w:kern w:val="0"/>
                <w:sz w:val="30"/>
                <w:szCs w:val="30"/>
              </w:rPr>
            </w:pPr>
          </w:p>
        </w:tc>
      </w:tr>
      <w:tr>
        <w:tblPrEx>
          <w:tblLayout w:type="fixed"/>
          <w:tblCellMar>
            <w:top w:w="0" w:type="dxa"/>
            <w:left w:w="108" w:type="dxa"/>
            <w:bottom w:w="0" w:type="dxa"/>
            <w:right w:w="108" w:type="dxa"/>
          </w:tblCellMar>
        </w:tblPrEx>
        <w:trPr>
          <w:trHeight w:val="0" w:hRule="atLeast"/>
        </w:trPr>
        <w:tc>
          <w:tcPr>
            <w:tcW w:w="1281" w:type="dxa"/>
            <w:tcBorders>
              <w:top w:val="nil"/>
              <w:left w:val="nil"/>
              <w:bottom w:val="nil"/>
              <w:right w:val="nil"/>
            </w:tcBorders>
            <w:shd w:val="clear" w:color="auto" w:fill="auto"/>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592" w:type="dxa"/>
            <w:tcBorders>
              <w:top w:val="nil"/>
              <w:left w:val="nil"/>
              <w:bottom w:val="nil"/>
              <w:right w:val="nil"/>
            </w:tcBorders>
            <w:shd w:val="clear" w:color="auto" w:fill="auto"/>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76" w:type="dxa"/>
            <w:tcBorders>
              <w:top w:val="nil"/>
              <w:left w:val="nil"/>
              <w:bottom w:val="nil"/>
              <w:right w:val="nil"/>
            </w:tcBorders>
            <w:shd w:val="clear" w:color="auto" w:fill="auto"/>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84" w:type="dxa"/>
            <w:tcBorders>
              <w:top w:val="nil"/>
              <w:left w:val="nil"/>
              <w:bottom w:val="nil"/>
              <w:right w:val="nil"/>
            </w:tcBorders>
            <w:shd w:val="clear" w:color="auto" w:fill="auto"/>
            <w:vAlign w:val="center"/>
          </w:tcPr>
          <w:p>
            <w:pPr>
              <w:widowControl/>
              <w:snapToGrid w:val="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289" w:type="dxa"/>
            <w:tcBorders>
              <w:top w:val="nil"/>
              <w:left w:val="nil"/>
              <w:bottom w:val="nil"/>
              <w:right w:val="nil"/>
            </w:tcBorders>
            <w:shd w:val="clear" w:color="auto" w:fill="auto"/>
            <w:vAlign w:val="center"/>
          </w:tcPr>
          <w:p>
            <w:pPr>
              <w:widowControl/>
              <w:snapToGrid w:val="0"/>
              <w:jc w:val="right"/>
              <w:rPr>
                <w:rFonts w:ascii="方正楷体_GBK" w:hAnsi="等线" w:eastAsia="方正楷体_GBK" w:cs="宋体"/>
                <w:color w:val="000000"/>
                <w:kern w:val="0"/>
                <w:sz w:val="20"/>
              </w:rPr>
            </w:pPr>
            <w:r>
              <w:rPr>
                <w:rFonts w:hint="eastAsia" w:ascii="方正楷体_GBK" w:hAnsi="等线" w:eastAsia="方正楷体_GBK" w:cs="宋体"/>
                <w:color w:val="000000"/>
                <w:kern w:val="0"/>
                <w:sz w:val="20"/>
              </w:rPr>
              <w:t>单位：万元</w:t>
            </w:r>
          </w:p>
        </w:tc>
      </w:tr>
      <w:tr>
        <w:tblPrEx>
          <w:tblLayout w:type="fixed"/>
          <w:tblCellMar>
            <w:top w:w="0" w:type="dxa"/>
            <w:left w:w="108" w:type="dxa"/>
            <w:bottom w:w="0" w:type="dxa"/>
            <w:right w:w="108" w:type="dxa"/>
          </w:tblCellMar>
        </w:tblPrEx>
        <w:trPr>
          <w:trHeight w:val="0"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科目编码</w:t>
            </w:r>
          </w:p>
        </w:tc>
        <w:tc>
          <w:tcPr>
            <w:tcW w:w="3592"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科目名称</w:t>
            </w:r>
          </w:p>
        </w:tc>
        <w:tc>
          <w:tcPr>
            <w:tcW w:w="1176"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总计</w:t>
            </w:r>
          </w:p>
        </w:tc>
        <w:tc>
          <w:tcPr>
            <w:tcW w:w="1184"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hint="eastAsia"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基本</w:t>
            </w:r>
          </w:p>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支出</w:t>
            </w:r>
          </w:p>
        </w:tc>
        <w:tc>
          <w:tcPr>
            <w:tcW w:w="1289" w:type="dxa"/>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hint="eastAsia"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项目</w:t>
            </w:r>
          </w:p>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支出</w:t>
            </w:r>
          </w:p>
        </w:tc>
      </w:tr>
      <w:tr>
        <w:tblPrEx>
          <w:tblLayout w:type="fixed"/>
          <w:tblCellMar>
            <w:top w:w="0" w:type="dxa"/>
            <w:left w:w="108" w:type="dxa"/>
            <w:bottom w:w="0" w:type="dxa"/>
            <w:right w:w="108"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24,347.32</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b/>
                <w:bCs/>
                <w:color w:val="000000"/>
                <w:kern w:val="0"/>
                <w:sz w:val="24"/>
                <w:szCs w:val="24"/>
              </w:rPr>
            </w:pPr>
            <w:r>
              <w:rPr>
                <w:rFonts w:eastAsia="等线"/>
                <w:b/>
                <w:bCs/>
                <w:color w:val="000000"/>
                <w:kern w:val="0"/>
                <w:sz w:val="24"/>
                <w:szCs w:val="24"/>
              </w:rPr>
              <w:t>655.02</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b/>
                <w:bCs/>
                <w:color w:val="000000"/>
                <w:kern w:val="0"/>
                <w:sz w:val="24"/>
                <w:szCs w:val="24"/>
                <w:lang w:val="en-US" w:eastAsia="zh-CN"/>
              </w:rPr>
            </w:pPr>
            <w:r>
              <w:rPr>
                <w:rFonts w:hint="eastAsia" w:eastAsia="等线"/>
                <w:b/>
                <w:bCs/>
                <w:color w:val="000000"/>
                <w:kern w:val="0"/>
                <w:sz w:val="24"/>
                <w:szCs w:val="24"/>
                <w:lang w:val="en-US" w:eastAsia="zh-CN"/>
              </w:rPr>
              <w:t>23,692.30</w:t>
            </w:r>
          </w:p>
        </w:tc>
      </w:tr>
      <w:tr>
        <w:tblPrEx>
          <w:tblLayout w:type="fixed"/>
          <w:tblCellMar>
            <w:top w:w="0" w:type="dxa"/>
            <w:left w:w="108" w:type="dxa"/>
            <w:bottom w:w="0" w:type="dxa"/>
            <w:right w:w="108" w:type="dxa"/>
          </w:tblCellMar>
        </w:tblPrEx>
        <w:trPr>
          <w:trHeight w:val="326"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208</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社会保障和就业支出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163.03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163.03</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20805</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行政事业单位养老支出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163.03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163.03</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2080505</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机关事业单位基本养老保险缴费支出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42.71</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42.71</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2080506</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机关事业单位职业年金缴费支出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21.35</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21.35</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2080599</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其他行政事业单位养老支出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98.97</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98.97</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210</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卫生健康支出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34.81</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34.81</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21011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行政事业单位医疗</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34.81</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34.81</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2101101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行政单位医疗</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22.69</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22.69</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2101103</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公务员医疗补助</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8.12</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8.12</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2101199</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其他行政事业单位医疗支出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4.00</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4.00</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211</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节能环保支出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10,650.26</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eastAsia="等线"/>
                <w:color w:val="000000"/>
                <w:kern w:val="0"/>
                <w:sz w:val="24"/>
                <w:szCs w:val="24"/>
                <w:highlight w:val="none"/>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10,650.26</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21103</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污染防治</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10,650.26</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eastAsia="等线"/>
                <w:color w:val="000000"/>
                <w:kern w:val="0"/>
                <w:sz w:val="24"/>
                <w:szCs w:val="24"/>
                <w:highlight w:val="none"/>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10,650.26</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2110304</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固体废弃物与化学品</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3,506.83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eastAsia="等线"/>
                <w:color w:val="000000"/>
                <w:kern w:val="0"/>
                <w:sz w:val="24"/>
                <w:szCs w:val="24"/>
                <w:highlight w:val="none"/>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3,506.83</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2110399</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其他污染防治支出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7,143.43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7,143.43</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212</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城乡社区支出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lang w:val="en-US" w:eastAsia="zh-CN"/>
              </w:rPr>
            </w:pPr>
            <w:r>
              <w:rPr>
                <w:rFonts w:hint="eastAsia" w:eastAsia="等线"/>
                <w:color w:val="000000"/>
                <w:kern w:val="0"/>
                <w:sz w:val="24"/>
                <w:szCs w:val="24"/>
                <w:lang w:val="en-US" w:eastAsia="zh-CN"/>
              </w:rPr>
              <w:t>13,457.70</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417.20</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lang w:val="en-US" w:eastAsia="zh-CN"/>
              </w:rPr>
            </w:pPr>
            <w:r>
              <w:rPr>
                <w:rFonts w:hint="eastAsia" w:eastAsia="等线"/>
                <w:color w:val="000000"/>
                <w:kern w:val="0"/>
                <w:sz w:val="24"/>
                <w:szCs w:val="24"/>
                <w:lang w:val="en-US" w:eastAsia="zh-CN"/>
              </w:rPr>
              <w:t>13,040.50</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城乡社区管理事务</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747.19</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417.20</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329.98</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2120101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行政运行</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417.20</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417.20</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2120199</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其他城乡社区管理事务支出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329.98</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329.98</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21203</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城乡社区公共设施</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5,784.33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eastAsia="等线"/>
                <w:color w:val="000000"/>
                <w:kern w:val="0"/>
                <w:sz w:val="24"/>
                <w:szCs w:val="24"/>
                <w:highlight w:val="none"/>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5,784.33</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2120399</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其他城乡社区公共设施支出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5,784.33</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eastAsia="等线"/>
                <w:color w:val="000000"/>
                <w:kern w:val="0"/>
                <w:sz w:val="24"/>
                <w:szCs w:val="24"/>
                <w:highlight w:val="none"/>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5,784.33</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21205</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城乡社区环境卫生</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431.50</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431.50</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2120501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城乡社区环境卫生</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431.50</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431.50</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21298</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hint="eastAsia" w:ascii="方正仿宋_GBK" w:hAnsi="等线" w:cs="宋体"/>
                <w:kern w:val="0"/>
                <w:sz w:val="24"/>
                <w:szCs w:val="24"/>
                <w:lang w:eastAsia="zh-CN"/>
              </w:rPr>
            </w:pPr>
            <w:r>
              <w:rPr>
                <w:rFonts w:hint="eastAsia" w:ascii="方正仿宋_GBK" w:hAnsi="等线" w:cs="宋体"/>
                <w:kern w:val="0"/>
                <w:sz w:val="24"/>
                <w:szCs w:val="24"/>
                <w:lang w:eastAsia="zh-CN"/>
              </w:rPr>
              <w:t>超长期特别国债安排的支出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6,494.68</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6,494.68</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2129801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hint="eastAsia" w:ascii="方正仿宋_GBK" w:hAnsi="等线" w:cs="宋体"/>
                <w:kern w:val="0"/>
                <w:sz w:val="24"/>
                <w:szCs w:val="24"/>
                <w:lang w:eastAsia="zh-CN"/>
              </w:rPr>
            </w:pPr>
            <w:r>
              <w:rPr>
                <w:rFonts w:hint="eastAsia" w:ascii="方正仿宋_GBK" w:hAnsi="等线" w:cs="宋体"/>
                <w:kern w:val="0"/>
                <w:sz w:val="24"/>
                <w:szCs w:val="24"/>
                <w:lang w:eastAsia="zh-CN"/>
              </w:rPr>
              <w:t>城乡社区公共设施</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6,494.68</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6,494.68</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24"/>
                <w:szCs w:val="24"/>
                <w:lang w:val="en-US" w:eastAsia="zh-CN"/>
              </w:rPr>
            </w:pPr>
            <w:r>
              <w:rPr>
                <w:rFonts w:hint="eastAsia" w:ascii="方正仿宋_GBK" w:hAnsi="等线" w:cs="宋体"/>
                <w:color w:val="000000"/>
                <w:kern w:val="0"/>
                <w:sz w:val="24"/>
                <w:szCs w:val="24"/>
                <w:lang w:val="en-US" w:eastAsia="zh-CN"/>
              </w:rPr>
              <w:t>215</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cs="宋体"/>
                <w:kern w:val="0"/>
                <w:sz w:val="24"/>
                <w:szCs w:val="24"/>
                <w:lang w:val="en-US" w:eastAsia="zh-CN"/>
              </w:rPr>
            </w:pPr>
            <w:r>
              <w:rPr>
                <w:rFonts w:hint="eastAsia" w:ascii="方正仿宋_GBK" w:hAnsi="等线" w:cs="宋体"/>
                <w:kern w:val="0"/>
                <w:sz w:val="24"/>
                <w:szCs w:val="24"/>
                <w:lang w:eastAsia="zh-CN"/>
              </w:rPr>
              <w:t>资源勘探工业信息等支出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1.54</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rPr>
            </w:pP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rPr>
            </w:pPr>
            <w:r>
              <w:rPr>
                <w:rFonts w:hint="eastAsia" w:eastAsia="等线"/>
                <w:color w:val="000000"/>
                <w:kern w:val="0"/>
                <w:sz w:val="24"/>
                <w:szCs w:val="24"/>
                <w:highlight w:val="none"/>
                <w:lang w:val="en-US" w:eastAsia="zh-CN"/>
              </w:rPr>
              <w:t>1.54</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24"/>
                <w:szCs w:val="24"/>
                <w:lang w:val="en-US" w:eastAsia="zh-CN"/>
              </w:rPr>
            </w:pPr>
            <w:r>
              <w:rPr>
                <w:rFonts w:hint="eastAsia" w:ascii="方正仿宋_GBK" w:hAnsi="等线" w:cs="宋体"/>
                <w:color w:val="000000"/>
                <w:kern w:val="0"/>
                <w:sz w:val="24"/>
                <w:szCs w:val="24"/>
                <w:lang w:val="en-US" w:eastAsia="zh-CN"/>
              </w:rPr>
              <w:t>21505</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cs="宋体"/>
                <w:kern w:val="0"/>
                <w:sz w:val="24"/>
                <w:szCs w:val="24"/>
              </w:rPr>
            </w:pPr>
            <w:r>
              <w:rPr>
                <w:rFonts w:hint="eastAsia" w:ascii="方正仿宋_GBK" w:hAnsi="等线" w:cs="宋体"/>
                <w:kern w:val="0"/>
                <w:sz w:val="24"/>
                <w:szCs w:val="24"/>
                <w:lang w:eastAsia="zh-CN"/>
              </w:rPr>
              <w:t>工业和信息产业</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1.54</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1.54</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hint="default" w:ascii="方正仿宋_GBK" w:hAnsi="等线" w:eastAsia="方正仿宋_GBK" w:cs="宋体"/>
                <w:color w:val="000000"/>
                <w:kern w:val="0"/>
                <w:sz w:val="24"/>
                <w:szCs w:val="24"/>
                <w:lang w:val="en-US" w:eastAsia="zh-CN"/>
              </w:rPr>
            </w:pPr>
            <w:r>
              <w:rPr>
                <w:rFonts w:hint="eastAsia" w:ascii="方正仿宋_GBK" w:hAnsi="等线" w:cs="宋体"/>
                <w:color w:val="000000"/>
                <w:kern w:val="0"/>
                <w:sz w:val="24"/>
                <w:szCs w:val="24"/>
                <w:lang w:val="en-US" w:eastAsia="zh-CN"/>
              </w:rPr>
              <w:t>2150516</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hint="eastAsia" w:ascii="方正仿宋_GBK" w:hAnsi="等线" w:cs="宋体"/>
                <w:kern w:val="0"/>
                <w:sz w:val="24"/>
                <w:szCs w:val="24"/>
              </w:rPr>
            </w:pPr>
            <w:r>
              <w:rPr>
                <w:rFonts w:hint="eastAsia" w:ascii="方正仿宋_GBK" w:hAnsi="等线" w:cs="宋体"/>
                <w:kern w:val="0"/>
                <w:sz w:val="24"/>
                <w:szCs w:val="24"/>
                <w:lang w:eastAsia="zh-CN"/>
              </w:rPr>
              <w:t>工程建设及运行维护</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1.54</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highlight w:val="none"/>
              </w:rPr>
            </w:pPr>
            <w:r>
              <w:rPr>
                <w:rFonts w:hint="eastAsia" w:eastAsia="等线"/>
                <w:color w:val="000000"/>
                <w:kern w:val="0"/>
                <w:sz w:val="24"/>
                <w:szCs w:val="24"/>
                <w:highlight w:val="none"/>
                <w:lang w:val="en-US" w:eastAsia="zh-CN"/>
              </w:rPr>
              <w:t>1.54</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221</w:t>
            </w:r>
          </w:p>
        </w:tc>
        <w:tc>
          <w:tcPr>
            <w:tcW w:w="359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住房保障支出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39.99</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39.99</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22102</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住房改革支出</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39.99</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39.99</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2210201</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住房公积金</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36.52</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36.52</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r>
        <w:tblPrEx>
          <w:tblLayout w:type="fixed"/>
          <w:tblCellMar>
            <w:top w:w="0" w:type="dxa"/>
            <w:left w:w="108" w:type="dxa"/>
            <w:bottom w:w="0" w:type="dxa"/>
            <w:right w:w="108" w:type="dxa"/>
          </w:tblCellMar>
        </w:tblPrEx>
        <w:trPr>
          <w:trHeight w:val="0" w:hRule="atLeast"/>
        </w:trPr>
        <w:tc>
          <w:tcPr>
            <w:tcW w:w="128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2210203</w:t>
            </w:r>
          </w:p>
        </w:tc>
        <w:tc>
          <w:tcPr>
            <w:tcW w:w="3592"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购房补贴</w:t>
            </w:r>
          </w:p>
        </w:tc>
        <w:tc>
          <w:tcPr>
            <w:tcW w:w="1176"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3.47</w:t>
            </w:r>
          </w:p>
        </w:tc>
        <w:tc>
          <w:tcPr>
            <w:tcW w:w="1184"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3.47</w:t>
            </w:r>
          </w:p>
        </w:tc>
        <w:tc>
          <w:tcPr>
            <w:tcW w:w="128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　</w:t>
            </w:r>
          </w:p>
        </w:tc>
      </w:tr>
    </w:tbl>
    <w:p>
      <w:pPr>
        <w:pStyle w:val="7"/>
        <w:ind w:firstLine="420"/>
      </w:pPr>
    </w:p>
    <w:p/>
    <w:p/>
    <w:tbl>
      <w:tblPr>
        <w:tblStyle w:val="5"/>
        <w:tblW w:w="8519" w:type="dxa"/>
        <w:jc w:val="center"/>
        <w:tblInd w:w="0" w:type="dxa"/>
        <w:tblLayout w:type="fixed"/>
        <w:tblCellMar>
          <w:top w:w="0" w:type="dxa"/>
          <w:left w:w="108" w:type="dxa"/>
          <w:bottom w:w="0" w:type="dxa"/>
          <w:right w:w="108" w:type="dxa"/>
        </w:tblCellMar>
      </w:tblPr>
      <w:tblGrid>
        <w:gridCol w:w="2131"/>
        <w:gridCol w:w="4021"/>
        <w:gridCol w:w="2367"/>
      </w:tblGrid>
      <w:tr>
        <w:tblPrEx>
          <w:tblLayout w:type="fixed"/>
          <w:tblCellMar>
            <w:top w:w="0" w:type="dxa"/>
            <w:left w:w="108" w:type="dxa"/>
            <w:bottom w:w="0" w:type="dxa"/>
            <w:right w:w="108" w:type="dxa"/>
          </w:tblCellMar>
        </w:tblPrEx>
        <w:trPr>
          <w:trHeight w:val="0" w:hRule="atLeast"/>
          <w:jc w:val="center"/>
        </w:trPr>
        <w:tc>
          <w:tcPr>
            <w:tcW w:w="2131" w:type="dxa"/>
            <w:tcBorders>
              <w:top w:val="nil"/>
              <w:left w:val="nil"/>
              <w:bottom w:val="nil"/>
              <w:right w:val="nil"/>
            </w:tcBorders>
            <w:shd w:val="clear" w:color="auto" w:fill="auto"/>
            <w:vAlign w:val="center"/>
          </w:tcPr>
          <w:p>
            <w:pPr>
              <w:widowControl/>
              <w:snapToGrid w:val="0"/>
              <w:jc w:val="left"/>
              <w:rPr>
                <w:rFonts w:ascii="方正楷体_GBK" w:hAnsi="等线" w:eastAsia="方正楷体_GBK" w:cs="宋体"/>
                <w:color w:val="000000"/>
                <w:kern w:val="0"/>
                <w:sz w:val="20"/>
              </w:rPr>
            </w:pPr>
            <w:r>
              <w:rPr>
                <w:rFonts w:hint="eastAsia"/>
              </w:rPr>
              <w:t>附表1</w:t>
            </w:r>
            <w:r>
              <w:t>0</w:t>
            </w:r>
          </w:p>
        </w:tc>
        <w:tc>
          <w:tcPr>
            <w:tcW w:w="4021" w:type="dxa"/>
            <w:tcBorders>
              <w:top w:val="nil"/>
              <w:left w:val="nil"/>
              <w:bottom w:val="nil"/>
              <w:right w:val="nil"/>
            </w:tcBorders>
            <w:shd w:val="clear" w:color="auto" w:fill="auto"/>
            <w:noWrap/>
            <w:vAlign w:val="center"/>
          </w:tcPr>
          <w:p>
            <w:pPr>
              <w:widowControl/>
              <w:snapToGrid w:val="0"/>
              <w:jc w:val="left"/>
              <w:rPr>
                <w:rFonts w:ascii="方正楷体_GBK" w:hAnsi="等线" w:eastAsia="方正楷体_GBK" w:cs="宋体"/>
                <w:color w:val="000000"/>
                <w:kern w:val="0"/>
                <w:sz w:val="20"/>
              </w:rPr>
            </w:pPr>
          </w:p>
        </w:tc>
        <w:tc>
          <w:tcPr>
            <w:tcW w:w="236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402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36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8519" w:type="dxa"/>
            <w:gridSpan w:val="3"/>
            <w:tcBorders>
              <w:top w:val="nil"/>
              <w:left w:val="nil"/>
              <w:bottom w:val="nil"/>
              <w:right w:val="nil"/>
            </w:tcBorders>
            <w:shd w:val="clear" w:color="auto" w:fill="auto"/>
            <w:vAlign w:val="center"/>
          </w:tcPr>
          <w:p>
            <w:pPr>
              <w:widowControl/>
              <w:snapToGrid w:val="0"/>
              <w:jc w:val="center"/>
              <w:rPr>
                <w:rFonts w:ascii="方正小标宋_GBK" w:hAnsi="等线" w:eastAsia="方正小标宋_GBK" w:cs="宋体"/>
                <w:color w:val="000000"/>
                <w:kern w:val="0"/>
                <w:szCs w:val="32"/>
              </w:rPr>
            </w:pPr>
            <w:r>
              <w:rPr>
                <w:rFonts w:hint="eastAsia" w:ascii="方正小标宋_GBK" w:hAnsi="等线" w:eastAsia="方正小标宋_GBK" w:cs="宋体"/>
                <w:color w:val="000000"/>
                <w:kern w:val="0"/>
                <w:szCs w:val="32"/>
              </w:rPr>
              <w:t>2</w:t>
            </w:r>
            <w:r>
              <w:rPr>
                <w:rFonts w:ascii="方正小标宋_GBK" w:hAnsi="等线" w:eastAsia="方正小标宋_GBK" w:cs="宋体"/>
                <w:color w:val="000000"/>
                <w:kern w:val="0"/>
                <w:szCs w:val="32"/>
              </w:rPr>
              <w:t>026</w:t>
            </w:r>
            <w:r>
              <w:rPr>
                <w:rFonts w:hint="eastAsia" w:ascii="方正小标宋_GBK" w:hAnsi="等线" w:eastAsia="方正小标宋_GBK" w:cs="宋体"/>
                <w:color w:val="000000"/>
                <w:kern w:val="0"/>
                <w:szCs w:val="32"/>
              </w:rPr>
              <w:t>年重庆市九龙坡区城市管理局</w:t>
            </w:r>
            <w:r>
              <w:rPr>
                <w:rFonts w:hint="eastAsia" w:ascii="方正小标宋_GBK" w:hAnsi="等线" w:eastAsia="方正小标宋_GBK" w:cs="宋体"/>
                <w:color w:val="000000"/>
                <w:kern w:val="0"/>
                <w:sz w:val="28"/>
                <w:szCs w:val="28"/>
              </w:rPr>
              <w:t>（本级）</w:t>
            </w:r>
            <w:r>
              <w:rPr>
                <w:rFonts w:hint="eastAsia" w:ascii="方正小标宋_GBK" w:hAnsi="等线" w:eastAsia="方正小标宋_GBK" w:cs="宋体"/>
                <w:color w:val="000000"/>
                <w:kern w:val="0"/>
                <w:szCs w:val="32"/>
              </w:rPr>
              <w:t>一般公共预算财政拨款项目支出预算表</w:t>
            </w:r>
          </w:p>
        </w:tc>
      </w:tr>
      <w:tr>
        <w:tblPrEx>
          <w:tblLayout w:type="fixed"/>
          <w:tblCellMar>
            <w:top w:w="0" w:type="dxa"/>
            <w:left w:w="108" w:type="dxa"/>
            <w:bottom w:w="0" w:type="dxa"/>
            <w:right w:w="108" w:type="dxa"/>
          </w:tblCellMar>
        </w:tblPrEx>
        <w:trPr>
          <w:trHeight w:val="0" w:hRule="atLeast"/>
          <w:jc w:val="center"/>
        </w:trPr>
        <w:tc>
          <w:tcPr>
            <w:tcW w:w="8519" w:type="dxa"/>
            <w:gridSpan w:val="3"/>
            <w:tcBorders>
              <w:top w:val="nil"/>
              <w:left w:val="nil"/>
              <w:bottom w:val="nil"/>
              <w:right w:val="nil"/>
            </w:tcBorders>
            <w:shd w:val="clear" w:color="auto" w:fill="auto"/>
            <w:vAlign w:val="center"/>
          </w:tcPr>
          <w:p>
            <w:pPr>
              <w:widowControl/>
              <w:snapToGrid w:val="0"/>
              <w:jc w:val="center"/>
              <w:rPr>
                <w:rFonts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（部门预算支出经济分类科目）</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nil"/>
              <w:bottom w:val="nil"/>
              <w:right w:val="nil"/>
            </w:tcBorders>
            <w:shd w:val="clear" w:color="auto" w:fill="auto"/>
            <w:noWrap/>
            <w:vAlign w:val="center"/>
          </w:tcPr>
          <w:p>
            <w:pPr>
              <w:widowControl/>
              <w:snapToGrid w:val="0"/>
              <w:jc w:val="center"/>
              <w:rPr>
                <w:rFonts w:ascii="方正楷体_GBK" w:hAnsi="等线" w:eastAsia="方正楷体_GBK" w:cs="宋体"/>
                <w:color w:val="000000"/>
                <w:kern w:val="0"/>
                <w:sz w:val="24"/>
                <w:szCs w:val="24"/>
              </w:rPr>
            </w:pPr>
          </w:p>
        </w:tc>
        <w:tc>
          <w:tcPr>
            <w:tcW w:w="4021"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367" w:type="dxa"/>
            <w:tcBorders>
              <w:top w:val="nil"/>
              <w:left w:val="nil"/>
              <w:bottom w:val="nil"/>
              <w:right w:val="nil"/>
            </w:tcBorders>
            <w:shd w:val="clear" w:color="auto" w:fill="auto"/>
            <w:vAlign w:val="center"/>
          </w:tcPr>
          <w:p>
            <w:pPr>
              <w:widowControl/>
              <w:snapToGrid w:val="0"/>
              <w:jc w:val="right"/>
              <w:rPr>
                <w:rFonts w:ascii="方正仿宋_GBK" w:hAnsi="等线" w:cs="宋体"/>
                <w:color w:val="000000"/>
                <w:kern w:val="0"/>
                <w:sz w:val="24"/>
                <w:szCs w:val="24"/>
              </w:rPr>
            </w:pPr>
            <w:r>
              <w:rPr>
                <w:rFonts w:hint="eastAsia" w:ascii="方正仿宋_GBK" w:hAnsi="等线" w:cs="宋体"/>
                <w:color w:val="000000"/>
                <w:kern w:val="0"/>
                <w:sz w:val="24"/>
                <w:szCs w:val="24"/>
              </w:rPr>
              <w:t>单位：万元</w:t>
            </w:r>
          </w:p>
        </w:tc>
      </w:tr>
      <w:tr>
        <w:tblPrEx>
          <w:tblLayout w:type="fixed"/>
          <w:tblCellMar>
            <w:top w:w="0" w:type="dxa"/>
            <w:left w:w="108" w:type="dxa"/>
            <w:bottom w:w="0" w:type="dxa"/>
            <w:right w:w="108" w:type="dxa"/>
          </w:tblCellMar>
        </w:tblPrEx>
        <w:trPr>
          <w:trHeight w:val="0" w:hRule="atLeast"/>
          <w:jc w:val="center"/>
        </w:trPr>
        <w:tc>
          <w:tcPr>
            <w:tcW w:w="6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政府预算经济科目</w:t>
            </w:r>
          </w:p>
        </w:tc>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项目支出</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科目编码</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科目名称</w:t>
            </w:r>
          </w:p>
        </w:tc>
        <w:tc>
          <w:tcPr>
            <w:tcW w:w="23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大黑_GBK" w:hAnsi="方正大黑_GBK" w:eastAsia="等线" w:cs="宋体"/>
                <w:color w:val="000000"/>
                <w:kern w:val="0"/>
                <w:sz w:val="28"/>
                <w:szCs w:val="28"/>
              </w:rPr>
            </w:pPr>
          </w:p>
        </w:tc>
      </w:tr>
      <w:tr>
        <w:tblPrEx>
          <w:tblLayout w:type="fixed"/>
          <w:tblCellMar>
            <w:top w:w="0" w:type="dxa"/>
            <w:left w:w="108" w:type="dxa"/>
            <w:bottom w:w="0" w:type="dxa"/>
            <w:right w:w="108" w:type="dxa"/>
          </w:tblCellMar>
        </w:tblPrEx>
        <w:trPr>
          <w:trHeight w:val="398" w:hRule="atLeast"/>
          <w:jc w:val="center"/>
        </w:trPr>
        <w:tc>
          <w:tcPr>
            <w:tcW w:w="6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b/>
                <w:bCs/>
                <w:color w:val="000000"/>
                <w:kern w:val="0"/>
                <w:sz w:val="24"/>
                <w:szCs w:val="24"/>
                <w:highlight w:val="none"/>
                <w:lang w:val="en-US" w:eastAsia="zh-CN"/>
              </w:rPr>
            </w:pPr>
            <w:r>
              <w:rPr>
                <w:rFonts w:hint="eastAsia" w:eastAsia="等线"/>
                <w:b/>
                <w:bCs/>
                <w:color w:val="000000"/>
                <w:kern w:val="0"/>
                <w:sz w:val="24"/>
                <w:szCs w:val="24"/>
                <w:highlight w:val="none"/>
                <w:lang w:val="en-US" w:eastAsia="zh-CN"/>
              </w:rPr>
              <w:t>17,197.62</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302</w:t>
            </w:r>
          </w:p>
        </w:tc>
        <w:tc>
          <w:tcPr>
            <w:tcW w:w="4021"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16,458.72</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30201</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办公费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17.00</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30205</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水费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0.45</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30206</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电费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12.50</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30207</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邮电费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3.74</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30209</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物业管理费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6.00</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30213</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维修（护）费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1.00</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30214</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租赁费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101.02</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30226</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劳务费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6.00</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30227</w:t>
            </w:r>
          </w:p>
        </w:tc>
        <w:tc>
          <w:tcPr>
            <w:tcW w:w="4021"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委托业务费</w:t>
            </w:r>
          </w:p>
        </w:tc>
        <w:tc>
          <w:tcPr>
            <w:tcW w:w="2367"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16,188.14</w:t>
            </w:r>
          </w:p>
        </w:tc>
      </w:tr>
      <w:tr>
        <w:tblPrEx>
          <w:tblLayout w:type="fixed"/>
          <w:tblCellMar>
            <w:top w:w="0" w:type="dxa"/>
            <w:left w:w="108" w:type="dxa"/>
            <w:bottom w:w="0" w:type="dxa"/>
            <w:right w:w="108" w:type="dxa"/>
          </w:tblCellMar>
        </w:tblPrEx>
        <w:trPr>
          <w:trHeight w:val="0" w:hRule="atLeast"/>
          <w:jc w:val="center"/>
        </w:trPr>
        <w:tc>
          <w:tcPr>
            <w:tcW w:w="2131"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30239</w:t>
            </w:r>
          </w:p>
        </w:tc>
        <w:tc>
          <w:tcPr>
            <w:tcW w:w="4021" w:type="dxa"/>
            <w:tcBorders>
              <w:top w:val="nil"/>
              <w:left w:val="nil"/>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其他交通费用</w:t>
            </w:r>
          </w:p>
        </w:tc>
        <w:tc>
          <w:tcPr>
            <w:tcW w:w="2367" w:type="dxa"/>
            <w:tcBorders>
              <w:top w:val="nil"/>
              <w:left w:val="nil"/>
              <w:bottom w:val="single" w:color="auto"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11.00</w:t>
            </w:r>
          </w:p>
        </w:tc>
      </w:tr>
      <w:tr>
        <w:tblPrEx>
          <w:tblLayout w:type="fixed"/>
          <w:tblCellMar>
            <w:top w:w="0" w:type="dxa"/>
            <w:left w:w="108" w:type="dxa"/>
            <w:bottom w:w="0" w:type="dxa"/>
            <w:right w:w="108" w:type="dxa"/>
          </w:tblCellMar>
        </w:tblPrEx>
        <w:trPr>
          <w:trHeight w:val="0" w:hRule="atLeast"/>
          <w:jc w:val="center"/>
        </w:trPr>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30299</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其他商品和服务支出</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111.87</w:t>
            </w:r>
          </w:p>
        </w:tc>
      </w:tr>
      <w:tr>
        <w:tblPrEx>
          <w:tblLayout w:type="fixed"/>
          <w:tblCellMar>
            <w:top w:w="0" w:type="dxa"/>
            <w:left w:w="108" w:type="dxa"/>
            <w:bottom w:w="0" w:type="dxa"/>
            <w:right w:w="108" w:type="dxa"/>
          </w:tblCellMar>
        </w:tblPrEx>
        <w:trPr>
          <w:trHeight w:val="0" w:hRule="atLeast"/>
          <w:jc w:val="center"/>
        </w:trPr>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310</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方正仿宋_GBK" w:hAnsi="等线" w:eastAsia="方正仿宋_GBK" w:cs="宋体"/>
                <w:kern w:val="0"/>
                <w:sz w:val="24"/>
                <w:szCs w:val="24"/>
                <w:lang w:eastAsia="zh-CN"/>
              </w:rPr>
            </w:pPr>
            <w:r>
              <w:rPr>
                <w:rFonts w:hint="eastAsia" w:ascii="方正仿宋_GBK" w:hAnsi="等线" w:cs="宋体"/>
                <w:kern w:val="0"/>
                <w:sz w:val="24"/>
                <w:szCs w:val="24"/>
                <w:lang w:eastAsia="zh-CN"/>
              </w:rPr>
              <w:t>资本性支出</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738.89</w:t>
            </w:r>
          </w:p>
        </w:tc>
      </w:tr>
      <w:tr>
        <w:tblPrEx>
          <w:tblLayout w:type="fixed"/>
          <w:tblCellMar>
            <w:top w:w="0" w:type="dxa"/>
            <w:left w:w="108" w:type="dxa"/>
            <w:bottom w:w="0" w:type="dxa"/>
            <w:right w:w="108" w:type="dxa"/>
          </w:tblCellMar>
        </w:tblPrEx>
        <w:trPr>
          <w:trHeight w:val="0" w:hRule="atLeast"/>
          <w:jc w:val="center"/>
        </w:trPr>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31002</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eastAsia="zh-CN"/>
              </w:rPr>
              <w:t>办公设备购置费</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1.54</w:t>
            </w:r>
          </w:p>
        </w:tc>
      </w:tr>
      <w:tr>
        <w:tblPrEx>
          <w:tblLayout w:type="fixed"/>
          <w:tblCellMar>
            <w:top w:w="0" w:type="dxa"/>
            <w:left w:w="108" w:type="dxa"/>
            <w:bottom w:w="0" w:type="dxa"/>
            <w:right w:w="108" w:type="dxa"/>
          </w:tblCellMar>
        </w:tblPrEx>
        <w:trPr>
          <w:trHeight w:val="0" w:hRule="atLeast"/>
          <w:jc w:val="center"/>
        </w:trPr>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kern w:val="0"/>
                <w:sz w:val="24"/>
                <w:szCs w:val="24"/>
                <w:lang w:val="en-US" w:eastAsia="zh-CN"/>
              </w:rPr>
            </w:pPr>
            <w:r>
              <w:rPr>
                <w:rFonts w:hint="eastAsia" w:ascii="方正仿宋_GBK" w:hAnsi="等线" w:cs="宋体"/>
                <w:kern w:val="0"/>
                <w:sz w:val="24"/>
                <w:szCs w:val="24"/>
                <w:lang w:val="en-US" w:eastAsia="zh-CN"/>
              </w:rPr>
              <w:t>31005</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方正仿宋_GBK" w:hAnsi="等线" w:cs="宋体"/>
                <w:kern w:val="0"/>
                <w:sz w:val="24"/>
                <w:szCs w:val="24"/>
                <w:lang w:eastAsia="zh-CN"/>
              </w:rPr>
            </w:pPr>
            <w:r>
              <w:rPr>
                <w:rFonts w:hint="eastAsia" w:ascii="方正仿宋_GBK" w:hAnsi="等线" w:cs="宋体"/>
                <w:kern w:val="0"/>
                <w:sz w:val="24"/>
                <w:szCs w:val="24"/>
                <w:lang w:eastAsia="zh-CN"/>
              </w:rPr>
              <w:t>基础设施建设</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737.35</w:t>
            </w:r>
          </w:p>
        </w:tc>
      </w:tr>
    </w:tbl>
    <w:p/>
    <w:p>
      <w:pPr>
        <w:pStyle w:val="7"/>
        <w:ind w:firstLine="420"/>
      </w:pPr>
    </w:p>
    <w:p/>
    <w:p>
      <w:pPr>
        <w:pStyle w:val="7"/>
        <w:ind w:firstLine="420"/>
      </w:pPr>
    </w:p>
    <w:p/>
    <w:tbl>
      <w:tblPr>
        <w:tblStyle w:val="5"/>
        <w:tblW w:w="8519" w:type="dxa"/>
        <w:jc w:val="center"/>
        <w:tblInd w:w="0" w:type="dxa"/>
        <w:tblLayout w:type="fixed"/>
        <w:tblCellMar>
          <w:top w:w="0" w:type="dxa"/>
          <w:left w:w="108" w:type="dxa"/>
          <w:bottom w:w="0" w:type="dxa"/>
          <w:right w:w="108" w:type="dxa"/>
        </w:tblCellMar>
      </w:tblPr>
      <w:tblGrid>
        <w:gridCol w:w="2230"/>
        <w:gridCol w:w="3810"/>
        <w:gridCol w:w="2479"/>
      </w:tblGrid>
      <w:tr>
        <w:tblPrEx>
          <w:tblLayout w:type="fixed"/>
          <w:tblCellMar>
            <w:top w:w="0" w:type="dxa"/>
            <w:left w:w="108" w:type="dxa"/>
            <w:bottom w:w="0" w:type="dxa"/>
            <w:right w:w="108" w:type="dxa"/>
          </w:tblCellMar>
        </w:tblPrEx>
        <w:trPr>
          <w:trHeight w:val="0" w:hRule="atLeast"/>
          <w:jc w:val="center"/>
        </w:trPr>
        <w:tc>
          <w:tcPr>
            <w:tcW w:w="2230" w:type="dxa"/>
            <w:tcBorders>
              <w:top w:val="nil"/>
              <w:left w:val="nil"/>
              <w:bottom w:val="nil"/>
              <w:right w:val="nil"/>
            </w:tcBorders>
            <w:shd w:val="clear" w:color="auto" w:fill="auto"/>
            <w:vAlign w:val="center"/>
          </w:tcPr>
          <w:p>
            <w:pPr>
              <w:widowControl/>
              <w:snapToGrid w:val="0"/>
              <w:jc w:val="left"/>
              <w:rPr>
                <w:rFonts w:ascii="方正楷体_GBK" w:hAnsi="等线" w:eastAsia="方正楷体_GBK" w:cs="宋体"/>
                <w:color w:val="000000"/>
                <w:kern w:val="0"/>
                <w:sz w:val="20"/>
              </w:rPr>
            </w:pPr>
            <w:r>
              <w:rPr>
                <w:rFonts w:hint="eastAsia"/>
              </w:rPr>
              <w:t>附表1</w:t>
            </w:r>
            <w:r>
              <w:t>1</w:t>
            </w:r>
          </w:p>
        </w:tc>
        <w:tc>
          <w:tcPr>
            <w:tcW w:w="3810" w:type="dxa"/>
            <w:tcBorders>
              <w:top w:val="nil"/>
              <w:left w:val="nil"/>
              <w:bottom w:val="nil"/>
              <w:right w:val="nil"/>
            </w:tcBorders>
            <w:shd w:val="clear" w:color="auto" w:fill="auto"/>
            <w:noWrap/>
            <w:vAlign w:val="center"/>
          </w:tcPr>
          <w:p>
            <w:pPr>
              <w:widowControl/>
              <w:snapToGrid w:val="0"/>
              <w:jc w:val="left"/>
              <w:rPr>
                <w:rFonts w:ascii="方正楷体_GBK" w:hAnsi="等线" w:eastAsia="方正楷体_GBK" w:cs="宋体"/>
                <w:color w:val="000000"/>
                <w:kern w:val="0"/>
                <w:sz w:val="20"/>
              </w:rPr>
            </w:pPr>
          </w:p>
        </w:tc>
        <w:tc>
          <w:tcPr>
            <w:tcW w:w="247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381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7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r>
      <w:tr>
        <w:tblPrEx>
          <w:tblLayout w:type="fixed"/>
          <w:tblCellMar>
            <w:top w:w="0" w:type="dxa"/>
            <w:left w:w="108" w:type="dxa"/>
            <w:bottom w:w="0" w:type="dxa"/>
            <w:right w:w="108" w:type="dxa"/>
          </w:tblCellMar>
        </w:tblPrEx>
        <w:trPr>
          <w:trHeight w:val="0" w:hRule="atLeast"/>
          <w:jc w:val="center"/>
        </w:trPr>
        <w:tc>
          <w:tcPr>
            <w:tcW w:w="8519" w:type="dxa"/>
            <w:gridSpan w:val="3"/>
            <w:tcBorders>
              <w:top w:val="nil"/>
              <w:left w:val="nil"/>
              <w:bottom w:val="nil"/>
              <w:right w:val="nil"/>
            </w:tcBorders>
            <w:shd w:val="clear" w:color="auto" w:fill="auto"/>
            <w:vAlign w:val="center"/>
          </w:tcPr>
          <w:p>
            <w:pPr>
              <w:widowControl/>
              <w:snapToGrid w:val="0"/>
              <w:jc w:val="center"/>
              <w:rPr>
                <w:rFonts w:hint="eastAsia"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2026年重庆市九龙坡区城市管理局（本级）</w:t>
            </w:r>
          </w:p>
          <w:p>
            <w:pPr>
              <w:widowControl/>
              <w:snapToGrid w:val="0"/>
              <w:jc w:val="center"/>
              <w:rPr>
                <w:rFonts w:ascii="方正小标宋_GBK" w:hAnsi="等线" w:eastAsia="方正小标宋_GBK" w:cs="宋体"/>
                <w:color w:val="000000"/>
                <w:kern w:val="0"/>
                <w:sz w:val="34"/>
                <w:szCs w:val="34"/>
              </w:rPr>
            </w:pPr>
            <w:r>
              <w:rPr>
                <w:rFonts w:hint="eastAsia" w:ascii="方正小标宋_GBK" w:hAnsi="等线" w:eastAsia="方正小标宋_GBK" w:cs="宋体"/>
                <w:color w:val="000000"/>
                <w:kern w:val="0"/>
                <w:sz w:val="34"/>
                <w:szCs w:val="34"/>
              </w:rPr>
              <w:t>一般公共预算财政拨款项目支出预算表</w:t>
            </w:r>
          </w:p>
        </w:tc>
      </w:tr>
      <w:tr>
        <w:tblPrEx>
          <w:tblLayout w:type="fixed"/>
          <w:tblCellMar>
            <w:top w:w="0" w:type="dxa"/>
            <w:left w:w="108" w:type="dxa"/>
            <w:bottom w:w="0" w:type="dxa"/>
            <w:right w:w="108" w:type="dxa"/>
          </w:tblCellMar>
        </w:tblPrEx>
        <w:trPr>
          <w:trHeight w:val="0" w:hRule="atLeast"/>
          <w:jc w:val="center"/>
        </w:trPr>
        <w:tc>
          <w:tcPr>
            <w:tcW w:w="8519" w:type="dxa"/>
            <w:gridSpan w:val="3"/>
            <w:tcBorders>
              <w:top w:val="nil"/>
              <w:left w:val="nil"/>
              <w:bottom w:val="nil"/>
              <w:right w:val="nil"/>
            </w:tcBorders>
            <w:shd w:val="clear" w:color="auto" w:fill="auto"/>
            <w:vAlign w:val="center"/>
          </w:tcPr>
          <w:p>
            <w:pPr>
              <w:widowControl/>
              <w:snapToGrid w:val="0"/>
              <w:jc w:val="center"/>
              <w:rPr>
                <w:rFonts w:ascii="方正楷体_GBK" w:hAnsi="等线" w:eastAsia="方正楷体_GBK" w:cs="宋体"/>
                <w:color w:val="000000"/>
                <w:kern w:val="0"/>
                <w:sz w:val="24"/>
                <w:szCs w:val="24"/>
              </w:rPr>
            </w:pPr>
            <w:r>
              <w:rPr>
                <w:rFonts w:hint="eastAsia" w:ascii="方正楷体_GBK" w:hAnsi="等线" w:eastAsia="方正楷体_GBK" w:cs="宋体"/>
                <w:color w:val="000000"/>
                <w:kern w:val="0"/>
                <w:sz w:val="24"/>
                <w:szCs w:val="24"/>
              </w:rPr>
              <w:t>（政府预算支出经济分类科目）</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nil"/>
              <w:bottom w:val="nil"/>
              <w:right w:val="nil"/>
            </w:tcBorders>
            <w:shd w:val="clear" w:color="auto" w:fill="auto"/>
            <w:noWrap/>
            <w:vAlign w:val="center"/>
          </w:tcPr>
          <w:p>
            <w:pPr>
              <w:widowControl/>
              <w:snapToGrid w:val="0"/>
              <w:jc w:val="center"/>
              <w:rPr>
                <w:rFonts w:ascii="方正楷体_GBK" w:hAnsi="等线" w:eastAsia="方正楷体_GBK" w:cs="宋体"/>
                <w:color w:val="000000"/>
                <w:kern w:val="0"/>
                <w:sz w:val="24"/>
                <w:szCs w:val="24"/>
              </w:rPr>
            </w:pPr>
          </w:p>
        </w:tc>
        <w:tc>
          <w:tcPr>
            <w:tcW w:w="381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479" w:type="dxa"/>
            <w:tcBorders>
              <w:top w:val="nil"/>
              <w:left w:val="nil"/>
              <w:bottom w:val="nil"/>
              <w:right w:val="nil"/>
            </w:tcBorders>
            <w:shd w:val="clear" w:color="auto" w:fill="auto"/>
            <w:vAlign w:val="center"/>
          </w:tcPr>
          <w:p>
            <w:pPr>
              <w:widowControl/>
              <w:snapToGrid w:val="0"/>
              <w:jc w:val="right"/>
              <w:rPr>
                <w:rFonts w:ascii="方正仿宋_GBK" w:hAnsi="等线" w:cs="宋体"/>
                <w:color w:val="000000"/>
                <w:kern w:val="0"/>
                <w:sz w:val="24"/>
                <w:szCs w:val="24"/>
              </w:rPr>
            </w:pPr>
            <w:r>
              <w:rPr>
                <w:rFonts w:hint="eastAsia" w:ascii="方正仿宋_GBK" w:hAnsi="等线" w:cs="宋体"/>
                <w:color w:val="000000"/>
                <w:kern w:val="0"/>
                <w:sz w:val="24"/>
                <w:szCs w:val="24"/>
              </w:rPr>
              <w:t>单位：万元</w:t>
            </w:r>
          </w:p>
        </w:tc>
      </w:tr>
      <w:tr>
        <w:tblPrEx>
          <w:tblLayout w:type="fixed"/>
          <w:tblCellMar>
            <w:top w:w="0" w:type="dxa"/>
            <w:left w:w="108" w:type="dxa"/>
            <w:bottom w:w="0" w:type="dxa"/>
            <w:right w:w="108" w:type="dxa"/>
          </w:tblCellMar>
        </w:tblPrEx>
        <w:trPr>
          <w:trHeight w:val="0" w:hRule="atLeast"/>
          <w:jc w:val="center"/>
        </w:trPr>
        <w:tc>
          <w:tcPr>
            <w:tcW w:w="6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政府预算经济科目</w:t>
            </w:r>
          </w:p>
        </w:tc>
        <w:tc>
          <w:tcPr>
            <w:tcW w:w="2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大黑_GBK" w:hAnsi="方正大黑_GBK" w:eastAsia="等线" w:cs="宋体"/>
                <w:color w:val="000000"/>
                <w:kern w:val="0"/>
                <w:sz w:val="28"/>
                <w:szCs w:val="28"/>
              </w:rPr>
            </w:pPr>
            <w:r>
              <w:rPr>
                <w:rFonts w:ascii="方正大黑_GBK" w:hAnsi="方正大黑_GBK" w:eastAsia="等线" w:cs="宋体"/>
                <w:color w:val="000000"/>
                <w:kern w:val="0"/>
                <w:sz w:val="28"/>
                <w:szCs w:val="28"/>
              </w:rPr>
              <w:t>项目支出</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科目编码</w:t>
            </w:r>
          </w:p>
        </w:tc>
        <w:tc>
          <w:tcPr>
            <w:tcW w:w="3810"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黑体_GBK" w:hAnsi="等线" w:eastAsia="方正黑体_GBK" w:cs="宋体"/>
                <w:color w:val="000000"/>
                <w:kern w:val="0"/>
                <w:sz w:val="28"/>
                <w:szCs w:val="28"/>
              </w:rPr>
            </w:pPr>
            <w:r>
              <w:rPr>
                <w:rFonts w:hint="eastAsia" w:ascii="方正黑体_GBK" w:hAnsi="等线" w:eastAsia="方正黑体_GBK" w:cs="宋体"/>
                <w:color w:val="000000"/>
                <w:kern w:val="0"/>
                <w:sz w:val="28"/>
                <w:szCs w:val="28"/>
              </w:rPr>
              <w:t>科目名称</w:t>
            </w:r>
          </w:p>
        </w:tc>
        <w:tc>
          <w:tcPr>
            <w:tcW w:w="2479"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大黑_GBK" w:hAnsi="方正大黑_GBK" w:eastAsia="等线" w:cs="宋体"/>
                <w:color w:val="000000"/>
                <w:kern w:val="0"/>
                <w:sz w:val="28"/>
                <w:szCs w:val="28"/>
              </w:rPr>
            </w:pPr>
          </w:p>
        </w:tc>
      </w:tr>
      <w:tr>
        <w:tblPrEx>
          <w:tblLayout w:type="fixed"/>
          <w:tblCellMar>
            <w:top w:w="0" w:type="dxa"/>
            <w:left w:w="108" w:type="dxa"/>
            <w:bottom w:w="0" w:type="dxa"/>
            <w:right w:w="108" w:type="dxa"/>
          </w:tblCellMar>
        </w:tblPrEx>
        <w:trPr>
          <w:trHeight w:val="0" w:hRule="atLeast"/>
          <w:jc w:val="center"/>
        </w:trPr>
        <w:tc>
          <w:tcPr>
            <w:tcW w:w="6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等线" w:cs="宋体"/>
                <w:b/>
                <w:bCs/>
                <w:color w:val="000000"/>
                <w:kern w:val="0"/>
                <w:sz w:val="24"/>
                <w:szCs w:val="24"/>
              </w:rPr>
            </w:pPr>
            <w:r>
              <w:rPr>
                <w:rFonts w:hint="eastAsia" w:ascii="方正仿宋_GBK" w:hAnsi="等线" w:cs="宋体"/>
                <w:b/>
                <w:bCs/>
                <w:color w:val="000000"/>
                <w:kern w:val="0"/>
                <w:sz w:val="24"/>
                <w:szCs w:val="24"/>
              </w:rPr>
              <w:t>合计</w:t>
            </w:r>
          </w:p>
        </w:tc>
        <w:tc>
          <w:tcPr>
            <w:tcW w:w="247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b/>
                <w:bCs/>
                <w:color w:val="000000"/>
                <w:kern w:val="0"/>
                <w:sz w:val="24"/>
                <w:szCs w:val="24"/>
                <w:highlight w:val="none"/>
                <w:lang w:val="en-US" w:eastAsia="zh-CN"/>
              </w:rPr>
            </w:pPr>
            <w:r>
              <w:rPr>
                <w:rFonts w:hint="eastAsia" w:eastAsia="等线"/>
                <w:b/>
                <w:bCs/>
                <w:color w:val="000000"/>
                <w:kern w:val="0"/>
                <w:sz w:val="24"/>
                <w:szCs w:val="24"/>
                <w:highlight w:val="none"/>
                <w:lang w:val="en-US" w:eastAsia="zh-CN"/>
              </w:rPr>
              <w:t>17,197.62</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502</w:t>
            </w:r>
          </w:p>
        </w:tc>
        <w:tc>
          <w:tcPr>
            <w:tcW w:w="3810"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color w:val="000000"/>
                <w:kern w:val="0"/>
                <w:sz w:val="24"/>
                <w:szCs w:val="24"/>
              </w:rPr>
              <w:t>机关商品和服务支出</w:t>
            </w:r>
          </w:p>
        </w:tc>
        <w:tc>
          <w:tcPr>
            <w:tcW w:w="247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16,458.72</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50201</w:t>
            </w:r>
          </w:p>
        </w:tc>
        <w:tc>
          <w:tcPr>
            <w:tcW w:w="3810"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办公经费</w:t>
            </w:r>
          </w:p>
        </w:tc>
        <w:tc>
          <w:tcPr>
            <w:tcW w:w="2479" w:type="dxa"/>
            <w:tcBorders>
              <w:top w:val="nil"/>
              <w:left w:val="nil"/>
              <w:bottom w:val="single" w:color="000000"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151.71</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50205</w:t>
            </w:r>
          </w:p>
        </w:tc>
        <w:tc>
          <w:tcPr>
            <w:tcW w:w="3810" w:type="dxa"/>
            <w:tcBorders>
              <w:top w:val="nil"/>
              <w:left w:val="nil"/>
              <w:bottom w:val="single" w:color="000000"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委托业务费</w:t>
            </w:r>
          </w:p>
        </w:tc>
        <w:tc>
          <w:tcPr>
            <w:tcW w:w="2479" w:type="dxa"/>
            <w:tcBorders>
              <w:top w:val="nil"/>
              <w:left w:val="nil"/>
              <w:bottom w:val="single" w:color="000000" w:sz="4" w:space="0"/>
              <w:right w:val="single" w:color="000000"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16,194.14</w:t>
            </w:r>
          </w:p>
        </w:tc>
      </w:tr>
      <w:tr>
        <w:tblPrEx>
          <w:tblLayout w:type="fixed"/>
          <w:tblCellMar>
            <w:top w:w="0" w:type="dxa"/>
            <w:left w:w="108" w:type="dxa"/>
            <w:bottom w:w="0" w:type="dxa"/>
            <w:right w:w="108" w:type="dxa"/>
          </w:tblCellMar>
        </w:tblPrEx>
        <w:trPr>
          <w:trHeight w:val="0" w:hRule="atLeast"/>
          <w:jc w:val="center"/>
        </w:trPr>
        <w:tc>
          <w:tcPr>
            <w:tcW w:w="2230"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50209</w:t>
            </w:r>
          </w:p>
        </w:tc>
        <w:tc>
          <w:tcPr>
            <w:tcW w:w="3810" w:type="dxa"/>
            <w:tcBorders>
              <w:top w:val="nil"/>
              <w:left w:val="nil"/>
              <w:bottom w:val="single" w:color="auto" w:sz="4" w:space="0"/>
              <w:right w:val="single" w:color="000000"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维修（护）费</w:t>
            </w:r>
          </w:p>
        </w:tc>
        <w:tc>
          <w:tcPr>
            <w:tcW w:w="2479" w:type="dxa"/>
            <w:tcBorders>
              <w:top w:val="nil"/>
              <w:left w:val="nil"/>
              <w:bottom w:val="single" w:color="auto" w:sz="4" w:space="0"/>
              <w:right w:val="single" w:color="000000"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1.00</w:t>
            </w:r>
          </w:p>
        </w:tc>
      </w:tr>
      <w:tr>
        <w:tblPrEx>
          <w:tblLayout w:type="fixed"/>
          <w:tblCellMar>
            <w:top w:w="0" w:type="dxa"/>
            <w:left w:w="108" w:type="dxa"/>
            <w:bottom w:w="0" w:type="dxa"/>
            <w:right w:w="108" w:type="dxa"/>
          </w:tblCellMar>
        </w:tblPrEx>
        <w:trPr>
          <w:trHeight w:val="0"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50299</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ascii="方正仿宋_GBK" w:hAnsi="等线" w:cs="宋体"/>
                <w:color w:val="000000"/>
                <w:kern w:val="0"/>
                <w:sz w:val="24"/>
                <w:szCs w:val="24"/>
              </w:rPr>
            </w:pPr>
            <w:r>
              <w:rPr>
                <w:rFonts w:hint="eastAsia" w:ascii="方正仿宋_GBK" w:hAnsi="等线" w:cs="宋体"/>
                <w:kern w:val="0"/>
                <w:sz w:val="24"/>
                <w:szCs w:val="24"/>
              </w:rPr>
              <w:t> 其他商品和服务支出</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eastAsia="等线"/>
                <w:color w:val="000000"/>
                <w:kern w:val="0"/>
                <w:sz w:val="24"/>
                <w:szCs w:val="24"/>
              </w:rPr>
            </w:pPr>
            <w:r>
              <w:rPr>
                <w:rFonts w:eastAsia="等线"/>
                <w:color w:val="000000"/>
                <w:kern w:val="0"/>
                <w:sz w:val="24"/>
                <w:szCs w:val="24"/>
              </w:rPr>
              <w:t>111.87</w:t>
            </w:r>
          </w:p>
        </w:tc>
      </w:tr>
      <w:tr>
        <w:tblPrEx>
          <w:tblLayout w:type="fixed"/>
          <w:tblCellMar>
            <w:top w:w="0" w:type="dxa"/>
            <w:left w:w="108" w:type="dxa"/>
            <w:bottom w:w="0" w:type="dxa"/>
            <w:right w:w="108" w:type="dxa"/>
          </w:tblCellMar>
        </w:tblPrEx>
        <w:trPr>
          <w:trHeight w:val="0"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503</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方正仿宋_GBK" w:hAnsi="等线" w:eastAsia="方正仿宋_GBK" w:cs="宋体"/>
                <w:kern w:val="0"/>
                <w:sz w:val="24"/>
                <w:szCs w:val="24"/>
                <w:lang w:eastAsia="zh-CN"/>
              </w:rPr>
            </w:pPr>
            <w:r>
              <w:rPr>
                <w:rFonts w:hint="eastAsia" w:ascii="方正仿宋_GBK" w:hAnsi="等线" w:cs="宋体"/>
                <w:kern w:val="0"/>
                <w:sz w:val="24"/>
                <w:szCs w:val="24"/>
                <w:lang w:eastAsia="zh-CN"/>
              </w:rPr>
              <w:t>机关资本性支出</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738.89</w:t>
            </w:r>
          </w:p>
        </w:tc>
      </w:tr>
      <w:tr>
        <w:tblPrEx>
          <w:tblLayout w:type="fixed"/>
          <w:tblCellMar>
            <w:top w:w="0" w:type="dxa"/>
            <w:left w:w="108" w:type="dxa"/>
            <w:bottom w:w="0" w:type="dxa"/>
            <w:right w:w="108" w:type="dxa"/>
          </w:tblCellMar>
        </w:tblPrEx>
        <w:trPr>
          <w:trHeight w:val="0"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50302</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eastAsia" w:ascii="方正仿宋_GBK" w:hAnsi="等线" w:eastAsia="方正仿宋_GBK" w:cs="宋体"/>
                <w:kern w:val="0"/>
                <w:sz w:val="24"/>
                <w:szCs w:val="24"/>
                <w:lang w:val="en-US" w:eastAsia="zh-CN"/>
              </w:rPr>
            </w:pPr>
            <w:r>
              <w:rPr>
                <w:rFonts w:hint="eastAsia" w:ascii="方正仿宋_GBK" w:hAnsi="等线" w:cs="宋体"/>
                <w:kern w:val="0"/>
                <w:sz w:val="24"/>
                <w:szCs w:val="24"/>
                <w:lang w:val="en-US" w:eastAsia="zh-CN"/>
              </w:rPr>
              <w:t xml:space="preserve"> 基础设施建设</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737.35</w:t>
            </w:r>
          </w:p>
        </w:tc>
      </w:tr>
      <w:tr>
        <w:tblPrEx>
          <w:tblLayout w:type="fixed"/>
          <w:tblCellMar>
            <w:top w:w="0" w:type="dxa"/>
            <w:left w:w="108" w:type="dxa"/>
            <w:bottom w:w="0" w:type="dxa"/>
            <w:right w:w="108" w:type="dxa"/>
          </w:tblCellMar>
        </w:tblPrEx>
        <w:trPr>
          <w:trHeight w:val="0" w:hRule="atLeast"/>
          <w:jc w:val="center"/>
        </w:trPr>
        <w:tc>
          <w:tcPr>
            <w:tcW w:w="2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kern w:val="0"/>
                <w:sz w:val="24"/>
                <w:szCs w:val="24"/>
                <w:lang w:val="en-US" w:eastAsia="zh-CN"/>
              </w:rPr>
            </w:pPr>
            <w:r>
              <w:rPr>
                <w:rFonts w:hint="eastAsia" w:ascii="方正仿宋_GBK" w:hAnsi="等线" w:cs="宋体"/>
                <w:kern w:val="0"/>
                <w:sz w:val="24"/>
                <w:szCs w:val="24"/>
                <w:lang w:val="en-US" w:eastAsia="zh-CN"/>
              </w:rPr>
              <w:t>50306</w:t>
            </w:r>
          </w:p>
        </w:tc>
        <w:tc>
          <w:tcPr>
            <w:tcW w:w="3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left"/>
              <w:rPr>
                <w:rFonts w:hint="default" w:ascii="方正仿宋_GBK" w:hAnsi="等线" w:cs="宋体"/>
                <w:kern w:val="0"/>
                <w:sz w:val="24"/>
                <w:szCs w:val="24"/>
                <w:lang w:val="en-US" w:eastAsia="zh-CN"/>
              </w:rPr>
            </w:pPr>
            <w:r>
              <w:rPr>
                <w:rFonts w:hint="eastAsia" w:ascii="方正仿宋_GBK" w:hAnsi="等线" w:cs="宋体"/>
                <w:kern w:val="0"/>
                <w:sz w:val="24"/>
                <w:szCs w:val="24"/>
                <w:lang w:val="en-US" w:eastAsia="zh-CN"/>
              </w:rPr>
              <w:t xml:space="preserve"> 设备购置</w:t>
            </w:r>
          </w:p>
        </w:tc>
        <w:tc>
          <w:tcPr>
            <w:tcW w:w="24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right"/>
              <w:rPr>
                <w:rFonts w:hint="default" w:eastAsia="等线"/>
                <w:color w:val="000000"/>
                <w:kern w:val="0"/>
                <w:sz w:val="24"/>
                <w:szCs w:val="24"/>
                <w:highlight w:val="none"/>
                <w:lang w:val="en-US" w:eastAsia="zh-CN"/>
              </w:rPr>
            </w:pPr>
            <w:r>
              <w:rPr>
                <w:rFonts w:hint="eastAsia" w:eastAsia="等线"/>
                <w:color w:val="000000"/>
                <w:kern w:val="0"/>
                <w:sz w:val="24"/>
                <w:szCs w:val="24"/>
                <w:highlight w:val="none"/>
                <w:lang w:val="en-US" w:eastAsia="zh-CN"/>
              </w:rPr>
              <w:t>1.54</w:t>
            </w:r>
          </w:p>
        </w:tc>
      </w:tr>
    </w:tbl>
    <w:p/>
    <w:p>
      <w:pPr>
        <w:pStyle w:val="7"/>
        <w:ind w:firstLine="420"/>
      </w:pPr>
    </w:p>
    <w:p/>
    <w:p>
      <w:pPr>
        <w:pStyle w:val="7"/>
        <w:ind w:firstLine="420"/>
      </w:pPr>
    </w:p>
    <w:p/>
    <w:p>
      <w:pPr>
        <w:pStyle w:val="7"/>
        <w:ind w:firstLine="420"/>
      </w:pPr>
    </w:p>
    <w:p/>
    <w:p>
      <w:pPr>
        <w:pStyle w:val="7"/>
        <w:ind w:firstLine="420"/>
      </w:pPr>
    </w:p>
    <w:p/>
    <w:p>
      <w:pPr>
        <w:pStyle w:val="7"/>
        <w:ind w:firstLine="420"/>
      </w:pPr>
    </w:p>
    <w:p/>
    <w:p>
      <w:pPr>
        <w:pStyle w:val="7"/>
        <w:ind w:firstLine="420"/>
      </w:pPr>
    </w:p>
    <w:p>
      <w:pPr>
        <w:sectPr>
          <w:pgSz w:w="11906" w:h="16838"/>
          <w:pgMar w:top="1440" w:right="1800" w:bottom="1440" w:left="1800" w:header="851" w:footer="992" w:gutter="0"/>
          <w:pgNumType w:fmt="decimal"/>
          <w:cols w:space="0" w:num="1"/>
          <w:rtlGutter w:val="0"/>
          <w:docGrid w:type="lines" w:linePitch="435" w:charSpace="0"/>
        </w:sectPr>
      </w:pPr>
    </w:p>
    <w:tbl>
      <w:tblPr>
        <w:tblStyle w:val="5"/>
        <w:tblW w:w="14174" w:type="dxa"/>
        <w:tblInd w:w="0" w:type="dxa"/>
        <w:tblLayout w:type="fixed"/>
        <w:tblCellMar>
          <w:top w:w="0" w:type="dxa"/>
          <w:left w:w="108" w:type="dxa"/>
          <w:bottom w:w="0" w:type="dxa"/>
          <w:right w:w="108" w:type="dxa"/>
        </w:tblCellMar>
      </w:tblPr>
      <w:tblGrid>
        <w:gridCol w:w="1315"/>
        <w:gridCol w:w="1029"/>
        <w:gridCol w:w="1275"/>
        <w:gridCol w:w="1087"/>
        <w:gridCol w:w="738"/>
        <w:gridCol w:w="712"/>
        <w:gridCol w:w="375"/>
        <w:gridCol w:w="588"/>
        <w:gridCol w:w="937"/>
        <w:gridCol w:w="988"/>
        <w:gridCol w:w="999"/>
        <w:gridCol w:w="292"/>
        <w:gridCol w:w="292"/>
        <w:gridCol w:w="300"/>
        <w:gridCol w:w="292"/>
        <w:gridCol w:w="292"/>
        <w:gridCol w:w="298"/>
        <w:gridCol w:w="292"/>
        <w:gridCol w:w="292"/>
        <w:gridCol w:w="292"/>
        <w:gridCol w:w="292"/>
        <w:gridCol w:w="292"/>
        <w:gridCol w:w="292"/>
        <w:gridCol w:w="292"/>
        <w:gridCol w:w="321"/>
      </w:tblGrid>
      <w:tr>
        <w:tblPrEx>
          <w:tblLayout w:type="fixed"/>
          <w:tblCellMar>
            <w:top w:w="0" w:type="dxa"/>
            <w:left w:w="108" w:type="dxa"/>
            <w:bottom w:w="0" w:type="dxa"/>
            <w:right w:w="108" w:type="dxa"/>
          </w:tblCellMar>
        </w:tblPrEx>
        <w:trPr>
          <w:trHeight w:val="0" w:hRule="atLeast"/>
        </w:trPr>
        <w:tc>
          <w:tcPr>
            <w:tcW w:w="2344" w:type="dxa"/>
            <w:gridSpan w:val="2"/>
            <w:tcBorders>
              <w:top w:val="nil"/>
              <w:left w:val="nil"/>
              <w:bottom w:val="nil"/>
              <w:right w:val="nil"/>
            </w:tcBorders>
            <w:shd w:val="clear" w:color="auto" w:fill="auto"/>
            <w:vAlign w:val="center"/>
          </w:tcPr>
          <w:p>
            <w:pPr>
              <w:widowControl/>
              <w:snapToGrid w:val="0"/>
              <w:jc w:val="left"/>
              <w:rPr>
                <w:rFonts w:ascii="宋体" w:hAnsi="宋体" w:eastAsia="宋体" w:cs="宋体"/>
                <w:color w:val="C0C0C0"/>
                <w:kern w:val="0"/>
                <w:szCs w:val="32"/>
              </w:rPr>
            </w:pPr>
            <w:r>
              <w:rPr>
                <w:rFonts w:hint="eastAsia"/>
                <w:sz w:val="32"/>
                <w:szCs w:val="32"/>
              </w:rPr>
              <w:t>附表1</w:t>
            </w:r>
            <w:r>
              <w:rPr>
                <w:sz w:val="32"/>
                <w:szCs w:val="32"/>
              </w:rPr>
              <w:t>2</w:t>
            </w:r>
          </w:p>
        </w:tc>
        <w:tc>
          <w:tcPr>
            <w:tcW w:w="1275"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1087"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738"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71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375"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588"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937"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988"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999"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300"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8"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c>
          <w:tcPr>
            <w:tcW w:w="321" w:type="dxa"/>
            <w:tcBorders>
              <w:top w:val="nil"/>
              <w:left w:val="nil"/>
              <w:bottom w:val="nil"/>
              <w:right w:val="nil"/>
            </w:tcBorders>
            <w:shd w:val="clear" w:color="auto" w:fill="auto"/>
            <w:noWrap/>
            <w:vAlign w:val="center"/>
          </w:tcPr>
          <w:p>
            <w:pPr>
              <w:widowControl/>
              <w:snapToGrid w:val="0"/>
              <w:jc w:val="left"/>
              <w:rPr>
                <w:rFonts w:eastAsia="Times New Roman"/>
                <w:kern w:val="0"/>
                <w:sz w:val="24"/>
                <w:szCs w:val="24"/>
              </w:rPr>
            </w:pPr>
          </w:p>
        </w:tc>
      </w:tr>
      <w:tr>
        <w:tblPrEx>
          <w:tblLayout w:type="fixed"/>
          <w:tblCellMar>
            <w:top w:w="0" w:type="dxa"/>
            <w:left w:w="108" w:type="dxa"/>
            <w:bottom w:w="0" w:type="dxa"/>
            <w:right w:w="108" w:type="dxa"/>
          </w:tblCellMar>
        </w:tblPrEx>
        <w:trPr>
          <w:trHeight w:val="312" w:hRule="atLeast"/>
        </w:trPr>
        <w:tc>
          <w:tcPr>
            <w:tcW w:w="14174" w:type="dxa"/>
            <w:gridSpan w:val="25"/>
            <w:vMerge w:val="restart"/>
            <w:tcBorders>
              <w:top w:val="nil"/>
              <w:left w:val="nil"/>
              <w:bottom w:val="nil"/>
              <w:right w:val="nil"/>
            </w:tcBorders>
            <w:shd w:val="clear" w:color="auto" w:fill="auto"/>
            <w:vAlign w:val="center"/>
          </w:tcPr>
          <w:p>
            <w:pPr>
              <w:widowControl/>
              <w:snapToGrid w:val="0"/>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2026年重庆市九龙坡区城市管理局（本级）政府采购明细表</w:t>
            </w:r>
          </w:p>
          <w:p>
            <w:pPr>
              <w:pStyle w:val="7"/>
              <w:snapToGrid w:val="0"/>
              <w:ind w:firstLine="420"/>
              <w:rPr>
                <w:rFonts w:ascii="方正仿宋_GBK" w:eastAsia="方正仿宋_GBK"/>
              </w:rPr>
            </w:pPr>
            <w:r>
              <w:rPr>
                <w:rFonts w:hint="eastAsia"/>
              </w:rPr>
              <w:t xml:space="preserve"> </w:t>
            </w:r>
            <w:r>
              <w:t xml:space="preserve">                                                                                              </w:t>
            </w:r>
            <w:r>
              <w:rPr>
                <w:rFonts w:hint="eastAsia" w:ascii="方正仿宋_GBK" w:eastAsia="方正仿宋_GBK"/>
              </w:rPr>
              <w:t xml:space="preserve">       金额</w:t>
            </w:r>
            <w:r>
              <w:rPr>
                <w:rFonts w:hint="eastAsia" w:ascii="方正仿宋_GBK" w:hAnsi="等线" w:eastAsia="方正仿宋_GBK" w:cs="宋体"/>
                <w:color w:val="000000"/>
                <w:kern w:val="0"/>
                <w:sz w:val="24"/>
                <w:szCs w:val="24"/>
              </w:rPr>
              <w:t>单位：万元</w:t>
            </w:r>
          </w:p>
        </w:tc>
      </w:tr>
      <w:tr>
        <w:tblPrEx>
          <w:tblLayout w:type="fixed"/>
          <w:tblCellMar>
            <w:top w:w="0" w:type="dxa"/>
            <w:left w:w="108" w:type="dxa"/>
            <w:bottom w:w="0" w:type="dxa"/>
            <w:right w:w="108" w:type="dxa"/>
          </w:tblCellMar>
        </w:tblPrEx>
        <w:trPr>
          <w:trHeight w:val="312" w:hRule="atLeast"/>
        </w:trPr>
        <w:tc>
          <w:tcPr>
            <w:tcW w:w="14174" w:type="dxa"/>
            <w:gridSpan w:val="25"/>
            <w:vMerge w:val="continue"/>
            <w:tcBorders>
              <w:top w:val="nil"/>
              <w:left w:val="nil"/>
              <w:bottom w:val="nil"/>
              <w:right w:val="nil"/>
            </w:tcBorders>
            <w:vAlign w:val="center"/>
          </w:tcPr>
          <w:p>
            <w:pPr>
              <w:widowControl/>
              <w:snapToGrid w:val="0"/>
              <w:jc w:val="left"/>
              <w:rPr>
                <w:rFonts w:ascii="宋体" w:hAnsi="宋体" w:eastAsia="宋体" w:cs="宋体"/>
                <w:color w:val="000000"/>
                <w:kern w:val="0"/>
                <w:sz w:val="38"/>
                <w:szCs w:val="38"/>
              </w:rPr>
            </w:pPr>
          </w:p>
        </w:tc>
      </w:tr>
      <w:tr>
        <w:tblPrEx>
          <w:tblLayout w:type="fixed"/>
          <w:tblCellMar>
            <w:top w:w="0" w:type="dxa"/>
            <w:left w:w="108" w:type="dxa"/>
            <w:bottom w:w="0" w:type="dxa"/>
            <w:right w:w="108" w:type="dxa"/>
          </w:tblCellMar>
        </w:tblPrEx>
        <w:trPr>
          <w:trHeight w:val="0" w:hRule="atLeast"/>
        </w:trPr>
        <w:tc>
          <w:tcPr>
            <w:tcW w:w="1315" w:type="dxa"/>
            <w:tcBorders>
              <w:top w:val="nil"/>
              <w:left w:val="nil"/>
              <w:bottom w:val="nil"/>
              <w:right w:val="nil"/>
            </w:tcBorders>
            <w:shd w:val="clear" w:color="auto" w:fill="auto"/>
            <w:noWrap/>
            <w:vAlign w:val="center"/>
          </w:tcPr>
          <w:p>
            <w:pPr>
              <w:widowControl/>
              <w:snapToGrid w:val="0"/>
              <w:jc w:val="center"/>
              <w:rPr>
                <w:rFonts w:ascii="宋体" w:hAnsi="宋体" w:eastAsia="宋体" w:cs="宋体"/>
                <w:color w:val="000000"/>
                <w:kern w:val="0"/>
                <w:sz w:val="38"/>
                <w:szCs w:val="38"/>
              </w:rPr>
            </w:pPr>
          </w:p>
        </w:tc>
        <w:tc>
          <w:tcPr>
            <w:tcW w:w="102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2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108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73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71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375"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58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37"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8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999"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宋体" w:hAnsi="宋体" w:eastAsia="宋体" w:cs="宋体"/>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300"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8"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eastAsia="Times New Roman"/>
                <w:kern w:val="0"/>
                <w:sz w:val="20"/>
              </w:rPr>
            </w:pPr>
          </w:p>
        </w:tc>
        <w:tc>
          <w:tcPr>
            <w:tcW w:w="321" w:type="dxa"/>
            <w:tcBorders>
              <w:top w:val="nil"/>
              <w:left w:val="nil"/>
              <w:bottom w:val="nil"/>
              <w:right w:val="nil"/>
            </w:tcBorders>
            <w:shd w:val="clear" w:color="auto" w:fill="auto"/>
            <w:vAlign w:val="center"/>
          </w:tcPr>
          <w:p>
            <w:pPr>
              <w:widowControl/>
              <w:snapToGrid w:val="0"/>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0" w:hRule="atLeast"/>
        </w:trPr>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部门单位</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项目编码</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项目名称</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功能科目</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政府经济科目</w:t>
            </w: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部门经济科目</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是否政府采购</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项目状态</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总计</w:t>
            </w:r>
          </w:p>
        </w:tc>
        <w:tc>
          <w:tcPr>
            <w:tcW w:w="2871" w:type="dxa"/>
            <w:gridSpan w:val="5"/>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一般公共预算</w:t>
            </w:r>
          </w:p>
        </w:tc>
        <w:tc>
          <w:tcPr>
            <w:tcW w:w="882" w:type="dxa"/>
            <w:gridSpan w:val="3"/>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政府性基金预算</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国有资本经营预算</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财政专户管理资金</w:t>
            </w:r>
          </w:p>
        </w:tc>
        <w:tc>
          <w:tcPr>
            <w:tcW w:w="1781" w:type="dxa"/>
            <w:gridSpan w:val="6"/>
            <w:tcBorders>
              <w:top w:val="single" w:color="000000" w:sz="4" w:space="0"/>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单位资金</w:t>
            </w:r>
          </w:p>
        </w:tc>
      </w:tr>
      <w:tr>
        <w:tblPrEx>
          <w:tblLayout w:type="fixed"/>
          <w:tblCellMar>
            <w:top w:w="0" w:type="dxa"/>
            <w:left w:w="108" w:type="dxa"/>
            <w:bottom w:w="0" w:type="dxa"/>
            <w:right w:w="108" w:type="dxa"/>
          </w:tblCellMar>
        </w:tblPrEx>
        <w:trPr>
          <w:trHeight w:val="0" w:hRule="atLeast"/>
        </w:trPr>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37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58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方正仿宋_GBK" w:hAnsi="宋体" w:cs="宋体"/>
                <w:color w:val="000000"/>
                <w:kern w:val="0"/>
                <w:sz w:val="18"/>
                <w:szCs w:val="18"/>
              </w:rPr>
            </w:pPr>
          </w:p>
        </w:tc>
        <w:tc>
          <w:tcPr>
            <w:tcW w:w="988"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小计</w:t>
            </w:r>
          </w:p>
        </w:tc>
        <w:tc>
          <w:tcPr>
            <w:tcW w:w="999"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一般公共预算资金</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一般债券</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外国政府和国际组织贷款</w:t>
            </w:r>
          </w:p>
        </w:tc>
        <w:tc>
          <w:tcPr>
            <w:tcW w:w="300"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外国政府和国际组织赠款</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小计</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政府性基金预算</w:t>
            </w:r>
          </w:p>
        </w:tc>
        <w:tc>
          <w:tcPr>
            <w:tcW w:w="298" w:type="dxa"/>
            <w:tcBorders>
              <w:top w:val="nil"/>
              <w:left w:val="nil"/>
              <w:bottom w:val="single" w:color="000000" w:sz="4" w:space="0"/>
              <w:right w:val="single" w:color="000000" w:sz="4" w:space="0"/>
            </w:tcBorders>
            <w:shd w:val="clear" w:color="auto" w:fill="auto"/>
            <w:vAlign w:val="center"/>
          </w:tcPr>
          <w:p>
            <w:pPr>
              <w:widowControl/>
              <w:snapToGrid w:val="0"/>
              <w:jc w:val="both"/>
              <w:rPr>
                <w:rFonts w:ascii="方正仿宋_GBK" w:hAnsi="宋体" w:cs="宋体"/>
                <w:color w:val="000000"/>
                <w:kern w:val="0"/>
                <w:sz w:val="18"/>
                <w:szCs w:val="18"/>
              </w:rPr>
            </w:pPr>
            <w:r>
              <w:rPr>
                <w:rFonts w:hint="eastAsia" w:ascii="方正仿宋_GBK" w:hAnsi="宋体" w:cs="宋体"/>
                <w:color w:val="000000"/>
                <w:kern w:val="0"/>
                <w:sz w:val="18"/>
                <w:szCs w:val="18"/>
              </w:rPr>
              <w:t>专项债券</w:t>
            </w:r>
          </w:p>
        </w:tc>
        <w:tc>
          <w:tcPr>
            <w:tcW w:w="2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方正仿宋_GBK" w:hAnsi="宋体" w:cs="宋体"/>
                <w:color w:val="000000"/>
                <w:kern w:val="0"/>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方正仿宋_GBK" w:hAnsi="宋体" w:cs="宋体"/>
                <w:color w:val="000000"/>
                <w:kern w:val="0"/>
                <w:sz w:val="18"/>
                <w:szCs w:val="18"/>
              </w:rPr>
            </w:pP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小计</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事业收入资金</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上级补助收入资金</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附属单位上缴收入资金</w:t>
            </w:r>
          </w:p>
        </w:tc>
        <w:tc>
          <w:tcPr>
            <w:tcW w:w="292"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事业单位经营收入资金</w:t>
            </w:r>
          </w:p>
        </w:tc>
        <w:tc>
          <w:tcPr>
            <w:tcW w:w="321" w:type="dxa"/>
            <w:tcBorders>
              <w:top w:val="nil"/>
              <w:left w:val="nil"/>
              <w:bottom w:val="single" w:color="000000" w:sz="4" w:space="0"/>
              <w:right w:val="single" w:color="000000" w:sz="4" w:space="0"/>
            </w:tcBorders>
            <w:shd w:val="clear" w:color="auto" w:fill="auto"/>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其他收入资金</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087" w:type="dxa"/>
            <w:tcBorders>
              <w:top w:val="nil"/>
              <w:left w:val="nil"/>
              <w:bottom w:val="nil"/>
              <w:right w:val="nil"/>
            </w:tcBorders>
            <w:shd w:val="clear" w:color="auto" w:fill="auto"/>
            <w:noWrap/>
            <w:vAlign w:val="center"/>
          </w:tcPr>
          <w:p>
            <w:pPr>
              <w:widowControl/>
              <w:snapToGrid w:val="0"/>
              <w:jc w:val="left"/>
              <w:rPr>
                <w:rFonts w:ascii="方正仿宋_GBK" w:hAnsi="Arial" w:cs="Arial"/>
                <w:color w:val="000000"/>
                <w:kern w:val="0"/>
                <w:sz w:val="18"/>
                <w:szCs w:val="18"/>
              </w:rPr>
            </w:pPr>
            <w:r>
              <w:rPr>
                <w:rFonts w:hint="eastAsia" w:ascii="方正仿宋_GBK" w:hAnsi="Arial" w:cs="Arial"/>
                <w:color w:val="000000"/>
                <w:kern w:val="0"/>
                <w:sz w:val="18"/>
                <w:szCs w:val="18"/>
              </w:rPr>
              <w:t>　</w:t>
            </w:r>
          </w:p>
        </w:tc>
        <w:tc>
          <w:tcPr>
            <w:tcW w:w="73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712" w:type="dxa"/>
            <w:tcBorders>
              <w:top w:val="nil"/>
              <w:left w:val="nil"/>
              <w:bottom w:val="nil"/>
              <w:right w:val="nil"/>
            </w:tcBorders>
            <w:shd w:val="clear" w:color="auto" w:fill="auto"/>
            <w:noWrap/>
            <w:vAlign w:val="center"/>
          </w:tcPr>
          <w:p>
            <w:pPr>
              <w:widowControl/>
              <w:snapToGrid w:val="0"/>
              <w:jc w:val="left"/>
              <w:rPr>
                <w:rFonts w:ascii="方正仿宋_GBK" w:hAnsi="Arial" w:cs="Arial"/>
                <w:color w:val="000000"/>
                <w:kern w:val="0"/>
                <w:sz w:val="18"/>
                <w:szCs w:val="18"/>
              </w:rPr>
            </w:pPr>
            <w:r>
              <w:rPr>
                <w:rFonts w:hint="eastAsia" w:ascii="方正仿宋_GBK" w:hAnsi="Arial" w:cs="Arial"/>
                <w:color w:val="000000"/>
                <w:kern w:val="0"/>
                <w:sz w:val="18"/>
                <w:szCs w:val="18"/>
              </w:rPr>
              <w:t>　</w:t>
            </w:r>
          </w:p>
        </w:tc>
        <w:tc>
          <w:tcPr>
            <w:tcW w:w="37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合计：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417-重庆市九龙坡区城市管理局</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087"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71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275"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1087"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738"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712"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375"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88"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937"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88"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999"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14,431.22</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50010722T000000080697</w:t>
            </w:r>
          </w:p>
        </w:tc>
        <w:tc>
          <w:tcPr>
            <w:tcW w:w="12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公园管护经费（政府购买服务）</w:t>
            </w:r>
          </w:p>
        </w:tc>
        <w:tc>
          <w:tcPr>
            <w:tcW w:w="108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845.00</w:t>
            </w:r>
          </w:p>
        </w:tc>
        <w:tc>
          <w:tcPr>
            <w:tcW w:w="98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845.00</w:t>
            </w:r>
          </w:p>
        </w:tc>
        <w:tc>
          <w:tcPr>
            <w:tcW w:w="999"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845.00</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50010723T000003117272</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花境管护经费（政府采购项目）</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768.00</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768.00</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768.00</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50010723T000003117722</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市街管护经费（政府购买服务）</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585.85</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585.85</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585.85</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50010724T000003815556</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桥梁结构设施维护（政府购买服务）-采购指标</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368.44</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368.44</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368.44</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50010724T000003815583</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照明设施维护（政府购买服务）-采购指标</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1,129.42</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1,129.42</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1,129.42</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50010724T000004123619</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水务经费(政府采购)</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488.25</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488.25</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488.25</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50010725T000005060890</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九龙坡区“大综合一体化”城市管理日常维护服务</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2110399-其他污染防治支出</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7,143.43</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7,143.43</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7,143.43</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auto"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50010725T000005122507</w:t>
            </w:r>
          </w:p>
        </w:tc>
        <w:tc>
          <w:tcPr>
            <w:tcW w:w="1275"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其他垃圾收运服务</w:t>
            </w:r>
          </w:p>
        </w:tc>
        <w:tc>
          <w:tcPr>
            <w:tcW w:w="1087"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2110304-固体废弃物与化学品</w:t>
            </w:r>
          </w:p>
        </w:tc>
        <w:tc>
          <w:tcPr>
            <w:tcW w:w="738"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auto"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auto"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605.23</w:t>
            </w:r>
          </w:p>
        </w:tc>
        <w:tc>
          <w:tcPr>
            <w:tcW w:w="988"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605.23</w:t>
            </w:r>
          </w:p>
        </w:tc>
        <w:tc>
          <w:tcPr>
            <w:tcW w:w="999"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605.23</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auto"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50010726T000005482848</w:t>
            </w:r>
          </w:p>
        </w:tc>
        <w:tc>
          <w:tcPr>
            <w:tcW w:w="12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排水检查井盖日常维修工程（政府购买服务）</w:t>
            </w:r>
          </w:p>
        </w:tc>
        <w:tc>
          <w:tcPr>
            <w:tcW w:w="108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2120399-其他城乡社区公共设施支出</w:t>
            </w:r>
          </w:p>
        </w:tc>
        <w:tc>
          <w:tcPr>
            <w:tcW w:w="73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90.00</w:t>
            </w:r>
          </w:p>
        </w:tc>
        <w:tc>
          <w:tcPr>
            <w:tcW w:w="98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90.00</w:t>
            </w:r>
          </w:p>
        </w:tc>
        <w:tc>
          <w:tcPr>
            <w:tcW w:w="999"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90.00</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single" w:color="auto" w:sz="4" w:space="0"/>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0" w:hRule="atLeast"/>
        </w:trPr>
        <w:tc>
          <w:tcPr>
            <w:tcW w:w="1315" w:type="dxa"/>
            <w:tcBorders>
              <w:top w:val="nil"/>
              <w:left w:val="single" w:color="000000" w:sz="4" w:space="0"/>
              <w:bottom w:val="single" w:color="000000" w:sz="4" w:space="0"/>
              <w:right w:val="single" w:color="000000" w:sz="4" w:space="0"/>
            </w:tcBorders>
            <w:shd w:val="clear" w:color="auto" w:fill="auto"/>
            <w:vAlign w:val="center"/>
          </w:tcPr>
          <w:p>
            <w:pPr>
              <w:widowControl/>
              <w:snapToGrid w:val="0"/>
              <w:jc w:val="left"/>
              <w:rPr>
                <w:rFonts w:ascii="方正仿宋_GBK" w:hAnsi="宋体" w:cs="宋体"/>
                <w:color w:val="000000"/>
                <w:kern w:val="0"/>
                <w:sz w:val="18"/>
                <w:szCs w:val="18"/>
              </w:rPr>
            </w:pPr>
            <w:r>
              <w:rPr>
                <w:rFonts w:hint="eastAsia" w:ascii="方正仿宋_GBK" w:hAnsi="Arial" w:cs="Arial"/>
                <w:color w:val="000000"/>
                <w:kern w:val="0"/>
                <w:sz w:val="18"/>
                <w:szCs w:val="18"/>
              </w:rPr>
              <w:t>   417001-重庆市九龙坡区城市管理局（本级）</w:t>
            </w:r>
          </w:p>
        </w:tc>
        <w:tc>
          <w:tcPr>
            <w:tcW w:w="1029"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50010726T000005622165</w:t>
            </w:r>
          </w:p>
        </w:tc>
        <w:tc>
          <w:tcPr>
            <w:tcW w:w="1275"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提前返还2025年中心城区城镇垃圾处理费</w:t>
            </w:r>
          </w:p>
        </w:tc>
        <w:tc>
          <w:tcPr>
            <w:tcW w:w="1087"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2110304-固体废弃物与化学品</w:t>
            </w:r>
          </w:p>
        </w:tc>
        <w:tc>
          <w:tcPr>
            <w:tcW w:w="738"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50205-委托业务费</w:t>
            </w:r>
          </w:p>
        </w:tc>
        <w:tc>
          <w:tcPr>
            <w:tcW w:w="712" w:type="dxa"/>
            <w:tcBorders>
              <w:top w:val="nil"/>
              <w:left w:val="nil"/>
              <w:bottom w:val="single" w:color="000000" w:sz="4" w:space="0"/>
              <w:right w:val="single" w:color="000000" w:sz="4" w:space="0"/>
            </w:tcBorders>
            <w:shd w:val="clear" w:color="auto" w:fill="auto"/>
            <w:noWrap/>
            <w:vAlign w:val="center"/>
          </w:tcPr>
          <w:p>
            <w:pPr>
              <w:widowControl/>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30227-委托业务费</w:t>
            </w:r>
          </w:p>
        </w:tc>
        <w:tc>
          <w:tcPr>
            <w:tcW w:w="375"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是</w:t>
            </w:r>
          </w:p>
        </w:tc>
        <w:tc>
          <w:tcPr>
            <w:tcW w:w="588" w:type="dxa"/>
            <w:tcBorders>
              <w:top w:val="nil"/>
              <w:left w:val="nil"/>
              <w:bottom w:val="single" w:color="000000" w:sz="4" w:space="0"/>
              <w:right w:val="single" w:color="000000" w:sz="4" w:space="0"/>
            </w:tcBorders>
            <w:shd w:val="clear" w:color="auto" w:fill="auto"/>
            <w:noWrap/>
            <w:vAlign w:val="center"/>
          </w:tcPr>
          <w:p>
            <w:pPr>
              <w:widowControl/>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预算局确认已审</w:t>
            </w:r>
          </w:p>
        </w:tc>
        <w:tc>
          <w:tcPr>
            <w:tcW w:w="937"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2,407.60</w:t>
            </w:r>
          </w:p>
        </w:tc>
        <w:tc>
          <w:tcPr>
            <w:tcW w:w="98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2,407.60</w:t>
            </w:r>
          </w:p>
        </w:tc>
        <w:tc>
          <w:tcPr>
            <w:tcW w:w="999"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2,407.60</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300"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8"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color w:val="000000"/>
                <w:kern w:val="0"/>
                <w:sz w:val="18"/>
                <w:szCs w:val="18"/>
              </w:rPr>
            </w:pPr>
            <w:r>
              <w:rPr>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292"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c>
          <w:tcPr>
            <w:tcW w:w="321" w:type="dxa"/>
            <w:tcBorders>
              <w:top w:val="nil"/>
              <w:left w:val="nil"/>
              <w:bottom w:val="single" w:color="000000" w:sz="4" w:space="0"/>
              <w:right w:val="single" w:color="000000" w:sz="4" w:space="0"/>
            </w:tcBorders>
            <w:shd w:val="clear" w:color="auto" w:fill="auto"/>
            <w:noWrap/>
            <w:vAlign w:val="center"/>
          </w:tcPr>
          <w:p>
            <w:pPr>
              <w:widowControl/>
              <w:snapToGrid w:val="0"/>
              <w:jc w:val="right"/>
              <w:rPr>
                <w:rFonts w:ascii="方正仿宋_GBK" w:hAnsi="宋体" w:cs="宋体"/>
                <w:color w:val="000000"/>
                <w:kern w:val="0"/>
                <w:sz w:val="18"/>
                <w:szCs w:val="18"/>
              </w:rPr>
            </w:pPr>
            <w:r>
              <w:rPr>
                <w:rFonts w:hint="eastAsia" w:ascii="方正仿宋_GBK" w:hAnsi="宋体" w:cs="宋体"/>
                <w:color w:val="000000"/>
                <w:kern w:val="0"/>
                <w:sz w:val="18"/>
                <w:szCs w:val="18"/>
              </w:rPr>
              <w:t xml:space="preserve"> </w:t>
            </w:r>
          </w:p>
        </w:tc>
      </w:tr>
      <w:tr>
        <w:tblPrEx>
          <w:tblLayout w:type="fixed"/>
          <w:tblCellMar>
            <w:top w:w="0" w:type="dxa"/>
            <w:left w:w="108" w:type="dxa"/>
            <w:bottom w:w="0" w:type="dxa"/>
            <w:right w:w="108" w:type="dxa"/>
          </w:tblCellMar>
        </w:tblPrEx>
        <w:trPr>
          <w:trHeight w:val="547" w:hRule="atLeast"/>
        </w:trPr>
        <w:tc>
          <w:tcPr>
            <w:tcW w:w="1315" w:type="dxa"/>
            <w:tcBorders>
              <w:top w:val="nil"/>
              <w:left w:val="nil"/>
              <w:bottom w:val="nil"/>
              <w:right w:val="nil"/>
            </w:tcBorders>
            <w:shd w:val="clear" w:color="auto" w:fill="auto"/>
            <w:vAlign w:val="center"/>
          </w:tcPr>
          <w:p>
            <w:pPr>
              <w:widowControl/>
              <w:snapToGrid w:val="0"/>
              <w:jc w:val="left"/>
              <w:rPr>
                <w:rFonts w:ascii="方正仿宋_GBK" w:hAnsi="Arial" w:cs="Arial"/>
                <w:color w:val="000000"/>
                <w:kern w:val="0"/>
                <w:sz w:val="18"/>
                <w:szCs w:val="18"/>
              </w:rPr>
            </w:pPr>
            <w:r>
              <w:rPr>
                <w:rFonts w:hint="eastAsia" w:ascii="方正仿宋_GBK" w:hAnsi="Arial" w:cs="Arial"/>
                <w:color w:val="000000"/>
                <w:kern w:val="0"/>
                <w:sz w:val="18"/>
                <w:szCs w:val="18"/>
              </w:rPr>
              <w:t>说明：</w:t>
            </w:r>
          </w:p>
        </w:tc>
        <w:tc>
          <w:tcPr>
            <w:tcW w:w="1029" w:type="dxa"/>
            <w:tcBorders>
              <w:top w:val="nil"/>
              <w:left w:val="nil"/>
              <w:bottom w:val="nil"/>
              <w:right w:val="nil"/>
            </w:tcBorders>
            <w:shd w:val="clear" w:color="auto" w:fill="auto"/>
            <w:noWrap/>
            <w:vAlign w:val="center"/>
          </w:tcPr>
          <w:p>
            <w:pPr>
              <w:widowControl/>
              <w:snapToGrid w:val="0"/>
              <w:jc w:val="left"/>
              <w:rPr>
                <w:rFonts w:ascii="方正仿宋_GBK" w:hAnsi="Arial" w:cs="Arial"/>
                <w:color w:val="000000"/>
                <w:kern w:val="0"/>
                <w:sz w:val="18"/>
                <w:szCs w:val="18"/>
              </w:rPr>
            </w:pPr>
          </w:p>
        </w:tc>
        <w:tc>
          <w:tcPr>
            <w:tcW w:w="1275"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1087"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738"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71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375"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588"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937"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988"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999"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300"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8"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292"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c>
          <w:tcPr>
            <w:tcW w:w="321" w:type="dxa"/>
            <w:tcBorders>
              <w:top w:val="nil"/>
              <w:left w:val="nil"/>
              <w:bottom w:val="nil"/>
              <w:right w:val="nil"/>
            </w:tcBorders>
            <w:shd w:val="clear" w:color="auto" w:fill="auto"/>
            <w:noWrap/>
            <w:vAlign w:val="center"/>
          </w:tcPr>
          <w:p>
            <w:pPr>
              <w:widowControl/>
              <w:snapToGrid w:val="0"/>
              <w:jc w:val="left"/>
              <w:rPr>
                <w:rFonts w:ascii="方正仿宋_GBK"/>
                <w:kern w:val="0"/>
                <w:sz w:val="20"/>
              </w:rPr>
            </w:pPr>
          </w:p>
        </w:tc>
      </w:tr>
    </w:tbl>
    <w:p/>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rPr>
          <w:rFonts w:hint="eastAsia"/>
          <w:sz w:val="32"/>
          <w:szCs w:val="32"/>
        </w:rPr>
      </w:pPr>
    </w:p>
    <w:p>
      <w:pPr>
        <w:pStyle w:val="7"/>
        <w:ind w:left="0" w:leftChars="0" w:firstLine="0" w:firstLineChars="0"/>
      </w:pPr>
      <w:r>
        <w:rPr>
          <w:rFonts w:hint="eastAsia"/>
          <w:sz w:val="32"/>
          <w:szCs w:val="32"/>
        </w:rPr>
        <w:t>附表1</w:t>
      </w:r>
      <w:r>
        <w:rPr>
          <w:rFonts w:hint="eastAsia"/>
          <w:sz w:val="32"/>
          <w:szCs w:val="32"/>
          <w:lang w:val="en-US" w:eastAsia="zh-CN"/>
        </w:rPr>
        <w:t>3</w:t>
      </w:r>
    </w:p>
    <w:p>
      <w:pPr>
        <w:pStyle w:val="7"/>
      </w:pPr>
    </w:p>
    <w:tbl>
      <w:tblPr>
        <w:tblStyle w:val="5"/>
        <w:tblW w:w="14174" w:type="dxa"/>
        <w:jc w:val="center"/>
        <w:tblInd w:w="0" w:type="dxa"/>
        <w:tblLayout w:type="fixed"/>
        <w:tblCellMar>
          <w:top w:w="0" w:type="dxa"/>
          <w:left w:w="108" w:type="dxa"/>
          <w:bottom w:w="0" w:type="dxa"/>
          <w:right w:w="108" w:type="dxa"/>
        </w:tblCellMar>
      </w:tblPr>
      <w:tblGrid>
        <w:gridCol w:w="1866"/>
        <w:gridCol w:w="1106"/>
        <w:gridCol w:w="1645"/>
        <w:gridCol w:w="1656"/>
        <w:gridCol w:w="1116"/>
        <w:gridCol w:w="756"/>
        <w:gridCol w:w="936"/>
        <w:gridCol w:w="1026"/>
        <w:gridCol w:w="578"/>
        <w:gridCol w:w="756"/>
        <w:gridCol w:w="1656"/>
        <w:gridCol w:w="575"/>
        <w:gridCol w:w="502"/>
      </w:tblGrid>
      <w:tr>
        <w:tblPrEx>
          <w:tblLayout w:type="fixed"/>
          <w:tblCellMar>
            <w:top w:w="0" w:type="dxa"/>
            <w:left w:w="108" w:type="dxa"/>
            <w:bottom w:w="0" w:type="dxa"/>
            <w:right w:w="108" w:type="dxa"/>
          </w:tblCellMar>
        </w:tblPrEx>
        <w:trPr>
          <w:trHeight w:val="643" w:hRule="atLeast"/>
          <w:jc w:val="center"/>
        </w:trPr>
        <w:tc>
          <w:tcPr>
            <w:tcW w:w="14174" w:type="dxa"/>
            <w:gridSpan w:val="13"/>
            <w:tcBorders>
              <w:top w:val="nil"/>
              <w:left w:val="nil"/>
              <w:bottom w:val="single" w:color="auto" w:sz="4" w:space="0"/>
              <w:right w:val="nil"/>
            </w:tcBorders>
            <w:shd w:val="clear" w:color="auto" w:fill="auto"/>
            <w:noWrap/>
            <w:vAlign w:val="center"/>
          </w:tcPr>
          <w:p>
            <w:pPr>
              <w:widowControl/>
              <w:snapToGrid w:val="0"/>
              <w:jc w:val="center"/>
              <w:rPr>
                <w:rFonts w:ascii="等线" w:hAnsi="等线" w:eastAsia="等线" w:cs="宋体"/>
                <w:b/>
                <w:bCs/>
                <w:color w:val="000000"/>
                <w:kern w:val="0"/>
                <w:sz w:val="24"/>
                <w:szCs w:val="24"/>
              </w:rPr>
            </w:pPr>
            <w:r>
              <w:rPr>
                <w:rFonts w:hint="eastAsia" w:ascii="方正小标宋_GBK" w:hAnsi="宋体" w:eastAsia="方正小标宋_GBK" w:cs="宋体"/>
                <w:color w:val="000000"/>
                <w:kern w:val="0"/>
                <w:sz w:val="38"/>
                <w:szCs w:val="38"/>
              </w:rPr>
              <w:t>2026年重庆市九龙坡区城市管理局（本级）项目绩效目标表</w:t>
            </w:r>
          </w:p>
        </w:tc>
      </w:tr>
      <w:tr>
        <w:tblPrEx>
          <w:tblLayout w:type="fixed"/>
          <w:tblCellMar>
            <w:top w:w="0" w:type="dxa"/>
            <w:left w:w="108" w:type="dxa"/>
            <w:bottom w:w="0" w:type="dxa"/>
            <w:right w:w="108" w:type="dxa"/>
          </w:tblCellMar>
        </w:tblPrEx>
        <w:trPr>
          <w:trHeight w:val="831"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单位信息：</w:t>
            </w:r>
          </w:p>
        </w:tc>
        <w:tc>
          <w:tcPr>
            <w:tcW w:w="2751"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417001-重庆市九龙坡区城市管理局（本级）</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441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公园管护经费（政府购买服务）</w:t>
            </w: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职能职责与活动：</w:t>
            </w:r>
          </w:p>
        </w:tc>
        <w:tc>
          <w:tcPr>
            <w:tcW w:w="107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0401-绿化管理/01-绿化管理</w:t>
            </w:r>
          </w:p>
        </w:tc>
      </w:tr>
      <w:tr>
        <w:tblPrEx>
          <w:tblLayout w:type="fixed"/>
          <w:tblCellMar>
            <w:top w:w="0" w:type="dxa"/>
            <w:left w:w="108" w:type="dxa"/>
            <w:bottom w:w="0" w:type="dxa"/>
            <w:right w:w="108" w:type="dxa"/>
          </w:tblCellMar>
        </w:tblPrEx>
        <w:trPr>
          <w:trHeight w:val="555"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主管部门：</w:t>
            </w:r>
          </w:p>
        </w:tc>
        <w:tc>
          <w:tcPr>
            <w:tcW w:w="27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417-重庆市九龙坡区城市管理局</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项目经办人：</w:t>
            </w:r>
          </w:p>
        </w:tc>
        <w:tc>
          <w:tcPr>
            <w:tcW w:w="441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朱爽</w:t>
            </w: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项目总额（元）：</w:t>
            </w:r>
          </w:p>
        </w:tc>
        <w:tc>
          <w:tcPr>
            <w:tcW w:w="1077" w:type="dxa"/>
            <w:gridSpan w:val="2"/>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118831400</w:t>
            </w:r>
          </w:p>
        </w:tc>
      </w:tr>
      <w:tr>
        <w:tblPrEx>
          <w:tblLayout w:type="fixed"/>
          <w:tblCellMar>
            <w:top w:w="0" w:type="dxa"/>
            <w:left w:w="108" w:type="dxa"/>
            <w:bottom w:w="0" w:type="dxa"/>
            <w:right w:w="108" w:type="dxa"/>
          </w:tblCellMar>
        </w:tblPrEx>
        <w:trPr>
          <w:trHeight w:val="456"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预算执行率权重(%)：</w:t>
            </w:r>
          </w:p>
        </w:tc>
        <w:tc>
          <w:tcPr>
            <w:tcW w:w="275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项目经办人电话：</w:t>
            </w:r>
          </w:p>
        </w:tc>
        <w:tc>
          <w:tcPr>
            <w:tcW w:w="441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68882986</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其中：</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财政资金（元）：</w:t>
            </w:r>
          </w:p>
        </w:tc>
        <w:tc>
          <w:tcPr>
            <w:tcW w:w="1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118831400</w:t>
            </w:r>
          </w:p>
        </w:tc>
      </w:tr>
      <w:tr>
        <w:tblPrEx>
          <w:tblLayout w:type="fixed"/>
          <w:tblCellMar>
            <w:top w:w="0" w:type="dxa"/>
            <w:left w:w="108" w:type="dxa"/>
            <w:bottom w:w="0" w:type="dxa"/>
            <w:right w:w="108" w:type="dxa"/>
          </w:tblCellMar>
        </w:tblPrEx>
        <w:trPr>
          <w:trHeight w:val="368" w:hRule="atLeast"/>
          <w:jc w:val="center"/>
        </w:trPr>
        <w:tc>
          <w:tcPr>
            <w:tcW w:w="1866" w:type="dxa"/>
            <w:vMerge w:val="restart"/>
            <w:tcBorders>
              <w:top w:val="nil"/>
              <w:left w:val="single" w:color="auto" w:sz="4" w:space="0"/>
              <w:bottom w:val="single" w:color="auto" w:sz="4" w:space="0"/>
              <w:right w:val="single" w:color="auto" w:sz="4" w:space="0"/>
            </w:tcBorders>
            <w:shd w:val="clear" w:color="auto" w:fill="auto"/>
            <w:noWrap/>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整体目标：</w:t>
            </w:r>
          </w:p>
        </w:tc>
        <w:tc>
          <w:tcPr>
            <w:tcW w:w="8819" w:type="dxa"/>
            <w:gridSpan w:val="8"/>
            <w:vMerge w:val="restart"/>
            <w:tcBorders>
              <w:top w:val="single" w:color="auto" w:sz="4" w:space="0"/>
              <w:left w:val="single" w:color="auto" w:sz="4" w:space="0"/>
              <w:bottom w:val="single" w:color="auto" w:sz="4" w:space="0"/>
              <w:right w:val="single" w:color="auto" w:sz="4" w:space="0"/>
            </w:tcBorders>
            <w:shd w:val="clear" w:color="auto" w:fill="auto"/>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完成支出内容：未纳入大综合一体化管理的巴国城公建区域和红狮公园日常维护2025年资金缺口、九龙坡区城市管理局彩云湖国家湿地公园安保管理、以及2025年5月以前资金缺口。</w:t>
            </w: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财政专户管理资金：</w:t>
            </w:r>
          </w:p>
        </w:tc>
        <w:tc>
          <w:tcPr>
            <w:tcW w:w="1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Layout w:type="fixed"/>
          <w:tblCellMar>
            <w:top w:w="0" w:type="dxa"/>
            <w:left w:w="108" w:type="dxa"/>
            <w:bottom w:w="0" w:type="dxa"/>
            <w:right w:w="108" w:type="dxa"/>
          </w:tblCellMar>
        </w:tblPrEx>
        <w:trPr>
          <w:trHeight w:val="443" w:hRule="atLeast"/>
          <w:jc w:val="center"/>
        </w:trPr>
        <w:tc>
          <w:tcPr>
            <w:tcW w:w="186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b/>
                <w:bCs/>
                <w:color w:val="000000"/>
                <w:kern w:val="0"/>
                <w:sz w:val="18"/>
                <w:szCs w:val="18"/>
              </w:rPr>
            </w:pPr>
          </w:p>
        </w:tc>
        <w:tc>
          <w:tcPr>
            <w:tcW w:w="881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color w:val="000000"/>
                <w:kern w:val="0"/>
                <w:sz w:val="18"/>
                <w:szCs w:val="18"/>
              </w:rPr>
            </w:pP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单位资金：</w:t>
            </w:r>
          </w:p>
        </w:tc>
        <w:tc>
          <w:tcPr>
            <w:tcW w:w="1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Layout w:type="fixed"/>
          <w:tblCellMar>
            <w:top w:w="0" w:type="dxa"/>
            <w:left w:w="108" w:type="dxa"/>
            <w:bottom w:w="0" w:type="dxa"/>
            <w:right w:w="108" w:type="dxa"/>
          </w:tblCellMar>
        </w:tblPrEx>
        <w:trPr>
          <w:trHeight w:val="406" w:hRule="atLeast"/>
          <w:jc w:val="center"/>
        </w:trPr>
        <w:tc>
          <w:tcPr>
            <w:tcW w:w="186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b/>
                <w:bCs/>
                <w:color w:val="000000"/>
                <w:kern w:val="0"/>
                <w:sz w:val="18"/>
                <w:szCs w:val="18"/>
              </w:rPr>
            </w:pPr>
          </w:p>
        </w:tc>
        <w:tc>
          <w:tcPr>
            <w:tcW w:w="881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color w:val="000000"/>
                <w:kern w:val="0"/>
                <w:sz w:val="18"/>
                <w:szCs w:val="18"/>
              </w:rPr>
            </w:pP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社会投入资金：</w:t>
            </w:r>
          </w:p>
        </w:tc>
        <w:tc>
          <w:tcPr>
            <w:tcW w:w="1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Layout w:type="fixed"/>
          <w:tblCellMar>
            <w:top w:w="0" w:type="dxa"/>
            <w:left w:w="108" w:type="dxa"/>
            <w:bottom w:w="0" w:type="dxa"/>
            <w:right w:w="108" w:type="dxa"/>
          </w:tblCellMar>
        </w:tblPrEx>
        <w:trPr>
          <w:trHeight w:val="381" w:hRule="atLeast"/>
          <w:jc w:val="center"/>
        </w:trPr>
        <w:tc>
          <w:tcPr>
            <w:tcW w:w="1866"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b/>
                <w:bCs/>
                <w:color w:val="000000"/>
                <w:kern w:val="0"/>
                <w:sz w:val="18"/>
                <w:szCs w:val="18"/>
              </w:rPr>
            </w:pPr>
          </w:p>
        </w:tc>
        <w:tc>
          <w:tcPr>
            <w:tcW w:w="8819"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等线" w:hAnsi="等线" w:eastAsia="等线" w:cs="宋体"/>
                <w:color w:val="000000"/>
                <w:kern w:val="0"/>
                <w:sz w:val="18"/>
                <w:szCs w:val="18"/>
              </w:rPr>
            </w:pPr>
          </w:p>
        </w:tc>
        <w:tc>
          <w:tcPr>
            <w:tcW w:w="24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银行贷款：</w:t>
            </w:r>
          </w:p>
        </w:tc>
        <w:tc>
          <w:tcPr>
            <w:tcW w:w="10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Layout w:type="fixed"/>
          <w:tblCellMar>
            <w:top w:w="0" w:type="dxa"/>
            <w:left w:w="108" w:type="dxa"/>
            <w:bottom w:w="0" w:type="dxa"/>
            <w:right w:w="108" w:type="dxa"/>
          </w:tblCellMar>
        </w:tblPrEx>
        <w:trPr>
          <w:trHeight w:val="518"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一级指标</w:t>
            </w:r>
          </w:p>
        </w:tc>
        <w:tc>
          <w:tcPr>
            <w:tcW w:w="110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二级指标</w:t>
            </w:r>
          </w:p>
        </w:tc>
        <w:tc>
          <w:tcPr>
            <w:tcW w:w="1645"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三级指标</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指标性质</w:t>
            </w:r>
          </w:p>
        </w:tc>
        <w:tc>
          <w:tcPr>
            <w:tcW w:w="111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历史参考值</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指标值</w:t>
            </w:r>
          </w:p>
        </w:tc>
        <w:tc>
          <w:tcPr>
            <w:tcW w:w="93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度量单位</w:t>
            </w:r>
          </w:p>
        </w:tc>
        <w:tc>
          <w:tcPr>
            <w:tcW w:w="102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权重（%）</w:t>
            </w:r>
          </w:p>
        </w:tc>
        <w:tc>
          <w:tcPr>
            <w:tcW w:w="578"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备注</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2"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Layout w:type="fixed"/>
          <w:tblCellMar>
            <w:top w:w="0" w:type="dxa"/>
            <w:left w:w="108" w:type="dxa"/>
            <w:bottom w:w="0" w:type="dxa"/>
            <w:right w:w="108" w:type="dxa"/>
          </w:tblCellMar>
        </w:tblPrEx>
        <w:trPr>
          <w:trHeight w:val="556"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产出指标</w:t>
            </w:r>
          </w:p>
        </w:tc>
        <w:tc>
          <w:tcPr>
            <w:tcW w:w="110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数量指标</w:t>
            </w:r>
          </w:p>
        </w:tc>
        <w:tc>
          <w:tcPr>
            <w:tcW w:w="1645"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绿带保洁覆盖率</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11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93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02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30</w:t>
            </w:r>
          </w:p>
        </w:tc>
        <w:tc>
          <w:tcPr>
            <w:tcW w:w="578"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2"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Layout w:type="fixed"/>
          <w:tblCellMar>
            <w:top w:w="0" w:type="dxa"/>
            <w:left w:w="108" w:type="dxa"/>
            <w:bottom w:w="0" w:type="dxa"/>
            <w:right w:w="108" w:type="dxa"/>
          </w:tblCellMar>
        </w:tblPrEx>
        <w:trPr>
          <w:trHeight w:val="493"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产出指标</w:t>
            </w:r>
          </w:p>
        </w:tc>
        <w:tc>
          <w:tcPr>
            <w:tcW w:w="110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质量指标</w:t>
            </w:r>
          </w:p>
        </w:tc>
        <w:tc>
          <w:tcPr>
            <w:tcW w:w="1645"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绿化设施完好率</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11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98</w:t>
            </w:r>
          </w:p>
        </w:tc>
        <w:tc>
          <w:tcPr>
            <w:tcW w:w="93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02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30</w:t>
            </w:r>
          </w:p>
        </w:tc>
        <w:tc>
          <w:tcPr>
            <w:tcW w:w="578"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2"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Layout w:type="fixed"/>
          <w:tblCellMar>
            <w:top w:w="0" w:type="dxa"/>
            <w:left w:w="108" w:type="dxa"/>
            <w:bottom w:w="0" w:type="dxa"/>
            <w:right w:w="108" w:type="dxa"/>
          </w:tblCellMar>
        </w:tblPrEx>
        <w:trPr>
          <w:trHeight w:val="565" w:hRule="atLeast"/>
          <w:jc w:val="center"/>
        </w:trPr>
        <w:tc>
          <w:tcPr>
            <w:tcW w:w="186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效益指标</w:t>
            </w:r>
          </w:p>
        </w:tc>
        <w:tc>
          <w:tcPr>
            <w:tcW w:w="110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生态效益</w:t>
            </w:r>
          </w:p>
        </w:tc>
        <w:tc>
          <w:tcPr>
            <w:tcW w:w="1645"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群众满意度</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11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95</w:t>
            </w:r>
          </w:p>
        </w:tc>
        <w:tc>
          <w:tcPr>
            <w:tcW w:w="93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026" w:type="dxa"/>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30</w:t>
            </w:r>
          </w:p>
        </w:tc>
        <w:tc>
          <w:tcPr>
            <w:tcW w:w="578"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1656"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75"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2" w:type="dxa"/>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sectPr>
      <w:pgSz w:w="16838" w:h="11906" w:orient="landscape"/>
      <w:pgMar w:top="1803" w:right="1440" w:bottom="1803" w:left="1440"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0E6B04D-BC97-46C3-851F-19277D8B3EC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03AE381B-F598-44BD-B684-6B04AC252D2C}"/>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D6827A8E-4EAB-46CA-A64C-FAA952241EE3}"/>
  </w:font>
  <w:font w:name="华文中宋">
    <w:panose1 w:val="02010600040101010101"/>
    <w:charset w:val="86"/>
    <w:family w:val="auto"/>
    <w:pitch w:val="default"/>
    <w:sig w:usb0="00000287" w:usb1="080F0000" w:usb2="00000000" w:usb3="00000000" w:csb0="0004009F" w:csb1="DFD70000"/>
    <w:embedRegular r:id="rId4" w:fontKey="{6036877F-15B2-4F8C-8D6B-24A4B037C59F}"/>
  </w:font>
  <w:font w:name="方正黑体_GBK">
    <w:panose1 w:val="03000509000000000000"/>
    <w:charset w:val="86"/>
    <w:family w:val="script"/>
    <w:pitch w:val="default"/>
    <w:sig w:usb0="00000001" w:usb1="080E0000" w:usb2="00000000" w:usb3="00000000" w:csb0="00040000" w:csb1="00000000"/>
    <w:embedRegular r:id="rId5" w:fontKey="{DAE8FE26-D174-4071-AADD-A052FAE0F64C}"/>
  </w:font>
  <w:font w:name="仿宋_GB2312">
    <w:altName w:val="仿宋"/>
    <w:panose1 w:val="00000000000000000000"/>
    <w:charset w:val="86"/>
    <w:family w:val="modern"/>
    <w:pitch w:val="default"/>
    <w:sig w:usb0="00000000" w:usb1="00000000" w:usb2="00000010" w:usb3="00000000" w:csb0="00040000" w:csb1="00000000"/>
    <w:embedRegular r:id="rId6" w:fontKey="{F6EAB527-5215-4310-9411-C7956082A814}"/>
  </w:font>
  <w:font w:name="方正楷体_GBK">
    <w:panose1 w:val="03000509000000000000"/>
    <w:charset w:val="86"/>
    <w:family w:val="script"/>
    <w:pitch w:val="default"/>
    <w:sig w:usb0="00000001" w:usb1="080E0000" w:usb2="00000000" w:usb3="00000000" w:csb0="00040000" w:csb1="00000000"/>
    <w:embedRegular r:id="rId7" w:fontKey="{2E7FECA9-BB8F-44ED-80C3-15920BB1E443}"/>
  </w:font>
  <w:font w:name="等线">
    <w:panose1 w:val="02010600030101010101"/>
    <w:charset w:val="86"/>
    <w:family w:val="auto"/>
    <w:pitch w:val="default"/>
    <w:sig w:usb0="00000000" w:usb1="00000000" w:usb2="00000000" w:usb3="00000000" w:csb0="00000000" w:csb1="00000000"/>
    <w:embedRegular r:id="rId8" w:fontKey="{F21E439C-22F9-441D-9515-498B8295DD22}"/>
  </w:font>
  <w:font w:name="方正大黑_GBK">
    <w:altName w:val="黑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4783B"/>
    <w:rsid w:val="00096719"/>
    <w:rsid w:val="000B6E05"/>
    <w:rsid w:val="00107990"/>
    <w:rsid w:val="00210780"/>
    <w:rsid w:val="00212CDF"/>
    <w:rsid w:val="00261752"/>
    <w:rsid w:val="00342C18"/>
    <w:rsid w:val="003A26DF"/>
    <w:rsid w:val="003C3516"/>
    <w:rsid w:val="005033F7"/>
    <w:rsid w:val="008169DF"/>
    <w:rsid w:val="008420DC"/>
    <w:rsid w:val="00844A2B"/>
    <w:rsid w:val="008D3BBE"/>
    <w:rsid w:val="00906365"/>
    <w:rsid w:val="0091135A"/>
    <w:rsid w:val="00987EF5"/>
    <w:rsid w:val="009B5358"/>
    <w:rsid w:val="009E670E"/>
    <w:rsid w:val="009F2F88"/>
    <w:rsid w:val="00A15FE1"/>
    <w:rsid w:val="00A33E3F"/>
    <w:rsid w:val="00AE4E92"/>
    <w:rsid w:val="00B03ACC"/>
    <w:rsid w:val="00B26A67"/>
    <w:rsid w:val="00BC24E5"/>
    <w:rsid w:val="00BD28B0"/>
    <w:rsid w:val="00C06F46"/>
    <w:rsid w:val="00C61CA5"/>
    <w:rsid w:val="00CC6B85"/>
    <w:rsid w:val="00CD4FD1"/>
    <w:rsid w:val="00CE4155"/>
    <w:rsid w:val="00D31C92"/>
    <w:rsid w:val="00D4270B"/>
    <w:rsid w:val="00E018C6"/>
    <w:rsid w:val="00E063EF"/>
    <w:rsid w:val="00E51CAB"/>
    <w:rsid w:val="00E711D6"/>
    <w:rsid w:val="00EF0C4F"/>
    <w:rsid w:val="00F45F6F"/>
    <w:rsid w:val="00F65006"/>
    <w:rsid w:val="00FF5843"/>
    <w:rsid w:val="01A17F8E"/>
    <w:rsid w:val="01F94B8B"/>
    <w:rsid w:val="026C4742"/>
    <w:rsid w:val="0320054B"/>
    <w:rsid w:val="043D2F09"/>
    <w:rsid w:val="06D358EE"/>
    <w:rsid w:val="08C2594B"/>
    <w:rsid w:val="091664FF"/>
    <w:rsid w:val="0A3600AF"/>
    <w:rsid w:val="0AAF217B"/>
    <w:rsid w:val="0DAD25A6"/>
    <w:rsid w:val="0E4162DC"/>
    <w:rsid w:val="0EBA295F"/>
    <w:rsid w:val="0EC37BBD"/>
    <w:rsid w:val="0F6C6610"/>
    <w:rsid w:val="0F861F47"/>
    <w:rsid w:val="0FDE6D14"/>
    <w:rsid w:val="0FEF4856"/>
    <w:rsid w:val="12D6721F"/>
    <w:rsid w:val="134E6DDB"/>
    <w:rsid w:val="151D7D6B"/>
    <w:rsid w:val="1A2B420A"/>
    <w:rsid w:val="1C2A43C8"/>
    <w:rsid w:val="1DAF5941"/>
    <w:rsid w:val="1DBF5BDB"/>
    <w:rsid w:val="201B41FC"/>
    <w:rsid w:val="20675730"/>
    <w:rsid w:val="21A239D5"/>
    <w:rsid w:val="2276307E"/>
    <w:rsid w:val="2404783B"/>
    <w:rsid w:val="2453745D"/>
    <w:rsid w:val="24A17F17"/>
    <w:rsid w:val="2DB816D1"/>
    <w:rsid w:val="2E2A1718"/>
    <w:rsid w:val="2F495B2C"/>
    <w:rsid w:val="3103271A"/>
    <w:rsid w:val="328950FB"/>
    <w:rsid w:val="33492641"/>
    <w:rsid w:val="346F4C16"/>
    <w:rsid w:val="370F352A"/>
    <w:rsid w:val="382B6A54"/>
    <w:rsid w:val="39896FC4"/>
    <w:rsid w:val="3D4F0497"/>
    <w:rsid w:val="3F057D64"/>
    <w:rsid w:val="40172435"/>
    <w:rsid w:val="41340AAD"/>
    <w:rsid w:val="41BF1156"/>
    <w:rsid w:val="42885BE1"/>
    <w:rsid w:val="446A2AAE"/>
    <w:rsid w:val="44EF1E27"/>
    <w:rsid w:val="493140A5"/>
    <w:rsid w:val="49B0792D"/>
    <w:rsid w:val="4AF55D57"/>
    <w:rsid w:val="521B619C"/>
    <w:rsid w:val="523401B5"/>
    <w:rsid w:val="532F4FB0"/>
    <w:rsid w:val="54B735DA"/>
    <w:rsid w:val="579D175A"/>
    <w:rsid w:val="583F039D"/>
    <w:rsid w:val="58474E4C"/>
    <w:rsid w:val="59F50791"/>
    <w:rsid w:val="5B3B2E43"/>
    <w:rsid w:val="5DFA6009"/>
    <w:rsid w:val="5DFC012C"/>
    <w:rsid w:val="5E635D67"/>
    <w:rsid w:val="5E834AB3"/>
    <w:rsid w:val="5F3E0111"/>
    <w:rsid w:val="605A2004"/>
    <w:rsid w:val="60894EDF"/>
    <w:rsid w:val="60E6442A"/>
    <w:rsid w:val="619B5086"/>
    <w:rsid w:val="62051E28"/>
    <w:rsid w:val="634512A8"/>
    <w:rsid w:val="643C4AB0"/>
    <w:rsid w:val="64AE030D"/>
    <w:rsid w:val="66DE0E8F"/>
    <w:rsid w:val="6A4A0744"/>
    <w:rsid w:val="6C436FC1"/>
    <w:rsid w:val="6D015E7C"/>
    <w:rsid w:val="70770D76"/>
    <w:rsid w:val="71B723EC"/>
    <w:rsid w:val="72345C6E"/>
    <w:rsid w:val="74047A4B"/>
    <w:rsid w:val="76785E12"/>
    <w:rsid w:val="789674F9"/>
    <w:rsid w:val="78F93A61"/>
    <w:rsid w:val="796550B6"/>
    <w:rsid w:val="7C4E6181"/>
    <w:rsid w:val="7D397519"/>
    <w:rsid w:val="7E111BCC"/>
    <w:rsid w:val="7EA3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8"/>
    <w:next w:val="1"/>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List Paragraph"/>
    <w:basedOn w:val="1"/>
    <w:qFormat/>
    <w:uiPriority w:val="0"/>
    <w:pPr>
      <w:ind w:firstLine="420" w:firstLineChars="200"/>
    </w:pPr>
    <w:rPr>
      <w:rFonts w:ascii="仿宋" w:hAnsi="仿宋" w:eastAsia="仿宋"/>
      <w:sz w:val="28"/>
      <w:szCs w:val="22"/>
    </w:rPr>
  </w:style>
  <w:style w:type="character" w:customStyle="1" w:styleId="10">
    <w:name w:val="页眉 字符"/>
    <w:basedOn w:val="6"/>
    <w:link w:val="4"/>
    <w:qFormat/>
    <w:uiPriority w:val="0"/>
    <w:rPr>
      <w:rFonts w:eastAsia="方正仿宋_GBK"/>
      <w:kern w:val="2"/>
      <w:sz w:val="18"/>
      <w:szCs w:val="18"/>
    </w:rPr>
  </w:style>
  <w:style w:type="character" w:customStyle="1" w:styleId="11">
    <w:name w:val="页脚 字符"/>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9691b67e-b8b7-4fbc-b655-fc5c6d84cdeb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57C5DD90</paraID>
      <start>33</start>
      <end>41</end>
      <status>unmodified</status>
      <modifiedWord/>
      <trackRevisions>false</trackRevisions>
    </reviewItem>
    <reviewItem>
      <errorID>d16dfb42-4261-47a9-bc2d-4db1034acf27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75ACF467</paraID>
      <start>80</start>
      <end>88</end>
      <status>unmodified</status>
      <modifiedWord/>
      <trackRevisions>false</trackRevisions>
    </reviewItem>
    <reviewItem>
      <errorID>c145f920-9ae8-4f7c-9616-57a7a76190ce</errorID>
      <errorWord>截止</errorWord>
      <group>L1_Word</group>
      <groupName>字词问题</groupName>
      <ability>L2_Typo</ability>
      <abilityName>字词错误</abilityName>
      <candidateList>
        <item>截至</item>
      </candidateList>
      <explain>存在发音相同字词的误用。</explain>
      <paraID>40E6117B</paraID>
      <start>13</start>
      <end>15</end>
      <status>unmodified</status>
      <modifiedWord/>
      <trackRevisions>false</trackRevisions>
    </reviewItem>
    <reviewItem>
      <errorID>1da59ca7-7691-4cf2-a161-17f1d4cecd52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4ABDFAD1</paraID>
      <start>22</start>
      <end>25</end>
      <status>unmodified</status>
      <modifiedWord/>
      <trackRevisions>false</trackRevisions>
    </reviewItem>
    <reviewItem>
      <errorID>ea50e1ee-54aa-46b3-9bb9-92d66405fe63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4ABDFAD1</paraID>
      <start>29</start>
      <end>32</end>
      <status>unmodified</status>
      <modifiedWord/>
      <trackRevisions>false</trackRevisions>
    </reviewItem>
    <reviewItem>
      <errorID>30f04b6d-bd3b-4fdb-a14a-18e9fa96db08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1564CA60</paraID>
      <start>0</start>
      <end>8</end>
      <status>unmodified</status>
      <modifiedWord/>
      <trackRevisions>false</trackRevisions>
    </reviewItem>
    <reviewItem>
      <errorID>d54aae4b-63d8-46fb-a6d9-2ec1b93e766e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68D05C69</paraID>
      <start>0</start>
      <end>8</end>
      <status>unmodified</status>
      <modifiedWord/>
      <trackRevisions>false</trackRevisions>
    </reviewItem>
    <reviewItem>
      <errorID>6cd885ea-0b73-4aba-a7f1-fb7b4e03fab6</errorID>
      <errorWord>-</errorWord>
      <group>L1_Format</group>
      <groupName>格式问题</groupName>
      <ability>L2_HalfPunc</ability>
      <abilityName>全半角检查</abilityName>
      <candidateList>
        <item>－</item>
      </candidateList>
      <explain>文本全半角错误。</explain>
      <paraID>156A1519</paraID>
      <start>3</start>
      <end>4</end>
      <status>unmodified</status>
      <modifiedWord/>
      <trackRevisions>false</trackRevisions>
    </reviewItem>
    <reviewItem>
      <errorID>a4fb6ed5-7f84-4d58-8cb4-5bf438719dc3</errorID>
      <errorWord>-</errorWord>
      <group>L1_Format</group>
      <groupName>格式问题</groupName>
      <ability>L2_HalfPunc</ability>
      <abilityName>全半角检查</abilityName>
      <candidateList>
        <item>－</item>
      </candidateList>
      <explain>文本全半角错误。</explain>
      <paraID>  68B5D3</paraID>
      <start>7</start>
      <end>8</end>
      <status>unmodified</status>
      <modifiedWord/>
      <trackRevisions>false</trackRevisions>
    </reviewItem>
    <reviewItem>
      <errorID>b2528232-1ec7-4b7c-ad5f-470a90624eed</errorID>
      <errorWord>-</errorWord>
      <group>L1_Format</group>
      <groupName>格式问题</groupName>
      <ability>L2_HalfPunc</ability>
      <abilityName>全半角检查</abilityName>
      <candidateList>
        <item>－</item>
      </candidateList>
      <explain>文本全半角错误。</explain>
      <paraID> FB70984</paraID>
      <start>7</start>
      <end>8</end>
      <status>unmodified</status>
      <modifiedWord/>
      <trackRevisions>false</trackRevisions>
    </reviewItem>
    <reviewItem>
      <errorID>b6775646-9955-47c0-b34d-d307b55604bf</errorID>
      <errorWord>-</errorWord>
      <group>L1_Format</group>
      <groupName>格式问题</groupName>
      <ability>L2_HalfPunc</ability>
      <abilityName>全半角检查</abilityName>
      <candidateList>
        <item>－</item>
      </candidateList>
      <explain>文本全半角错误。</explain>
      <paraID>57C6690C</paraID>
      <start>7</start>
      <end>8</end>
      <status>unmodified</status>
      <modifiedWord/>
      <trackRevisions>false</trackRevisions>
    </reviewItem>
    <reviewItem>
      <errorID>5e7a6a6a-89ba-47c6-acc0-c4450fc92c99</errorID>
      <errorWord>-</errorWord>
      <group>L1_Format</group>
      <groupName>格式问题</groupName>
      <ability>L2_HalfPunc</ability>
      <abilityName>全半角检查</abilityName>
      <candidateList>
        <item>－</item>
      </candidateList>
      <explain>文本全半角错误。</explain>
      <paraID>4E33190C</paraID>
      <start>16</start>
      <end>17</end>
      <status>unmodified</status>
      <modifiedWord/>
      <trackRevisions>false</trackRevisions>
    </reviewItem>
    <reviewItem>
      <errorID>9e0dfa5d-bac9-44a8-8782-6f41a59e8ee2</errorID>
      <errorWord>-</errorWord>
      <group>L1_Format</group>
      <groupName>格式问题</groupName>
      <ability>L2_HalfPunc</ability>
      <abilityName>全半角检查</abilityName>
      <candidateList>
        <item>－</item>
      </candidateList>
      <explain>文本全半角错误。</explain>
      <paraID>563FD17B</paraID>
      <start>7</start>
      <end>8</end>
      <status>unmodified</status>
      <modifiedWord/>
      <trackRevisions>false</trackRevisions>
    </reviewItem>
    <reviewItem>
      <errorID>b95edcd0-c723-4dc8-a347-d7fd7bc39586</errorID>
      <errorWord>-</errorWord>
      <group>L1_Format</group>
      <groupName>格式问题</groupName>
      <ability>L2_HalfPunc</ability>
      <abilityName>全半角检查</abilityName>
      <candidateList>
        <item>－</item>
      </candidateList>
      <explain>文本全半角错误。</explain>
      <paraID>15F4EBA9</paraID>
      <start>14</start>
      <end>15</end>
      <status>unmodified</status>
      <modifiedWord/>
      <trackRevisions>false</trackRevisions>
    </reviewItem>
    <reviewItem>
      <errorID>3e8f8629-1380-467d-a137-6b506fcdefd3</errorID>
      <errorWord>-</errorWord>
      <group>L1_Format</group>
      <groupName>格式问题</groupName>
      <ability>L2_HalfPunc</ability>
      <abilityName>全半角检查</abilityName>
      <candidateList>
        <item>－</item>
      </candidateList>
      <explain>文本全半角错误。</explain>
      <paraID> A65667E</paraID>
      <start>7</start>
      <end>8</end>
      <status>unmodified</status>
      <modifiedWord/>
      <trackRevisions>false</trackRevisions>
    </reviewItem>
    <reviewItem>
      <errorID>d62fb6f4-dcc2-402c-bb92-517e6a09589f</errorID>
      <errorWord>-</errorWord>
      <group>L1_Format</group>
      <groupName>格式问题</groupName>
      <ability>L2_HalfPunc</ability>
      <abilityName>全半角检查</abilityName>
      <candidateList>
        <item>－</item>
      </candidateList>
      <explain>文本全半角错误。</explain>
      <paraID>4EF5CE52</paraID>
      <start>7</start>
      <end>8</end>
      <status>unmodified</status>
      <modifiedWord/>
      <trackRevisions>false</trackRevisions>
    </reviewItem>
    <reviewItem>
      <errorID>9ce08a8b-71eb-44e7-9c7b-46aa2cc79f77</errorID>
      <errorWord>-</errorWord>
      <group>L1_Format</group>
      <groupName>格式问题</groupName>
      <ability>L2_HalfPunc</ability>
      <abilityName>全半角检查</abilityName>
      <candidateList>
        <item>－</item>
      </candidateList>
      <explain>文本全半角错误。</explain>
      <paraID>482F0794</paraID>
      <start>7</start>
      <end>8</end>
      <status>unmodified</status>
      <modifiedWord/>
      <trackRevisions>false</trackRevisions>
    </reviewItem>
    <reviewItem>
      <errorID>3bc67a27-879b-4e77-af4b-b6085e36c875</errorID>
      <errorWord>-</errorWord>
      <group>L1_Format</group>
      <groupName>格式问题</groupName>
      <ability>L2_HalfPunc</ability>
      <abilityName>全半角检查</abilityName>
      <candidateList>
        <item>－</item>
      </candidateList>
      <explain>文本全半角错误。</explain>
      <paraID>42B0147E</paraID>
      <start>7</start>
      <end>8</end>
      <status>unmodified</status>
      <modifiedWord/>
      <trackRevisions>false</trackRevisions>
    </reviewItem>
    <reviewItem>
      <errorID>c2582282-c7b3-4503-954b-d60ec9e492b8</errorID>
      <errorWord>-</errorWord>
      <group>L1_Format</group>
      <groupName>格式问题</groupName>
      <ability>L2_HalfPunc</ability>
      <abilityName>全半角检查</abilityName>
      <candidateList>
        <item>－</item>
      </candidateList>
      <explain>文本全半角错误。</explain>
      <paraID>7B6D3C48</paraID>
      <start>7</start>
      <end>8</end>
      <status>unmodified</status>
      <modifiedWord/>
      <trackRevisions>false</trackRevisions>
    </reviewItem>
    <reviewItem>
      <errorID>4ff295c2-d6dd-4fab-98a6-efbe3d60e085</errorID>
      <errorWord>-</errorWord>
      <group>L1_Format</group>
      <groupName>格式问题</groupName>
      <ability>L2_HalfPunc</ability>
      <abilityName>全半角检查</abilityName>
      <candidateList>
        <item>－</item>
      </candidateList>
      <explain>文本全半角错误。</explain>
      <paraID>21CD9A9B</paraID>
      <start>7</start>
      <end>8</end>
      <status>unmodified</status>
      <modifiedWord/>
      <trackRevisions>false</trackRevisions>
    </reviewItem>
    <reviewItem>
      <errorID>2c1908c6-b3db-4017-bc31-254875d4db87</errorID>
      <errorWord>-</errorWord>
      <group>L1_Format</group>
      <groupName>格式问题</groupName>
      <ability>L2_HalfPunc</ability>
      <abilityName>全半角检查</abilityName>
      <candidateList>
        <item>－</item>
      </candidateList>
      <explain>文本全半角错误。</explain>
      <paraID>5CF48981</paraID>
      <start>6</start>
      <end>7</end>
      <status>unmodified</status>
      <modifiedWord/>
      <trackRevisions>false</trackRevisions>
    </reviewItem>
    <reviewItem>
      <errorID>15b3acbc-6344-48f7-ae6b-1f0149949565</errorID>
      <errorWord>-</errorWord>
      <group>L1_Format</group>
      <groupName>格式问题</groupName>
      <ability>L2_HalfPunc</ability>
      <abilityName>全半角检查</abilityName>
      <candidateList>
        <item>－</item>
      </candidateList>
      <explain>文本全半角错误。</explain>
      <paraID>5179B6AB</paraID>
      <start>3</start>
      <end>4</end>
      <status>unmodified</status>
      <modifiedWord/>
      <trackRevisions>false</trackRevisions>
    </reviewItem>
    <reviewItem>
      <errorID>b67aa6ef-8863-4bed-8323-1da27282de57</errorID>
      <errorWord>、以及</errorWord>
      <group>L1_Punc</group>
      <groupName>标点问题</groupName>
      <ability>L2_Punc</ability>
      <abilityName>标点符号检查</abilityName>
      <candidateList>
        <item>，以及</item>
      </candidateList>
      <explain>连接词前后不宜使用顿号，建议使用逗号。</explain>
      <paraID>2FA1ABAC</paraID>
      <start>67</start>
      <end>70</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bb5c8-8811-4d46-9936-741559c19354}">
  <ds:schemaRefs/>
</ds:datastoreItem>
</file>

<file path=customXml/itemProps3.xml><?xml version="1.0" encoding="utf-8"?>
<ds:datastoreItem xmlns:ds="http://schemas.openxmlformats.org/officeDocument/2006/customXml" ds:itemID="{C608E78A-D030-467C-B893-8DC1B5DC7AB1}">
  <ds:schemaRefs/>
</ds:datastoreItem>
</file>

<file path=docProps/app.xml><?xml version="1.0" encoding="utf-8"?>
<Properties xmlns="http://schemas.openxmlformats.org/officeDocument/2006/extended-properties" xmlns:vt="http://schemas.openxmlformats.org/officeDocument/2006/docPropsVTypes">
  <Template>Normal</Template>
  <Pages>23</Pages>
  <Words>3173</Words>
  <Characters>3961</Characters>
  <Lines>92</Lines>
  <Paragraphs>26</Paragraphs>
  <TotalTime>19</TotalTime>
  <ScaleCrop>false</ScaleCrop>
  <LinksUpToDate>false</LinksUpToDate>
  <CharactersWithSpaces>4121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2026-02-05T09:36:00Z</dcterms:created>
  <dc:creator>Administrator</dc:creator>
  <cp:lastModifiedBy>Administrator</cp:lastModifiedBy>
  <cp:lastPrinted>2026-02-12T09:14:00Z</cp:lastPrinted>
  <dcterms:modified xsi:type="dcterms:W3CDTF">2026-02-13T07:05:27Z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eyJoZGlkIjoiMjdiNDY1MTEzZGU1NDc5ZDc3ZTQzOWFkMmFhMzAwNjUiLCJ1c2VySWQiOiIyNTI4MzM1MTUifQ==</vt:lpwstr>
  </property>
  <property fmtid="{D5CDD505-2E9C-101B-9397-08002B2CF9AE}" pid="4" name="ICV">
    <vt:lpwstr>280BF1C66DA5463EB42D9B7A3D91BDDD_13</vt:lpwstr>
  </property>
</Properties>
</file>