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D3" w:rsidRDefault="00B96975">
      <w:pPr>
        <w:pStyle w:val="a7"/>
        <w:widowControl w:val="0"/>
        <w:spacing w:before="0" w:beforeAutospacing="0" w:after="0" w:afterAutospacing="0" w:line="594" w:lineRule="exact"/>
        <w:jc w:val="center"/>
        <w:rPr>
          <w:rFonts w:ascii="方正小标宋_GBK" w:eastAsia="方正小标宋_GBK" w:hAnsi="方正小标宋_GBK" w:cs="方正小标宋_GBK" w:hint="default"/>
          <w:color w:val="000000" w:themeColor="text1"/>
          <w:sz w:val="44"/>
          <w:szCs w:val="44"/>
        </w:rPr>
      </w:pPr>
      <w:r>
        <w:rPr>
          <w:rFonts w:ascii="方正小标宋_GBK" w:eastAsia="方正小标宋_GBK" w:hAnsi="方正小标宋_GBK" w:cs="方正小标宋_GBK"/>
          <w:color w:val="000000" w:themeColor="text1"/>
          <w:sz w:val="44"/>
          <w:szCs w:val="44"/>
        </w:rPr>
        <w:t>重庆市九龙坡区留置管理中心</w:t>
      </w:r>
    </w:p>
    <w:p w:rsidR="00C110D3" w:rsidRDefault="00B96975">
      <w:pPr>
        <w:pStyle w:val="a7"/>
        <w:widowControl w:val="0"/>
        <w:spacing w:before="0" w:beforeAutospacing="0" w:after="0" w:afterAutospacing="0" w:line="594" w:lineRule="exact"/>
        <w:jc w:val="center"/>
        <w:rPr>
          <w:rFonts w:ascii="方正小标宋_GBK" w:eastAsia="方正小标宋_GBK" w:hAnsi="方正小标宋_GBK" w:cs="方正小标宋_GBK" w:hint="default"/>
          <w:color w:val="000000" w:themeColor="text1"/>
          <w:sz w:val="44"/>
          <w:szCs w:val="44"/>
          <w:shd w:val="clear" w:color="auto" w:fill="FFFFFF"/>
        </w:rPr>
      </w:pPr>
      <w:r>
        <w:rPr>
          <w:rFonts w:ascii="方正小标宋_GBK" w:eastAsia="方正小标宋_GBK" w:hAnsi="方正小标宋_GBK" w:cs="方正小标宋_GBK"/>
          <w:color w:val="000000" w:themeColor="text1"/>
          <w:sz w:val="44"/>
          <w:szCs w:val="44"/>
          <w:shd w:val="clear" w:color="auto" w:fill="FFFFFF"/>
        </w:rPr>
        <w:t>2023</w:t>
      </w:r>
      <w:r>
        <w:rPr>
          <w:rFonts w:ascii="方正小标宋_GBK" w:eastAsia="方正小标宋_GBK" w:hAnsi="方正小标宋_GBK" w:cs="方正小标宋_GBK"/>
          <w:color w:val="000000" w:themeColor="text1"/>
          <w:sz w:val="44"/>
          <w:szCs w:val="44"/>
          <w:shd w:val="clear" w:color="auto" w:fill="FFFFFF"/>
        </w:rPr>
        <w:t>年度决算公开说明</w:t>
      </w:r>
    </w:p>
    <w:p w:rsidR="00C110D3" w:rsidRDefault="00C110D3">
      <w:pPr>
        <w:widowControl w:val="0"/>
        <w:spacing w:line="594" w:lineRule="exact"/>
        <w:jc w:val="center"/>
        <w:rPr>
          <w:rFonts w:ascii="Times New Roman" w:eastAsia="方正仿宋_GBK" w:hAnsi="Times New Roman" w:cs="方正仿宋_GBK" w:hint="default"/>
          <w:color w:val="000000" w:themeColor="text1"/>
          <w:kern w:val="2"/>
          <w:sz w:val="32"/>
          <w:szCs w:val="32"/>
        </w:rPr>
      </w:pPr>
    </w:p>
    <w:p w:rsidR="00C110D3" w:rsidRDefault="00B96975">
      <w:pPr>
        <w:widowControl w:val="0"/>
        <w:spacing w:line="594" w:lineRule="exact"/>
        <w:ind w:firstLineChars="200" w:firstLine="640"/>
        <w:jc w:val="both"/>
        <w:rPr>
          <w:rFonts w:ascii="方正黑体_GBK" w:eastAsia="方正黑体_GBK" w:hAnsi="方正黑体_GBK" w:cs="方正黑体_GBK" w:hint="default"/>
          <w:color w:val="000000" w:themeColor="text1"/>
          <w:kern w:val="2"/>
          <w:sz w:val="32"/>
          <w:szCs w:val="32"/>
        </w:rPr>
      </w:pPr>
      <w:r>
        <w:rPr>
          <w:rFonts w:ascii="方正黑体_GBK" w:eastAsia="方正黑体_GBK" w:hAnsi="方正黑体_GBK" w:cs="方正黑体_GBK"/>
          <w:color w:val="000000" w:themeColor="text1"/>
          <w:kern w:val="2"/>
          <w:sz w:val="32"/>
          <w:szCs w:val="32"/>
        </w:rPr>
        <w:t>一、单位基本情况</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t>（一）职能职责</w:t>
      </w:r>
    </w:p>
    <w:p w:rsidR="00C110D3" w:rsidRDefault="00B96975">
      <w:pPr>
        <w:widowControl w:val="0"/>
        <w:spacing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1.</w:t>
      </w:r>
      <w:r>
        <w:rPr>
          <w:rFonts w:ascii="Times New Roman" w:eastAsia="方正仿宋_GBK" w:hAnsi="Times New Roman" w:cs="方正仿宋_GBK"/>
          <w:color w:val="000000" w:themeColor="text1"/>
          <w:kern w:val="2"/>
          <w:sz w:val="32"/>
          <w:szCs w:val="32"/>
        </w:rPr>
        <w:t>承担留置场所日常管理工作，保障水、电、气、消防、录音录像及视频监控等设施设备正常运行；承担国有资产、物业管理及财务管理等工作。</w:t>
      </w:r>
    </w:p>
    <w:p w:rsidR="00C110D3" w:rsidRDefault="00B96975">
      <w:pPr>
        <w:widowControl w:val="0"/>
        <w:spacing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2.</w:t>
      </w:r>
      <w:r>
        <w:rPr>
          <w:rFonts w:ascii="Times New Roman" w:eastAsia="方正仿宋_GBK" w:hAnsi="Times New Roman" w:cs="方正仿宋_GBK"/>
          <w:color w:val="000000" w:themeColor="text1"/>
          <w:kern w:val="2"/>
          <w:sz w:val="32"/>
          <w:szCs w:val="32"/>
        </w:rPr>
        <w:t>协调有关区县纪委监委审查调查组的入驻、撤离事宜，统筹安排审查调查组开展审查调查所需功能用房以及被留置人员、审查调查组人员及公安留置队伍后勤保障工作。</w:t>
      </w:r>
    </w:p>
    <w:p w:rsidR="00C110D3" w:rsidRDefault="00B96975">
      <w:pPr>
        <w:widowControl w:val="0"/>
        <w:spacing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3.</w:t>
      </w:r>
      <w:r>
        <w:rPr>
          <w:rFonts w:ascii="Times New Roman" w:eastAsia="方正仿宋_GBK" w:hAnsi="Times New Roman" w:cs="方正仿宋_GBK"/>
          <w:color w:val="000000" w:themeColor="text1"/>
          <w:kern w:val="2"/>
          <w:sz w:val="32"/>
          <w:szCs w:val="32"/>
        </w:rPr>
        <w:t>承担留置对象留置期间的健康、食宿、医疗等资料收集、保管和查询工作；承担监督留置对象入驻、外出、撤离等环节手续、程序、安检工作；协调医疗保障部门承担留置对象医疗救助工作。</w:t>
      </w:r>
    </w:p>
    <w:p w:rsidR="00C110D3" w:rsidRDefault="00B96975">
      <w:pPr>
        <w:widowControl w:val="0"/>
        <w:spacing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4.</w:t>
      </w:r>
      <w:r>
        <w:rPr>
          <w:rFonts w:ascii="Times New Roman" w:eastAsia="方正仿宋_GBK" w:hAnsi="Times New Roman" w:cs="方正仿宋_GBK"/>
          <w:color w:val="000000" w:themeColor="text1"/>
          <w:kern w:val="2"/>
          <w:sz w:val="32"/>
          <w:szCs w:val="32"/>
        </w:rPr>
        <w:t>承担制定留置场所事件紧急处置预案，定期开展演练，做好应急处置工作。</w:t>
      </w:r>
    </w:p>
    <w:p w:rsidR="00C110D3" w:rsidRDefault="00B96975">
      <w:pPr>
        <w:widowControl w:val="0"/>
        <w:spacing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5.</w:t>
      </w:r>
      <w:r>
        <w:rPr>
          <w:rFonts w:ascii="Times New Roman" w:eastAsia="方正仿宋_GBK" w:hAnsi="Times New Roman" w:cs="方正仿宋_GBK"/>
          <w:color w:val="000000" w:themeColor="text1"/>
          <w:kern w:val="2"/>
          <w:sz w:val="32"/>
          <w:szCs w:val="32"/>
        </w:rPr>
        <w:t>协助做好留置区域内及周边区域、被留置人员留置期间安全监管工作；协助做好安全事故（事件）处置工作；严格执行保密</w:t>
      </w:r>
      <w:r>
        <w:rPr>
          <w:rFonts w:ascii="Times New Roman" w:eastAsia="方正仿宋_GBK" w:hAnsi="Times New Roman" w:cs="方正仿宋_GBK"/>
          <w:color w:val="000000" w:themeColor="text1"/>
          <w:kern w:val="2"/>
          <w:sz w:val="32"/>
          <w:szCs w:val="32"/>
        </w:rPr>
        <w:t>规定和保密纪律，做好相关保密工作。</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t>（二）机构设置</w:t>
      </w:r>
    </w:p>
    <w:p w:rsidR="00C110D3" w:rsidRDefault="00B96975">
      <w:pPr>
        <w:widowControl w:val="0"/>
        <w:spacing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设立综合科，核定事业编制</w:t>
      </w:r>
      <w:r>
        <w:rPr>
          <w:rFonts w:ascii="Times New Roman" w:eastAsia="方正仿宋_GBK" w:hAnsi="Times New Roman" w:cs="方正仿宋_GBK"/>
          <w:color w:val="000000" w:themeColor="text1"/>
          <w:kern w:val="2"/>
          <w:sz w:val="32"/>
          <w:szCs w:val="32"/>
        </w:rPr>
        <w:t>6</w:t>
      </w:r>
      <w:r>
        <w:rPr>
          <w:rFonts w:ascii="Times New Roman" w:eastAsia="方正仿宋_GBK" w:hAnsi="Times New Roman" w:cs="方正仿宋_GBK"/>
          <w:color w:val="000000" w:themeColor="text1"/>
          <w:kern w:val="2"/>
          <w:sz w:val="32"/>
          <w:szCs w:val="32"/>
        </w:rPr>
        <w:t>名</w:t>
      </w:r>
      <w:r>
        <w:rPr>
          <w:rFonts w:ascii="Times New Roman" w:eastAsia="方正仿宋_GBK" w:hAnsi="Times New Roman" w:cs="方正仿宋_GBK"/>
          <w:color w:val="000000" w:themeColor="text1"/>
          <w:kern w:val="2"/>
          <w:sz w:val="32"/>
          <w:szCs w:val="32"/>
        </w:rPr>
        <w:t>。</w:t>
      </w:r>
    </w:p>
    <w:p w:rsidR="00C110D3" w:rsidRDefault="00B96975">
      <w:pPr>
        <w:widowControl w:val="0"/>
        <w:spacing w:line="594" w:lineRule="exact"/>
        <w:ind w:firstLineChars="200" w:firstLine="640"/>
        <w:jc w:val="both"/>
        <w:rPr>
          <w:rFonts w:ascii="方正黑体_GBK" w:eastAsia="方正黑体_GBK" w:hAnsi="方正黑体_GBK" w:cs="方正黑体_GBK" w:hint="default"/>
          <w:color w:val="000000" w:themeColor="text1"/>
          <w:kern w:val="2"/>
          <w:sz w:val="32"/>
          <w:szCs w:val="32"/>
        </w:rPr>
      </w:pPr>
      <w:r>
        <w:rPr>
          <w:rFonts w:ascii="方正黑体_GBK" w:eastAsia="方正黑体_GBK" w:hAnsi="方正黑体_GBK" w:cs="方正黑体_GBK"/>
          <w:color w:val="000000" w:themeColor="text1"/>
          <w:kern w:val="2"/>
          <w:sz w:val="32"/>
          <w:szCs w:val="32"/>
        </w:rPr>
        <w:lastRenderedPageBreak/>
        <w:t>二、单位决算情况说明</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t>（一）收入支出决算总体情况说明</w:t>
      </w:r>
    </w:p>
    <w:p w:rsidR="00C110D3" w:rsidRDefault="00B96975">
      <w:pPr>
        <w:widowControl w:val="0"/>
        <w:spacing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1.</w:t>
      </w:r>
      <w:r>
        <w:rPr>
          <w:rFonts w:ascii="Times New Roman" w:eastAsia="方正仿宋_GBK" w:hAnsi="Times New Roman" w:cs="方正仿宋_GBK"/>
          <w:color w:val="000000" w:themeColor="text1"/>
          <w:kern w:val="2"/>
          <w:sz w:val="32"/>
          <w:szCs w:val="32"/>
        </w:rPr>
        <w:t>总体情况。</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年度收入总计</w:t>
      </w:r>
      <w:r>
        <w:rPr>
          <w:rFonts w:ascii="Times New Roman" w:eastAsia="方正仿宋_GBK" w:hAnsi="Times New Roman" w:cs="方正仿宋_GBK"/>
          <w:color w:val="000000" w:themeColor="text1"/>
          <w:kern w:val="2"/>
          <w:sz w:val="32"/>
          <w:szCs w:val="32"/>
        </w:rPr>
        <w:t>96.58</w:t>
      </w:r>
      <w:r>
        <w:rPr>
          <w:rFonts w:ascii="Times New Roman" w:eastAsia="方正仿宋_GBK" w:hAnsi="Times New Roman" w:cs="方正仿宋_GBK"/>
          <w:color w:val="000000" w:themeColor="text1"/>
          <w:kern w:val="2"/>
          <w:sz w:val="32"/>
          <w:szCs w:val="32"/>
        </w:rPr>
        <w:t>万元，支出总计</w:t>
      </w:r>
      <w:r>
        <w:rPr>
          <w:rFonts w:ascii="Times New Roman" w:eastAsia="方正仿宋_GBK" w:hAnsi="Times New Roman" w:cs="方正仿宋_GBK"/>
          <w:color w:val="000000" w:themeColor="text1"/>
          <w:kern w:val="2"/>
          <w:sz w:val="32"/>
          <w:szCs w:val="32"/>
        </w:rPr>
        <w:t>96.58</w:t>
      </w:r>
      <w:r>
        <w:rPr>
          <w:rFonts w:ascii="Times New Roman" w:eastAsia="方正仿宋_GBK" w:hAnsi="Times New Roman" w:cs="方正仿宋_GBK"/>
          <w:color w:val="000000" w:themeColor="text1"/>
          <w:kern w:val="2"/>
          <w:sz w:val="32"/>
          <w:szCs w:val="32"/>
        </w:rPr>
        <w:t>万元。收支较上年决算数增加</w:t>
      </w:r>
      <w:r>
        <w:rPr>
          <w:rFonts w:ascii="Times New Roman" w:eastAsia="方正仿宋_GBK" w:hAnsi="Times New Roman" w:cs="方正仿宋_GBK"/>
          <w:color w:val="000000" w:themeColor="text1"/>
          <w:kern w:val="2"/>
          <w:sz w:val="32"/>
          <w:szCs w:val="32"/>
        </w:rPr>
        <w:t>37.81</w:t>
      </w:r>
      <w:r>
        <w:rPr>
          <w:rFonts w:ascii="Times New Roman" w:eastAsia="方正仿宋_GBK" w:hAnsi="Times New Roman" w:cs="方正仿宋_GBK"/>
          <w:color w:val="000000" w:themeColor="text1"/>
          <w:kern w:val="2"/>
          <w:sz w:val="32"/>
          <w:szCs w:val="32"/>
        </w:rPr>
        <w:t>万元，增长</w:t>
      </w:r>
      <w:r>
        <w:rPr>
          <w:rFonts w:ascii="Times New Roman" w:eastAsia="方正仿宋_GBK" w:hAnsi="Times New Roman" w:cs="方正仿宋_GBK"/>
          <w:color w:val="000000" w:themeColor="text1"/>
          <w:kern w:val="2"/>
          <w:sz w:val="32"/>
          <w:szCs w:val="32"/>
        </w:rPr>
        <w:t>64.34%</w:t>
      </w:r>
      <w:r>
        <w:rPr>
          <w:rFonts w:ascii="Times New Roman" w:eastAsia="方正仿宋_GBK" w:hAnsi="Times New Roman" w:cs="方正仿宋_GBK"/>
          <w:color w:val="000000" w:themeColor="text1"/>
          <w:kern w:val="2"/>
          <w:sz w:val="32"/>
          <w:szCs w:val="32"/>
        </w:rPr>
        <w:t>，主要原因是</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年新增职员</w:t>
      </w:r>
      <w:r>
        <w:rPr>
          <w:rFonts w:ascii="Times New Roman" w:eastAsia="方正仿宋_GBK" w:hAnsi="Times New Roman" w:cs="方正仿宋_GBK"/>
          <w:color w:val="000000" w:themeColor="text1"/>
          <w:kern w:val="2"/>
          <w:sz w:val="32"/>
          <w:szCs w:val="32"/>
        </w:rPr>
        <w:t>1</w:t>
      </w:r>
      <w:r>
        <w:rPr>
          <w:rFonts w:ascii="Times New Roman" w:eastAsia="方正仿宋_GBK" w:hAnsi="Times New Roman" w:cs="方正仿宋_GBK"/>
          <w:color w:val="000000" w:themeColor="text1"/>
          <w:kern w:val="2"/>
          <w:sz w:val="32"/>
          <w:szCs w:val="32"/>
        </w:rPr>
        <w:t>名</w:t>
      </w:r>
      <w:r>
        <w:rPr>
          <w:rFonts w:ascii="Times New Roman" w:eastAsia="方正仿宋_GBK" w:hAnsi="Times New Roman" w:cs="方正仿宋_GBK"/>
          <w:color w:val="000000" w:themeColor="text1"/>
          <w:kern w:val="2"/>
          <w:sz w:val="32"/>
          <w:szCs w:val="32"/>
        </w:rPr>
        <w:t>，</w:t>
      </w:r>
      <w:r>
        <w:rPr>
          <w:rFonts w:ascii="Times New Roman" w:eastAsia="方正仿宋_GBK" w:hAnsi="Times New Roman" w:cs="方正仿宋_GBK"/>
          <w:color w:val="000000" w:themeColor="text1"/>
          <w:kern w:val="2"/>
          <w:sz w:val="32"/>
          <w:szCs w:val="32"/>
        </w:rPr>
        <w:t>导致人员经费支出增多，且</w:t>
      </w:r>
      <w:r>
        <w:rPr>
          <w:rFonts w:ascii="Times New Roman" w:eastAsia="方正仿宋_GBK" w:hAnsi="Times New Roman" w:cs="方正仿宋_GBK"/>
          <w:color w:val="000000" w:themeColor="text1"/>
          <w:kern w:val="2"/>
          <w:sz w:val="32"/>
          <w:szCs w:val="32"/>
        </w:rPr>
        <w:t>办案服务中心开始运行</w:t>
      </w:r>
      <w:r>
        <w:rPr>
          <w:rFonts w:ascii="Times New Roman" w:eastAsia="方正仿宋_GBK" w:hAnsi="Times New Roman" w:cs="方正仿宋_GBK"/>
          <w:color w:val="000000" w:themeColor="text1"/>
          <w:kern w:val="2"/>
          <w:sz w:val="32"/>
          <w:szCs w:val="32"/>
        </w:rPr>
        <w:t>。</w:t>
      </w:r>
    </w:p>
    <w:p w:rsidR="00C110D3" w:rsidRDefault="00B96975">
      <w:pPr>
        <w:widowControl w:val="0"/>
        <w:spacing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2.</w:t>
      </w:r>
      <w:r>
        <w:rPr>
          <w:rFonts w:ascii="Times New Roman" w:eastAsia="方正仿宋_GBK" w:hAnsi="Times New Roman" w:cs="方正仿宋_GBK"/>
          <w:color w:val="000000" w:themeColor="text1"/>
          <w:kern w:val="2"/>
          <w:sz w:val="32"/>
          <w:szCs w:val="32"/>
        </w:rPr>
        <w:t>收入情况。</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年度收入合计</w:t>
      </w:r>
      <w:r>
        <w:rPr>
          <w:rFonts w:ascii="Times New Roman" w:eastAsia="方正仿宋_GBK" w:hAnsi="Times New Roman" w:cs="方正仿宋_GBK"/>
          <w:color w:val="000000" w:themeColor="text1"/>
          <w:kern w:val="2"/>
          <w:sz w:val="32"/>
          <w:szCs w:val="32"/>
        </w:rPr>
        <w:t>96.58</w:t>
      </w:r>
      <w:r>
        <w:rPr>
          <w:rFonts w:ascii="Times New Roman" w:eastAsia="方正仿宋_GBK" w:hAnsi="Times New Roman" w:cs="方正仿宋_GBK"/>
          <w:color w:val="000000" w:themeColor="text1"/>
          <w:kern w:val="2"/>
          <w:sz w:val="32"/>
          <w:szCs w:val="32"/>
        </w:rPr>
        <w:t>万元，较上年决算数增加</w:t>
      </w:r>
      <w:r>
        <w:rPr>
          <w:rFonts w:ascii="Times New Roman" w:eastAsia="方正仿宋_GBK" w:hAnsi="Times New Roman" w:cs="方正仿宋_GBK"/>
          <w:color w:val="000000" w:themeColor="text1"/>
          <w:kern w:val="2"/>
          <w:sz w:val="32"/>
          <w:szCs w:val="32"/>
        </w:rPr>
        <w:t>37.81</w:t>
      </w:r>
      <w:r>
        <w:rPr>
          <w:rFonts w:ascii="Times New Roman" w:eastAsia="方正仿宋_GBK" w:hAnsi="Times New Roman" w:cs="方正仿宋_GBK"/>
          <w:color w:val="000000" w:themeColor="text1"/>
          <w:kern w:val="2"/>
          <w:sz w:val="32"/>
          <w:szCs w:val="32"/>
        </w:rPr>
        <w:t>万元，增长</w:t>
      </w:r>
      <w:r>
        <w:rPr>
          <w:rFonts w:ascii="Times New Roman" w:eastAsia="方正仿宋_GBK" w:hAnsi="Times New Roman" w:cs="方正仿宋_GBK"/>
          <w:color w:val="000000" w:themeColor="text1"/>
          <w:kern w:val="2"/>
          <w:sz w:val="32"/>
          <w:szCs w:val="32"/>
        </w:rPr>
        <w:t>64.34%</w:t>
      </w:r>
      <w:r>
        <w:rPr>
          <w:rFonts w:ascii="Times New Roman" w:eastAsia="方正仿宋_GBK" w:hAnsi="Times New Roman" w:cs="方正仿宋_GBK"/>
          <w:color w:val="000000" w:themeColor="text1"/>
          <w:kern w:val="2"/>
          <w:sz w:val="32"/>
          <w:szCs w:val="32"/>
        </w:rPr>
        <w:t>，主要原因是</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年新增职员</w:t>
      </w:r>
      <w:r>
        <w:rPr>
          <w:rFonts w:ascii="Times New Roman" w:eastAsia="方正仿宋_GBK" w:hAnsi="Times New Roman" w:cs="方正仿宋_GBK"/>
          <w:color w:val="000000" w:themeColor="text1"/>
          <w:kern w:val="2"/>
          <w:sz w:val="32"/>
          <w:szCs w:val="32"/>
        </w:rPr>
        <w:t>1</w:t>
      </w:r>
      <w:r>
        <w:rPr>
          <w:rFonts w:ascii="Times New Roman" w:eastAsia="方正仿宋_GBK" w:hAnsi="Times New Roman" w:cs="方正仿宋_GBK"/>
          <w:color w:val="000000" w:themeColor="text1"/>
          <w:kern w:val="2"/>
          <w:sz w:val="32"/>
          <w:szCs w:val="32"/>
        </w:rPr>
        <w:t>名，导致人员经费支出增多，且办案服</w:t>
      </w:r>
      <w:r>
        <w:rPr>
          <w:rFonts w:ascii="Times New Roman" w:eastAsia="方正仿宋_GBK" w:hAnsi="Times New Roman" w:cs="方正仿宋_GBK"/>
          <w:color w:val="000000" w:themeColor="text1"/>
          <w:kern w:val="2"/>
          <w:sz w:val="32"/>
          <w:szCs w:val="32"/>
        </w:rPr>
        <w:t>务中心开始运行。其中：财政拨款收入</w:t>
      </w:r>
      <w:r>
        <w:rPr>
          <w:rFonts w:ascii="Times New Roman" w:eastAsia="方正仿宋_GBK" w:hAnsi="Times New Roman" w:cs="方正仿宋_GBK"/>
          <w:color w:val="000000" w:themeColor="text1"/>
          <w:kern w:val="2"/>
          <w:sz w:val="32"/>
          <w:szCs w:val="32"/>
        </w:rPr>
        <w:t>96.58</w:t>
      </w:r>
      <w:r>
        <w:rPr>
          <w:rFonts w:ascii="Times New Roman" w:eastAsia="方正仿宋_GBK" w:hAnsi="Times New Roman" w:cs="方正仿宋_GBK"/>
          <w:color w:val="000000" w:themeColor="text1"/>
          <w:kern w:val="2"/>
          <w:sz w:val="32"/>
          <w:szCs w:val="32"/>
        </w:rPr>
        <w:t>万元，占</w:t>
      </w:r>
      <w:r>
        <w:rPr>
          <w:rFonts w:ascii="Times New Roman" w:eastAsia="方正仿宋_GBK" w:hAnsi="Times New Roman" w:cs="方正仿宋_GBK"/>
          <w:color w:val="000000" w:themeColor="text1"/>
          <w:kern w:val="2"/>
          <w:sz w:val="32"/>
          <w:szCs w:val="32"/>
        </w:rPr>
        <w:t>100.00%</w:t>
      </w:r>
      <w:r>
        <w:rPr>
          <w:rFonts w:ascii="Times New Roman" w:eastAsia="方正仿宋_GBK" w:hAnsi="Times New Roman" w:cs="方正仿宋_GBK"/>
          <w:color w:val="000000" w:themeColor="text1"/>
          <w:kern w:val="2"/>
          <w:sz w:val="32"/>
          <w:szCs w:val="32"/>
        </w:rPr>
        <w:t>；事业收入</w:t>
      </w:r>
      <w:r>
        <w:rPr>
          <w:rFonts w:ascii="Times New Roman" w:eastAsia="方正仿宋_GBK" w:hAnsi="Times New Roman" w:cs="方正仿宋_GBK"/>
          <w:color w:val="000000" w:themeColor="text1"/>
          <w:kern w:val="2"/>
          <w:sz w:val="32"/>
          <w:szCs w:val="32"/>
        </w:rPr>
        <w:t>0.00</w:t>
      </w:r>
      <w:r>
        <w:rPr>
          <w:rFonts w:ascii="Times New Roman" w:eastAsia="方正仿宋_GBK" w:hAnsi="Times New Roman" w:cs="方正仿宋_GBK"/>
          <w:color w:val="000000" w:themeColor="text1"/>
          <w:kern w:val="2"/>
          <w:sz w:val="32"/>
          <w:szCs w:val="32"/>
        </w:rPr>
        <w:t>万元，占</w:t>
      </w:r>
      <w:r>
        <w:rPr>
          <w:rFonts w:ascii="Times New Roman" w:eastAsia="方正仿宋_GBK" w:hAnsi="Times New Roman" w:cs="方正仿宋_GBK"/>
          <w:color w:val="000000" w:themeColor="text1"/>
          <w:kern w:val="2"/>
          <w:sz w:val="32"/>
          <w:szCs w:val="32"/>
        </w:rPr>
        <w:t>0.00%</w:t>
      </w:r>
      <w:r>
        <w:rPr>
          <w:rFonts w:ascii="Times New Roman" w:eastAsia="方正仿宋_GBK" w:hAnsi="Times New Roman" w:cs="方正仿宋_GBK"/>
          <w:color w:val="000000" w:themeColor="text1"/>
          <w:kern w:val="2"/>
          <w:sz w:val="32"/>
          <w:szCs w:val="32"/>
        </w:rPr>
        <w:t>；经营收入</w:t>
      </w:r>
      <w:r>
        <w:rPr>
          <w:rFonts w:ascii="Times New Roman" w:eastAsia="方正仿宋_GBK" w:hAnsi="Times New Roman" w:cs="方正仿宋_GBK"/>
          <w:color w:val="000000" w:themeColor="text1"/>
          <w:kern w:val="2"/>
          <w:sz w:val="32"/>
          <w:szCs w:val="32"/>
        </w:rPr>
        <w:t>0.00</w:t>
      </w:r>
      <w:r>
        <w:rPr>
          <w:rFonts w:ascii="Times New Roman" w:eastAsia="方正仿宋_GBK" w:hAnsi="Times New Roman" w:cs="方正仿宋_GBK"/>
          <w:color w:val="000000" w:themeColor="text1"/>
          <w:kern w:val="2"/>
          <w:sz w:val="32"/>
          <w:szCs w:val="32"/>
        </w:rPr>
        <w:t>万元，占</w:t>
      </w:r>
      <w:r>
        <w:rPr>
          <w:rFonts w:ascii="Times New Roman" w:eastAsia="方正仿宋_GBK" w:hAnsi="Times New Roman" w:cs="方正仿宋_GBK"/>
          <w:color w:val="000000" w:themeColor="text1"/>
          <w:kern w:val="2"/>
          <w:sz w:val="32"/>
          <w:szCs w:val="32"/>
        </w:rPr>
        <w:t>0.00%</w:t>
      </w:r>
      <w:r>
        <w:rPr>
          <w:rFonts w:ascii="Times New Roman" w:eastAsia="方正仿宋_GBK" w:hAnsi="Times New Roman" w:cs="方正仿宋_GBK"/>
          <w:color w:val="000000" w:themeColor="text1"/>
          <w:kern w:val="2"/>
          <w:sz w:val="32"/>
          <w:szCs w:val="32"/>
        </w:rPr>
        <w:t>；其他收入</w:t>
      </w:r>
      <w:r>
        <w:rPr>
          <w:rFonts w:ascii="Times New Roman" w:eastAsia="方正仿宋_GBK" w:hAnsi="Times New Roman" w:cs="方正仿宋_GBK"/>
          <w:color w:val="000000" w:themeColor="text1"/>
          <w:kern w:val="2"/>
          <w:sz w:val="32"/>
          <w:szCs w:val="32"/>
        </w:rPr>
        <w:t>0.00</w:t>
      </w:r>
      <w:r>
        <w:rPr>
          <w:rFonts w:ascii="Times New Roman" w:eastAsia="方正仿宋_GBK" w:hAnsi="Times New Roman" w:cs="方正仿宋_GBK"/>
          <w:color w:val="000000" w:themeColor="text1"/>
          <w:kern w:val="2"/>
          <w:sz w:val="32"/>
          <w:szCs w:val="32"/>
        </w:rPr>
        <w:t>万元，占</w:t>
      </w:r>
      <w:r>
        <w:rPr>
          <w:rFonts w:ascii="Times New Roman" w:eastAsia="方正仿宋_GBK" w:hAnsi="Times New Roman" w:cs="方正仿宋_GBK"/>
          <w:color w:val="000000" w:themeColor="text1"/>
          <w:kern w:val="2"/>
          <w:sz w:val="32"/>
          <w:szCs w:val="32"/>
        </w:rPr>
        <w:t>0.00%</w:t>
      </w:r>
      <w:r>
        <w:rPr>
          <w:rFonts w:ascii="Times New Roman" w:eastAsia="方正仿宋_GBK" w:hAnsi="Times New Roman" w:cs="方正仿宋_GBK"/>
          <w:color w:val="000000" w:themeColor="text1"/>
          <w:kern w:val="2"/>
          <w:sz w:val="32"/>
          <w:szCs w:val="32"/>
        </w:rPr>
        <w:t>。此外，使用非财政拨款结余和专用结余</w:t>
      </w:r>
      <w:r>
        <w:rPr>
          <w:rFonts w:ascii="Times New Roman" w:eastAsia="方正仿宋_GBK" w:hAnsi="Times New Roman" w:cs="方正仿宋_GBK"/>
          <w:color w:val="000000" w:themeColor="text1"/>
          <w:kern w:val="2"/>
          <w:sz w:val="32"/>
          <w:szCs w:val="32"/>
        </w:rPr>
        <w:t>0.00</w:t>
      </w:r>
      <w:r>
        <w:rPr>
          <w:rFonts w:ascii="Times New Roman" w:eastAsia="方正仿宋_GBK" w:hAnsi="Times New Roman" w:cs="方正仿宋_GBK"/>
          <w:color w:val="000000" w:themeColor="text1"/>
          <w:kern w:val="2"/>
          <w:sz w:val="32"/>
          <w:szCs w:val="32"/>
        </w:rPr>
        <w:t>万元，年初结转和结余</w:t>
      </w:r>
      <w:r>
        <w:rPr>
          <w:rFonts w:ascii="Times New Roman" w:eastAsia="方正仿宋_GBK" w:hAnsi="Times New Roman" w:cs="方正仿宋_GBK"/>
          <w:color w:val="000000" w:themeColor="text1"/>
          <w:kern w:val="2"/>
          <w:sz w:val="32"/>
          <w:szCs w:val="32"/>
        </w:rPr>
        <w:t>0.00</w:t>
      </w:r>
      <w:r>
        <w:rPr>
          <w:rFonts w:ascii="Times New Roman" w:eastAsia="方正仿宋_GBK" w:hAnsi="Times New Roman" w:cs="方正仿宋_GBK"/>
          <w:color w:val="000000" w:themeColor="text1"/>
          <w:kern w:val="2"/>
          <w:sz w:val="32"/>
          <w:szCs w:val="32"/>
        </w:rPr>
        <w:t>万元。</w:t>
      </w:r>
    </w:p>
    <w:p w:rsidR="00C110D3" w:rsidRDefault="00B96975">
      <w:pPr>
        <w:widowControl w:val="0"/>
        <w:spacing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3.</w:t>
      </w:r>
      <w:r>
        <w:rPr>
          <w:rFonts w:ascii="Times New Roman" w:eastAsia="方正仿宋_GBK" w:hAnsi="Times New Roman" w:cs="方正仿宋_GBK"/>
          <w:color w:val="000000" w:themeColor="text1"/>
          <w:kern w:val="2"/>
          <w:sz w:val="32"/>
          <w:szCs w:val="32"/>
        </w:rPr>
        <w:t>支出情况。</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年度支出合计</w:t>
      </w:r>
      <w:r>
        <w:rPr>
          <w:rFonts w:ascii="Times New Roman" w:eastAsia="方正仿宋_GBK" w:hAnsi="Times New Roman" w:cs="方正仿宋_GBK"/>
          <w:color w:val="000000" w:themeColor="text1"/>
          <w:kern w:val="2"/>
          <w:sz w:val="32"/>
          <w:szCs w:val="32"/>
        </w:rPr>
        <w:t>96.58</w:t>
      </w:r>
      <w:r>
        <w:rPr>
          <w:rFonts w:ascii="Times New Roman" w:eastAsia="方正仿宋_GBK" w:hAnsi="Times New Roman" w:cs="方正仿宋_GBK"/>
          <w:color w:val="000000" w:themeColor="text1"/>
          <w:kern w:val="2"/>
          <w:sz w:val="32"/>
          <w:szCs w:val="32"/>
        </w:rPr>
        <w:t>万元，较上年决算数增加</w:t>
      </w:r>
      <w:r>
        <w:rPr>
          <w:rFonts w:ascii="Times New Roman" w:eastAsia="方正仿宋_GBK" w:hAnsi="Times New Roman" w:cs="方正仿宋_GBK"/>
          <w:color w:val="000000" w:themeColor="text1"/>
          <w:kern w:val="2"/>
          <w:sz w:val="32"/>
          <w:szCs w:val="32"/>
        </w:rPr>
        <w:t>37.81</w:t>
      </w:r>
      <w:r>
        <w:rPr>
          <w:rFonts w:ascii="Times New Roman" w:eastAsia="方正仿宋_GBK" w:hAnsi="Times New Roman" w:cs="方正仿宋_GBK"/>
          <w:color w:val="000000" w:themeColor="text1"/>
          <w:kern w:val="2"/>
          <w:sz w:val="32"/>
          <w:szCs w:val="32"/>
        </w:rPr>
        <w:t>万元，增长</w:t>
      </w:r>
      <w:r>
        <w:rPr>
          <w:rFonts w:ascii="Times New Roman" w:eastAsia="方正仿宋_GBK" w:hAnsi="Times New Roman" w:cs="方正仿宋_GBK"/>
          <w:color w:val="000000" w:themeColor="text1"/>
          <w:kern w:val="2"/>
          <w:sz w:val="32"/>
          <w:szCs w:val="32"/>
        </w:rPr>
        <w:t>64.34%</w:t>
      </w:r>
      <w:r>
        <w:rPr>
          <w:rFonts w:ascii="Times New Roman" w:eastAsia="方正仿宋_GBK" w:hAnsi="Times New Roman" w:cs="方正仿宋_GBK"/>
          <w:color w:val="000000" w:themeColor="text1"/>
          <w:kern w:val="2"/>
          <w:sz w:val="32"/>
          <w:szCs w:val="32"/>
        </w:rPr>
        <w:t>，主要原因是</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年新增职员</w:t>
      </w:r>
      <w:r>
        <w:rPr>
          <w:rFonts w:ascii="Times New Roman" w:eastAsia="方正仿宋_GBK" w:hAnsi="Times New Roman" w:cs="方正仿宋_GBK"/>
          <w:color w:val="000000" w:themeColor="text1"/>
          <w:kern w:val="2"/>
          <w:sz w:val="32"/>
          <w:szCs w:val="32"/>
        </w:rPr>
        <w:t>1</w:t>
      </w:r>
      <w:r>
        <w:rPr>
          <w:rFonts w:ascii="Times New Roman" w:eastAsia="方正仿宋_GBK" w:hAnsi="Times New Roman" w:cs="方正仿宋_GBK"/>
          <w:color w:val="000000" w:themeColor="text1"/>
          <w:kern w:val="2"/>
          <w:sz w:val="32"/>
          <w:szCs w:val="32"/>
        </w:rPr>
        <w:t>名，导致人员经费支出增多，且办案服务中心开始运行。其中：基本支出</w:t>
      </w:r>
      <w:r>
        <w:rPr>
          <w:rFonts w:ascii="Times New Roman" w:eastAsia="方正仿宋_GBK" w:hAnsi="Times New Roman" w:cs="方正仿宋_GBK"/>
          <w:color w:val="000000" w:themeColor="text1"/>
          <w:kern w:val="2"/>
          <w:sz w:val="32"/>
          <w:szCs w:val="32"/>
        </w:rPr>
        <w:t>96.58</w:t>
      </w:r>
      <w:r>
        <w:rPr>
          <w:rFonts w:ascii="Times New Roman" w:eastAsia="方正仿宋_GBK" w:hAnsi="Times New Roman" w:cs="方正仿宋_GBK"/>
          <w:color w:val="000000" w:themeColor="text1"/>
          <w:kern w:val="2"/>
          <w:sz w:val="32"/>
          <w:szCs w:val="32"/>
        </w:rPr>
        <w:t>万元，占</w:t>
      </w:r>
      <w:r>
        <w:rPr>
          <w:rFonts w:ascii="Times New Roman" w:eastAsia="方正仿宋_GBK" w:hAnsi="Times New Roman" w:cs="方正仿宋_GBK"/>
          <w:color w:val="000000" w:themeColor="text1"/>
          <w:kern w:val="2"/>
          <w:sz w:val="32"/>
          <w:szCs w:val="32"/>
        </w:rPr>
        <w:t>100.00%</w:t>
      </w:r>
      <w:r>
        <w:rPr>
          <w:rFonts w:ascii="Times New Roman" w:eastAsia="方正仿宋_GBK" w:hAnsi="Times New Roman" w:cs="方正仿宋_GBK"/>
          <w:color w:val="000000" w:themeColor="text1"/>
          <w:kern w:val="2"/>
          <w:sz w:val="32"/>
          <w:szCs w:val="32"/>
        </w:rPr>
        <w:t>；项目支出</w:t>
      </w:r>
      <w:r>
        <w:rPr>
          <w:rFonts w:ascii="Times New Roman" w:eastAsia="方正仿宋_GBK" w:hAnsi="Times New Roman" w:cs="方正仿宋_GBK"/>
          <w:color w:val="000000" w:themeColor="text1"/>
          <w:kern w:val="2"/>
          <w:sz w:val="32"/>
          <w:szCs w:val="32"/>
        </w:rPr>
        <w:t>0.00</w:t>
      </w:r>
      <w:r>
        <w:rPr>
          <w:rFonts w:ascii="Times New Roman" w:eastAsia="方正仿宋_GBK" w:hAnsi="Times New Roman" w:cs="方正仿宋_GBK"/>
          <w:color w:val="000000" w:themeColor="text1"/>
          <w:kern w:val="2"/>
          <w:sz w:val="32"/>
          <w:szCs w:val="32"/>
        </w:rPr>
        <w:t>万元，占</w:t>
      </w:r>
      <w:r>
        <w:rPr>
          <w:rFonts w:ascii="Times New Roman" w:eastAsia="方正仿宋_GBK" w:hAnsi="Times New Roman" w:cs="方正仿宋_GBK"/>
          <w:color w:val="000000" w:themeColor="text1"/>
          <w:kern w:val="2"/>
          <w:sz w:val="32"/>
          <w:szCs w:val="32"/>
        </w:rPr>
        <w:t>0.00%</w:t>
      </w:r>
      <w:r>
        <w:rPr>
          <w:rFonts w:ascii="Times New Roman" w:eastAsia="方正仿宋_GBK" w:hAnsi="Times New Roman" w:cs="方正仿宋_GBK"/>
          <w:color w:val="000000" w:themeColor="text1"/>
          <w:kern w:val="2"/>
          <w:sz w:val="32"/>
          <w:szCs w:val="32"/>
        </w:rPr>
        <w:t>；经营支出</w:t>
      </w:r>
      <w:r>
        <w:rPr>
          <w:rFonts w:ascii="Times New Roman" w:eastAsia="方正仿宋_GBK" w:hAnsi="Times New Roman" w:cs="方正仿宋_GBK"/>
          <w:color w:val="000000" w:themeColor="text1"/>
          <w:kern w:val="2"/>
          <w:sz w:val="32"/>
          <w:szCs w:val="32"/>
        </w:rPr>
        <w:t>0.00</w:t>
      </w:r>
      <w:r>
        <w:rPr>
          <w:rFonts w:ascii="Times New Roman" w:eastAsia="方正仿宋_GBK" w:hAnsi="Times New Roman" w:cs="方正仿宋_GBK"/>
          <w:color w:val="000000" w:themeColor="text1"/>
          <w:kern w:val="2"/>
          <w:sz w:val="32"/>
          <w:szCs w:val="32"/>
        </w:rPr>
        <w:t>万元，占</w:t>
      </w:r>
      <w:r>
        <w:rPr>
          <w:rFonts w:ascii="Times New Roman" w:eastAsia="方正仿宋_GBK" w:hAnsi="Times New Roman" w:cs="方正仿宋_GBK"/>
          <w:color w:val="000000" w:themeColor="text1"/>
          <w:kern w:val="2"/>
          <w:sz w:val="32"/>
          <w:szCs w:val="32"/>
        </w:rPr>
        <w:t>0.00%</w:t>
      </w:r>
      <w:r>
        <w:rPr>
          <w:rFonts w:ascii="Times New Roman" w:eastAsia="方正仿宋_GBK" w:hAnsi="Times New Roman" w:cs="方正仿宋_GBK"/>
          <w:color w:val="000000" w:themeColor="text1"/>
          <w:kern w:val="2"/>
          <w:sz w:val="32"/>
          <w:szCs w:val="32"/>
        </w:rPr>
        <w:t>。此外，结余分配</w:t>
      </w:r>
      <w:r>
        <w:rPr>
          <w:rFonts w:ascii="Times New Roman" w:eastAsia="方正仿宋_GBK" w:hAnsi="Times New Roman" w:cs="方正仿宋_GBK"/>
          <w:color w:val="000000" w:themeColor="text1"/>
          <w:kern w:val="2"/>
          <w:sz w:val="32"/>
          <w:szCs w:val="32"/>
        </w:rPr>
        <w:t>0.00</w:t>
      </w:r>
      <w:r>
        <w:rPr>
          <w:rFonts w:ascii="Times New Roman" w:eastAsia="方正仿宋_GBK" w:hAnsi="Times New Roman" w:cs="方正仿宋_GBK"/>
          <w:color w:val="000000" w:themeColor="text1"/>
          <w:kern w:val="2"/>
          <w:sz w:val="32"/>
          <w:szCs w:val="32"/>
        </w:rPr>
        <w:t>万元。</w:t>
      </w:r>
    </w:p>
    <w:p w:rsidR="00C110D3" w:rsidRDefault="00B96975">
      <w:pPr>
        <w:widowControl w:val="0"/>
        <w:spacing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4.</w:t>
      </w:r>
      <w:r>
        <w:rPr>
          <w:rFonts w:ascii="Times New Roman" w:eastAsia="方正仿宋_GBK" w:hAnsi="Times New Roman" w:cs="方正仿宋_GBK"/>
          <w:color w:val="000000" w:themeColor="text1"/>
          <w:kern w:val="2"/>
          <w:sz w:val="32"/>
          <w:szCs w:val="32"/>
        </w:rPr>
        <w:t>结转结余情况。</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年度年末结转和结余</w:t>
      </w:r>
      <w:r>
        <w:rPr>
          <w:rFonts w:ascii="Times New Roman" w:eastAsia="方正仿宋_GBK" w:hAnsi="Times New Roman" w:cs="方正仿宋_GBK"/>
          <w:color w:val="000000" w:themeColor="text1"/>
          <w:kern w:val="2"/>
          <w:sz w:val="32"/>
          <w:szCs w:val="32"/>
        </w:rPr>
        <w:t>0.00</w:t>
      </w:r>
      <w:r>
        <w:rPr>
          <w:rFonts w:ascii="Times New Roman" w:eastAsia="方正仿宋_GBK" w:hAnsi="Times New Roman" w:cs="方正仿宋_GBK"/>
          <w:color w:val="000000" w:themeColor="text1"/>
          <w:kern w:val="2"/>
          <w:sz w:val="32"/>
          <w:szCs w:val="32"/>
        </w:rPr>
        <w:t>万元，较上年决算数无增减</w:t>
      </w:r>
      <w:r>
        <w:rPr>
          <w:rFonts w:ascii="Times New Roman" w:eastAsia="方正仿宋_GBK" w:hAnsi="Times New Roman" w:cs="方正仿宋_GBK"/>
          <w:color w:val="000000" w:themeColor="text1"/>
          <w:kern w:val="2"/>
          <w:sz w:val="32"/>
          <w:szCs w:val="32"/>
        </w:rPr>
        <w:t>。</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t>（二）财政拨款收入支出决算总体情况说明</w:t>
      </w:r>
    </w:p>
    <w:p w:rsidR="00C110D3" w:rsidRDefault="00B96975">
      <w:pPr>
        <w:widowControl w:val="0"/>
        <w:spacing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年度财政拨款收、支总计</w:t>
      </w:r>
      <w:r>
        <w:rPr>
          <w:rFonts w:ascii="Times New Roman" w:eastAsia="方正仿宋_GBK" w:hAnsi="Times New Roman" w:cs="方正仿宋_GBK"/>
          <w:color w:val="000000" w:themeColor="text1"/>
          <w:kern w:val="2"/>
          <w:sz w:val="32"/>
          <w:szCs w:val="32"/>
        </w:rPr>
        <w:t>96.58</w:t>
      </w:r>
      <w:r>
        <w:rPr>
          <w:rFonts w:ascii="Times New Roman" w:eastAsia="方正仿宋_GBK" w:hAnsi="Times New Roman" w:cs="方正仿宋_GBK"/>
          <w:color w:val="000000" w:themeColor="text1"/>
          <w:kern w:val="2"/>
          <w:sz w:val="32"/>
          <w:szCs w:val="32"/>
        </w:rPr>
        <w:t>万元。与</w:t>
      </w:r>
      <w:r>
        <w:rPr>
          <w:rFonts w:ascii="Times New Roman" w:eastAsia="方正仿宋_GBK" w:hAnsi="Times New Roman" w:cs="方正仿宋_GBK"/>
          <w:color w:val="000000" w:themeColor="text1"/>
          <w:kern w:val="2"/>
          <w:sz w:val="32"/>
          <w:szCs w:val="32"/>
        </w:rPr>
        <w:t>2022</w:t>
      </w:r>
      <w:r>
        <w:rPr>
          <w:rFonts w:ascii="Times New Roman" w:eastAsia="方正仿宋_GBK" w:hAnsi="Times New Roman" w:cs="方正仿宋_GBK"/>
          <w:color w:val="000000" w:themeColor="text1"/>
          <w:kern w:val="2"/>
          <w:sz w:val="32"/>
          <w:szCs w:val="32"/>
        </w:rPr>
        <w:t>年相比，</w:t>
      </w:r>
      <w:r>
        <w:rPr>
          <w:rFonts w:ascii="Times New Roman" w:eastAsia="方正仿宋_GBK" w:hAnsi="Times New Roman" w:cs="方正仿宋_GBK"/>
          <w:color w:val="000000" w:themeColor="text1"/>
          <w:kern w:val="2"/>
          <w:sz w:val="32"/>
          <w:szCs w:val="32"/>
        </w:rPr>
        <w:lastRenderedPageBreak/>
        <w:t>财政拨款收、支总计各增加</w:t>
      </w:r>
      <w:r>
        <w:rPr>
          <w:rFonts w:ascii="Times New Roman" w:eastAsia="方正仿宋_GBK" w:hAnsi="Times New Roman" w:cs="方正仿宋_GBK"/>
          <w:color w:val="000000" w:themeColor="text1"/>
          <w:kern w:val="2"/>
          <w:sz w:val="32"/>
          <w:szCs w:val="32"/>
        </w:rPr>
        <w:t>37.81</w:t>
      </w:r>
      <w:r>
        <w:rPr>
          <w:rFonts w:ascii="Times New Roman" w:eastAsia="方正仿宋_GBK" w:hAnsi="Times New Roman" w:cs="方正仿宋_GBK"/>
          <w:color w:val="000000" w:themeColor="text1"/>
          <w:kern w:val="2"/>
          <w:sz w:val="32"/>
          <w:szCs w:val="32"/>
        </w:rPr>
        <w:t>万元，增长</w:t>
      </w:r>
      <w:r>
        <w:rPr>
          <w:rFonts w:ascii="Times New Roman" w:eastAsia="方正仿宋_GBK" w:hAnsi="Times New Roman" w:cs="方正仿宋_GBK"/>
          <w:color w:val="000000" w:themeColor="text1"/>
          <w:kern w:val="2"/>
          <w:sz w:val="32"/>
          <w:szCs w:val="32"/>
        </w:rPr>
        <w:t>64.34%</w:t>
      </w:r>
      <w:r>
        <w:rPr>
          <w:rFonts w:ascii="Times New Roman" w:eastAsia="方正仿宋_GBK" w:hAnsi="Times New Roman" w:cs="方正仿宋_GBK"/>
          <w:color w:val="000000" w:themeColor="text1"/>
          <w:kern w:val="2"/>
          <w:sz w:val="32"/>
          <w:szCs w:val="32"/>
        </w:rPr>
        <w:t>。主要原因是</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年新增职员</w:t>
      </w:r>
      <w:r>
        <w:rPr>
          <w:rFonts w:ascii="Times New Roman" w:eastAsia="方正仿宋_GBK" w:hAnsi="Times New Roman" w:cs="方正仿宋_GBK"/>
          <w:color w:val="000000" w:themeColor="text1"/>
          <w:kern w:val="2"/>
          <w:sz w:val="32"/>
          <w:szCs w:val="32"/>
        </w:rPr>
        <w:t>1</w:t>
      </w:r>
      <w:r>
        <w:rPr>
          <w:rFonts w:ascii="Times New Roman" w:eastAsia="方正仿宋_GBK" w:hAnsi="Times New Roman" w:cs="方正仿宋_GBK"/>
          <w:color w:val="000000" w:themeColor="text1"/>
          <w:kern w:val="2"/>
          <w:sz w:val="32"/>
          <w:szCs w:val="32"/>
        </w:rPr>
        <w:t>名，导致人员经费支出增多，且办案服务中心开始运行。</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t>（三）一般公共预算财政拨款收入支出决算情况说明</w:t>
      </w:r>
    </w:p>
    <w:p w:rsidR="00C110D3" w:rsidRDefault="00B96975">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1.</w:t>
      </w:r>
      <w:r>
        <w:rPr>
          <w:rFonts w:ascii="Times New Roman" w:eastAsia="方正仿宋_GBK" w:hAnsi="Times New Roman" w:cs="方正仿宋_GBK"/>
          <w:color w:val="000000" w:themeColor="text1"/>
          <w:kern w:val="2"/>
          <w:sz w:val="32"/>
          <w:szCs w:val="32"/>
        </w:rPr>
        <w:t>收入情况。</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年度一般公共预算财政拨款收入</w:t>
      </w:r>
      <w:r>
        <w:rPr>
          <w:rFonts w:ascii="Times New Roman" w:eastAsia="方正仿宋_GBK" w:hAnsi="Times New Roman" w:cs="方正仿宋_GBK"/>
          <w:color w:val="000000" w:themeColor="text1"/>
          <w:kern w:val="2"/>
          <w:sz w:val="32"/>
          <w:szCs w:val="32"/>
        </w:rPr>
        <w:t>96.58</w:t>
      </w:r>
      <w:r>
        <w:rPr>
          <w:rFonts w:ascii="Times New Roman" w:eastAsia="方正仿宋_GBK" w:hAnsi="Times New Roman" w:cs="方正仿宋_GBK"/>
          <w:color w:val="000000" w:themeColor="text1"/>
          <w:kern w:val="2"/>
          <w:sz w:val="32"/>
          <w:szCs w:val="32"/>
        </w:rPr>
        <w:t>万元，较上年决算数增加</w:t>
      </w:r>
      <w:r>
        <w:rPr>
          <w:rFonts w:ascii="Times New Roman" w:eastAsia="方正仿宋_GBK" w:hAnsi="Times New Roman" w:cs="方正仿宋_GBK"/>
          <w:color w:val="000000" w:themeColor="text1"/>
          <w:kern w:val="2"/>
          <w:sz w:val="32"/>
          <w:szCs w:val="32"/>
        </w:rPr>
        <w:t>37.81</w:t>
      </w:r>
      <w:r>
        <w:rPr>
          <w:rFonts w:ascii="Times New Roman" w:eastAsia="方正仿宋_GBK" w:hAnsi="Times New Roman" w:cs="方正仿宋_GBK"/>
          <w:color w:val="000000" w:themeColor="text1"/>
          <w:kern w:val="2"/>
          <w:sz w:val="32"/>
          <w:szCs w:val="32"/>
        </w:rPr>
        <w:t>万元，增长</w:t>
      </w:r>
      <w:r>
        <w:rPr>
          <w:rFonts w:ascii="Times New Roman" w:eastAsia="方正仿宋_GBK" w:hAnsi="Times New Roman" w:cs="方正仿宋_GBK"/>
          <w:color w:val="000000" w:themeColor="text1"/>
          <w:kern w:val="2"/>
          <w:sz w:val="32"/>
          <w:szCs w:val="32"/>
        </w:rPr>
        <w:t>64.34%</w:t>
      </w:r>
      <w:r>
        <w:rPr>
          <w:rFonts w:ascii="Times New Roman" w:eastAsia="方正仿宋_GBK" w:hAnsi="Times New Roman" w:cs="方正仿宋_GBK"/>
          <w:color w:val="000000" w:themeColor="text1"/>
          <w:kern w:val="2"/>
          <w:sz w:val="32"/>
          <w:szCs w:val="32"/>
        </w:rPr>
        <w:t>。主要原因是</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年新增职员</w:t>
      </w:r>
      <w:r>
        <w:rPr>
          <w:rFonts w:ascii="Times New Roman" w:eastAsia="方正仿宋_GBK" w:hAnsi="Times New Roman" w:cs="方正仿宋_GBK"/>
          <w:color w:val="000000" w:themeColor="text1"/>
          <w:kern w:val="2"/>
          <w:sz w:val="32"/>
          <w:szCs w:val="32"/>
        </w:rPr>
        <w:t>1</w:t>
      </w:r>
      <w:r>
        <w:rPr>
          <w:rFonts w:ascii="Times New Roman" w:eastAsia="方正仿宋_GBK" w:hAnsi="Times New Roman" w:cs="方正仿宋_GBK"/>
          <w:color w:val="000000" w:themeColor="text1"/>
          <w:kern w:val="2"/>
          <w:sz w:val="32"/>
          <w:szCs w:val="32"/>
        </w:rPr>
        <w:t>名，导致人员经费支出增多，且办案服务中心开始运行。较年初预算数增加</w:t>
      </w:r>
      <w:r>
        <w:rPr>
          <w:rFonts w:ascii="Times New Roman" w:eastAsia="方正仿宋_GBK" w:hAnsi="Times New Roman" w:cs="方正仿宋_GBK"/>
          <w:color w:val="000000" w:themeColor="text1"/>
          <w:kern w:val="2"/>
          <w:sz w:val="32"/>
          <w:szCs w:val="32"/>
        </w:rPr>
        <w:t>4.51</w:t>
      </w:r>
      <w:r>
        <w:rPr>
          <w:rFonts w:ascii="Times New Roman" w:eastAsia="方正仿宋_GBK" w:hAnsi="Times New Roman" w:cs="方正仿宋_GBK"/>
          <w:color w:val="000000" w:themeColor="text1"/>
          <w:kern w:val="2"/>
          <w:sz w:val="32"/>
          <w:szCs w:val="32"/>
        </w:rPr>
        <w:t>万元，增长</w:t>
      </w:r>
      <w:r>
        <w:rPr>
          <w:rFonts w:ascii="Times New Roman" w:eastAsia="方正仿宋_GBK" w:hAnsi="Times New Roman" w:cs="方正仿宋_GBK"/>
          <w:color w:val="000000" w:themeColor="text1"/>
          <w:kern w:val="2"/>
          <w:sz w:val="32"/>
          <w:szCs w:val="32"/>
        </w:rPr>
        <w:t>4.90%</w:t>
      </w:r>
      <w:r>
        <w:rPr>
          <w:rFonts w:ascii="Times New Roman" w:eastAsia="方正仿宋_GBK" w:hAnsi="Times New Roman" w:cs="方正仿宋_GBK"/>
          <w:color w:val="000000" w:themeColor="text1"/>
          <w:kern w:val="2"/>
          <w:sz w:val="32"/>
          <w:szCs w:val="32"/>
        </w:rPr>
        <w:t>。主要原因是年中人员</w:t>
      </w:r>
      <w:r>
        <w:rPr>
          <w:rFonts w:ascii="Times New Roman" w:eastAsia="方正仿宋_GBK" w:hAnsi="Times New Roman" w:cs="方正仿宋_GBK"/>
          <w:color w:val="000000" w:themeColor="text1"/>
          <w:kern w:val="2"/>
          <w:sz w:val="32"/>
          <w:szCs w:val="32"/>
        </w:rPr>
        <w:t>调入后向财政追加人员经费。此外，年初财政拨款结转和结余</w:t>
      </w:r>
      <w:r>
        <w:rPr>
          <w:rFonts w:ascii="Times New Roman" w:eastAsia="方正仿宋_GBK" w:hAnsi="Times New Roman" w:cs="方正仿宋_GBK"/>
          <w:color w:val="000000" w:themeColor="text1"/>
          <w:kern w:val="2"/>
          <w:sz w:val="32"/>
          <w:szCs w:val="32"/>
        </w:rPr>
        <w:t>0.00</w:t>
      </w:r>
      <w:r>
        <w:rPr>
          <w:rFonts w:ascii="Times New Roman" w:eastAsia="方正仿宋_GBK" w:hAnsi="Times New Roman" w:cs="方正仿宋_GBK"/>
          <w:color w:val="000000" w:themeColor="text1"/>
          <w:kern w:val="2"/>
          <w:sz w:val="32"/>
          <w:szCs w:val="32"/>
        </w:rPr>
        <w:t>万元。</w:t>
      </w:r>
    </w:p>
    <w:p w:rsidR="00C110D3" w:rsidRDefault="00B96975">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2.</w:t>
      </w:r>
      <w:r>
        <w:rPr>
          <w:rFonts w:ascii="Times New Roman" w:eastAsia="方正仿宋_GBK" w:hAnsi="Times New Roman" w:cs="方正仿宋_GBK"/>
          <w:color w:val="000000" w:themeColor="text1"/>
          <w:kern w:val="2"/>
          <w:sz w:val="32"/>
          <w:szCs w:val="32"/>
        </w:rPr>
        <w:t>支出情况。</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年度一般公共预算财政拨款支出</w:t>
      </w:r>
      <w:r>
        <w:rPr>
          <w:rFonts w:ascii="Times New Roman" w:eastAsia="方正仿宋_GBK" w:hAnsi="Times New Roman" w:cs="方正仿宋_GBK"/>
          <w:color w:val="000000" w:themeColor="text1"/>
          <w:kern w:val="2"/>
          <w:sz w:val="32"/>
          <w:szCs w:val="32"/>
        </w:rPr>
        <w:t>96.58</w:t>
      </w:r>
      <w:r>
        <w:rPr>
          <w:rFonts w:ascii="Times New Roman" w:eastAsia="方正仿宋_GBK" w:hAnsi="Times New Roman" w:cs="方正仿宋_GBK"/>
          <w:color w:val="000000" w:themeColor="text1"/>
          <w:kern w:val="2"/>
          <w:sz w:val="32"/>
          <w:szCs w:val="32"/>
        </w:rPr>
        <w:t>万元，较上年决算数增加</w:t>
      </w:r>
      <w:r>
        <w:rPr>
          <w:rFonts w:ascii="Times New Roman" w:eastAsia="方正仿宋_GBK" w:hAnsi="Times New Roman" w:cs="方正仿宋_GBK"/>
          <w:color w:val="000000" w:themeColor="text1"/>
          <w:kern w:val="2"/>
          <w:sz w:val="32"/>
          <w:szCs w:val="32"/>
        </w:rPr>
        <w:t>37.81</w:t>
      </w:r>
      <w:r>
        <w:rPr>
          <w:rFonts w:ascii="Times New Roman" w:eastAsia="方正仿宋_GBK" w:hAnsi="Times New Roman" w:cs="方正仿宋_GBK"/>
          <w:color w:val="000000" w:themeColor="text1"/>
          <w:kern w:val="2"/>
          <w:sz w:val="32"/>
          <w:szCs w:val="32"/>
        </w:rPr>
        <w:t>万元，增长</w:t>
      </w:r>
      <w:r>
        <w:rPr>
          <w:rFonts w:ascii="Times New Roman" w:eastAsia="方正仿宋_GBK" w:hAnsi="Times New Roman" w:cs="方正仿宋_GBK"/>
          <w:color w:val="000000" w:themeColor="text1"/>
          <w:kern w:val="2"/>
          <w:sz w:val="32"/>
          <w:szCs w:val="32"/>
        </w:rPr>
        <w:t>64.34%</w:t>
      </w:r>
      <w:r>
        <w:rPr>
          <w:rFonts w:ascii="Times New Roman" w:eastAsia="方正仿宋_GBK" w:hAnsi="Times New Roman" w:cs="方正仿宋_GBK"/>
          <w:color w:val="000000" w:themeColor="text1"/>
          <w:kern w:val="2"/>
          <w:sz w:val="32"/>
          <w:szCs w:val="32"/>
        </w:rPr>
        <w:t>。主要原因是</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年新增职员</w:t>
      </w:r>
      <w:r>
        <w:rPr>
          <w:rFonts w:ascii="Times New Roman" w:eastAsia="方正仿宋_GBK" w:hAnsi="Times New Roman" w:cs="方正仿宋_GBK"/>
          <w:color w:val="000000" w:themeColor="text1"/>
          <w:kern w:val="2"/>
          <w:sz w:val="32"/>
          <w:szCs w:val="32"/>
        </w:rPr>
        <w:t>1</w:t>
      </w:r>
      <w:r>
        <w:rPr>
          <w:rFonts w:ascii="Times New Roman" w:eastAsia="方正仿宋_GBK" w:hAnsi="Times New Roman" w:cs="方正仿宋_GBK"/>
          <w:color w:val="000000" w:themeColor="text1"/>
          <w:kern w:val="2"/>
          <w:sz w:val="32"/>
          <w:szCs w:val="32"/>
        </w:rPr>
        <w:t>名，导致人员经费支出增多，且办案服务中心开始运行。较年初预算数增加</w:t>
      </w:r>
      <w:r>
        <w:rPr>
          <w:rFonts w:ascii="Times New Roman" w:eastAsia="方正仿宋_GBK" w:hAnsi="Times New Roman" w:cs="方正仿宋_GBK"/>
          <w:color w:val="000000" w:themeColor="text1"/>
          <w:kern w:val="2"/>
          <w:sz w:val="32"/>
          <w:szCs w:val="32"/>
        </w:rPr>
        <w:t>4.51</w:t>
      </w:r>
      <w:r>
        <w:rPr>
          <w:rFonts w:ascii="Times New Roman" w:eastAsia="方正仿宋_GBK" w:hAnsi="Times New Roman" w:cs="方正仿宋_GBK"/>
          <w:color w:val="000000" w:themeColor="text1"/>
          <w:kern w:val="2"/>
          <w:sz w:val="32"/>
          <w:szCs w:val="32"/>
        </w:rPr>
        <w:t>万元，增长</w:t>
      </w:r>
      <w:r>
        <w:rPr>
          <w:rFonts w:ascii="Times New Roman" w:eastAsia="方正仿宋_GBK" w:hAnsi="Times New Roman" w:cs="方正仿宋_GBK"/>
          <w:color w:val="000000" w:themeColor="text1"/>
          <w:kern w:val="2"/>
          <w:sz w:val="32"/>
          <w:szCs w:val="32"/>
        </w:rPr>
        <w:t>4.90%</w:t>
      </w:r>
      <w:r>
        <w:rPr>
          <w:rFonts w:ascii="Times New Roman" w:eastAsia="方正仿宋_GBK" w:hAnsi="Times New Roman" w:cs="方正仿宋_GBK"/>
          <w:color w:val="000000" w:themeColor="text1"/>
          <w:kern w:val="2"/>
          <w:sz w:val="32"/>
          <w:szCs w:val="32"/>
        </w:rPr>
        <w:t>。主要原因是年中人员调入后向财政追加人员经费。</w:t>
      </w:r>
    </w:p>
    <w:p w:rsidR="00C110D3" w:rsidRDefault="00B96975">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3.</w:t>
      </w:r>
      <w:r>
        <w:rPr>
          <w:rFonts w:ascii="Times New Roman" w:eastAsia="方正仿宋_GBK" w:hAnsi="Times New Roman" w:cs="方正仿宋_GBK"/>
          <w:color w:val="000000" w:themeColor="text1"/>
          <w:kern w:val="2"/>
          <w:sz w:val="32"/>
          <w:szCs w:val="32"/>
        </w:rPr>
        <w:t>结转结余情况。</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年度年末一般公共预算财政拨款结转和结余</w:t>
      </w:r>
      <w:r>
        <w:rPr>
          <w:rFonts w:ascii="Times New Roman" w:eastAsia="方正仿宋_GBK" w:hAnsi="Times New Roman" w:cs="方正仿宋_GBK"/>
          <w:color w:val="000000" w:themeColor="text1"/>
          <w:kern w:val="2"/>
          <w:sz w:val="32"/>
          <w:szCs w:val="32"/>
        </w:rPr>
        <w:t>0.00</w:t>
      </w:r>
      <w:r>
        <w:rPr>
          <w:rFonts w:ascii="Times New Roman" w:eastAsia="方正仿宋_GBK" w:hAnsi="Times New Roman" w:cs="方正仿宋_GBK"/>
          <w:color w:val="000000" w:themeColor="text1"/>
          <w:kern w:val="2"/>
          <w:sz w:val="32"/>
          <w:szCs w:val="32"/>
        </w:rPr>
        <w:t>万元，较上年决算数无增减。</w:t>
      </w:r>
    </w:p>
    <w:p w:rsidR="00C110D3" w:rsidRDefault="00B96975">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4.</w:t>
      </w:r>
      <w:r>
        <w:rPr>
          <w:rFonts w:ascii="Times New Roman" w:eastAsia="方正仿宋_GBK" w:hAnsi="Times New Roman" w:cs="方正仿宋_GBK"/>
          <w:color w:val="000000" w:themeColor="text1"/>
          <w:kern w:val="2"/>
          <w:sz w:val="32"/>
          <w:szCs w:val="32"/>
        </w:rPr>
        <w:t>比较情况。本单位</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年度一般公共预算财政拨款支</w:t>
      </w:r>
      <w:r>
        <w:rPr>
          <w:rFonts w:ascii="Times New Roman" w:eastAsia="方正仿宋_GBK" w:hAnsi="Times New Roman" w:cs="方正仿宋_GBK"/>
          <w:color w:val="000000" w:themeColor="text1"/>
          <w:kern w:val="2"/>
          <w:sz w:val="32"/>
          <w:szCs w:val="32"/>
        </w:rPr>
        <w:t>出主要用于以下几个方面：</w:t>
      </w:r>
    </w:p>
    <w:p w:rsidR="00C110D3" w:rsidRDefault="00B96975">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w:t>
      </w:r>
      <w:r>
        <w:rPr>
          <w:rFonts w:ascii="Times New Roman" w:eastAsia="方正仿宋_GBK" w:hAnsi="Times New Roman" w:cs="方正仿宋_GBK"/>
          <w:color w:val="000000" w:themeColor="text1"/>
          <w:kern w:val="2"/>
          <w:sz w:val="32"/>
          <w:szCs w:val="32"/>
        </w:rPr>
        <w:t>1</w:t>
      </w:r>
      <w:r>
        <w:rPr>
          <w:rFonts w:ascii="Times New Roman" w:eastAsia="方正仿宋_GBK" w:hAnsi="Times New Roman" w:cs="方正仿宋_GBK"/>
          <w:color w:val="000000" w:themeColor="text1"/>
          <w:kern w:val="2"/>
          <w:sz w:val="32"/>
          <w:szCs w:val="32"/>
        </w:rPr>
        <w:t>）一般公共服务支出</w:t>
      </w:r>
      <w:r>
        <w:rPr>
          <w:rFonts w:ascii="Times New Roman" w:eastAsia="方正仿宋_GBK" w:hAnsi="Times New Roman" w:cs="方正仿宋_GBK"/>
          <w:color w:val="000000" w:themeColor="text1"/>
          <w:kern w:val="2"/>
          <w:sz w:val="32"/>
          <w:szCs w:val="32"/>
        </w:rPr>
        <w:t>76.19</w:t>
      </w:r>
      <w:r>
        <w:rPr>
          <w:rFonts w:ascii="Times New Roman" w:eastAsia="方正仿宋_GBK" w:hAnsi="Times New Roman" w:cs="方正仿宋_GBK"/>
          <w:color w:val="000000" w:themeColor="text1"/>
          <w:kern w:val="2"/>
          <w:sz w:val="32"/>
          <w:szCs w:val="32"/>
        </w:rPr>
        <w:t>万元，占</w:t>
      </w:r>
      <w:r>
        <w:rPr>
          <w:rFonts w:ascii="Times New Roman" w:eastAsia="方正仿宋_GBK" w:hAnsi="Times New Roman" w:cs="方正仿宋_GBK"/>
          <w:color w:val="000000" w:themeColor="text1"/>
          <w:kern w:val="2"/>
          <w:sz w:val="32"/>
          <w:szCs w:val="32"/>
        </w:rPr>
        <w:t>78.89%</w:t>
      </w:r>
      <w:r>
        <w:rPr>
          <w:rFonts w:ascii="Times New Roman" w:eastAsia="方正仿宋_GBK" w:hAnsi="Times New Roman" w:cs="方正仿宋_GBK"/>
          <w:color w:val="000000" w:themeColor="text1"/>
          <w:kern w:val="2"/>
          <w:sz w:val="32"/>
          <w:szCs w:val="32"/>
        </w:rPr>
        <w:t>，较年初预算数增加</w:t>
      </w:r>
      <w:r>
        <w:rPr>
          <w:rFonts w:ascii="Times New Roman" w:eastAsia="方正仿宋_GBK" w:hAnsi="Times New Roman" w:cs="方正仿宋_GBK"/>
          <w:color w:val="000000" w:themeColor="text1"/>
          <w:kern w:val="2"/>
          <w:sz w:val="32"/>
          <w:szCs w:val="32"/>
        </w:rPr>
        <w:t>1.56</w:t>
      </w:r>
      <w:r>
        <w:rPr>
          <w:rFonts w:ascii="Times New Roman" w:eastAsia="方正仿宋_GBK" w:hAnsi="Times New Roman" w:cs="方正仿宋_GBK"/>
          <w:color w:val="000000" w:themeColor="text1"/>
          <w:kern w:val="2"/>
          <w:sz w:val="32"/>
          <w:szCs w:val="32"/>
        </w:rPr>
        <w:t>万元，增长</w:t>
      </w:r>
      <w:r>
        <w:rPr>
          <w:rFonts w:ascii="Times New Roman" w:eastAsia="方正仿宋_GBK" w:hAnsi="Times New Roman" w:cs="方正仿宋_GBK"/>
          <w:color w:val="000000" w:themeColor="text1"/>
          <w:kern w:val="2"/>
          <w:sz w:val="32"/>
          <w:szCs w:val="32"/>
        </w:rPr>
        <w:t>2.09%</w:t>
      </w:r>
      <w:r>
        <w:rPr>
          <w:rFonts w:ascii="Times New Roman" w:eastAsia="方正仿宋_GBK" w:hAnsi="Times New Roman" w:cs="方正仿宋_GBK"/>
          <w:color w:val="000000" w:themeColor="text1"/>
          <w:kern w:val="2"/>
          <w:sz w:val="32"/>
          <w:szCs w:val="32"/>
        </w:rPr>
        <w:t>，主要原因是</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年新增职员</w:t>
      </w:r>
      <w:r>
        <w:rPr>
          <w:rFonts w:ascii="Times New Roman" w:eastAsia="方正仿宋_GBK" w:hAnsi="Times New Roman" w:cs="方正仿宋_GBK"/>
          <w:color w:val="000000" w:themeColor="text1"/>
          <w:kern w:val="2"/>
          <w:sz w:val="32"/>
          <w:szCs w:val="32"/>
        </w:rPr>
        <w:t>1</w:t>
      </w:r>
      <w:r>
        <w:rPr>
          <w:rFonts w:ascii="Times New Roman" w:eastAsia="方正仿宋_GBK" w:hAnsi="Times New Roman" w:cs="方正仿宋_GBK"/>
          <w:color w:val="000000" w:themeColor="text1"/>
          <w:kern w:val="2"/>
          <w:sz w:val="32"/>
          <w:szCs w:val="32"/>
        </w:rPr>
        <w:t>名，办公经费增多。</w:t>
      </w:r>
    </w:p>
    <w:p w:rsidR="00C110D3" w:rsidRDefault="00B96975">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lastRenderedPageBreak/>
        <w:t>（</w:t>
      </w:r>
      <w:r>
        <w:rPr>
          <w:rFonts w:ascii="Times New Roman" w:eastAsia="方正仿宋_GBK" w:hAnsi="Times New Roman" w:cs="方正仿宋_GBK"/>
          <w:color w:val="000000" w:themeColor="text1"/>
          <w:kern w:val="2"/>
          <w:sz w:val="32"/>
          <w:szCs w:val="32"/>
        </w:rPr>
        <w:t>2</w:t>
      </w:r>
      <w:r>
        <w:rPr>
          <w:rFonts w:ascii="Times New Roman" w:eastAsia="方正仿宋_GBK" w:hAnsi="Times New Roman" w:cs="方正仿宋_GBK"/>
          <w:color w:val="000000" w:themeColor="text1"/>
          <w:kern w:val="2"/>
          <w:sz w:val="32"/>
          <w:szCs w:val="32"/>
        </w:rPr>
        <w:t>）社会保障与就业支出</w:t>
      </w:r>
      <w:r>
        <w:rPr>
          <w:rFonts w:ascii="Times New Roman" w:eastAsia="方正仿宋_GBK" w:hAnsi="Times New Roman" w:cs="方正仿宋_GBK"/>
          <w:color w:val="000000" w:themeColor="text1"/>
          <w:kern w:val="2"/>
          <w:sz w:val="32"/>
          <w:szCs w:val="32"/>
        </w:rPr>
        <w:t>8.33</w:t>
      </w:r>
      <w:r>
        <w:rPr>
          <w:rFonts w:ascii="Times New Roman" w:eastAsia="方正仿宋_GBK" w:hAnsi="Times New Roman" w:cs="方正仿宋_GBK"/>
          <w:color w:val="000000" w:themeColor="text1"/>
          <w:kern w:val="2"/>
          <w:sz w:val="32"/>
          <w:szCs w:val="32"/>
        </w:rPr>
        <w:t>万元，占</w:t>
      </w:r>
      <w:r>
        <w:rPr>
          <w:rFonts w:ascii="Times New Roman" w:eastAsia="方正仿宋_GBK" w:hAnsi="Times New Roman" w:cs="方正仿宋_GBK"/>
          <w:color w:val="000000" w:themeColor="text1"/>
          <w:kern w:val="2"/>
          <w:sz w:val="32"/>
          <w:szCs w:val="32"/>
        </w:rPr>
        <w:t>8.62%</w:t>
      </w:r>
      <w:r>
        <w:rPr>
          <w:rFonts w:ascii="Times New Roman" w:eastAsia="方正仿宋_GBK" w:hAnsi="Times New Roman" w:cs="方正仿宋_GBK"/>
          <w:color w:val="000000" w:themeColor="text1"/>
          <w:kern w:val="2"/>
          <w:sz w:val="32"/>
          <w:szCs w:val="32"/>
        </w:rPr>
        <w:t>，较年初预算数增加</w:t>
      </w:r>
      <w:r>
        <w:rPr>
          <w:rFonts w:ascii="Times New Roman" w:eastAsia="方正仿宋_GBK" w:hAnsi="Times New Roman" w:cs="方正仿宋_GBK"/>
          <w:color w:val="000000" w:themeColor="text1"/>
          <w:kern w:val="2"/>
          <w:sz w:val="32"/>
          <w:szCs w:val="32"/>
        </w:rPr>
        <w:t>1.51</w:t>
      </w:r>
      <w:r>
        <w:rPr>
          <w:rFonts w:ascii="Times New Roman" w:eastAsia="方正仿宋_GBK" w:hAnsi="Times New Roman" w:cs="方正仿宋_GBK"/>
          <w:color w:val="000000" w:themeColor="text1"/>
          <w:kern w:val="2"/>
          <w:sz w:val="32"/>
          <w:szCs w:val="32"/>
        </w:rPr>
        <w:t>万元，增长</w:t>
      </w:r>
      <w:r>
        <w:rPr>
          <w:rFonts w:ascii="Times New Roman" w:eastAsia="方正仿宋_GBK" w:hAnsi="Times New Roman" w:cs="方正仿宋_GBK"/>
          <w:color w:val="000000" w:themeColor="text1"/>
          <w:kern w:val="2"/>
          <w:sz w:val="32"/>
          <w:szCs w:val="32"/>
        </w:rPr>
        <w:t>22.14%</w:t>
      </w:r>
      <w:r>
        <w:rPr>
          <w:rFonts w:ascii="Times New Roman" w:eastAsia="方正仿宋_GBK" w:hAnsi="Times New Roman" w:cs="方正仿宋_GBK"/>
          <w:color w:val="000000" w:themeColor="text1"/>
          <w:kern w:val="2"/>
          <w:sz w:val="32"/>
          <w:szCs w:val="32"/>
        </w:rPr>
        <w:t>，主要原因是</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年新增职员</w:t>
      </w:r>
      <w:r>
        <w:rPr>
          <w:rFonts w:ascii="Times New Roman" w:eastAsia="方正仿宋_GBK" w:hAnsi="Times New Roman" w:cs="方正仿宋_GBK"/>
          <w:color w:val="000000" w:themeColor="text1"/>
          <w:kern w:val="2"/>
          <w:sz w:val="32"/>
          <w:szCs w:val="32"/>
        </w:rPr>
        <w:t>1</w:t>
      </w:r>
      <w:r>
        <w:rPr>
          <w:rFonts w:ascii="Times New Roman" w:eastAsia="方正仿宋_GBK" w:hAnsi="Times New Roman" w:cs="方正仿宋_GBK"/>
          <w:color w:val="000000" w:themeColor="text1"/>
          <w:kern w:val="2"/>
          <w:sz w:val="32"/>
          <w:szCs w:val="32"/>
        </w:rPr>
        <w:t>名，社保缴费增加。</w:t>
      </w:r>
    </w:p>
    <w:p w:rsidR="00C110D3" w:rsidRDefault="00B96975">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w:t>
      </w:r>
      <w:r>
        <w:rPr>
          <w:rFonts w:ascii="Times New Roman" w:eastAsia="方正仿宋_GBK" w:hAnsi="Times New Roman" w:cs="方正仿宋_GBK"/>
          <w:color w:val="000000" w:themeColor="text1"/>
          <w:kern w:val="2"/>
          <w:sz w:val="32"/>
          <w:szCs w:val="32"/>
        </w:rPr>
        <w:t>3</w:t>
      </w:r>
      <w:r>
        <w:rPr>
          <w:rFonts w:ascii="Times New Roman" w:eastAsia="方正仿宋_GBK" w:hAnsi="Times New Roman" w:cs="方正仿宋_GBK"/>
          <w:color w:val="000000" w:themeColor="text1"/>
          <w:kern w:val="2"/>
          <w:sz w:val="32"/>
          <w:szCs w:val="32"/>
        </w:rPr>
        <w:t>）卫生健康支出</w:t>
      </w:r>
      <w:r>
        <w:rPr>
          <w:rFonts w:ascii="Times New Roman" w:eastAsia="方正仿宋_GBK" w:hAnsi="Times New Roman" w:cs="方正仿宋_GBK"/>
          <w:color w:val="000000" w:themeColor="text1"/>
          <w:kern w:val="2"/>
          <w:sz w:val="32"/>
          <w:szCs w:val="32"/>
        </w:rPr>
        <w:t>4.11</w:t>
      </w:r>
      <w:r>
        <w:rPr>
          <w:rFonts w:ascii="Times New Roman" w:eastAsia="方正仿宋_GBK" w:hAnsi="Times New Roman" w:cs="方正仿宋_GBK"/>
          <w:color w:val="000000" w:themeColor="text1"/>
          <w:kern w:val="2"/>
          <w:sz w:val="32"/>
          <w:szCs w:val="32"/>
        </w:rPr>
        <w:t>万元，占</w:t>
      </w:r>
      <w:r>
        <w:rPr>
          <w:rFonts w:ascii="Times New Roman" w:eastAsia="方正仿宋_GBK" w:hAnsi="Times New Roman" w:cs="方正仿宋_GBK"/>
          <w:color w:val="000000" w:themeColor="text1"/>
          <w:kern w:val="2"/>
          <w:sz w:val="32"/>
          <w:szCs w:val="32"/>
        </w:rPr>
        <w:t>4.26%</w:t>
      </w:r>
      <w:r>
        <w:rPr>
          <w:rFonts w:ascii="Times New Roman" w:eastAsia="方正仿宋_GBK" w:hAnsi="Times New Roman" w:cs="方正仿宋_GBK"/>
          <w:color w:val="000000" w:themeColor="text1"/>
          <w:kern w:val="2"/>
          <w:sz w:val="32"/>
          <w:szCs w:val="32"/>
        </w:rPr>
        <w:t>，较年初预算数增加</w:t>
      </w:r>
      <w:r>
        <w:rPr>
          <w:rFonts w:ascii="Times New Roman" w:eastAsia="方正仿宋_GBK" w:hAnsi="Times New Roman" w:cs="方正仿宋_GBK"/>
          <w:color w:val="000000" w:themeColor="text1"/>
          <w:kern w:val="2"/>
          <w:sz w:val="32"/>
          <w:szCs w:val="32"/>
        </w:rPr>
        <w:t>0.63</w:t>
      </w:r>
      <w:r>
        <w:rPr>
          <w:rFonts w:ascii="Times New Roman" w:eastAsia="方正仿宋_GBK" w:hAnsi="Times New Roman" w:cs="方正仿宋_GBK"/>
          <w:color w:val="000000" w:themeColor="text1"/>
          <w:kern w:val="2"/>
          <w:sz w:val="32"/>
          <w:szCs w:val="32"/>
        </w:rPr>
        <w:t>万元，增长</w:t>
      </w:r>
      <w:r>
        <w:rPr>
          <w:rFonts w:ascii="Times New Roman" w:eastAsia="方正仿宋_GBK" w:hAnsi="Times New Roman" w:cs="方正仿宋_GBK"/>
          <w:color w:val="000000" w:themeColor="text1"/>
          <w:kern w:val="2"/>
          <w:sz w:val="32"/>
          <w:szCs w:val="32"/>
        </w:rPr>
        <w:t>18.10%</w:t>
      </w:r>
      <w:r>
        <w:rPr>
          <w:rFonts w:ascii="Times New Roman" w:eastAsia="方正仿宋_GBK" w:hAnsi="Times New Roman" w:cs="方正仿宋_GBK"/>
          <w:color w:val="000000" w:themeColor="text1"/>
          <w:kern w:val="2"/>
          <w:sz w:val="32"/>
          <w:szCs w:val="32"/>
        </w:rPr>
        <w:t>，主要原因是</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年新增职员</w:t>
      </w:r>
      <w:r>
        <w:rPr>
          <w:rFonts w:ascii="Times New Roman" w:eastAsia="方正仿宋_GBK" w:hAnsi="Times New Roman" w:cs="方正仿宋_GBK"/>
          <w:color w:val="000000" w:themeColor="text1"/>
          <w:kern w:val="2"/>
          <w:sz w:val="32"/>
          <w:szCs w:val="32"/>
        </w:rPr>
        <w:t>1</w:t>
      </w:r>
      <w:r>
        <w:rPr>
          <w:rFonts w:ascii="Times New Roman" w:eastAsia="方正仿宋_GBK" w:hAnsi="Times New Roman" w:cs="方正仿宋_GBK"/>
          <w:color w:val="000000" w:themeColor="text1"/>
          <w:kern w:val="2"/>
          <w:sz w:val="32"/>
          <w:szCs w:val="32"/>
        </w:rPr>
        <w:t>名，医保缴费增加。</w:t>
      </w:r>
    </w:p>
    <w:p w:rsidR="00C110D3" w:rsidRDefault="00B96975">
      <w:pPr>
        <w:widowControl w:val="0"/>
        <w:spacing w:line="594" w:lineRule="exact"/>
        <w:ind w:firstLineChars="200" w:firstLine="640"/>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w:t>
      </w:r>
      <w:r>
        <w:rPr>
          <w:rFonts w:ascii="Times New Roman" w:eastAsia="方正仿宋_GBK" w:hAnsi="Times New Roman" w:cs="方正仿宋_GBK"/>
          <w:color w:val="000000" w:themeColor="text1"/>
          <w:kern w:val="2"/>
          <w:sz w:val="32"/>
          <w:szCs w:val="32"/>
        </w:rPr>
        <w:t>4</w:t>
      </w:r>
      <w:r>
        <w:rPr>
          <w:rFonts w:ascii="Times New Roman" w:eastAsia="方正仿宋_GBK" w:hAnsi="Times New Roman" w:cs="方正仿宋_GBK"/>
          <w:color w:val="000000" w:themeColor="text1"/>
          <w:kern w:val="2"/>
          <w:sz w:val="32"/>
          <w:szCs w:val="32"/>
        </w:rPr>
        <w:t>）住房保障支出</w:t>
      </w:r>
      <w:r>
        <w:rPr>
          <w:rFonts w:ascii="Times New Roman" w:eastAsia="方正仿宋_GBK" w:hAnsi="Times New Roman" w:cs="方正仿宋_GBK"/>
          <w:color w:val="000000" w:themeColor="text1"/>
          <w:kern w:val="2"/>
          <w:sz w:val="32"/>
          <w:szCs w:val="32"/>
        </w:rPr>
        <w:t>7.95</w:t>
      </w:r>
      <w:r>
        <w:rPr>
          <w:rFonts w:ascii="Times New Roman" w:eastAsia="方正仿宋_GBK" w:hAnsi="Times New Roman" w:cs="方正仿宋_GBK"/>
          <w:color w:val="000000" w:themeColor="text1"/>
          <w:kern w:val="2"/>
          <w:sz w:val="32"/>
          <w:szCs w:val="32"/>
        </w:rPr>
        <w:t>万元，占</w:t>
      </w:r>
      <w:r>
        <w:rPr>
          <w:rFonts w:ascii="Times New Roman" w:eastAsia="方正仿宋_GBK" w:hAnsi="Times New Roman" w:cs="方正仿宋_GBK"/>
          <w:color w:val="000000" w:themeColor="text1"/>
          <w:kern w:val="2"/>
          <w:sz w:val="32"/>
          <w:szCs w:val="32"/>
        </w:rPr>
        <w:t>8.23</w:t>
      </w:r>
      <w:r>
        <w:rPr>
          <w:rFonts w:ascii="Times New Roman" w:eastAsia="方正仿宋_GBK" w:hAnsi="Times New Roman" w:cs="方正仿宋_GBK"/>
          <w:color w:val="000000" w:themeColor="text1"/>
          <w:kern w:val="2"/>
          <w:sz w:val="32"/>
          <w:szCs w:val="32"/>
        </w:rPr>
        <w:t>%</w:t>
      </w:r>
      <w:r>
        <w:rPr>
          <w:rFonts w:ascii="Times New Roman" w:eastAsia="方正仿宋_GBK" w:hAnsi="Times New Roman" w:cs="方正仿宋_GBK"/>
          <w:color w:val="000000" w:themeColor="text1"/>
          <w:kern w:val="2"/>
          <w:sz w:val="32"/>
          <w:szCs w:val="32"/>
        </w:rPr>
        <w:t>，较年初预算数增加</w:t>
      </w:r>
      <w:r>
        <w:rPr>
          <w:rFonts w:ascii="Times New Roman" w:eastAsia="方正仿宋_GBK" w:hAnsi="Times New Roman" w:cs="方正仿宋_GBK"/>
          <w:color w:val="000000" w:themeColor="text1"/>
          <w:kern w:val="2"/>
          <w:sz w:val="32"/>
          <w:szCs w:val="32"/>
        </w:rPr>
        <w:t>0.81</w:t>
      </w:r>
      <w:r>
        <w:rPr>
          <w:rFonts w:ascii="Times New Roman" w:eastAsia="方正仿宋_GBK" w:hAnsi="Times New Roman" w:cs="方正仿宋_GBK"/>
          <w:color w:val="000000" w:themeColor="text1"/>
          <w:kern w:val="2"/>
          <w:sz w:val="32"/>
          <w:szCs w:val="32"/>
        </w:rPr>
        <w:t>万元，增长</w:t>
      </w:r>
      <w:r>
        <w:rPr>
          <w:rFonts w:ascii="Times New Roman" w:eastAsia="方正仿宋_GBK" w:hAnsi="Times New Roman" w:cs="方正仿宋_GBK"/>
          <w:color w:val="000000" w:themeColor="text1"/>
          <w:kern w:val="2"/>
          <w:sz w:val="32"/>
          <w:szCs w:val="32"/>
        </w:rPr>
        <w:t>11.34%</w:t>
      </w:r>
      <w:r>
        <w:rPr>
          <w:rFonts w:ascii="Times New Roman" w:eastAsia="方正仿宋_GBK" w:hAnsi="Times New Roman" w:cs="方正仿宋_GBK"/>
          <w:color w:val="000000" w:themeColor="text1"/>
          <w:kern w:val="2"/>
          <w:sz w:val="32"/>
          <w:szCs w:val="32"/>
        </w:rPr>
        <w:t>，主要原因是</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年新增职员</w:t>
      </w:r>
      <w:r>
        <w:rPr>
          <w:rFonts w:ascii="Times New Roman" w:eastAsia="方正仿宋_GBK" w:hAnsi="Times New Roman" w:cs="方正仿宋_GBK"/>
          <w:color w:val="000000" w:themeColor="text1"/>
          <w:kern w:val="2"/>
          <w:sz w:val="32"/>
          <w:szCs w:val="32"/>
        </w:rPr>
        <w:t>1</w:t>
      </w:r>
      <w:r>
        <w:rPr>
          <w:rFonts w:ascii="Times New Roman" w:eastAsia="方正仿宋_GBK" w:hAnsi="Times New Roman" w:cs="方正仿宋_GBK"/>
          <w:color w:val="000000" w:themeColor="text1"/>
          <w:kern w:val="2"/>
          <w:sz w:val="32"/>
          <w:szCs w:val="32"/>
        </w:rPr>
        <w:t>名，住房保障支出增多。</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t>（四）一般公共预算财政拨款基本支出决算情况说明</w:t>
      </w:r>
    </w:p>
    <w:p w:rsidR="00C110D3" w:rsidRDefault="00B96975">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年度一般公共财政拨款基本支出</w:t>
      </w:r>
      <w:r>
        <w:rPr>
          <w:rFonts w:ascii="Times New Roman" w:eastAsia="方正仿宋_GBK" w:hAnsi="Times New Roman" w:cs="方正仿宋_GBK"/>
          <w:color w:val="000000" w:themeColor="text1"/>
          <w:kern w:val="2"/>
          <w:sz w:val="32"/>
          <w:szCs w:val="32"/>
        </w:rPr>
        <w:t>96.58</w:t>
      </w:r>
      <w:r>
        <w:rPr>
          <w:rFonts w:ascii="Times New Roman" w:eastAsia="方正仿宋_GBK" w:hAnsi="Times New Roman" w:cs="方正仿宋_GBK"/>
          <w:color w:val="000000" w:themeColor="text1"/>
          <w:kern w:val="2"/>
          <w:sz w:val="32"/>
          <w:szCs w:val="32"/>
        </w:rPr>
        <w:t>万元。其中：人员经费</w:t>
      </w:r>
      <w:r>
        <w:rPr>
          <w:rFonts w:ascii="Times New Roman" w:eastAsia="方正仿宋_GBK" w:hAnsi="Times New Roman" w:cs="方正仿宋_GBK"/>
          <w:color w:val="000000" w:themeColor="text1"/>
          <w:kern w:val="2"/>
          <w:sz w:val="32"/>
          <w:szCs w:val="32"/>
        </w:rPr>
        <w:t>77.09</w:t>
      </w:r>
      <w:r>
        <w:rPr>
          <w:rFonts w:ascii="Times New Roman" w:eastAsia="方正仿宋_GBK" w:hAnsi="Times New Roman" w:cs="方正仿宋_GBK"/>
          <w:color w:val="000000" w:themeColor="text1"/>
          <w:kern w:val="2"/>
          <w:sz w:val="32"/>
          <w:szCs w:val="32"/>
        </w:rPr>
        <w:t>万元，较上年决算数增加</w:t>
      </w:r>
      <w:r>
        <w:rPr>
          <w:rFonts w:ascii="Times New Roman" w:eastAsia="方正仿宋_GBK" w:hAnsi="Times New Roman" w:cs="方正仿宋_GBK"/>
          <w:color w:val="000000" w:themeColor="text1"/>
          <w:kern w:val="2"/>
          <w:sz w:val="32"/>
          <w:szCs w:val="32"/>
        </w:rPr>
        <w:t>20.36</w:t>
      </w:r>
      <w:r>
        <w:rPr>
          <w:rFonts w:ascii="Times New Roman" w:eastAsia="方正仿宋_GBK" w:hAnsi="Times New Roman" w:cs="方正仿宋_GBK"/>
          <w:color w:val="000000" w:themeColor="text1"/>
          <w:kern w:val="2"/>
          <w:sz w:val="32"/>
          <w:szCs w:val="32"/>
        </w:rPr>
        <w:t>万元，增长</w:t>
      </w:r>
      <w:r>
        <w:rPr>
          <w:rFonts w:ascii="Times New Roman" w:eastAsia="方正仿宋_GBK" w:hAnsi="Times New Roman" w:cs="方正仿宋_GBK"/>
          <w:color w:val="000000" w:themeColor="text1"/>
          <w:kern w:val="2"/>
          <w:sz w:val="32"/>
          <w:szCs w:val="32"/>
        </w:rPr>
        <w:t>35.89%</w:t>
      </w:r>
      <w:r>
        <w:rPr>
          <w:rFonts w:ascii="Times New Roman" w:eastAsia="方正仿宋_GBK" w:hAnsi="Times New Roman" w:cs="方正仿宋_GBK"/>
          <w:color w:val="000000" w:themeColor="text1"/>
          <w:kern w:val="2"/>
          <w:sz w:val="32"/>
          <w:szCs w:val="32"/>
        </w:rPr>
        <w:t>，主要原因是</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年新增职员</w:t>
      </w:r>
      <w:r>
        <w:rPr>
          <w:rFonts w:ascii="Times New Roman" w:eastAsia="方正仿宋_GBK" w:hAnsi="Times New Roman" w:cs="方正仿宋_GBK"/>
          <w:color w:val="000000" w:themeColor="text1"/>
          <w:kern w:val="2"/>
          <w:sz w:val="32"/>
          <w:szCs w:val="32"/>
        </w:rPr>
        <w:t>1</w:t>
      </w:r>
      <w:r>
        <w:rPr>
          <w:rFonts w:ascii="Times New Roman" w:eastAsia="方正仿宋_GBK" w:hAnsi="Times New Roman" w:cs="方正仿宋_GBK"/>
          <w:color w:val="000000" w:themeColor="text1"/>
          <w:kern w:val="2"/>
          <w:sz w:val="32"/>
          <w:szCs w:val="32"/>
        </w:rPr>
        <w:t>名，导致人员经费增多。人员经费用途主要包括基本工资、津贴补贴、绩效工资等。公用经费</w:t>
      </w:r>
      <w:r>
        <w:rPr>
          <w:rFonts w:ascii="Times New Roman" w:eastAsia="方正仿宋_GBK" w:hAnsi="Times New Roman" w:cs="方正仿宋_GBK"/>
          <w:color w:val="000000" w:themeColor="text1"/>
          <w:kern w:val="2"/>
          <w:sz w:val="32"/>
          <w:szCs w:val="32"/>
        </w:rPr>
        <w:t>19.48</w:t>
      </w:r>
      <w:r>
        <w:rPr>
          <w:rFonts w:ascii="Times New Roman" w:eastAsia="方正仿宋_GBK" w:hAnsi="Times New Roman" w:cs="方正仿宋_GBK"/>
          <w:color w:val="000000" w:themeColor="text1"/>
          <w:kern w:val="2"/>
          <w:sz w:val="32"/>
          <w:szCs w:val="32"/>
        </w:rPr>
        <w:t>万元，较上年决算数增加</w:t>
      </w:r>
      <w:r>
        <w:rPr>
          <w:rFonts w:ascii="Times New Roman" w:eastAsia="方正仿宋_GBK" w:hAnsi="Times New Roman" w:cs="方正仿宋_GBK"/>
          <w:color w:val="000000" w:themeColor="text1"/>
          <w:kern w:val="2"/>
          <w:sz w:val="32"/>
          <w:szCs w:val="32"/>
        </w:rPr>
        <w:t>17.43</w:t>
      </w:r>
      <w:r>
        <w:rPr>
          <w:rFonts w:ascii="Times New Roman" w:eastAsia="方正仿宋_GBK" w:hAnsi="Times New Roman" w:cs="方正仿宋_GBK"/>
          <w:color w:val="000000" w:themeColor="text1"/>
          <w:kern w:val="2"/>
          <w:sz w:val="32"/>
          <w:szCs w:val="32"/>
        </w:rPr>
        <w:t>万元，增长</w:t>
      </w:r>
      <w:r>
        <w:rPr>
          <w:rFonts w:ascii="Times New Roman" w:eastAsia="方正仿宋_GBK" w:hAnsi="Times New Roman" w:cs="方正仿宋_GBK"/>
          <w:color w:val="000000" w:themeColor="text1"/>
          <w:kern w:val="2"/>
          <w:sz w:val="32"/>
          <w:szCs w:val="32"/>
        </w:rPr>
        <w:t>850.24%</w:t>
      </w:r>
      <w:r>
        <w:rPr>
          <w:rFonts w:ascii="Times New Roman" w:eastAsia="方正仿宋_GBK" w:hAnsi="Times New Roman" w:cs="方正仿宋_GBK"/>
          <w:color w:val="000000" w:themeColor="text1"/>
          <w:kern w:val="2"/>
          <w:sz w:val="32"/>
          <w:szCs w:val="32"/>
        </w:rPr>
        <w:t>，主要原因是</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年新增职员</w:t>
      </w:r>
      <w:r>
        <w:rPr>
          <w:rFonts w:ascii="Times New Roman" w:eastAsia="方正仿宋_GBK" w:hAnsi="Times New Roman" w:cs="方正仿宋_GBK"/>
          <w:color w:val="000000" w:themeColor="text1"/>
          <w:kern w:val="2"/>
          <w:sz w:val="32"/>
          <w:szCs w:val="32"/>
        </w:rPr>
        <w:t>1</w:t>
      </w:r>
      <w:r>
        <w:rPr>
          <w:rFonts w:ascii="Times New Roman" w:eastAsia="方正仿宋_GBK" w:hAnsi="Times New Roman" w:cs="方正仿宋_GBK"/>
          <w:color w:val="000000" w:themeColor="text1"/>
          <w:kern w:val="2"/>
          <w:sz w:val="32"/>
          <w:szCs w:val="32"/>
        </w:rPr>
        <w:t>名，导致公用经费</w:t>
      </w:r>
      <w:r>
        <w:rPr>
          <w:rFonts w:ascii="Times New Roman" w:eastAsia="方正仿宋_GBK" w:hAnsi="Times New Roman" w:cs="方正仿宋_GBK"/>
          <w:color w:val="000000" w:themeColor="text1"/>
          <w:kern w:val="2"/>
          <w:sz w:val="32"/>
          <w:szCs w:val="32"/>
        </w:rPr>
        <w:t>增多。</w:t>
      </w:r>
      <w:bookmarkStart w:id="0" w:name="_GoBack"/>
      <w:r>
        <w:rPr>
          <w:rFonts w:ascii="Times New Roman" w:eastAsia="方正仿宋_GBK" w:hAnsi="Times New Roman" w:cs="方正仿宋_GBK"/>
          <w:color w:val="000000" w:themeColor="text1"/>
          <w:kern w:val="2"/>
          <w:sz w:val="32"/>
          <w:szCs w:val="32"/>
        </w:rPr>
        <w:t>公用经费</w:t>
      </w:r>
      <w:bookmarkEnd w:id="0"/>
      <w:r>
        <w:rPr>
          <w:rFonts w:ascii="Times New Roman" w:eastAsia="方正仿宋_GBK" w:hAnsi="Times New Roman" w:cs="方正仿宋_GBK"/>
          <w:color w:val="000000" w:themeColor="text1"/>
          <w:kern w:val="2"/>
          <w:sz w:val="32"/>
          <w:szCs w:val="32"/>
        </w:rPr>
        <w:t>用途主要包括办公费、邮电费等。</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t>（五）政府性基金预算收支决算情况说明</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本部门</w:t>
      </w:r>
      <w:r>
        <w:rPr>
          <w:rFonts w:ascii="Times New Roman" w:eastAsia="方正仿宋_GBK" w:hAnsi="Times New Roman" w:cs="方正仿宋_GBK" w:hint="eastAsia"/>
          <w:color w:val="000000" w:themeColor="text1"/>
          <w:kern w:val="2"/>
          <w:sz w:val="32"/>
          <w:szCs w:val="32"/>
        </w:rPr>
        <w:t>2023</w:t>
      </w:r>
      <w:r>
        <w:rPr>
          <w:rFonts w:ascii="Times New Roman" w:eastAsia="方正仿宋_GBK" w:hAnsi="Times New Roman" w:cs="方正仿宋_GBK" w:hint="eastAsia"/>
          <w:color w:val="000000" w:themeColor="text1"/>
          <w:kern w:val="2"/>
          <w:sz w:val="32"/>
          <w:szCs w:val="32"/>
        </w:rPr>
        <w:t>年度无政府性基金预算财政拨款收支。</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t>（六）国有资本经营预算财政拨款支出决算情况说明</w:t>
      </w:r>
    </w:p>
    <w:p w:rsidR="00C110D3" w:rsidRDefault="00B96975">
      <w:pPr>
        <w:pStyle w:val="a7"/>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本部门</w:t>
      </w:r>
      <w:r>
        <w:rPr>
          <w:rFonts w:ascii="Times New Roman" w:eastAsia="方正仿宋_GBK" w:hAnsi="Times New Roman" w:cs="方正仿宋_GBK"/>
          <w:color w:val="000000" w:themeColor="text1"/>
          <w:kern w:val="2"/>
          <w:sz w:val="32"/>
          <w:szCs w:val="32"/>
        </w:rPr>
        <w:t>2023</w:t>
      </w:r>
      <w:r>
        <w:rPr>
          <w:rFonts w:ascii="Times New Roman" w:eastAsia="方正仿宋_GBK" w:hAnsi="Times New Roman" w:cs="方正仿宋_GBK"/>
          <w:color w:val="000000" w:themeColor="text1"/>
          <w:kern w:val="2"/>
          <w:sz w:val="32"/>
          <w:szCs w:val="32"/>
        </w:rPr>
        <w:t>年度无国有资本经营预算财政拨款支出。</w:t>
      </w:r>
    </w:p>
    <w:p w:rsidR="00C110D3" w:rsidRDefault="00B96975">
      <w:pPr>
        <w:pStyle w:val="1"/>
        <w:widowControl w:val="0"/>
        <w:autoSpaceDE w:val="0"/>
        <w:spacing w:line="594" w:lineRule="exact"/>
        <w:ind w:firstLine="640"/>
        <w:rPr>
          <w:rFonts w:ascii="方正黑体_GBK" w:eastAsia="方正黑体_GBK" w:hAnsi="方正黑体_GBK" w:cs="方正黑体_GBK"/>
          <w:color w:val="000000" w:themeColor="text1"/>
          <w:kern w:val="2"/>
          <w:sz w:val="32"/>
          <w:szCs w:val="32"/>
        </w:rPr>
      </w:pPr>
      <w:r>
        <w:rPr>
          <w:rFonts w:ascii="方正黑体_GBK" w:eastAsia="方正黑体_GBK" w:hAnsi="方正黑体_GBK" w:cs="方正黑体_GBK" w:hint="eastAsia"/>
          <w:color w:val="000000" w:themeColor="text1"/>
          <w:kern w:val="2"/>
          <w:sz w:val="32"/>
          <w:szCs w:val="32"/>
        </w:rPr>
        <w:t>三、“三公”经费情况说明</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lastRenderedPageBreak/>
        <w:t>（一）“三公”经费支出总体情况说明</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本单位</w:t>
      </w:r>
      <w:r>
        <w:rPr>
          <w:rFonts w:ascii="Times New Roman" w:eastAsia="方正仿宋_GBK" w:hAnsi="Times New Roman" w:cs="方正仿宋_GBK" w:hint="eastAsia"/>
          <w:color w:val="000000" w:themeColor="text1"/>
          <w:kern w:val="2"/>
          <w:sz w:val="32"/>
          <w:szCs w:val="32"/>
        </w:rPr>
        <w:t>2023</w:t>
      </w:r>
      <w:r>
        <w:rPr>
          <w:rFonts w:ascii="Times New Roman" w:eastAsia="方正仿宋_GBK" w:hAnsi="Times New Roman" w:cs="方正仿宋_GBK" w:hint="eastAsia"/>
          <w:color w:val="000000" w:themeColor="text1"/>
          <w:kern w:val="2"/>
          <w:sz w:val="32"/>
          <w:szCs w:val="32"/>
        </w:rPr>
        <w:t>年度未发生“三公”经费支出。</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t>（二）“三公”经费分项支出情况</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本单位</w:t>
      </w:r>
      <w:r>
        <w:rPr>
          <w:rFonts w:ascii="Times New Roman" w:eastAsia="方正仿宋_GBK" w:hAnsi="Times New Roman" w:cs="方正仿宋_GBK" w:hint="eastAsia"/>
          <w:color w:val="000000" w:themeColor="text1"/>
          <w:kern w:val="2"/>
          <w:sz w:val="32"/>
          <w:szCs w:val="32"/>
        </w:rPr>
        <w:t>2023</w:t>
      </w:r>
      <w:r>
        <w:rPr>
          <w:rFonts w:ascii="Times New Roman" w:eastAsia="方正仿宋_GBK" w:hAnsi="Times New Roman" w:cs="方正仿宋_GBK" w:hint="eastAsia"/>
          <w:color w:val="000000" w:themeColor="text1"/>
          <w:kern w:val="2"/>
          <w:sz w:val="32"/>
          <w:szCs w:val="32"/>
        </w:rPr>
        <w:t>年度未发生因公出国（境）费用支出。</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本单位</w:t>
      </w:r>
      <w:r>
        <w:rPr>
          <w:rFonts w:ascii="Times New Roman" w:eastAsia="方正仿宋_GBK" w:hAnsi="Times New Roman" w:cs="方正仿宋_GBK" w:hint="eastAsia"/>
          <w:color w:val="000000" w:themeColor="text1"/>
          <w:kern w:val="2"/>
          <w:sz w:val="32"/>
          <w:szCs w:val="32"/>
        </w:rPr>
        <w:t>2023</w:t>
      </w:r>
      <w:r>
        <w:rPr>
          <w:rFonts w:ascii="Times New Roman" w:eastAsia="方正仿宋_GBK" w:hAnsi="Times New Roman" w:cs="方正仿宋_GBK" w:hint="eastAsia"/>
          <w:color w:val="000000" w:themeColor="text1"/>
          <w:kern w:val="2"/>
          <w:sz w:val="32"/>
          <w:szCs w:val="32"/>
        </w:rPr>
        <w:t>年度未发生公务车购置费支出。</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本单位</w:t>
      </w:r>
      <w:r>
        <w:rPr>
          <w:rFonts w:ascii="Times New Roman" w:eastAsia="方正仿宋_GBK" w:hAnsi="Times New Roman" w:cs="方正仿宋_GBK" w:hint="eastAsia"/>
          <w:color w:val="000000" w:themeColor="text1"/>
          <w:kern w:val="2"/>
          <w:sz w:val="32"/>
          <w:szCs w:val="32"/>
        </w:rPr>
        <w:t>2023</w:t>
      </w:r>
      <w:r>
        <w:rPr>
          <w:rFonts w:ascii="Times New Roman" w:eastAsia="方正仿宋_GBK" w:hAnsi="Times New Roman" w:cs="方正仿宋_GBK" w:hint="eastAsia"/>
          <w:color w:val="000000" w:themeColor="text1"/>
          <w:kern w:val="2"/>
          <w:sz w:val="32"/>
          <w:szCs w:val="32"/>
        </w:rPr>
        <w:t>年度未发生公务车运行维护费支出。</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本单位</w:t>
      </w:r>
      <w:r>
        <w:rPr>
          <w:rFonts w:ascii="Times New Roman" w:eastAsia="方正仿宋_GBK" w:hAnsi="Times New Roman" w:cs="方正仿宋_GBK" w:hint="eastAsia"/>
          <w:color w:val="000000" w:themeColor="text1"/>
          <w:kern w:val="2"/>
          <w:sz w:val="32"/>
          <w:szCs w:val="32"/>
        </w:rPr>
        <w:t>2023</w:t>
      </w:r>
      <w:r>
        <w:rPr>
          <w:rFonts w:ascii="Times New Roman" w:eastAsia="方正仿宋_GBK" w:hAnsi="Times New Roman" w:cs="方正仿宋_GBK" w:hint="eastAsia"/>
          <w:color w:val="000000" w:themeColor="text1"/>
          <w:kern w:val="2"/>
          <w:sz w:val="32"/>
          <w:szCs w:val="32"/>
        </w:rPr>
        <w:t>年度未发生公务接待费支出。</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t>（三）“三公”经费实物量情况</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2023</w:t>
      </w:r>
      <w:r>
        <w:rPr>
          <w:rFonts w:ascii="Times New Roman" w:eastAsia="方正仿宋_GBK" w:hAnsi="Times New Roman" w:cs="方正仿宋_GBK" w:hint="eastAsia"/>
          <w:color w:val="000000" w:themeColor="text1"/>
          <w:kern w:val="2"/>
          <w:sz w:val="32"/>
          <w:szCs w:val="32"/>
        </w:rPr>
        <w:t>年度本单位因公出国（境）共计</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个团组，</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人；公务用车购置</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辆，公务车保有量为</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辆；国内公务接待</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批次</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人，其中：国内外事接待</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批次，</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人；国（境）外公务接待</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批次，</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人。</w:t>
      </w:r>
      <w:r>
        <w:rPr>
          <w:rFonts w:ascii="Times New Roman" w:eastAsia="方正仿宋_GBK" w:hAnsi="Times New Roman" w:cs="方正仿宋_GBK" w:hint="eastAsia"/>
          <w:color w:val="000000" w:themeColor="text1"/>
          <w:kern w:val="2"/>
          <w:sz w:val="32"/>
          <w:szCs w:val="32"/>
        </w:rPr>
        <w:t>2023</w:t>
      </w:r>
      <w:r>
        <w:rPr>
          <w:rFonts w:ascii="Times New Roman" w:eastAsia="方正仿宋_GBK" w:hAnsi="Times New Roman" w:cs="方正仿宋_GBK" w:hint="eastAsia"/>
          <w:color w:val="000000" w:themeColor="text1"/>
          <w:kern w:val="2"/>
          <w:sz w:val="32"/>
          <w:szCs w:val="32"/>
        </w:rPr>
        <w:t>年本单位人均接待费</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元，车均购置费</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万元，车均维护费</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万元。</w:t>
      </w:r>
    </w:p>
    <w:p w:rsidR="00C110D3" w:rsidRDefault="00B96975">
      <w:pPr>
        <w:pStyle w:val="1"/>
        <w:widowControl w:val="0"/>
        <w:autoSpaceDE w:val="0"/>
        <w:spacing w:line="594" w:lineRule="exact"/>
        <w:ind w:firstLine="640"/>
        <w:rPr>
          <w:rFonts w:ascii="方正黑体_GBK" w:eastAsia="方正黑体_GBK" w:hAnsi="方正黑体_GBK" w:cs="方正黑体_GBK"/>
          <w:color w:val="000000" w:themeColor="text1"/>
          <w:kern w:val="2"/>
          <w:sz w:val="32"/>
          <w:szCs w:val="32"/>
        </w:rPr>
      </w:pPr>
      <w:r>
        <w:rPr>
          <w:rFonts w:ascii="方正黑体_GBK" w:eastAsia="方正黑体_GBK" w:hAnsi="方正黑体_GBK" w:cs="方正黑体_GBK" w:hint="eastAsia"/>
          <w:color w:val="000000" w:themeColor="text1"/>
          <w:kern w:val="2"/>
          <w:sz w:val="32"/>
          <w:szCs w:val="32"/>
        </w:rPr>
        <w:t>四、其他需要说明的事项</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t>（一）财政拨款会议费和培训费情况说明</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本年度会议费支出</w:t>
      </w:r>
      <w:r>
        <w:rPr>
          <w:rFonts w:ascii="Times New Roman" w:eastAsia="方正仿宋_GBK" w:hAnsi="Times New Roman" w:cs="方正仿宋_GBK" w:hint="eastAsia"/>
          <w:color w:val="000000" w:themeColor="text1"/>
          <w:kern w:val="2"/>
          <w:sz w:val="32"/>
          <w:szCs w:val="32"/>
        </w:rPr>
        <w:t>0.00</w:t>
      </w:r>
      <w:r>
        <w:rPr>
          <w:rFonts w:ascii="Times New Roman" w:eastAsia="方正仿宋_GBK" w:hAnsi="Times New Roman" w:cs="方正仿宋_GBK" w:hint="eastAsia"/>
          <w:color w:val="000000" w:themeColor="text1"/>
          <w:kern w:val="2"/>
          <w:sz w:val="32"/>
          <w:szCs w:val="32"/>
        </w:rPr>
        <w:t>万元，较上年决算数增加</w:t>
      </w:r>
      <w:r>
        <w:rPr>
          <w:rFonts w:ascii="Times New Roman" w:eastAsia="方正仿宋_GBK" w:hAnsi="Times New Roman" w:cs="方正仿宋_GBK" w:hint="eastAsia"/>
          <w:color w:val="000000" w:themeColor="text1"/>
          <w:kern w:val="2"/>
          <w:sz w:val="32"/>
          <w:szCs w:val="32"/>
        </w:rPr>
        <w:t>0.00</w:t>
      </w:r>
      <w:r>
        <w:rPr>
          <w:rFonts w:ascii="Times New Roman" w:eastAsia="方正仿宋_GBK" w:hAnsi="Times New Roman" w:cs="方正仿宋_GBK" w:hint="eastAsia"/>
          <w:color w:val="000000" w:themeColor="text1"/>
          <w:kern w:val="2"/>
          <w:sz w:val="32"/>
          <w:szCs w:val="32"/>
        </w:rPr>
        <w:t>万元，增长</w:t>
      </w:r>
      <w:r>
        <w:rPr>
          <w:rFonts w:ascii="Times New Roman" w:eastAsia="方正仿宋_GBK" w:hAnsi="Times New Roman" w:cs="方正仿宋_GBK" w:hint="eastAsia"/>
          <w:color w:val="000000" w:themeColor="text1"/>
          <w:kern w:val="2"/>
          <w:sz w:val="32"/>
          <w:szCs w:val="32"/>
        </w:rPr>
        <w:t>0.0%</w:t>
      </w:r>
      <w:r>
        <w:rPr>
          <w:rFonts w:ascii="Times New Roman" w:eastAsia="方正仿宋_GBK" w:hAnsi="Times New Roman" w:cs="方正仿宋_GBK" w:hint="eastAsia"/>
          <w:color w:val="000000" w:themeColor="text1"/>
          <w:kern w:val="2"/>
          <w:sz w:val="32"/>
          <w:szCs w:val="32"/>
        </w:rPr>
        <w:t>；本年度培</w:t>
      </w:r>
      <w:r>
        <w:rPr>
          <w:rFonts w:ascii="Times New Roman" w:eastAsia="方正仿宋_GBK" w:hAnsi="Times New Roman" w:cs="方正仿宋_GBK" w:hint="eastAsia"/>
          <w:color w:val="000000" w:themeColor="text1"/>
          <w:kern w:val="2"/>
          <w:sz w:val="32"/>
          <w:szCs w:val="32"/>
        </w:rPr>
        <w:t>训费支出</w:t>
      </w:r>
      <w:r>
        <w:rPr>
          <w:rFonts w:ascii="Times New Roman" w:eastAsia="方正仿宋_GBK" w:hAnsi="Times New Roman" w:cs="方正仿宋_GBK" w:hint="eastAsia"/>
          <w:color w:val="000000" w:themeColor="text1"/>
          <w:kern w:val="2"/>
          <w:sz w:val="32"/>
          <w:szCs w:val="32"/>
        </w:rPr>
        <w:t>0.00</w:t>
      </w:r>
      <w:r>
        <w:rPr>
          <w:rFonts w:ascii="Times New Roman" w:eastAsia="方正仿宋_GBK" w:hAnsi="Times New Roman" w:cs="方正仿宋_GBK" w:hint="eastAsia"/>
          <w:color w:val="000000" w:themeColor="text1"/>
          <w:kern w:val="2"/>
          <w:sz w:val="32"/>
          <w:szCs w:val="32"/>
        </w:rPr>
        <w:t>万元，较上年决算数增加</w:t>
      </w:r>
      <w:r>
        <w:rPr>
          <w:rFonts w:ascii="Times New Roman" w:eastAsia="方正仿宋_GBK" w:hAnsi="Times New Roman" w:cs="方正仿宋_GBK" w:hint="eastAsia"/>
          <w:color w:val="000000" w:themeColor="text1"/>
          <w:kern w:val="2"/>
          <w:sz w:val="32"/>
          <w:szCs w:val="32"/>
        </w:rPr>
        <w:t>0.00</w:t>
      </w:r>
      <w:r>
        <w:rPr>
          <w:rFonts w:ascii="Times New Roman" w:eastAsia="方正仿宋_GBK" w:hAnsi="Times New Roman" w:cs="方正仿宋_GBK" w:hint="eastAsia"/>
          <w:color w:val="000000" w:themeColor="text1"/>
          <w:kern w:val="2"/>
          <w:sz w:val="32"/>
          <w:szCs w:val="32"/>
        </w:rPr>
        <w:t>万元，增长</w:t>
      </w:r>
      <w:r>
        <w:rPr>
          <w:rFonts w:ascii="Times New Roman" w:eastAsia="方正仿宋_GBK" w:hAnsi="Times New Roman" w:cs="方正仿宋_GBK" w:hint="eastAsia"/>
          <w:color w:val="000000" w:themeColor="text1"/>
          <w:kern w:val="2"/>
          <w:sz w:val="32"/>
          <w:szCs w:val="32"/>
        </w:rPr>
        <w:t>0.00%</w:t>
      </w:r>
      <w:r>
        <w:rPr>
          <w:rFonts w:ascii="Times New Roman" w:eastAsia="方正仿宋_GBK" w:hAnsi="Times New Roman" w:cs="方正仿宋_GBK" w:hint="eastAsia"/>
          <w:color w:val="000000" w:themeColor="text1"/>
          <w:kern w:val="2"/>
          <w:sz w:val="32"/>
          <w:szCs w:val="32"/>
        </w:rPr>
        <w:t>，主要原因是会议费和培训费由机关统一组织开展。</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t>（二）机关运行经费情况说明</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按照部门决算列报口径，我单位不在机关运行经费统计范围之内。</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lastRenderedPageBreak/>
        <w:t>（三）国有资产占用情况说明</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截至</w:t>
      </w:r>
      <w:r>
        <w:rPr>
          <w:rFonts w:ascii="Times New Roman" w:eastAsia="方正仿宋_GBK" w:hAnsi="Times New Roman" w:cs="方正仿宋_GBK" w:hint="eastAsia"/>
          <w:color w:val="000000" w:themeColor="text1"/>
          <w:kern w:val="2"/>
          <w:sz w:val="32"/>
          <w:szCs w:val="32"/>
        </w:rPr>
        <w:t>2023</w:t>
      </w:r>
      <w:r>
        <w:rPr>
          <w:rFonts w:ascii="Times New Roman" w:eastAsia="方正仿宋_GBK" w:hAnsi="Times New Roman" w:cs="方正仿宋_GBK" w:hint="eastAsia"/>
          <w:color w:val="000000" w:themeColor="text1"/>
          <w:kern w:val="2"/>
          <w:sz w:val="32"/>
          <w:szCs w:val="32"/>
        </w:rPr>
        <w:t>年</w:t>
      </w:r>
      <w:r>
        <w:rPr>
          <w:rFonts w:ascii="Times New Roman" w:eastAsia="方正仿宋_GBK" w:hAnsi="Times New Roman" w:cs="方正仿宋_GBK" w:hint="eastAsia"/>
          <w:color w:val="000000" w:themeColor="text1"/>
          <w:kern w:val="2"/>
          <w:sz w:val="32"/>
          <w:szCs w:val="32"/>
        </w:rPr>
        <w:t>12</w:t>
      </w:r>
      <w:r>
        <w:rPr>
          <w:rFonts w:ascii="Times New Roman" w:eastAsia="方正仿宋_GBK" w:hAnsi="Times New Roman" w:cs="方正仿宋_GBK" w:hint="eastAsia"/>
          <w:color w:val="000000" w:themeColor="text1"/>
          <w:kern w:val="2"/>
          <w:sz w:val="32"/>
          <w:szCs w:val="32"/>
        </w:rPr>
        <w:t>月</w:t>
      </w:r>
      <w:r>
        <w:rPr>
          <w:rFonts w:ascii="Times New Roman" w:eastAsia="方正仿宋_GBK" w:hAnsi="Times New Roman" w:cs="方正仿宋_GBK" w:hint="eastAsia"/>
          <w:color w:val="000000" w:themeColor="text1"/>
          <w:kern w:val="2"/>
          <w:sz w:val="32"/>
          <w:szCs w:val="32"/>
        </w:rPr>
        <w:t>31</w:t>
      </w:r>
      <w:r>
        <w:rPr>
          <w:rFonts w:ascii="Times New Roman" w:eastAsia="方正仿宋_GBK" w:hAnsi="Times New Roman" w:cs="方正仿宋_GBK" w:hint="eastAsia"/>
          <w:color w:val="000000" w:themeColor="text1"/>
          <w:kern w:val="2"/>
          <w:sz w:val="32"/>
          <w:szCs w:val="32"/>
        </w:rPr>
        <w:t>日，本单位共有车辆</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辆，其中，副部（省）级及以上领导用车</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辆、主要负责人用车</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辆、机要通信用车</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辆、应急保障用车</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辆、执法执勤用车</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辆，特种专业技术用车</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辆，离退休干部用车</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辆。单价</w:t>
      </w:r>
      <w:r>
        <w:rPr>
          <w:rFonts w:ascii="Times New Roman" w:eastAsia="方正仿宋_GBK" w:hAnsi="Times New Roman" w:cs="方正仿宋_GBK" w:hint="eastAsia"/>
          <w:color w:val="000000" w:themeColor="text1"/>
          <w:kern w:val="2"/>
          <w:sz w:val="32"/>
          <w:szCs w:val="32"/>
        </w:rPr>
        <w:t>100</w:t>
      </w:r>
      <w:r>
        <w:rPr>
          <w:rFonts w:ascii="Times New Roman" w:eastAsia="方正仿宋_GBK" w:hAnsi="Times New Roman" w:cs="方正仿宋_GBK" w:hint="eastAsia"/>
          <w:color w:val="000000" w:themeColor="text1"/>
          <w:kern w:val="2"/>
          <w:sz w:val="32"/>
          <w:szCs w:val="32"/>
        </w:rPr>
        <w:t>万元（含）以上专用设备</w:t>
      </w:r>
      <w:r>
        <w:rPr>
          <w:rFonts w:ascii="Times New Roman" w:eastAsia="方正仿宋_GBK" w:hAnsi="Times New Roman" w:cs="方正仿宋_GBK" w:hint="eastAsia"/>
          <w:color w:val="000000" w:themeColor="text1"/>
          <w:kern w:val="2"/>
          <w:sz w:val="32"/>
          <w:szCs w:val="32"/>
        </w:rPr>
        <w:t>0</w:t>
      </w:r>
      <w:r>
        <w:rPr>
          <w:rFonts w:ascii="Times New Roman" w:eastAsia="方正仿宋_GBK" w:hAnsi="Times New Roman" w:cs="方正仿宋_GBK" w:hint="eastAsia"/>
          <w:color w:val="000000" w:themeColor="text1"/>
          <w:kern w:val="2"/>
          <w:sz w:val="32"/>
          <w:szCs w:val="32"/>
        </w:rPr>
        <w:t>台（套）。</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t>（四）政府采购支出情况说明</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2023</w:t>
      </w:r>
      <w:r>
        <w:rPr>
          <w:rFonts w:ascii="Times New Roman" w:eastAsia="方正仿宋_GBK" w:hAnsi="Times New Roman" w:cs="方正仿宋_GBK" w:hint="eastAsia"/>
          <w:color w:val="000000" w:themeColor="text1"/>
          <w:kern w:val="2"/>
          <w:sz w:val="32"/>
          <w:szCs w:val="32"/>
        </w:rPr>
        <w:t>年度我单位未发生政府采购事项，无相关经费支出。</w:t>
      </w:r>
    </w:p>
    <w:p w:rsidR="00C110D3" w:rsidRDefault="00B96975">
      <w:pPr>
        <w:pStyle w:val="1"/>
        <w:widowControl w:val="0"/>
        <w:autoSpaceDE w:val="0"/>
        <w:spacing w:line="594" w:lineRule="exact"/>
        <w:ind w:firstLine="640"/>
        <w:rPr>
          <w:rFonts w:ascii="方正黑体_GBK" w:eastAsia="方正黑体_GBK" w:hAnsi="方正黑体_GBK" w:cs="方正黑体_GBK"/>
          <w:color w:val="000000" w:themeColor="text1"/>
          <w:kern w:val="2"/>
          <w:sz w:val="32"/>
          <w:szCs w:val="32"/>
        </w:rPr>
      </w:pPr>
      <w:r>
        <w:rPr>
          <w:rFonts w:ascii="方正黑体_GBK" w:eastAsia="方正黑体_GBK" w:hAnsi="方正黑体_GBK" w:cs="方正黑体_GBK" w:hint="eastAsia"/>
          <w:color w:val="000000" w:themeColor="text1"/>
          <w:kern w:val="2"/>
          <w:sz w:val="32"/>
          <w:szCs w:val="32"/>
        </w:rPr>
        <w:t>五、预算绩效管理情况说明</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t>（一）单位自评情况</w:t>
      </w:r>
    </w:p>
    <w:p w:rsidR="00C110D3" w:rsidRDefault="00B96975">
      <w:pPr>
        <w:widowControl w:val="0"/>
        <w:spacing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本单位为二级预算单位，按规定二级预算单位不开展单位自评。</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t>（二）单位绩效评价情况</w:t>
      </w:r>
    </w:p>
    <w:p w:rsidR="00C110D3" w:rsidRDefault="00B96975">
      <w:pPr>
        <w:widowControl w:val="0"/>
        <w:spacing w:line="594" w:lineRule="exact"/>
        <w:ind w:firstLineChars="200" w:firstLine="640"/>
        <w:jc w:val="both"/>
        <w:rPr>
          <w:rFonts w:ascii="Times New Roman" w:eastAsia="方正仿宋_GBK" w:hAnsi="Times New Roman" w:cs="方正仿宋_GBK" w:hint="default"/>
          <w:color w:val="000000" w:themeColor="text1"/>
          <w:kern w:val="2"/>
          <w:sz w:val="32"/>
          <w:szCs w:val="32"/>
        </w:rPr>
      </w:pPr>
      <w:r>
        <w:rPr>
          <w:rFonts w:ascii="Times New Roman" w:eastAsia="方正仿宋_GBK" w:hAnsi="Times New Roman" w:cs="方正仿宋_GBK"/>
          <w:color w:val="000000" w:themeColor="text1"/>
          <w:kern w:val="2"/>
          <w:sz w:val="32"/>
          <w:szCs w:val="32"/>
        </w:rPr>
        <w:t>本单位为二级预算单位，按规定二级预算单位不开展单位自评。</w:t>
      </w:r>
    </w:p>
    <w:p w:rsidR="00C110D3" w:rsidRDefault="00B96975">
      <w:pPr>
        <w:widowControl w:val="0"/>
        <w:spacing w:line="594" w:lineRule="exact"/>
        <w:ind w:firstLineChars="200" w:firstLine="640"/>
        <w:jc w:val="both"/>
        <w:rPr>
          <w:rFonts w:ascii="方正楷体_GBK" w:eastAsia="方正楷体_GBK" w:hAnsi="方正楷体_GBK" w:cs="方正楷体_GBK" w:hint="default"/>
          <w:color w:val="000000" w:themeColor="text1"/>
          <w:kern w:val="2"/>
          <w:sz w:val="32"/>
          <w:szCs w:val="32"/>
        </w:rPr>
      </w:pPr>
      <w:r>
        <w:rPr>
          <w:rFonts w:ascii="方正楷体_GBK" w:eastAsia="方正楷体_GBK" w:hAnsi="方正楷体_GBK" w:cs="方正楷体_GBK"/>
          <w:color w:val="000000" w:themeColor="text1"/>
          <w:kern w:val="2"/>
          <w:sz w:val="32"/>
          <w:szCs w:val="32"/>
        </w:rPr>
        <w:t>（三）财政绩效评价情况</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2023</w:t>
      </w:r>
      <w:r>
        <w:rPr>
          <w:rFonts w:ascii="Times New Roman" w:eastAsia="方正仿宋_GBK" w:hAnsi="Times New Roman" w:cs="方正仿宋_GBK" w:hint="eastAsia"/>
          <w:color w:val="000000" w:themeColor="text1"/>
          <w:kern w:val="2"/>
          <w:sz w:val="32"/>
          <w:szCs w:val="32"/>
        </w:rPr>
        <w:t>年度未开展财政重点绩效评价。</w:t>
      </w:r>
    </w:p>
    <w:p w:rsidR="00C110D3" w:rsidRDefault="00B96975">
      <w:pPr>
        <w:pStyle w:val="1"/>
        <w:widowControl w:val="0"/>
        <w:autoSpaceDE w:val="0"/>
        <w:spacing w:line="594" w:lineRule="exact"/>
        <w:ind w:firstLine="640"/>
        <w:rPr>
          <w:rFonts w:ascii="方正黑体_GBK" w:eastAsia="方正黑体_GBK" w:hAnsi="方正黑体_GBK" w:cs="方正黑体_GBK"/>
          <w:color w:val="000000" w:themeColor="text1"/>
          <w:kern w:val="2"/>
          <w:sz w:val="32"/>
          <w:szCs w:val="32"/>
        </w:rPr>
      </w:pPr>
      <w:r>
        <w:rPr>
          <w:rFonts w:ascii="方正黑体_GBK" w:eastAsia="方正黑体_GBK" w:hAnsi="方正黑体_GBK" w:cs="方正黑体_GBK" w:hint="eastAsia"/>
          <w:color w:val="000000" w:themeColor="text1"/>
          <w:kern w:val="2"/>
          <w:sz w:val="32"/>
          <w:szCs w:val="32"/>
        </w:rPr>
        <w:t>六、专业名词解释</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（一）财政拨款收入：</w:t>
      </w:r>
      <w:r>
        <w:rPr>
          <w:rFonts w:ascii="Times New Roman" w:eastAsia="方正仿宋_GBK" w:hAnsi="Times New Roman" w:cs="方正仿宋_GBK" w:hint="eastAsia"/>
          <w:color w:val="000000" w:themeColor="text1"/>
          <w:kern w:val="2"/>
          <w:sz w:val="32"/>
          <w:szCs w:val="32"/>
        </w:rPr>
        <w:t>指本年度从本级财政部门取得的财政拨款，包括一般公共预算财政拨款和政府性基金预算财政拨款。</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（二）事业收入：</w:t>
      </w:r>
      <w:r>
        <w:rPr>
          <w:rFonts w:ascii="Times New Roman" w:eastAsia="方正仿宋_GBK" w:hAnsi="Times New Roman" w:cs="方正仿宋_GBK" w:hint="eastAsia"/>
          <w:color w:val="000000" w:themeColor="text1"/>
          <w:kern w:val="2"/>
          <w:sz w:val="32"/>
          <w:szCs w:val="32"/>
        </w:rPr>
        <w:t>指事业单位开展专业业务活动及其辅助活动取得的现金流入；事业单位收到的财政专户实际核拨的教育收</w:t>
      </w:r>
      <w:r>
        <w:rPr>
          <w:rFonts w:ascii="Times New Roman" w:eastAsia="方正仿宋_GBK" w:hAnsi="Times New Roman" w:cs="方正仿宋_GBK" w:hint="eastAsia"/>
          <w:color w:val="000000" w:themeColor="text1"/>
          <w:kern w:val="2"/>
          <w:sz w:val="32"/>
          <w:szCs w:val="32"/>
        </w:rPr>
        <w:lastRenderedPageBreak/>
        <w:t>费等资金在此反映。</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（三）经营收入：</w:t>
      </w:r>
      <w:r>
        <w:rPr>
          <w:rFonts w:ascii="Times New Roman" w:eastAsia="方正仿宋_GBK" w:hAnsi="Times New Roman" w:cs="方正仿宋_GBK" w:hint="eastAsia"/>
          <w:color w:val="000000" w:themeColor="text1"/>
          <w:kern w:val="2"/>
          <w:sz w:val="32"/>
          <w:szCs w:val="32"/>
        </w:rPr>
        <w:t>指事业单位在专业业务活动及其辅助活动之外开展非独立核算经营活动取得的现金流入。</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（四）其他收入：</w:t>
      </w:r>
      <w:r>
        <w:rPr>
          <w:rFonts w:ascii="Times New Roman" w:eastAsia="方正仿宋_GBK" w:hAnsi="Times New Roman" w:cs="方正仿宋_GBK" w:hint="eastAsia"/>
          <w:color w:val="000000" w:themeColor="text1"/>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（五）使用非财政拨款结余：</w:t>
      </w:r>
      <w:r>
        <w:rPr>
          <w:rFonts w:ascii="Times New Roman" w:eastAsia="方正仿宋_GBK" w:hAnsi="Times New Roman" w:cs="方正仿宋_GBK" w:hint="eastAsia"/>
          <w:color w:val="000000" w:themeColor="text1"/>
          <w:kern w:val="2"/>
          <w:sz w:val="32"/>
          <w:szCs w:val="32"/>
        </w:rPr>
        <w:t>指单位在当年的“财政拨款收入”、“事业收入”、“经营收入”、“其他收入”等不足以安排当年支出的情况下，使用以前年度积累的非财</w:t>
      </w:r>
      <w:r>
        <w:rPr>
          <w:rFonts w:ascii="Times New Roman" w:eastAsia="方正仿宋_GBK" w:hAnsi="Times New Roman" w:cs="方正仿宋_GBK" w:hint="eastAsia"/>
          <w:color w:val="000000" w:themeColor="text1"/>
          <w:kern w:val="2"/>
          <w:sz w:val="32"/>
          <w:szCs w:val="32"/>
        </w:rPr>
        <w:t>政拨款结余弥补本年度收支缺口的资金。</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（六）年初结转和结余：</w:t>
      </w:r>
      <w:r>
        <w:rPr>
          <w:rFonts w:ascii="Times New Roman" w:eastAsia="方正仿宋_GBK" w:hAnsi="Times New Roman" w:cs="方正仿宋_GBK" w:hint="eastAsia"/>
          <w:color w:val="000000" w:themeColor="text1"/>
          <w:kern w:val="2"/>
          <w:sz w:val="32"/>
          <w:szCs w:val="32"/>
        </w:rPr>
        <w:t>指单位上年结转本年使用的基本支出结转、项目支出结转和结余、经营结余。</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（七）结余分配：</w:t>
      </w:r>
      <w:r>
        <w:rPr>
          <w:rFonts w:ascii="Times New Roman" w:eastAsia="方正仿宋_GBK" w:hAnsi="Times New Roman" w:cs="方正仿宋_GBK" w:hint="eastAsia"/>
          <w:color w:val="000000" w:themeColor="text1"/>
          <w:kern w:val="2"/>
          <w:sz w:val="32"/>
          <w:szCs w:val="32"/>
        </w:rPr>
        <w:t>指单位按照国家有关规定，缴纳所得税、提取专用基金、转入非财政拨款结余等当年结余的分配情况。</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（八）年末结转和结余：</w:t>
      </w:r>
      <w:r>
        <w:rPr>
          <w:rFonts w:ascii="Times New Roman" w:eastAsia="方正仿宋_GBK" w:hAnsi="Times New Roman" w:cs="方正仿宋_GBK" w:hint="eastAsia"/>
          <w:color w:val="000000" w:themeColor="text1"/>
          <w:kern w:val="2"/>
          <w:sz w:val="32"/>
          <w:szCs w:val="32"/>
        </w:rPr>
        <w:t>指单位结转下年的基本支出结转、项目支出结转和结余、经营结余。</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（九）基本支出：</w:t>
      </w:r>
      <w:r>
        <w:rPr>
          <w:rFonts w:ascii="Times New Roman" w:eastAsia="方正仿宋_GBK" w:hAnsi="Times New Roman" w:cs="方正仿宋_GBK" w:hint="eastAsia"/>
          <w:color w:val="000000" w:themeColor="text1"/>
          <w:kern w:val="2"/>
          <w:sz w:val="32"/>
          <w:szCs w:val="32"/>
        </w:rPr>
        <w:t>指为保障机构正常运转、完成日常工作任务而发生的人员经费和公用经费。其中：人员经费指政府收支分</w:t>
      </w:r>
      <w:r>
        <w:rPr>
          <w:rFonts w:ascii="Times New Roman" w:eastAsia="方正仿宋_GBK" w:hAnsi="Times New Roman" w:cs="方正仿宋_GBK" w:hint="eastAsia"/>
          <w:color w:val="000000" w:themeColor="text1"/>
          <w:kern w:val="2"/>
          <w:sz w:val="32"/>
          <w:szCs w:val="32"/>
        </w:rPr>
        <w:lastRenderedPageBreak/>
        <w:t>类经济科目中的“工资福利支出”和“对个人和家庭的补助”；公用经费指政府收支分类经济</w:t>
      </w:r>
      <w:r>
        <w:rPr>
          <w:rFonts w:ascii="Times New Roman" w:eastAsia="方正仿宋_GBK" w:hAnsi="Times New Roman" w:cs="方正仿宋_GBK" w:hint="eastAsia"/>
          <w:color w:val="000000" w:themeColor="text1"/>
          <w:kern w:val="2"/>
          <w:sz w:val="32"/>
          <w:szCs w:val="32"/>
        </w:rPr>
        <w:t>科目中除“工资福利支出”和“对个人和家庭的补助”外的其他支出。</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（十）项目支出：</w:t>
      </w:r>
      <w:r>
        <w:rPr>
          <w:rFonts w:ascii="Times New Roman" w:eastAsia="方正仿宋_GBK" w:hAnsi="Times New Roman" w:cs="方正仿宋_GBK" w:hint="eastAsia"/>
          <w:color w:val="000000" w:themeColor="text1"/>
          <w:kern w:val="2"/>
          <w:sz w:val="32"/>
          <w:szCs w:val="32"/>
        </w:rPr>
        <w:t>指在基本支出之外为完成特定行政任务和事业发展目标所发生的支出。</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（十一）经营支出：</w:t>
      </w:r>
      <w:r>
        <w:rPr>
          <w:rFonts w:ascii="Times New Roman" w:eastAsia="方正仿宋_GBK" w:hAnsi="Times New Roman" w:cs="方正仿宋_GBK" w:hint="eastAsia"/>
          <w:color w:val="000000" w:themeColor="text1"/>
          <w:kern w:val="2"/>
          <w:sz w:val="32"/>
          <w:szCs w:val="32"/>
        </w:rPr>
        <w:t>指事业单位在专业业务活动及其辅助活动之外开展非独立核算经营活动发生的支出。</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（十二）“三公”经费：</w:t>
      </w:r>
      <w:r>
        <w:rPr>
          <w:rFonts w:ascii="Times New Roman" w:eastAsia="方正仿宋_GBK" w:hAnsi="Times New Roman" w:cs="方正仿宋_GBK" w:hint="eastAsia"/>
          <w:color w:val="000000" w:themeColor="text1"/>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w:t>
      </w:r>
      <w:r>
        <w:rPr>
          <w:rFonts w:ascii="Times New Roman" w:eastAsia="方正仿宋_GBK" w:hAnsi="Times New Roman" w:cs="方正仿宋_GBK" w:hint="eastAsia"/>
          <w:color w:val="000000" w:themeColor="text1"/>
          <w:kern w:val="2"/>
          <w:sz w:val="32"/>
          <w:szCs w:val="32"/>
        </w:rPr>
        <w:t>；公务用车运行维护费反映单位按规定保留的公务用车燃料费、维修费、过路过桥费、保险费、安全奖励费用等支出；公务接待费反映单位按规定开支的各类公务接待（含外宾接待）支出。</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（十三）机关运行经费：</w:t>
      </w:r>
      <w:r>
        <w:rPr>
          <w:rFonts w:ascii="Times New Roman" w:eastAsia="方正仿宋_GBK" w:hAnsi="Times New Roman" w:cs="方正仿宋_GBK" w:hint="eastAsia"/>
          <w:color w:val="000000" w:themeColor="text1"/>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（十四）工资福利支出（支出经济分类科目类级）：</w:t>
      </w:r>
      <w:r>
        <w:rPr>
          <w:rFonts w:ascii="Times New Roman" w:eastAsia="方正仿宋_GBK" w:hAnsi="Times New Roman" w:cs="方正仿宋_GBK" w:hint="eastAsia"/>
          <w:color w:val="000000" w:themeColor="text1"/>
          <w:kern w:val="2"/>
          <w:sz w:val="32"/>
          <w:szCs w:val="32"/>
        </w:rPr>
        <w:t>反映单</w:t>
      </w:r>
      <w:r>
        <w:rPr>
          <w:rFonts w:ascii="Times New Roman" w:eastAsia="方正仿宋_GBK" w:hAnsi="Times New Roman" w:cs="方正仿宋_GBK" w:hint="eastAsia"/>
          <w:color w:val="000000" w:themeColor="text1"/>
          <w:kern w:val="2"/>
          <w:sz w:val="32"/>
          <w:szCs w:val="32"/>
        </w:rPr>
        <w:lastRenderedPageBreak/>
        <w:t>位开支的在职职工和编制外长期聘用人员的各类劳动报酬，以及为上述人员缴纳的各项社会保险费等。</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（十五）商品和服务支出（支出经济分类科目类级）：</w:t>
      </w:r>
      <w:r>
        <w:rPr>
          <w:rFonts w:ascii="Times New Roman" w:eastAsia="方正仿宋_GBK" w:hAnsi="Times New Roman" w:cs="方正仿宋_GBK" w:hint="eastAsia"/>
          <w:color w:val="000000" w:themeColor="text1"/>
          <w:kern w:val="2"/>
          <w:sz w:val="32"/>
          <w:szCs w:val="32"/>
        </w:rPr>
        <w:t>反映单位购买商品和服务的支出（不包括用于购置固定资产的支出、战略性和应急储备支出）。</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（十六）对个人和家庭的补助（支出经济分类科目类级）：</w:t>
      </w:r>
      <w:r>
        <w:rPr>
          <w:rFonts w:ascii="Times New Roman" w:eastAsia="方正仿宋_GBK" w:hAnsi="Times New Roman" w:cs="方正仿宋_GBK" w:hint="eastAsia"/>
          <w:color w:val="000000" w:themeColor="text1"/>
          <w:kern w:val="2"/>
          <w:sz w:val="32"/>
          <w:szCs w:val="32"/>
        </w:rPr>
        <w:t>反映用于对个人和家庭的补助支出。</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方正楷体_GBK" w:eastAsia="方正楷体_GBK" w:hAnsi="方正楷体_GBK" w:cs="方正楷体_GBK" w:hint="eastAsia"/>
          <w:color w:val="000000" w:themeColor="text1"/>
          <w:kern w:val="2"/>
          <w:sz w:val="32"/>
          <w:szCs w:val="32"/>
        </w:rPr>
        <w:t>（十七）其他资本性支出（支出经济分类科目类级）：</w:t>
      </w:r>
      <w:r>
        <w:rPr>
          <w:rFonts w:ascii="Times New Roman" w:eastAsia="方正仿宋_GBK" w:hAnsi="Times New Roman" w:cs="方正仿宋_GBK" w:hint="eastAsia"/>
          <w:color w:val="000000" w:themeColor="text1"/>
          <w:kern w:val="2"/>
          <w:sz w:val="32"/>
          <w:szCs w:val="32"/>
        </w:rPr>
        <w:t>反映非各级发展与改革部门集中安排的用于购置固定资产、战略性和应急性储备、土地和无形资产，以及构建基础设施、大型修缮和财政支持企业更新改造所发生的支</w:t>
      </w:r>
      <w:r>
        <w:rPr>
          <w:rFonts w:ascii="Times New Roman" w:eastAsia="方正仿宋_GBK" w:hAnsi="Times New Roman" w:cs="方正仿宋_GBK" w:hint="eastAsia"/>
          <w:color w:val="000000" w:themeColor="text1"/>
          <w:kern w:val="2"/>
          <w:sz w:val="32"/>
          <w:szCs w:val="32"/>
        </w:rPr>
        <w:t>出。</w:t>
      </w:r>
    </w:p>
    <w:p w:rsidR="00C110D3" w:rsidRDefault="00B96975">
      <w:pPr>
        <w:pStyle w:val="1"/>
        <w:widowControl w:val="0"/>
        <w:autoSpaceDE w:val="0"/>
        <w:spacing w:line="594" w:lineRule="exact"/>
        <w:ind w:firstLine="640"/>
        <w:rPr>
          <w:rFonts w:ascii="方正黑体_GBK" w:eastAsia="方正黑体_GBK" w:hAnsi="方正黑体_GBK" w:cs="方正黑体_GBK"/>
          <w:color w:val="000000" w:themeColor="text1"/>
          <w:kern w:val="2"/>
          <w:sz w:val="32"/>
          <w:szCs w:val="32"/>
        </w:rPr>
      </w:pPr>
      <w:r>
        <w:rPr>
          <w:rFonts w:ascii="方正黑体_GBK" w:eastAsia="方正黑体_GBK" w:hAnsi="方正黑体_GBK" w:cs="方正黑体_GBK" w:hint="eastAsia"/>
          <w:color w:val="000000" w:themeColor="text1"/>
          <w:kern w:val="2"/>
          <w:sz w:val="32"/>
          <w:szCs w:val="32"/>
        </w:rPr>
        <w:t>七、决算公开联系方式及信息反馈渠道</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本单位决算公开信息反馈和联系方式：</w:t>
      </w: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联系人：罗开心，联系电话：</w:t>
      </w:r>
      <w:r>
        <w:rPr>
          <w:rFonts w:ascii="Times New Roman" w:eastAsia="方正仿宋_GBK" w:hAnsi="Times New Roman" w:cs="方正仿宋_GBK" w:hint="eastAsia"/>
          <w:color w:val="000000" w:themeColor="text1"/>
          <w:kern w:val="2"/>
          <w:sz w:val="32"/>
          <w:szCs w:val="32"/>
        </w:rPr>
        <w:t>023-68180012</w:t>
      </w:r>
      <w:r>
        <w:rPr>
          <w:rFonts w:ascii="Times New Roman" w:eastAsia="方正仿宋_GBK" w:hAnsi="Times New Roman" w:cs="方正仿宋_GBK" w:hint="eastAsia"/>
          <w:color w:val="000000" w:themeColor="text1"/>
          <w:kern w:val="2"/>
          <w:sz w:val="32"/>
          <w:szCs w:val="32"/>
        </w:rPr>
        <w:t>。</w:t>
      </w:r>
    </w:p>
    <w:p w:rsidR="00C110D3" w:rsidRDefault="00C110D3">
      <w:pPr>
        <w:pStyle w:val="a7"/>
        <w:widowControl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p>
    <w:p w:rsidR="00C110D3" w:rsidRDefault="00B96975">
      <w:pPr>
        <w:pStyle w:val="1"/>
        <w:widowControl w:val="0"/>
        <w:autoSpaceDE w:val="0"/>
        <w:spacing w:line="594" w:lineRule="exact"/>
        <w:ind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附件：</w:t>
      </w:r>
      <w:r>
        <w:rPr>
          <w:rFonts w:ascii="Times New Roman" w:eastAsia="方正仿宋_GBK" w:hAnsi="Times New Roman" w:cs="方正仿宋_GBK" w:hint="eastAsia"/>
          <w:color w:val="000000" w:themeColor="text1"/>
          <w:kern w:val="2"/>
          <w:sz w:val="32"/>
          <w:szCs w:val="32"/>
        </w:rPr>
        <w:t>1.</w:t>
      </w:r>
      <w:r>
        <w:rPr>
          <w:rFonts w:ascii="Times New Roman" w:eastAsia="方正仿宋_GBK" w:hAnsi="Times New Roman" w:cs="方正仿宋_GBK" w:hint="eastAsia"/>
          <w:color w:val="000000" w:themeColor="text1"/>
          <w:kern w:val="2"/>
          <w:sz w:val="32"/>
          <w:szCs w:val="32"/>
        </w:rPr>
        <w:t>收入支出决算总表</w:t>
      </w:r>
    </w:p>
    <w:p w:rsidR="00C110D3" w:rsidRDefault="00B96975">
      <w:pPr>
        <w:pStyle w:val="1"/>
        <w:widowControl w:val="0"/>
        <w:autoSpaceDE w:val="0"/>
        <w:spacing w:line="594" w:lineRule="exact"/>
        <w:ind w:leftChars="400" w:left="960"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2.</w:t>
      </w:r>
      <w:r>
        <w:rPr>
          <w:rFonts w:ascii="Times New Roman" w:eastAsia="方正仿宋_GBK" w:hAnsi="Times New Roman" w:cs="方正仿宋_GBK" w:hint="eastAsia"/>
          <w:color w:val="000000" w:themeColor="text1"/>
          <w:kern w:val="2"/>
          <w:sz w:val="32"/>
          <w:szCs w:val="32"/>
        </w:rPr>
        <w:t>收入决算表</w:t>
      </w:r>
    </w:p>
    <w:p w:rsidR="00C110D3" w:rsidRDefault="00B96975">
      <w:pPr>
        <w:pStyle w:val="1"/>
        <w:widowControl w:val="0"/>
        <w:autoSpaceDE w:val="0"/>
        <w:spacing w:line="594" w:lineRule="exact"/>
        <w:ind w:leftChars="400" w:left="960"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3.</w:t>
      </w:r>
      <w:r>
        <w:rPr>
          <w:rFonts w:ascii="Times New Roman" w:eastAsia="方正仿宋_GBK" w:hAnsi="Times New Roman" w:cs="方正仿宋_GBK" w:hint="eastAsia"/>
          <w:color w:val="000000" w:themeColor="text1"/>
          <w:kern w:val="2"/>
          <w:sz w:val="32"/>
          <w:szCs w:val="32"/>
        </w:rPr>
        <w:t>支出决算表</w:t>
      </w:r>
    </w:p>
    <w:p w:rsidR="00C110D3" w:rsidRDefault="00B96975">
      <w:pPr>
        <w:pStyle w:val="1"/>
        <w:widowControl w:val="0"/>
        <w:autoSpaceDE w:val="0"/>
        <w:spacing w:line="594" w:lineRule="exact"/>
        <w:ind w:leftChars="400" w:left="960"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4.</w:t>
      </w:r>
      <w:r>
        <w:rPr>
          <w:rFonts w:ascii="Times New Roman" w:eastAsia="方正仿宋_GBK" w:hAnsi="Times New Roman" w:cs="方正仿宋_GBK" w:hint="eastAsia"/>
          <w:color w:val="000000" w:themeColor="text1"/>
          <w:kern w:val="2"/>
          <w:sz w:val="32"/>
          <w:szCs w:val="32"/>
        </w:rPr>
        <w:t>财政拨款收入支出决算总表</w:t>
      </w:r>
    </w:p>
    <w:p w:rsidR="00C110D3" w:rsidRDefault="00B96975">
      <w:pPr>
        <w:pStyle w:val="1"/>
        <w:widowControl w:val="0"/>
        <w:autoSpaceDE w:val="0"/>
        <w:spacing w:line="594" w:lineRule="exact"/>
        <w:ind w:leftChars="400" w:left="960"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5.</w:t>
      </w:r>
      <w:r>
        <w:rPr>
          <w:rFonts w:ascii="Times New Roman" w:eastAsia="方正仿宋_GBK" w:hAnsi="Times New Roman" w:cs="方正仿宋_GBK" w:hint="eastAsia"/>
          <w:color w:val="000000" w:themeColor="text1"/>
          <w:kern w:val="2"/>
          <w:sz w:val="32"/>
          <w:szCs w:val="32"/>
        </w:rPr>
        <w:t>一般公共预算财政拨款支出决算表</w:t>
      </w:r>
    </w:p>
    <w:p w:rsidR="00C110D3" w:rsidRDefault="00B96975">
      <w:pPr>
        <w:pStyle w:val="1"/>
        <w:widowControl w:val="0"/>
        <w:autoSpaceDE w:val="0"/>
        <w:spacing w:line="594" w:lineRule="exact"/>
        <w:ind w:leftChars="400" w:left="960"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6.</w:t>
      </w:r>
      <w:r>
        <w:rPr>
          <w:rFonts w:ascii="Times New Roman" w:eastAsia="方正仿宋_GBK" w:hAnsi="Times New Roman" w:cs="方正仿宋_GBK" w:hint="eastAsia"/>
          <w:color w:val="000000" w:themeColor="text1"/>
          <w:kern w:val="2"/>
          <w:sz w:val="32"/>
          <w:szCs w:val="32"/>
        </w:rPr>
        <w:t>一般公共预算财政拨款基本支出决算表</w:t>
      </w:r>
    </w:p>
    <w:p w:rsidR="00C110D3" w:rsidRDefault="00B96975">
      <w:pPr>
        <w:pStyle w:val="1"/>
        <w:widowControl w:val="0"/>
        <w:autoSpaceDE w:val="0"/>
        <w:spacing w:line="594" w:lineRule="exact"/>
        <w:ind w:leftChars="400" w:left="960"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t>7.</w:t>
      </w:r>
      <w:r>
        <w:rPr>
          <w:rFonts w:ascii="Times New Roman" w:eastAsia="方正仿宋_GBK" w:hAnsi="Times New Roman" w:cs="方正仿宋_GBK" w:hint="eastAsia"/>
          <w:color w:val="000000" w:themeColor="text1"/>
          <w:kern w:val="2"/>
          <w:sz w:val="32"/>
          <w:szCs w:val="32"/>
        </w:rPr>
        <w:t>政府性基金预算财政拨款收入支出决算表</w:t>
      </w:r>
    </w:p>
    <w:p w:rsidR="00C110D3" w:rsidRDefault="00B96975">
      <w:pPr>
        <w:pStyle w:val="1"/>
        <w:widowControl w:val="0"/>
        <w:autoSpaceDE w:val="0"/>
        <w:spacing w:line="594" w:lineRule="exact"/>
        <w:ind w:leftChars="400" w:left="960" w:firstLine="640"/>
        <w:rPr>
          <w:rFonts w:ascii="Times New Roman" w:eastAsia="方正仿宋_GBK" w:hAnsi="Times New Roman" w:cs="方正仿宋_GBK"/>
          <w:color w:val="000000" w:themeColor="text1"/>
          <w:kern w:val="2"/>
          <w:sz w:val="32"/>
          <w:szCs w:val="32"/>
        </w:rPr>
      </w:pPr>
      <w:r>
        <w:rPr>
          <w:rFonts w:ascii="Times New Roman" w:eastAsia="方正仿宋_GBK" w:hAnsi="Times New Roman" w:cs="方正仿宋_GBK" w:hint="eastAsia"/>
          <w:color w:val="000000" w:themeColor="text1"/>
          <w:kern w:val="2"/>
          <w:sz w:val="32"/>
          <w:szCs w:val="32"/>
        </w:rPr>
        <w:lastRenderedPageBreak/>
        <w:t>8.</w:t>
      </w:r>
      <w:r>
        <w:rPr>
          <w:rFonts w:ascii="Times New Roman" w:eastAsia="方正仿宋_GBK" w:hAnsi="Times New Roman" w:cs="方正仿宋_GBK" w:hint="eastAsia"/>
          <w:color w:val="000000" w:themeColor="text1"/>
          <w:kern w:val="2"/>
          <w:sz w:val="32"/>
          <w:szCs w:val="32"/>
        </w:rPr>
        <w:t>国有资本经营预算财政拨款支出决算表</w:t>
      </w:r>
    </w:p>
    <w:p w:rsidR="00C110D3" w:rsidRDefault="00B96975">
      <w:pPr>
        <w:pStyle w:val="1"/>
        <w:widowControl w:val="0"/>
        <w:autoSpaceDE w:val="0"/>
        <w:spacing w:line="594" w:lineRule="exact"/>
        <w:ind w:leftChars="400" w:left="960" w:firstLine="640"/>
        <w:rPr>
          <w:rFonts w:ascii="Times New Roman" w:eastAsia="方正仿宋_GBK" w:hAnsi="Times New Roman" w:cs="方正仿宋_GBK"/>
          <w:color w:val="000000" w:themeColor="text1"/>
          <w:kern w:val="2"/>
          <w:sz w:val="32"/>
          <w:szCs w:val="32"/>
        </w:rPr>
        <w:sectPr w:rsidR="00C110D3">
          <w:footerReference w:type="default" r:id="rId8"/>
          <w:pgSz w:w="11915" w:h="16840"/>
          <w:pgMar w:top="1984" w:right="1446" w:bottom="1644" w:left="1446" w:header="851" w:footer="992" w:gutter="0"/>
          <w:cols w:space="720"/>
          <w:docGrid w:type="lines" w:linePitch="312"/>
        </w:sectPr>
      </w:pPr>
      <w:r>
        <w:rPr>
          <w:rFonts w:ascii="Times New Roman" w:eastAsia="方正仿宋_GBK" w:hAnsi="Times New Roman" w:cs="方正仿宋_GBK" w:hint="eastAsia"/>
          <w:color w:val="000000" w:themeColor="text1"/>
          <w:kern w:val="2"/>
          <w:sz w:val="32"/>
          <w:szCs w:val="32"/>
        </w:rPr>
        <w:t>9.</w:t>
      </w:r>
      <w:r>
        <w:rPr>
          <w:rFonts w:ascii="Times New Roman" w:eastAsia="方正仿宋_GBK" w:hAnsi="Times New Roman" w:cs="方正仿宋_GBK" w:hint="eastAsia"/>
          <w:color w:val="000000" w:themeColor="text1"/>
          <w:kern w:val="2"/>
          <w:sz w:val="32"/>
          <w:szCs w:val="32"/>
        </w:rPr>
        <w:t>机构运行信息表</w:t>
      </w:r>
    </w:p>
    <w:tbl>
      <w:tblPr>
        <w:tblW w:w="15030" w:type="dxa"/>
        <w:tblLayout w:type="fixed"/>
        <w:tblCellMar>
          <w:left w:w="0" w:type="dxa"/>
          <w:right w:w="0" w:type="dxa"/>
        </w:tblCellMar>
        <w:tblLook w:val="04A0" w:firstRow="1" w:lastRow="0" w:firstColumn="1" w:lastColumn="0" w:noHBand="0" w:noVBand="1"/>
      </w:tblPr>
      <w:tblGrid>
        <w:gridCol w:w="5122"/>
        <w:gridCol w:w="2020"/>
        <w:gridCol w:w="4809"/>
        <w:gridCol w:w="3079"/>
      </w:tblGrid>
      <w:tr w:rsidR="00C110D3">
        <w:trPr>
          <w:trHeight w:val="232"/>
        </w:trPr>
        <w:tc>
          <w:tcPr>
            <w:tcW w:w="15030" w:type="dxa"/>
            <w:gridSpan w:val="4"/>
            <w:tcBorders>
              <w:top w:val="nil"/>
              <w:left w:val="nil"/>
              <w:bottom w:val="nil"/>
              <w:right w:val="nil"/>
            </w:tcBorders>
            <w:shd w:val="clear" w:color="auto" w:fill="auto"/>
            <w:noWrap/>
            <w:tcMar>
              <w:top w:w="15" w:type="dxa"/>
              <w:left w:w="15" w:type="dxa"/>
              <w:right w:w="15" w:type="dxa"/>
            </w:tcMar>
            <w:vAlign w:val="bottom"/>
          </w:tcPr>
          <w:p w:rsidR="00C110D3" w:rsidRDefault="00B96975">
            <w:pPr>
              <w:spacing w:line="400" w:lineRule="exact"/>
              <w:jc w:val="center"/>
              <w:textAlignment w:val="bottom"/>
              <w:rPr>
                <w:rFonts w:asciiTheme="minorEastAsia" w:eastAsiaTheme="minorEastAsia" w:hAnsiTheme="minorEastAsia" w:cstheme="minorEastAsia" w:hint="default"/>
                <w:b/>
                <w:color w:val="000000"/>
                <w:sz w:val="32"/>
                <w:szCs w:val="32"/>
              </w:rPr>
            </w:pPr>
            <w:r>
              <w:rPr>
                <w:rFonts w:asciiTheme="minorEastAsia" w:eastAsiaTheme="minorEastAsia" w:hAnsiTheme="minorEastAsia" w:cstheme="minorEastAsia"/>
                <w:b/>
                <w:color w:val="000000"/>
                <w:sz w:val="32"/>
                <w:szCs w:val="32"/>
              </w:rPr>
              <w:lastRenderedPageBreak/>
              <w:t>收入支出决算总表</w:t>
            </w:r>
          </w:p>
        </w:tc>
      </w:tr>
      <w:tr w:rsidR="00C110D3">
        <w:trPr>
          <w:trHeight w:val="232"/>
        </w:trPr>
        <w:tc>
          <w:tcPr>
            <w:tcW w:w="5122"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20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20"/>
                <w:szCs w:val="20"/>
              </w:rPr>
            </w:pPr>
          </w:p>
        </w:tc>
        <w:tc>
          <w:tcPr>
            <w:tcW w:w="3079" w:type="dxa"/>
            <w:tcBorders>
              <w:top w:val="nil"/>
              <w:left w:val="nil"/>
              <w:bottom w:val="nil"/>
              <w:right w:val="nil"/>
            </w:tcBorders>
            <w:shd w:val="clear" w:color="auto" w:fill="auto"/>
            <w:noWrap/>
            <w:tcMar>
              <w:top w:w="15" w:type="dxa"/>
              <w:left w:w="15" w:type="dxa"/>
              <w:right w:w="15" w:type="dxa"/>
            </w:tcMar>
            <w:vAlign w:val="bottom"/>
          </w:tcPr>
          <w:p w:rsidR="00C110D3" w:rsidRDefault="00B96975">
            <w:pPr>
              <w:spacing w:line="28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公开</w:t>
            </w:r>
            <w:r>
              <w:rPr>
                <w:rFonts w:asciiTheme="minorEastAsia" w:eastAsiaTheme="minorEastAsia" w:hAnsiTheme="minorEastAsia" w:cstheme="minorEastAsia"/>
                <w:color w:val="000000"/>
                <w:sz w:val="20"/>
                <w:szCs w:val="20"/>
              </w:rPr>
              <w:t>01</w:t>
            </w:r>
            <w:r>
              <w:rPr>
                <w:rFonts w:asciiTheme="minorEastAsia" w:eastAsiaTheme="minorEastAsia" w:hAnsiTheme="minorEastAsia" w:cstheme="minorEastAsia"/>
                <w:color w:val="000000"/>
                <w:sz w:val="20"/>
                <w:szCs w:val="20"/>
              </w:rPr>
              <w:t>表</w:t>
            </w:r>
          </w:p>
        </w:tc>
      </w:tr>
      <w:tr w:rsidR="00C110D3">
        <w:trPr>
          <w:trHeight w:val="232"/>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rsidR="00C110D3" w:rsidRDefault="00B96975">
            <w:pPr>
              <w:spacing w:line="200" w:lineRule="exact"/>
              <w:rPr>
                <w:rFonts w:asciiTheme="minorEastAsia" w:eastAsiaTheme="minorEastAsia" w:hAnsiTheme="minorEastAsia" w:cstheme="minorEastAsia" w:hint="default"/>
                <w:color w:val="000000"/>
                <w:sz w:val="22"/>
                <w:szCs w:val="22"/>
              </w:rPr>
            </w:pPr>
            <w:r>
              <w:rPr>
                <w:rFonts w:asciiTheme="minorEastAsia" w:eastAsiaTheme="minorEastAsia" w:hAnsiTheme="minorEastAsia" w:cstheme="minorEastAsia"/>
                <w:sz w:val="20"/>
                <w:szCs w:val="20"/>
              </w:rPr>
              <w:t>公开单位：</w:t>
            </w:r>
            <w:r>
              <w:rPr>
                <w:rFonts w:asciiTheme="minorEastAsia" w:eastAsiaTheme="minorEastAsia" w:hAnsiTheme="minorEastAsia" w:cstheme="minorEastAsia"/>
                <w:sz w:val="20"/>
              </w:rPr>
              <w:t>重庆市九龙坡区留置管理中心</w:t>
            </w:r>
          </w:p>
        </w:tc>
        <w:tc>
          <w:tcPr>
            <w:tcW w:w="4809"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22"/>
                <w:szCs w:val="22"/>
              </w:rPr>
            </w:pPr>
          </w:p>
        </w:tc>
        <w:tc>
          <w:tcPr>
            <w:tcW w:w="3079" w:type="dxa"/>
            <w:tcBorders>
              <w:top w:val="nil"/>
              <w:left w:val="nil"/>
              <w:bottom w:val="nil"/>
              <w:right w:val="nil"/>
            </w:tcBorders>
            <w:shd w:val="clear" w:color="auto" w:fill="auto"/>
            <w:noWrap/>
            <w:tcMar>
              <w:top w:w="15" w:type="dxa"/>
              <w:left w:w="15" w:type="dxa"/>
              <w:right w:w="15" w:type="dxa"/>
            </w:tcMar>
            <w:vAlign w:val="bottom"/>
          </w:tcPr>
          <w:p w:rsidR="00C110D3" w:rsidRDefault="00B96975">
            <w:pPr>
              <w:spacing w:line="28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单位：</w:t>
            </w:r>
            <w:r>
              <w:rPr>
                <w:rFonts w:asciiTheme="minorEastAsia" w:eastAsiaTheme="minorEastAsia" w:hAnsiTheme="minorEastAsia" w:cstheme="minorEastAsia"/>
                <w:sz w:val="20"/>
                <w:szCs w:val="20"/>
              </w:rPr>
              <w:t>万元</w:t>
            </w:r>
          </w:p>
        </w:tc>
      </w:tr>
      <w:tr w:rsidR="00C110D3">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收入</w:t>
            </w:r>
          </w:p>
        </w:tc>
        <w:tc>
          <w:tcPr>
            <w:tcW w:w="7888"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支出</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项</w:t>
            </w:r>
            <w:r>
              <w:rPr>
                <w:rFonts w:asciiTheme="minorEastAsia" w:eastAsiaTheme="minorEastAsia" w:hAnsiTheme="minorEastAsia" w:cstheme="minorEastAsia"/>
                <w:b/>
                <w:color w:val="000000"/>
                <w:sz w:val="20"/>
                <w:szCs w:val="20"/>
              </w:rPr>
              <w:t xml:space="preserve">    </w:t>
            </w:r>
            <w:r>
              <w:rPr>
                <w:rFonts w:asciiTheme="minorEastAsia" w:eastAsiaTheme="minorEastAsia" w:hAnsiTheme="minorEastAsia" w:cstheme="minorEastAsia"/>
                <w:b/>
                <w:color w:val="000000"/>
                <w:sz w:val="20"/>
                <w:szCs w:val="20"/>
              </w:rPr>
              <w:t>目</w:t>
            </w:r>
          </w:p>
        </w:tc>
        <w:tc>
          <w:tcPr>
            <w:tcW w:w="20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决算数</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功能分类科目</w:t>
            </w:r>
          </w:p>
        </w:tc>
        <w:tc>
          <w:tcPr>
            <w:tcW w:w="307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决算数</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96.58</w:t>
            </w:r>
            <w:r>
              <w:rPr>
                <w:rFonts w:asciiTheme="minorEastAsia" w:eastAsiaTheme="minorEastAsia" w:hAnsiTheme="minorEastAsia" w:cstheme="min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一、一般公共服务支出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76.19</w:t>
            </w: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二、外交支出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三、国防支出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四、公共安全支出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五、事业收入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五、教育支出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六、经营收入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六、科学技术支出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七、文化旅游体育与传媒支出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八、其他收入</w:t>
            </w:r>
          </w:p>
        </w:tc>
        <w:tc>
          <w:tcPr>
            <w:tcW w:w="2020" w:type="dxa"/>
            <w:tcBorders>
              <w:top w:val="nil"/>
              <w:left w:val="nil"/>
              <w:bottom w:val="nil"/>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八、社会保障和就业支出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8.33</w:t>
            </w: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rPr>
                <w:rFonts w:asciiTheme="minorEastAsia" w:eastAsiaTheme="minorEastAsia" w:hAnsiTheme="minorEastAsia" w:cstheme="minorEastAsia"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九、卫生健康支出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4.11</w:t>
            </w: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rPr>
                <w:rFonts w:asciiTheme="minorEastAsia" w:eastAsiaTheme="minorEastAsia" w:hAnsiTheme="minorEastAsia" w:cstheme="minorEastAsia"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十、节能环保支出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rPr>
                <w:rFonts w:asciiTheme="minorEastAsia" w:eastAsiaTheme="minorEastAsia" w:hAnsiTheme="minorEastAsia" w:cstheme="minorEastAsia"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十一、城乡社区支出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rPr>
                <w:rFonts w:asciiTheme="minorEastAsia" w:eastAsiaTheme="minorEastAsia" w:hAnsiTheme="minorEastAsia" w:cstheme="minorEastAsia"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十二、农林水支出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rPr>
                <w:rFonts w:asciiTheme="minorEastAsia" w:eastAsiaTheme="minorEastAsia" w:hAnsiTheme="minorEastAsia" w:cstheme="minorEastAsia"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十三、交通运输支出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rPr>
                <w:rFonts w:asciiTheme="minorEastAsia" w:eastAsiaTheme="minorEastAsia" w:hAnsiTheme="minorEastAsia" w:cstheme="min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十四、资源勘探工业信息等支出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rPr>
                <w:rFonts w:asciiTheme="minorEastAsia" w:eastAsiaTheme="minorEastAsia" w:hAnsiTheme="minorEastAsia" w:cstheme="min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十五、商业服务业等支出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rPr>
                <w:rFonts w:asciiTheme="minorEastAsia" w:eastAsiaTheme="minorEastAsia" w:hAnsiTheme="minorEastAsia" w:cstheme="min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十六、金融支出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rPr>
                <w:rFonts w:asciiTheme="minorEastAsia" w:eastAsiaTheme="minorEastAsia" w:hAnsiTheme="minorEastAsia" w:cstheme="min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十七、援助其他地区支出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rPr>
                <w:rFonts w:asciiTheme="minorEastAsia" w:eastAsiaTheme="minorEastAsia" w:hAnsiTheme="minorEastAsia" w:cstheme="min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十八、自然资源海洋气象等支出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rPr>
                <w:rFonts w:asciiTheme="minorEastAsia" w:eastAsiaTheme="minorEastAsia" w:hAnsiTheme="minorEastAsia" w:cstheme="min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十九、住房保障支出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7.95</w:t>
            </w: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rPr>
                <w:rFonts w:asciiTheme="minorEastAsia" w:eastAsiaTheme="minorEastAsia" w:hAnsiTheme="minorEastAsia" w:cstheme="min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二十、粮油物资储备支出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rPr>
                <w:rFonts w:asciiTheme="minorEastAsia" w:eastAsiaTheme="minorEastAsia" w:hAnsiTheme="minorEastAsia" w:cstheme="min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二十一、国有资本经营预算支出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rPr>
                <w:rFonts w:asciiTheme="minorEastAsia" w:eastAsiaTheme="minorEastAsia" w:hAnsiTheme="minorEastAsia" w:cstheme="min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二十二、灾害防治及应急管理支出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rPr>
                <w:rFonts w:asciiTheme="minorEastAsia" w:eastAsiaTheme="minorEastAsia" w:hAnsiTheme="minorEastAsia" w:cstheme="min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二十三、其他支出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jc w:val="center"/>
              <w:rPr>
                <w:rFonts w:asciiTheme="minorEastAsia" w:eastAsiaTheme="minorEastAsia" w:hAnsiTheme="minorEastAsia" w:cstheme="minorEastAsia" w:hint="default"/>
                <w:b/>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二十四、债务还本支出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rPr>
                <w:rFonts w:asciiTheme="minorEastAsia" w:eastAsiaTheme="minorEastAsia" w:hAnsiTheme="minorEastAsia" w:cstheme="min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二十五、债务付息支出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40" w:lineRule="exact"/>
              <w:rPr>
                <w:rFonts w:asciiTheme="minorEastAsia" w:eastAsiaTheme="minorEastAsia" w:hAnsiTheme="minorEastAsia" w:cstheme="minorEastAsia"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40" w:lineRule="exact"/>
              <w:jc w:val="right"/>
              <w:rPr>
                <w:rFonts w:asciiTheme="minorEastAsia" w:eastAsiaTheme="minorEastAsia" w:hAnsiTheme="minorEastAsia" w:cstheme="minorEastAsia"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二十六、抗疫特别国债安排的支出</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96.58</w:t>
            </w:r>
            <w:r>
              <w:rPr>
                <w:rFonts w:asciiTheme="minorEastAsia" w:eastAsiaTheme="minorEastAsia" w:hAnsiTheme="minorEastAsia" w:cstheme="min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本年支出合计</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96.58</w:t>
            </w: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结余分配</w:t>
            </w:r>
          </w:p>
        </w:tc>
        <w:tc>
          <w:tcPr>
            <w:tcW w:w="307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年末结转和结余</w:t>
            </w:r>
          </w:p>
        </w:tc>
        <w:tc>
          <w:tcPr>
            <w:tcW w:w="3079"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25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40" w:lineRule="exact"/>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96.58</w:t>
            </w:r>
            <w:r>
              <w:rPr>
                <w:rFonts w:asciiTheme="minorEastAsia" w:eastAsiaTheme="minorEastAsia" w:hAnsiTheme="minorEastAsia" w:cstheme="minorEastAsia"/>
                <w:color w:val="000000"/>
                <w:sz w:val="20"/>
              </w:rPr>
              <w:t xml:space="preserve"> </w:t>
            </w:r>
          </w:p>
        </w:tc>
        <w:tc>
          <w:tcPr>
            <w:tcW w:w="4809"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C110D3" w:rsidRDefault="00B96975">
            <w:pPr>
              <w:spacing w:line="240" w:lineRule="exact"/>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总计</w:t>
            </w:r>
          </w:p>
        </w:tc>
        <w:tc>
          <w:tcPr>
            <w:tcW w:w="30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40" w:lineRule="exact"/>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96.58</w:t>
            </w:r>
            <w:r>
              <w:rPr>
                <w:rFonts w:asciiTheme="minorEastAsia" w:eastAsiaTheme="minorEastAsia" w:hAnsiTheme="minorEastAsia" w:cstheme="minorEastAsia"/>
                <w:color w:val="000000"/>
                <w:sz w:val="20"/>
              </w:rPr>
              <w:t xml:space="preserve"> </w:t>
            </w:r>
          </w:p>
        </w:tc>
      </w:tr>
    </w:tbl>
    <w:p w:rsidR="00C110D3" w:rsidRDefault="00B96975">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r>
      <w:r>
        <w:rPr>
          <w:rFonts w:cs="宋体"/>
          <w:sz w:val="20"/>
          <w:szCs w:val="20"/>
        </w:rPr>
        <w:t xml:space="preserve">      2.</w:t>
      </w:r>
      <w:r>
        <w:rPr>
          <w:rFonts w:cs="宋体"/>
          <w:sz w:val="20"/>
          <w:szCs w:val="20"/>
        </w:rPr>
        <w:t>本套报表金额单位转换时可能存在尾数误差。</w:t>
      </w:r>
      <w:r>
        <w:rPr>
          <w:rFonts w:cs="宋体"/>
          <w:sz w:val="20"/>
          <w:szCs w:val="20"/>
        </w:rPr>
        <w:br/>
      </w:r>
    </w:p>
    <w:tbl>
      <w:tblPr>
        <w:tblW w:w="15114" w:type="dxa"/>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197"/>
      </w:tblGrid>
      <w:tr w:rsidR="00C110D3">
        <w:trPr>
          <w:trHeight w:val="641"/>
        </w:trPr>
        <w:tc>
          <w:tcPr>
            <w:tcW w:w="15114" w:type="dxa"/>
            <w:gridSpan w:val="10"/>
            <w:tcBorders>
              <w:top w:val="nil"/>
              <w:left w:val="nil"/>
              <w:bottom w:val="nil"/>
              <w:right w:val="nil"/>
            </w:tcBorders>
            <w:shd w:val="clear" w:color="auto" w:fill="auto"/>
            <w:noWrap/>
            <w:tcMar>
              <w:top w:w="15" w:type="dxa"/>
              <w:left w:w="15" w:type="dxa"/>
              <w:right w:w="15" w:type="dxa"/>
            </w:tcMar>
            <w:vAlign w:val="bottom"/>
          </w:tcPr>
          <w:p w:rsidR="00C110D3" w:rsidRDefault="00B96975">
            <w:pPr>
              <w:jc w:val="center"/>
              <w:textAlignment w:val="bottom"/>
              <w:rPr>
                <w:rFonts w:asciiTheme="minorEastAsia" w:eastAsiaTheme="minorEastAsia" w:hAnsiTheme="minorEastAsia" w:cstheme="minorEastAsia" w:hint="default"/>
                <w:b/>
                <w:color w:val="000000"/>
                <w:sz w:val="32"/>
                <w:szCs w:val="32"/>
              </w:rPr>
            </w:pPr>
            <w:r>
              <w:rPr>
                <w:rFonts w:asciiTheme="minorEastAsia" w:eastAsiaTheme="minorEastAsia" w:hAnsiTheme="minorEastAsia" w:cstheme="minorEastAsia"/>
                <w:b/>
                <w:color w:val="000000"/>
                <w:sz w:val="32"/>
                <w:szCs w:val="32"/>
              </w:rPr>
              <w:lastRenderedPageBreak/>
              <w:t>收入决算表</w:t>
            </w:r>
          </w:p>
        </w:tc>
      </w:tr>
      <w:tr w:rsidR="00C110D3">
        <w:trPr>
          <w:trHeight w:val="328"/>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rsidR="00C110D3" w:rsidRDefault="00B96975">
            <w:pP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sz w:val="20"/>
                <w:szCs w:val="20"/>
              </w:rPr>
              <w:t>公开单位：</w:t>
            </w:r>
            <w:r>
              <w:rPr>
                <w:rFonts w:asciiTheme="minorEastAsia" w:eastAsiaTheme="minorEastAsia" w:hAnsiTheme="minorEastAsia" w:cstheme="minorEastAsia"/>
                <w:sz w:val="20"/>
              </w:rPr>
              <w:t>重庆市九龙坡区留置管理中心</w:t>
            </w:r>
          </w:p>
        </w:tc>
        <w:tc>
          <w:tcPr>
            <w:tcW w:w="1233"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197" w:type="dxa"/>
            <w:tcBorders>
              <w:top w:val="nil"/>
              <w:left w:val="nil"/>
              <w:bottom w:val="nil"/>
              <w:right w:val="nil"/>
            </w:tcBorders>
            <w:shd w:val="clear" w:color="auto" w:fill="auto"/>
            <w:noWrap/>
            <w:tcMar>
              <w:top w:w="15" w:type="dxa"/>
              <w:left w:w="15" w:type="dxa"/>
              <w:right w:w="15" w:type="dxa"/>
            </w:tcMar>
            <w:vAlign w:val="bottom"/>
          </w:tcPr>
          <w:p w:rsidR="00C110D3" w:rsidRDefault="00B96975">
            <w:pPr>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公开</w:t>
            </w:r>
            <w:r>
              <w:rPr>
                <w:rFonts w:asciiTheme="minorEastAsia" w:eastAsiaTheme="minorEastAsia" w:hAnsiTheme="minorEastAsia" w:cstheme="minorEastAsia"/>
                <w:color w:val="000000"/>
                <w:sz w:val="20"/>
                <w:szCs w:val="20"/>
              </w:rPr>
              <w:t>02</w:t>
            </w:r>
            <w:r>
              <w:rPr>
                <w:rFonts w:asciiTheme="minorEastAsia" w:eastAsiaTheme="minorEastAsia" w:hAnsiTheme="minorEastAsia" w:cstheme="minorEastAsia"/>
                <w:color w:val="000000"/>
                <w:sz w:val="20"/>
                <w:szCs w:val="20"/>
              </w:rPr>
              <w:t>表</w:t>
            </w:r>
          </w:p>
        </w:tc>
      </w:tr>
      <w:tr w:rsidR="00C110D3">
        <w:trPr>
          <w:trHeight w:val="328"/>
        </w:trPr>
        <w:tc>
          <w:tcPr>
            <w:tcW w:w="6106" w:type="dxa"/>
            <w:gridSpan w:val="3"/>
            <w:vMerge/>
            <w:tcBorders>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197" w:type="dxa"/>
            <w:tcBorders>
              <w:top w:val="nil"/>
              <w:left w:val="nil"/>
              <w:bottom w:val="nil"/>
              <w:right w:val="nil"/>
            </w:tcBorders>
            <w:shd w:val="clear" w:color="auto" w:fill="auto"/>
            <w:noWrap/>
            <w:tcMar>
              <w:top w:w="15" w:type="dxa"/>
              <w:left w:w="15" w:type="dxa"/>
              <w:right w:w="15" w:type="dxa"/>
            </w:tcMar>
            <w:vAlign w:val="bottom"/>
          </w:tcPr>
          <w:p w:rsidR="00C110D3" w:rsidRDefault="00B96975">
            <w:pPr>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单位：</w:t>
            </w:r>
            <w:r>
              <w:rPr>
                <w:rFonts w:asciiTheme="minorEastAsia" w:eastAsiaTheme="minorEastAsia" w:hAnsiTheme="minorEastAsia" w:cstheme="minorEastAsia"/>
                <w:sz w:val="20"/>
                <w:szCs w:val="20"/>
              </w:rPr>
              <w:t>万元</w:t>
            </w:r>
          </w:p>
        </w:tc>
      </w:tr>
      <w:tr w:rsidR="00C110D3">
        <w:trPr>
          <w:trHeight w:val="431"/>
        </w:trPr>
        <w:tc>
          <w:tcPr>
            <w:tcW w:w="4873"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C110D3" w:rsidRDefault="00B96975">
            <w:pPr>
              <w:jc w:val="center"/>
              <w:textAlignment w:val="bottom"/>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项</w:t>
            </w:r>
            <w:r>
              <w:rPr>
                <w:rFonts w:asciiTheme="minorEastAsia" w:eastAsiaTheme="minorEastAsia" w:hAnsiTheme="minorEastAsia" w:cstheme="minorEastAsia"/>
                <w:b/>
                <w:color w:val="000000"/>
                <w:sz w:val="20"/>
                <w:szCs w:val="20"/>
              </w:rPr>
              <w:t xml:space="preserve">    </w:t>
            </w:r>
            <w:r>
              <w:rPr>
                <w:rFonts w:asciiTheme="minorEastAsia" w:eastAsiaTheme="minorEastAsia" w:hAnsiTheme="minorEastAsia" w:cstheme="minorEastAsia"/>
                <w:b/>
                <w:color w:val="000000"/>
                <w:sz w:val="20"/>
                <w:szCs w:val="20"/>
              </w:rPr>
              <w:t>目</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本年收入合计</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财政拨款收入</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上级补助收入</w:t>
            </w:r>
          </w:p>
        </w:tc>
        <w:tc>
          <w:tcPr>
            <w:tcW w:w="259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110D3" w:rsidRDefault="00B96975">
            <w:pPr>
              <w:jc w:val="center"/>
              <w:textAlignment w:val="bottom"/>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事业收入</w:t>
            </w:r>
          </w:p>
        </w:tc>
        <w:tc>
          <w:tcPr>
            <w:tcW w:w="13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经营收入</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附属单位上缴</w:t>
            </w:r>
          </w:p>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收入</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其他收入</w:t>
            </w:r>
          </w:p>
        </w:tc>
      </w:tr>
      <w:tr w:rsidR="00C110D3">
        <w:trPr>
          <w:trHeight w:val="334"/>
        </w:trPr>
        <w:tc>
          <w:tcPr>
            <w:tcW w:w="170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功能分类科目编码</w:t>
            </w:r>
          </w:p>
        </w:tc>
        <w:tc>
          <w:tcPr>
            <w:tcW w:w="3171"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项目（按“项”级功能分类科目）</w:t>
            </w: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小计</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其中：教育收费</w:t>
            </w: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1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r>
      <w:tr w:rsidR="00C110D3">
        <w:trPr>
          <w:trHeight w:val="334"/>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1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r>
      <w:tr w:rsidR="00C110D3">
        <w:trPr>
          <w:trHeight w:val="334"/>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1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r>
      <w:tr w:rsidR="00C110D3">
        <w:trPr>
          <w:trHeight w:val="334"/>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1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r>
      <w:tr w:rsidR="00C110D3">
        <w:trPr>
          <w:trHeight w:val="338"/>
        </w:trPr>
        <w:tc>
          <w:tcPr>
            <w:tcW w:w="4873"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合计</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bCs/>
                <w:color w:val="000000"/>
                <w:sz w:val="20"/>
                <w:szCs w:val="20"/>
              </w:rPr>
              <w:t>96.58</w:t>
            </w:r>
            <w:r>
              <w:rPr>
                <w:rFonts w:asciiTheme="minorEastAsia" w:eastAsiaTheme="minorEastAsia" w:hAnsiTheme="minorEastAsia" w:cstheme="minorEastAsia"/>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bCs/>
                <w:color w:val="000000"/>
                <w:sz w:val="20"/>
                <w:szCs w:val="20"/>
              </w:rPr>
              <w:t>96.58</w:t>
            </w:r>
            <w:r>
              <w:rPr>
                <w:rFonts w:asciiTheme="minorEastAsia" w:eastAsiaTheme="minorEastAsia" w:hAnsiTheme="minorEastAsia" w:cstheme="minorEastAsia"/>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rPr>
              <w:t xml:space="preserve"> </w:t>
            </w:r>
          </w:p>
        </w:tc>
        <w:tc>
          <w:tcPr>
            <w:tcW w:w="13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rPr>
              <w:t xml:space="preserve"> </w:t>
            </w:r>
          </w:p>
        </w:tc>
        <w:tc>
          <w:tcPr>
            <w:tcW w:w="13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rPr>
              <w:t xml:space="preserve"> </w:t>
            </w:r>
          </w:p>
        </w:tc>
        <w:tc>
          <w:tcPr>
            <w:tcW w:w="14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rPr>
              <w:t xml:space="preserve"> </w:t>
            </w:r>
          </w:p>
        </w:tc>
        <w:tc>
          <w:tcPr>
            <w:tcW w:w="11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rPr>
              <w:t xml:space="preserve"> </w:t>
            </w:r>
          </w:p>
        </w:tc>
      </w:tr>
      <w:tr w:rsidR="00C110D3">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一般公共服务支出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76.19</w:t>
            </w:r>
            <w:r>
              <w:rPr>
                <w:rFonts w:asciiTheme="minorEastAsia" w:eastAsiaTheme="minorEastAsia" w:hAnsiTheme="minorEastAsia" w:cstheme="minorEastAsia"/>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76.19</w:t>
            </w:r>
            <w:r>
              <w:rPr>
                <w:rFonts w:asciiTheme="minorEastAsia" w:eastAsiaTheme="minorEastAsia" w:hAnsiTheme="minorEastAsia" w:cstheme="minorEastAsia"/>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20111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纪检监察事务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76.19</w:t>
            </w:r>
            <w:r>
              <w:rPr>
                <w:rFonts w:asciiTheme="minorEastAsia" w:eastAsiaTheme="minorEastAsia" w:hAnsiTheme="minorEastAsia" w:cstheme="minorEastAsia"/>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76.19</w:t>
            </w:r>
            <w:r>
              <w:rPr>
                <w:rFonts w:asciiTheme="minorEastAsia" w:eastAsiaTheme="minorEastAsia" w:hAnsiTheme="minorEastAsia" w:cstheme="minorEastAsia"/>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2011150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事业运行</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76.19</w:t>
            </w: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76.19</w:t>
            </w: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社会保障和就业支出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8.33</w:t>
            </w:r>
            <w:r>
              <w:rPr>
                <w:rFonts w:asciiTheme="minorEastAsia" w:eastAsiaTheme="minorEastAsia" w:hAnsiTheme="minorEastAsia" w:cstheme="minorEastAsia"/>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8.33</w:t>
            </w:r>
            <w:r>
              <w:rPr>
                <w:rFonts w:asciiTheme="minorEastAsia" w:eastAsiaTheme="minorEastAsia" w:hAnsiTheme="minorEastAsia" w:cstheme="minorEastAsia"/>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20805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行政事业单位养老支出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8.33</w:t>
            </w:r>
            <w:r>
              <w:rPr>
                <w:rFonts w:asciiTheme="minorEastAsia" w:eastAsiaTheme="minorEastAsia" w:hAnsiTheme="minorEastAsia" w:cstheme="minorEastAsia"/>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8.33</w:t>
            </w:r>
            <w:r>
              <w:rPr>
                <w:rFonts w:asciiTheme="minorEastAsia" w:eastAsiaTheme="minorEastAsia" w:hAnsiTheme="minorEastAsia" w:cstheme="minorEastAsia"/>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2080505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机关事业单位基本养老保险缴费支出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5.55</w:t>
            </w: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5.55</w:t>
            </w: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2080506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机关事业单位职业年金缴费支出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2.78</w:t>
            </w: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2.78</w:t>
            </w: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210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卫生健康支出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4.11</w:t>
            </w:r>
            <w:r>
              <w:rPr>
                <w:rFonts w:asciiTheme="minorEastAsia" w:eastAsiaTheme="minorEastAsia" w:hAnsiTheme="minorEastAsia" w:cstheme="minorEastAsia"/>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4.11</w:t>
            </w:r>
            <w:r>
              <w:rPr>
                <w:rFonts w:asciiTheme="minorEastAsia" w:eastAsiaTheme="minorEastAsia" w:hAnsiTheme="minorEastAsia" w:cstheme="minorEastAsia"/>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21011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行政事业单位医疗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4.11</w:t>
            </w:r>
            <w:r>
              <w:rPr>
                <w:rFonts w:asciiTheme="minorEastAsia" w:eastAsiaTheme="minorEastAsia" w:hAnsiTheme="minorEastAsia" w:cstheme="minorEastAsia"/>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4.11</w:t>
            </w:r>
            <w:r>
              <w:rPr>
                <w:rFonts w:asciiTheme="minorEastAsia" w:eastAsiaTheme="minorEastAsia" w:hAnsiTheme="minorEastAsia" w:cstheme="minorEastAsia"/>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2101102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事业单位医疗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3.59</w:t>
            </w: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3.59</w:t>
            </w: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2101199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其他行政事业单位医疗支出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0.52</w:t>
            </w: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0.52</w:t>
            </w: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221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住房保障支出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7.95</w:t>
            </w:r>
            <w:r>
              <w:rPr>
                <w:rFonts w:asciiTheme="minorEastAsia" w:eastAsiaTheme="minorEastAsia" w:hAnsiTheme="minorEastAsia" w:cstheme="minorEastAsia"/>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7.95</w:t>
            </w:r>
            <w:r>
              <w:rPr>
                <w:rFonts w:asciiTheme="minorEastAsia" w:eastAsiaTheme="minorEastAsia" w:hAnsiTheme="minorEastAsia" w:cstheme="minorEastAsia"/>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22102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住房改革支出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7.95</w:t>
            </w:r>
            <w:r>
              <w:rPr>
                <w:rFonts w:asciiTheme="minorEastAsia" w:eastAsiaTheme="minorEastAsia" w:hAnsiTheme="minorEastAsia" w:cstheme="minorEastAsia"/>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7.95</w:t>
            </w:r>
            <w:r>
              <w:rPr>
                <w:rFonts w:asciiTheme="minorEastAsia" w:eastAsiaTheme="minorEastAsia" w:hAnsiTheme="minorEastAsia" w:cstheme="minorEastAsia"/>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2210201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住房公积金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6.82</w:t>
            </w: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6.82</w:t>
            </w: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2210203</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购房补贴</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1.12</w:t>
            </w: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1.12</w:t>
            </w: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bl>
    <w:p w:rsidR="00C110D3" w:rsidRDefault="00B96975">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type="page"/>
      </w:r>
    </w:p>
    <w:tbl>
      <w:tblPr>
        <w:tblW w:w="14945" w:type="dxa"/>
        <w:tblLayout w:type="fixed"/>
        <w:tblCellMar>
          <w:left w:w="0" w:type="dxa"/>
          <w:right w:w="0" w:type="dxa"/>
        </w:tblCellMar>
        <w:tblLook w:val="04A0" w:firstRow="1" w:lastRow="0" w:firstColumn="1" w:lastColumn="0" w:noHBand="0" w:noVBand="1"/>
      </w:tblPr>
      <w:tblGrid>
        <w:gridCol w:w="1802"/>
        <w:gridCol w:w="3355"/>
        <w:gridCol w:w="1701"/>
        <w:gridCol w:w="1701"/>
        <w:gridCol w:w="1701"/>
        <w:gridCol w:w="1685"/>
        <w:gridCol w:w="1405"/>
        <w:gridCol w:w="1595"/>
      </w:tblGrid>
      <w:tr w:rsidR="00C110D3">
        <w:trPr>
          <w:trHeight w:val="654"/>
        </w:trPr>
        <w:tc>
          <w:tcPr>
            <w:tcW w:w="14945" w:type="dxa"/>
            <w:gridSpan w:val="8"/>
            <w:tcBorders>
              <w:top w:val="nil"/>
              <w:left w:val="nil"/>
              <w:bottom w:val="nil"/>
              <w:right w:val="nil"/>
            </w:tcBorders>
            <w:shd w:val="clear" w:color="auto" w:fill="auto"/>
            <w:noWrap/>
            <w:tcMar>
              <w:top w:w="15" w:type="dxa"/>
              <w:left w:w="15" w:type="dxa"/>
              <w:right w:w="15" w:type="dxa"/>
            </w:tcMar>
            <w:vAlign w:val="bottom"/>
          </w:tcPr>
          <w:p w:rsidR="00C110D3" w:rsidRDefault="00B96975">
            <w:pPr>
              <w:jc w:val="center"/>
              <w:textAlignment w:val="bottom"/>
              <w:rPr>
                <w:rFonts w:asciiTheme="minorEastAsia" w:eastAsiaTheme="minorEastAsia" w:hAnsiTheme="minorEastAsia" w:cstheme="minorEastAsia" w:hint="default"/>
                <w:b/>
                <w:color w:val="000000"/>
                <w:sz w:val="32"/>
                <w:szCs w:val="32"/>
              </w:rPr>
            </w:pPr>
            <w:r>
              <w:rPr>
                <w:rFonts w:asciiTheme="minorEastAsia" w:eastAsiaTheme="minorEastAsia" w:hAnsiTheme="minorEastAsia" w:cstheme="minorEastAsia"/>
                <w:b/>
                <w:color w:val="000000"/>
                <w:sz w:val="32"/>
                <w:szCs w:val="32"/>
              </w:rPr>
              <w:lastRenderedPageBreak/>
              <w:t>支出决算表</w:t>
            </w:r>
          </w:p>
        </w:tc>
      </w:tr>
      <w:tr w:rsidR="00C110D3">
        <w:trPr>
          <w:trHeight w:val="342"/>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rsidR="00C110D3" w:rsidRDefault="00B96975">
            <w:pP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sz w:val="20"/>
                <w:szCs w:val="20"/>
              </w:rPr>
              <w:t>公开单位</w:t>
            </w:r>
            <w:r>
              <w:rPr>
                <w:rFonts w:asciiTheme="minorEastAsia" w:eastAsiaTheme="minorEastAsia" w:hAnsiTheme="minorEastAsia" w:cstheme="minorEastAsia"/>
                <w:color w:val="000000"/>
                <w:sz w:val="20"/>
                <w:szCs w:val="20"/>
              </w:rPr>
              <w:t>：</w:t>
            </w: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rPr>
              <w:t>重庆市九龙坡区留置管理中心</w:t>
            </w:r>
            <w:r>
              <w:rPr>
                <w:rFonts w:asciiTheme="minorEastAsia" w:eastAsiaTheme="minorEastAsia" w:hAnsiTheme="minorEastAsia" w:cstheme="minorEastAsia"/>
                <w:color w:val="000000"/>
                <w:sz w:val="20"/>
              </w:rPr>
              <w:t xml:space="preserve"> </w:t>
            </w:r>
          </w:p>
        </w:tc>
        <w:tc>
          <w:tcPr>
            <w:tcW w:w="1701"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405"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595" w:type="dxa"/>
            <w:tcBorders>
              <w:top w:val="nil"/>
              <w:left w:val="nil"/>
              <w:bottom w:val="nil"/>
              <w:right w:val="nil"/>
            </w:tcBorders>
            <w:shd w:val="clear" w:color="auto" w:fill="auto"/>
            <w:noWrap/>
            <w:tcMar>
              <w:top w:w="15" w:type="dxa"/>
              <w:left w:w="15" w:type="dxa"/>
              <w:right w:w="15" w:type="dxa"/>
            </w:tcMar>
            <w:vAlign w:val="bottom"/>
          </w:tcPr>
          <w:p w:rsidR="00C110D3" w:rsidRDefault="00B96975">
            <w:pPr>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公开</w:t>
            </w:r>
            <w:r>
              <w:rPr>
                <w:rFonts w:asciiTheme="minorEastAsia" w:eastAsiaTheme="minorEastAsia" w:hAnsiTheme="minorEastAsia" w:cstheme="minorEastAsia"/>
                <w:color w:val="000000"/>
                <w:sz w:val="20"/>
                <w:szCs w:val="20"/>
              </w:rPr>
              <w:t>03</w:t>
            </w:r>
            <w:r>
              <w:rPr>
                <w:rFonts w:asciiTheme="minorEastAsia" w:eastAsiaTheme="minorEastAsia" w:hAnsiTheme="minorEastAsia" w:cstheme="minorEastAsia"/>
                <w:color w:val="000000"/>
                <w:sz w:val="20"/>
                <w:szCs w:val="20"/>
              </w:rPr>
              <w:t>表</w:t>
            </w:r>
          </w:p>
        </w:tc>
      </w:tr>
      <w:tr w:rsidR="00C110D3">
        <w:trPr>
          <w:trHeight w:val="342"/>
        </w:trPr>
        <w:tc>
          <w:tcPr>
            <w:tcW w:w="6858" w:type="dxa"/>
            <w:gridSpan w:val="3"/>
            <w:vMerge/>
            <w:tcBorders>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405"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595" w:type="dxa"/>
            <w:tcBorders>
              <w:top w:val="nil"/>
              <w:left w:val="nil"/>
              <w:bottom w:val="nil"/>
              <w:right w:val="nil"/>
            </w:tcBorders>
            <w:shd w:val="clear" w:color="auto" w:fill="auto"/>
            <w:noWrap/>
            <w:tcMar>
              <w:top w:w="15" w:type="dxa"/>
              <w:left w:w="15" w:type="dxa"/>
              <w:right w:w="15" w:type="dxa"/>
            </w:tcMar>
            <w:vAlign w:val="bottom"/>
          </w:tcPr>
          <w:p w:rsidR="00C110D3" w:rsidRDefault="00B96975">
            <w:pPr>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单位：</w:t>
            </w:r>
            <w:r>
              <w:rPr>
                <w:rFonts w:asciiTheme="minorEastAsia" w:eastAsiaTheme="minorEastAsia" w:hAnsiTheme="minorEastAsia" w:cstheme="minorEastAsia"/>
                <w:sz w:val="20"/>
                <w:szCs w:val="20"/>
              </w:rPr>
              <w:t>万元</w:t>
            </w:r>
          </w:p>
        </w:tc>
      </w:tr>
      <w:tr w:rsidR="00C110D3">
        <w:trPr>
          <w:trHeight w:val="362"/>
        </w:trPr>
        <w:tc>
          <w:tcPr>
            <w:tcW w:w="5157"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110D3" w:rsidRDefault="00B96975">
            <w:pPr>
              <w:jc w:val="center"/>
              <w:textAlignment w:val="bottom"/>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项目</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本年支出合计</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项目支出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上缴上级支出</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经营支出</w:t>
            </w:r>
          </w:p>
        </w:tc>
        <w:tc>
          <w:tcPr>
            <w:tcW w:w="159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对附属单位补助支出</w:t>
            </w:r>
          </w:p>
        </w:tc>
      </w:tr>
      <w:tr w:rsidR="00C110D3">
        <w:trPr>
          <w:trHeight w:val="338"/>
        </w:trPr>
        <w:tc>
          <w:tcPr>
            <w:tcW w:w="180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功能分类科目编码</w:t>
            </w:r>
          </w:p>
        </w:tc>
        <w:tc>
          <w:tcPr>
            <w:tcW w:w="3355"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项目（按“项”级功能分类科目）</w:t>
            </w: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40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5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r>
      <w:tr w:rsidR="00C110D3">
        <w:trPr>
          <w:trHeight w:val="338"/>
        </w:trPr>
        <w:tc>
          <w:tcPr>
            <w:tcW w:w="18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3355"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40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5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r>
      <w:tr w:rsidR="00C110D3">
        <w:trPr>
          <w:trHeight w:val="338"/>
        </w:trPr>
        <w:tc>
          <w:tcPr>
            <w:tcW w:w="18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3355"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40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5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r>
      <w:tr w:rsidR="00C110D3">
        <w:trPr>
          <w:trHeight w:val="338"/>
        </w:trPr>
        <w:tc>
          <w:tcPr>
            <w:tcW w:w="18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3355"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40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59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r>
      <w:tr w:rsidR="00C110D3">
        <w:trPr>
          <w:trHeight w:val="362"/>
        </w:trPr>
        <w:tc>
          <w:tcPr>
            <w:tcW w:w="5157"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bCs/>
                <w:color w:val="000000"/>
                <w:sz w:val="20"/>
                <w:szCs w:val="20"/>
              </w:rPr>
              <w:t>96.58</w:t>
            </w:r>
            <w:r>
              <w:rPr>
                <w:rFonts w:asciiTheme="minorEastAsia" w:eastAsiaTheme="minorEastAsia" w:hAnsiTheme="minorEastAsia" w:cstheme="minorEastAsia"/>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bCs/>
                <w:color w:val="000000"/>
                <w:sz w:val="20"/>
                <w:szCs w:val="20"/>
              </w:rPr>
              <w:t>96.58</w:t>
            </w:r>
            <w:r>
              <w:rPr>
                <w:rFonts w:asciiTheme="minorEastAsia" w:eastAsiaTheme="minorEastAsia" w:hAnsiTheme="minorEastAsia" w:cstheme="minorEastAsia"/>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rPr>
              <w:t xml:space="preserve"> </w:t>
            </w:r>
          </w:p>
        </w:tc>
        <w:tc>
          <w:tcPr>
            <w:tcW w:w="14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rPr>
              <w:t xml:space="preserve"> </w:t>
            </w:r>
          </w:p>
        </w:tc>
        <w:tc>
          <w:tcPr>
            <w:tcW w:w="15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rPr>
              <w:t xml:space="preserve"> </w:t>
            </w:r>
          </w:p>
        </w:tc>
      </w:tr>
      <w:tr w:rsidR="00C110D3">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一般公共服务支出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76.19</w:t>
            </w:r>
            <w:r>
              <w:rPr>
                <w:rFonts w:asciiTheme="minorEastAsia" w:eastAsiaTheme="minorEastAsia" w:hAnsiTheme="minorEastAsia" w:cstheme="minorEastAsia"/>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76.19</w:t>
            </w:r>
            <w:r>
              <w:rPr>
                <w:rFonts w:asciiTheme="minorEastAsia" w:eastAsiaTheme="minorEastAsia" w:hAnsiTheme="minorEastAsia" w:cstheme="minorEastAsia"/>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20111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纪检监察事务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76.19</w:t>
            </w:r>
            <w:r>
              <w:rPr>
                <w:rFonts w:asciiTheme="minorEastAsia" w:eastAsiaTheme="minorEastAsia" w:hAnsiTheme="minorEastAsia" w:cstheme="minorEastAsia"/>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76.19</w:t>
            </w:r>
            <w:r>
              <w:rPr>
                <w:rFonts w:asciiTheme="minorEastAsia" w:eastAsiaTheme="minorEastAsia" w:hAnsiTheme="minorEastAsia" w:cstheme="minorEastAsia"/>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2011150</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事业运行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76.19</w:t>
            </w:r>
            <w:r>
              <w:rPr>
                <w:rFonts w:asciiTheme="minorEastAsia" w:eastAsiaTheme="minorEastAsia" w:hAnsiTheme="minorEastAsia" w:cstheme="minorEastAsia"/>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76.19</w:t>
            </w:r>
            <w:r>
              <w:rPr>
                <w:rFonts w:asciiTheme="minorEastAsia" w:eastAsiaTheme="minorEastAsia" w:hAnsiTheme="minorEastAsia" w:cstheme="minorEastAsia"/>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8.33</w:t>
            </w:r>
            <w:r>
              <w:rPr>
                <w:rFonts w:asciiTheme="minorEastAsia" w:eastAsiaTheme="minorEastAsia" w:hAnsiTheme="minorEastAsia" w:cstheme="minorEastAsia"/>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8.33</w:t>
            </w:r>
            <w:r>
              <w:rPr>
                <w:rFonts w:asciiTheme="minorEastAsia" w:eastAsiaTheme="minorEastAsia" w:hAnsiTheme="minorEastAsia" w:cstheme="minorEastAsia"/>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20805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8.33</w:t>
            </w:r>
            <w:r>
              <w:rPr>
                <w:rFonts w:asciiTheme="minorEastAsia" w:eastAsiaTheme="minorEastAsia" w:hAnsiTheme="minorEastAsia" w:cstheme="minorEastAsia"/>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8.33</w:t>
            </w:r>
            <w:r>
              <w:rPr>
                <w:rFonts w:asciiTheme="minorEastAsia" w:eastAsiaTheme="minorEastAsia" w:hAnsiTheme="minorEastAsia" w:cstheme="minorEastAsia"/>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2080505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机关事业单位基本养老保险缴费支出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5.55</w:t>
            </w:r>
            <w:r>
              <w:rPr>
                <w:rFonts w:asciiTheme="minorEastAsia" w:eastAsiaTheme="minorEastAsia" w:hAnsiTheme="minorEastAsia" w:cstheme="minorEastAsia"/>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5.55</w:t>
            </w:r>
            <w:r>
              <w:rPr>
                <w:rFonts w:asciiTheme="minorEastAsia" w:eastAsiaTheme="minorEastAsia" w:hAnsiTheme="minorEastAsia" w:cstheme="minorEastAsia"/>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2080506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机关事业单位职业年金缴费支出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2.78</w:t>
            </w:r>
            <w:r>
              <w:rPr>
                <w:rFonts w:asciiTheme="minorEastAsia" w:eastAsiaTheme="minorEastAsia" w:hAnsiTheme="minorEastAsia" w:cstheme="minorEastAsia"/>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2.78</w:t>
            </w:r>
            <w:r>
              <w:rPr>
                <w:rFonts w:asciiTheme="minorEastAsia" w:eastAsiaTheme="minorEastAsia" w:hAnsiTheme="minorEastAsia" w:cstheme="minorEastAsia"/>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210</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卫生健康支出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4.11</w:t>
            </w:r>
            <w:r>
              <w:rPr>
                <w:rFonts w:asciiTheme="minorEastAsia" w:eastAsiaTheme="minorEastAsia" w:hAnsiTheme="minorEastAsia" w:cstheme="minorEastAsia"/>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4.11</w:t>
            </w:r>
            <w:r>
              <w:rPr>
                <w:rFonts w:asciiTheme="minorEastAsia" w:eastAsiaTheme="minorEastAsia" w:hAnsiTheme="minorEastAsia" w:cstheme="minorEastAsia"/>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21011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行政事业单位医疗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4.11</w:t>
            </w:r>
            <w:r>
              <w:rPr>
                <w:rFonts w:asciiTheme="minorEastAsia" w:eastAsiaTheme="minorEastAsia" w:hAnsiTheme="minorEastAsia" w:cstheme="minorEastAsia"/>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4.11</w:t>
            </w:r>
            <w:r>
              <w:rPr>
                <w:rFonts w:asciiTheme="minorEastAsia" w:eastAsiaTheme="minorEastAsia" w:hAnsiTheme="minorEastAsia" w:cstheme="minorEastAsia"/>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2101102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3.59</w:t>
            </w:r>
            <w:r>
              <w:rPr>
                <w:rFonts w:asciiTheme="minorEastAsia" w:eastAsiaTheme="minorEastAsia" w:hAnsiTheme="minorEastAsia" w:cstheme="minorEastAsia"/>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3.59</w:t>
            </w:r>
            <w:r>
              <w:rPr>
                <w:rFonts w:asciiTheme="minorEastAsia" w:eastAsiaTheme="minorEastAsia" w:hAnsiTheme="minorEastAsia" w:cstheme="minorEastAsia"/>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2101199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其他行政事业单位医疗支出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0.52</w:t>
            </w:r>
            <w:r>
              <w:rPr>
                <w:rFonts w:asciiTheme="minorEastAsia" w:eastAsiaTheme="minorEastAsia" w:hAnsiTheme="minorEastAsia" w:cstheme="minorEastAsia"/>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0.52</w:t>
            </w:r>
            <w:r>
              <w:rPr>
                <w:rFonts w:asciiTheme="minorEastAsia" w:eastAsiaTheme="minorEastAsia" w:hAnsiTheme="minorEastAsia" w:cstheme="minorEastAsia"/>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221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住房保障支出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7.95</w:t>
            </w:r>
            <w:r>
              <w:rPr>
                <w:rFonts w:asciiTheme="minorEastAsia" w:eastAsiaTheme="minorEastAsia" w:hAnsiTheme="minorEastAsia" w:cstheme="minorEastAsia"/>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7.95</w:t>
            </w:r>
            <w:r>
              <w:rPr>
                <w:rFonts w:asciiTheme="minorEastAsia" w:eastAsiaTheme="minorEastAsia" w:hAnsiTheme="minorEastAsia" w:cstheme="minorEastAsia"/>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22102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住房改革支出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7.95</w:t>
            </w:r>
            <w:r>
              <w:rPr>
                <w:rFonts w:asciiTheme="minorEastAsia" w:eastAsiaTheme="minorEastAsia" w:hAnsiTheme="minorEastAsia" w:cstheme="minorEastAsia"/>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7.95</w:t>
            </w:r>
            <w:r>
              <w:rPr>
                <w:rFonts w:asciiTheme="minorEastAsia" w:eastAsiaTheme="minorEastAsia" w:hAnsiTheme="minorEastAsia" w:cstheme="minorEastAsia"/>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2210201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住房公积金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6.82</w:t>
            </w:r>
            <w:r>
              <w:rPr>
                <w:rFonts w:asciiTheme="minorEastAsia" w:eastAsiaTheme="minorEastAsia" w:hAnsiTheme="minorEastAsia" w:cstheme="minorEastAsia"/>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6.82</w:t>
            </w:r>
            <w:r>
              <w:rPr>
                <w:rFonts w:asciiTheme="minorEastAsia" w:eastAsiaTheme="minorEastAsia" w:hAnsiTheme="minorEastAsia" w:cstheme="minorEastAsia"/>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82"/>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2210203</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购房补贴</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1.12</w:t>
            </w:r>
            <w:r>
              <w:rPr>
                <w:rFonts w:asciiTheme="minorEastAsia" w:eastAsiaTheme="minorEastAsia" w:hAnsiTheme="minorEastAsia" w:cstheme="minorEastAsia"/>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1.12</w:t>
            </w:r>
            <w:r>
              <w:rPr>
                <w:rFonts w:asciiTheme="minorEastAsia" w:eastAsiaTheme="minorEastAsia" w:hAnsiTheme="minorEastAsia" w:cstheme="minorEastAsia"/>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rPr>
              <w:t xml:space="preserve"> </w:t>
            </w:r>
          </w:p>
        </w:tc>
      </w:tr>
    </w:tbl>
    <w:p w:rsidR="00C110D3" w:rsidRDefault="00B96975">
      <w:pPr>
        <w:rPr>
          <w:rFonts w:cs="宋体" w:hint="default"/>
          <w:sz w:val="21"/>
          <w:szCs w:val="21"/>
        </w:rPr>
      </w:pPr>
      <w:r>
        <w:rPr>
          <w:rFonts w:cs="宋体"/>
          <w:sz w:val="20"/>
          <w:szCs w:val="20"/>
        </w:rPr>
        <w:lastRenderedPageBreak/>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1"/>
          <w:szCs w:val="21"/>
        </w:rPr>
        <w:br w:type="page"/>
      </w:r>
    </w:p>
    <w:tbl>
      <w:tblPr>
        <w:tblW w:w="14945"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802"/>
        <w:gridCol w:w="2047"/>
      </w:tblGrid>
      <w:tr w:rsidR="00C110D3">
        <w:trPr>
          <w:trHeight w:val="90"/>
        </w:trPr>
        <w:tc>
          <w:tcPr>
            <w:tcW w:w="14945" w:type="dxa"/>
            <w:gridSpan w:val="7"/>
            <w:tcBorders>
              <w:top w:val="nil"/>
              <w:left w:val="nil"/>
              <w:bottom w:val="nil"/>
              <w:right w:val="nil"/>
            </w:tcBorders>
            <w:shd w:val="clear" w:color="auto" w:fill="auto"/>
            <w:noWrap/>
            <w:tcMar>
              <w:top w:w="15" w:type="dxa"/>
              <w:left w:w="15" w:type="dxa"/>
              <w:right w:w="15" w:type="dxa"/>
            </w:tcMar>
            <w:vAlign w:val="bottom"/>
          </w:tcPr>
          <w:p w:rsidR="00C110D3" w:rsidRDefault="00B96975">
            <w:pPr>
              <w:spacing w:line="400" w:lineRule="exact"/>
              <w:jc w:val="center"/>
              <w:textAlignment w:val="bottom"/>
              <w:rPr>
                <w:rFonts w:asciiTheme="minorEastAsia" w:eastAsiaTheme="minorEastAsia" w:hAnsiTheme="minorEastAsia" w:cstheme="minorEastAsia" w:hint="default"/>
                <w:b/>
                <w:color w:val="000000"/>
                <w:sz w:val="32"/>
                <w:szCs w:val="32"/>
              </w:rPr>
            </w:pPr>
            <w:r>
              <w:rPr>
                <w:rFonts w:asciiTheme="minorEastAsia" w:eastAsiaTheme="minorEastAsia" w:hAnsiTheme="minorEastAsia" w:cstheme="minorEastAsia"/>
                <w:b/>
                <w:color w:val="000000"/>
                <w:sz w:val="32"/>
                <w:szCs w:val="32"/>
              </w:rPr>
              <w:lastRenderedPageBreak/>
              <w:t>财政拨款收入支出决算总表</w:t>
            </w:r>
          </w:p>
        </w:tc>
      </w:tr>
      <w:tr w:rsidR="00C110D3">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rsidR="00C110D3" w:rsidRDefault="00B96975">
            <w:pPr>
              <w:spacing w:line="320" w:lineRule="exact"/>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sz w:val="20"/>
                <w:szCs w:val="20"/>
              </w:rPr>
              <w:t>公开单位</w:t>
            </w:r>
            <w:r>
              <w:rPr>
                <w:rFonts w:asciiTheme="minorEastAsia" w:eastAsiaTheme="minorEastAsia" w:hAnsiTheme="minorEastAsia" w:cstheme="minorEastAsia"/>
                <w:color w:val="000000"/>
                <w:sz w:val="20"/>
                <w:szCs w:val="20"/>
              </w:rPr>
              <w:t>：</w:t>
            </w: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rPr>
              <w:t>重庆市九龙坡区留置管理中心</w:t>
            </w:r>
          </w:p>
        </w:tc>
        <w:tc>
          <w:tcPr>
            <w:tcW w:w="1700"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320" w:lineRule="exact"/>
              <w:rPr>
                <w:rFonts w:asciiTheme="minorEastAsia" w:eastAsiaTheme="minorEastAsia" w:hAnsiTheme="minorEastAsia" w:cstheme="minorEastAsia"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320" w:lineRule="exact"/>
              <w:rPr>
                <w:rFonts w:asciiTheme="minorEastAsia" w:eastAsiaTheme="minorEastAsia" w:hAnsiTheme="minorEastAsia" w:cstheme="minorEastAsia" w:hint="default"/>
                <w:color w:val="000000"/>
                <w:sz w:val="18"/>
                <w:szCs w:val="18"/>
              </w:rPr>
            </w:pPr>
          </w:p>
        </w:tc>
        <w:tc>
          <w:tcPr>
            <w:tcW w:w="1802"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320" w:lineRule="exact"/>
              <w:rPr>
                <w:rFonts w:asciiTheme="minorEastAsia" w:eastAsiaTheme="minorEastAsia" w:hAnsiTheme="minorEastAsia" w:cstheme="minorEastAsia" w:hint="default"/>
                <w:color w:val="000000"/>
                <w:sz w:val="18"/>
                <w:szCs w:val="18"/>
              </w:rPr>
            </w:pPr>
          </w:p>
        </w:tc>
        <w:tc>
          <w:tcPr>
            <w:tcW w:w="2047" w:type="dxa"/>
            <w:tcBorders>
              <w:top w:val="nil"/>
              <w:left w:val="nil"/>
              <w:bottom w:val="nil"/>
              <w:right w:val="nil"/>
            </w:tcBorders>
            <w:shd w:val="clear" w:color="auto" w:fill="auto"/>
            <w:noWrap/>
            <w:tcMar>
              <w:top w:w="15" w:type="dxa"/>
              <w:left w:w="15" w:type="dxa"/>
              <w:right w:w="15" w:type="dxa"/>
            </w:tcMar>
            <w:vAlign w:val="bottom"/>
          </w:tcPr>
          <w:p w:rsidR="00C110D3" w:rsidRDefault="00B96975">
            <w:pPr>
              <w:spacing w:line="32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公开</w:t>
            </w:r>
            <w:r>
              <w:rPr>
                <w:rFonts w:asciiTheme="minorEastAsia" w:eastAsiaTheme="minorEastAsia" w:hAnsiTheme="minorEastAsia" w:cstheme="minorEastAsia"/>
                <w:color w:val="000000"/>
                <w:sz w:val="20"/>
                <w:szCs w:val="20"/>
              </w:rPr>
              <w:t>04</w:t>
            </w:r>
            <w:r>
              <w:rPr>
                <w:rFonts w:asciiTheme="minorEastAsia" w:eastAsiaTheme="minorEastAsia" w:hAnsiTheme="minorEastAsia" w:cstheme="minorEastAsia"/>
                <w:color w:val="000000"/>
                <w:sz w:val="20"/>
                <w:szCs w:val="20"/>
              </w:rPr>
              <w:t>表</w:t>
            </w:r>
          </w:p>
        </w:tc>
      </w:tr>
      <w:tr w:rsidR="00C110D3">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rsidR="00C110D3" w:rsidRDefault="00C110D3">
            <w:pPr>
              <w:spacing w:line="320" w:lineRule="exact"/>
              <w:rPr>
                <w:rFonts w:asciiTheme="minorEastAsia" w:eastAsiaTheme="minorEastAsia" w:hAnsiTheme="minorEastAsia" w:cstheme="minorEastAsia"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320" w:lineRule="exact"/>
              <w:rPr>
                <w:rFonts w:asciiTheme="minorEastAsia" w:eastAsiaTheme="minorEastAsia" w:hAnsiTheme="minorEastAsia" w:cstheme="minorEastAsia"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320" w:lineRule="exact"/>
              <w:rPr>
                <w:rFonts w:asciiTheme="minorEastAsia" w:eastAsiaTheme="minorEastAsia" w:hAnsiTheme="minorEastAsia" w:cstheme="minorEastAsia" w:hint="default"/>
                <w:color w:val="000000"/>
                <w:sz w:val="18"/>
                <w:szCs w:val="18"/>
              </w:rPr>
            </w:pPr>
          </w:p>
        </w:tc>
        <w:tc>
          <w:tcPr>
            <w:tcW w:w="1802"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320" w:lineRule="exact"/>
              <w:rPr>
                <w:rFonts w:asciiTheme="minorEastAsia" w:eastAsiaTheme="minorEastAsia" w:hAnsiTheme="minorEastAsia" w:cstheme="minorEastAsia" w:hint="default"/>
                <w:color w:val="000000"/>
                <w:sz w:val="18"/>
                <w:szCs w:val="18"/>
              </w:rPr>
            </w:pPr>
          </w:p>
        </w:tc>
        <w:tc>
          <w:tcPr>
            <w:tcW w:w="2047" w:type="dxa"/>
            <w:tcBorders>
              <w:top w:val="nil"/>
              <w:left w:val="nil"/>
              <w:bottom w:val="nil"/>
              <w:right w:val="nil"/>
            </w:tcBorders>
            <w:shd w:val="clear" w:color="auto" w:fill="auto"/>
            <w:noWrap/>
            <w:tcMar>
              <w:top w:w="15" w:type="dxa"/>
              <w:left w:w="15" w:type="dxa"/>
              <w:right w:w="15" w:type="dxa"/>
            </w:tcMar>
            <w:vAlign w:val="bottom"/>
          </w:tcPr>
          <w:p w:rsidR="00C110D3" w:rsidRDefault="00B96975">
            <w:pPr>
              <w:spacing w:line="32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单位：</w:t>
            </w:r>
            <w:r>
              <w:rPr>
                <w:rFonts w:asciiTheme="minorEastAsia" w:eastAsiaTheme="minorEastAsia" w:hAnsiTheme="minorEastAsia" w:cstheme="minorEastAsia"/>
                <w:sz w:val="20"/>
                <w:szCs w:val="20"/>
              </w:rPr>
              <w:t>万元</w:t>
            </w:r>
          </w:p>
        </w:tc>
      </w:tr>
      <w:tr w:rsidR="00C110D3">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收</w:t>
            </w:r>
            <w:r>
              <w:rPr>
                <w:rFonts w:asciiTheme="minorEastAsia" w:eastAsiaTheme="minorEastAsia" w:hAnsiTheme="minorEastAsia" w:cstheme="minorEastAsia"/>
                <w:b/>
                <w:color w:val="000000"/>
                <w:sz w:val="18"/>
                <w:szCs w:val="18"/>
              </w:rPr>
              <w:t xml:space="preserve">     </w:t>
            </w:r>
            <w:r>
              <w:rPr>
                <w:rFonts w:asciiTheme="minorEastAsia" w:eastAsiaTheme="minorEastAsia" w:hAnsiTheme="minorEastAsia" w:cstheme="minorEastAsia"/>
                <w:b/>
                <w:color w:val="000000"/>
                <w:sz w:val="18"/>
                <w:szCs w:val="18"/>
              </w:rPr>
              <w:t>入</w:t>
            </w:r>
          </w:p>
        </w:tc>
        <w:tc>
          <w:tcPr>
            <w:tcW w:w="10440"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支</w:t>
            </w:r>
            <w:r>
              <w:rPr>
                <w:rFonts w:asciiTheme="minorEastAsia" w:eastAsiaTheme="minorEastAsia" w:hAnsiTheme="minorEastAsia" w:cstheme="minorEastAsia"/>
                <w:b/>
                <w:color w:val="000000"/>
                <w:sz w:val="18"/>
                <w:szCs w:val="18"/>
              </w:rPr>
              <w:t xml:space="preserve">     </w:t>
            </w:r>
            <w:r>
              <w:rPr>
                <w:rFonts w:asciiTheme="minorEastAsia" w:eastAsiaTheme="minorEastAsia" w:hAnsiTheme="minorEastAsia" w:cstheme="minorEastAsia"/>
                <w:b/>
                <w:color w:val="000000"/>
                <w:sz w:val="18"/>
                <w:szCs w:val="18"/>
              </w:rPr>
              <w:t>出</w:t>
            </w:r>
          </w:p>
        </w:tc>
      </w:tr>
      <w:tr w:rsidR="00C110D3">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功能分类科目</w:t>
            </w:r>
          </w:p>
        </w:tc>
        <w:tc>
          <w:tcPr>
            <w:tcW w:w="7249"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决算数</w:t>
            </w:r>
          </w:p>
        </w:tc>
      </w:tr>
      <w:tr w:rsidR="00C110D3">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spacing w:line="200" w:lineRule="exact"/>
              <w:jc w:val="center"/>
              <w:rPr>
                <w:rFonts w:asciiTheme="minorEastAsia" w:eastAsiaTheme="minorEastAsia" w:hAnsiTheme="minorEastAsia" w:cstheme="minorEastAsia"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spacing w:line="200" w:lineRule="exact"/>
              <w:jc w:val="center"/>
              <w:rPr>
                <w:rFonts w:asciiTheme="minorEastAsia" w:eastAsiaTheme="minorEastAsia" w:hAnsiTheme="minorEastAsia" w:cstheme="minorEastAsia" w:hint="default"/>
                <w:b/>
                <w:color w:val="000000"/>
                <w:sz w:val="18"/>
                <w:szCs w:val="18"/>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spacing w:line="200" w:lineRule="exact"/>
              <w:jc w:val="center"/>
              <w:rPr>
                <w:rFonts w:asciiTheme="minorEastAsia" w:eastAsiaTheme="minorEastAsia" w:hAnsiTheme="minorEastAsia" w:cstheme="minorEastAsia"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一般公共预算财政</w:t>
            </w:r>
          </w:p>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拨款</w:t>
            </w:r>
          </w:p>
        </w:tc>
        <w:tc>
          <w:tcPr>
            <w:tcW w:w="180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政府性基金预算财政拨款</w:t>
            </w:r>
          </w:p>
        </w:tc>
        <w:tc>
          <w:tcPr>
            <w:tcW w:w="204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国有资本经营预算财政</w:t>
            </w:r>
          </w:p>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拨款</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96.58</w:t>
            </w:r>
            <w:r>
              <w:rPr>
                <w:rFonts w:asciiTheme="minorEastAsia" w:eastAsiaTheme="minorEastAsia" w:hAnsiTheme="minorEastAsia" w:cstheme="min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76.19</w:t>
            </w: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76.19</w:t>
            </w: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8.33</w:t>
            </w: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8.33</w:t>
            </w: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4.11</w:t>
            </w: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4.11</w:t>
            </w: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7.95</w:t>
            </w: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7.95</w:t>
            </w: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二十六、抗疫特别国债安排的支出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96.58</w:t>
            </w:r>
            <w:r>
              <w:rPr>
                <w:rFonts w:asciiTheme="minorEastAsia" w:eastAsiaTheme="minorEastAsia" w:hAnsiTheme="minorEastAsia" w:cstheme="min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96.58</w:t>
            </w: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96.58</w:t>
            </w: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jc w:val="center"/>
              <w:rPr>
                <w:rFonts w:asciiTheme="minorEastAsia" w:eastAsiaTheme="minorEastAsia" w:hAnsiTheme="minorEastAsia" w:cstheme="minorEastAsia"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jc w:val="center"/>
              <w:rPr>
                <w:rFonts w:asciiTheme="minorEastAsia" w:eastAsiaTheme="minorEastAsia" w:hAnsiTheme="minorEastAsia" w:cstheme="minorEastAsia"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r>
      <w:tr w:rsidR="00C110D3">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96.58</w:t>
            </w:r>
            <w:r>
              <w:rPr>
                <w:rFonts w:asciiTheme="minorEastAsia" w:eastAsiaTheme="minorEastAsia" w:hAnsiTheme="minorEastAsia" w:cstheme="minorEastAsia"/>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96.58</w:t>
            </w:r>
            <w:r>
              <w:rPr>
                <w:rFonts w:asciiTheme="minorEastAsia" w:eastAsiaTheme="minorEastAsia" w:hAnsiTheme="minorEastAsia" w:cstheme="minorEastAsia"/>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96.58</w:t>
            </w:r>
            <w:r>
              <w:rPr>
                <w:rFonts w:asciiTheme="minorEastAsia" w:eastAsiaTheme="minorEastAsia" w:hAnsiTheme="minorEastAsia" w:cstheme="minorEastAsia"/>
                <w:color w:val="000000"/>
                <w:sz w:val="18"/>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bl>
    <w:p w:rsidR="00C110D3" w:rsidRDefault="00B96975">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015" w:type="dxa"/>
        <w:tblLayout w:type="fixed"/>
        <w:tblCellMar>
          <w:left w:w="0" w:type="dxa"/>
          <w:right w:w="0" w:type="dxa"/>
        </w:tblCellMar>
        <w:tblLook w:val="04A0" w:firstRow="1" w:lastRow="0" w:firstColumn="1" w:lastColumn="0" w:noHBand="0" w:noVBand="1"/>
      </w:tblPr>
      <w:tblGrid>
        <w:gridCol w:w="1857"/>
        <w:gridCol w:w="3549"/>
        <w:gridCol w:w="3319"/>
        <w:gridCol w:w="3319"/>
        <w:gridCol w:w="2971"/>
      </w:tblGrid>
      <w:tr w:rsidR="00C110D3">
        <w:trPr>
          <w:trHeight w:val="510"/>
        </w:trPr>
        <w:tc>
          <w:tcPr>
            <w:tcW w:w="15015" w:type="dxa"/>
            <w:gridSpan w:val="5"/>
            <w:tcBorders>
              <w:top w:val="nil"/>
              <w:left w:val="nil"/>
              <w:bottom w:val="nil"/>
              <w:right w:val="nil"/>
            </w:tcBorders>
            <w:shd w:val="clear" w:color="auto" w:fill="auto"/>
            <w:noWrap/>
            <w:tcMar>
              <w:top w:w="15" w:type="dxa"/>
              <w:left w:w="15" w:type="dxa"/>
              <w:right w:w="15" w:type="dxa"/>
            </w:tcMar>
            <w:vAlign w:val="bottom"/>
          </w:tcPr>
          <w:p w:rsidR="00C110D3" w:rsidRDefault="00B96975">
            <w:pPr>
              <w:jc w:val="center"/>
              <w:textAlignment w:val="bottom"/>
              <w:rPr>
                <w:rFonts w:asciiTheme="minorEastAsia" w:eastAsiaTheme="minorEastAsia" w:hAnsiTheme="minorEastAsia" w:cstheme="minorEastAsia" w:hint="default"/>
                <w:b/>
                <w:color w:val="000000"/>
                <w:sz w:val="32"/>
                <w:szCs w:val="32"/>
              </w:rPr>
            </w:pPr>
            <w:r>
              <w:rPr>
                <w:rFonts w:asciiTheme="minorEastAsia" w:eastAsiaTheme="minorEastAsia" w:hAnsiTheme="minorEastAsia" w:cstheme="minorEastAsia"/>
                <w:b/>
                <w:color w:val="000000"/>
                <w:sz w:val="32"/>
                <w:szCs w:val="32"/>
              </w:rPr>
              <w:lastRenderedPageBreak/>
              <w:t>一般公共预算财政拨款支出决算表</w:t>
            </w:r>
          </w:p>
        </w:tc>
      </w:tr>
      <w:tr w:rsidR="00C110D3">
        <w:trPr>
          <w:trHeight w:val="255"/>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rsidR="00C110D3" w:rsidRDefault="00B96975">
            <w:pP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sz w:val="20"/>
                <w:szCs w:val="20"/>
              </w:rPr>
              <w:t>公开单位</w:t>
            </w:r>
            <w:r>
              <w:rPr>
                <w:rFonts w:asciiTheme="minorEastAsia" w:eastAsiaTheme="minorEastAsia" w:hAnsiTheme="minorEastAsia" w:cstheme="minorEastAsia"/>
                <w:color w:val="000000"/>
                <w:sz w:val="20"/>
                <w:szCs w:val="20"/>
              </w:rPr>
              <w:t>：</w:t>
            </w: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rPr>
              <w:t>重庆市九龙坡区留置管理中心</w:t>
            </w:r>
          </w:p>
        </w:tc>
        <w:tc>
          <w:tcPr>
            <w:tcW w:w="3319"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2971" w:type="dxa"/>
            <w:tcBorders>
              <w:top w:val="nil"/>
              <w:left w:val="nil"/>
              <w:bottom w:val="nil"/>
              <w:right w:val="nil"/>
            </w:tcBorders>
            <w:shd w:val="clear" w:color="auto" w:fill="auto"/>
            <w:noWrap/>
            <w:tcMar>
              <w:top w:w="15" w:type="dxa"/>
              <w:left w:w="15" w:type="dxa"/>
              <w:right w:w="15" w:type="dxa"/>
            </w:tcMar>
            <w:vAlign w:val="bottom"/>
          </w:tcPr>
          <w:p w:rsidR="00C110D3" w:rsidRDefault="00B96975">
            <w:pPr>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公开</w:t>
            </w:r>
            <w:r>
              <w:rPr>
                <w:rFonts w:asciiTheme="minorEastAsia" w:eastAsiaTheme="minorEastAsia" w:hAnsiTheme="minorEastAsia" w:cstheme="minorEastAsia"/>
                <w:color w:val="000000"/>
                <w:sz w:val="20"/>
                <w:szCs w:val="20"/>
              </w:rPr>
              <w:t>05</w:t>
            </w:r>
            <w:r>
              <w:rPr>
                <w:rFonts w:asciiTheme="minorEastAsia" w:eastAsiaTheme="minorEastAsia" w:hAnsiTheme="minorEastAsia" w:cstheme="minorEastAsia"/>
                <w:color w:val="000000"/>
                <w:sz w:val="20"/>
                <w:szCs w:val="20"/>
              </w:rPr>
              <w:t>表</w:t>
            </w:r>
          </w:p>
        </w:tc>
      </w:tr>
      <w:tr w:rsidR="00C110D3">
        <w:trPr>
          <w:trHeight w:val="285"/>
        </w:trPr>
        <w:tc>
          <w:tcPr>
            <w:tcW w:w="8725" w:type="dxa"/>
            <w:gridSpan w:val="3"/>
            <w:vMerge/>
            <w:tcBorders>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2971" w:type="dxa"/>
            <w:tcBorders>
              <w:top w:val="nil"/>
              <w:left w:val="nil"/>
              <w:bottom w:val="nil"/>
              <w:right w:val="nil"/>
            </w:tcBorders>
            <w:shd w:val="clear" w:color="auto" w:fill="auto"/>
            <w:noWrap/>
            <w:tcMar>
              <w:top w:w="15" w:type="dxa"/>
              <w:left w:w="15" w:type="dxa"/>
              <w:right w:w="15" w:type="dxa"/>
            </w:tcMar>
            <w:vAlign w:val="bottom"/>
          </w:tcPr>
          <w:p w:rsidR="00C110D3" w:rsidRDefault="00B96975">
            <w:pPr>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单位：</w:t>
            </w:r>
            <w:r>
              <w:rPr>
                <w:rFonts w:asciiTheme="minorEastAsia" w:eastAsiaTheme="minorEastAsia" w:hAnsiTheme="minorEastAsia" w:cstheme="minorEastAsia"/>
                <w:sz w:val="20"/>
                <w:szCs w:val="20"/>
              </w:rPr>
              <w:t>万元</w:t>
            </w:r>
          </w:p>
        </w:tc>
      </w:tr>
      <w:tr w:rsidR="00C110D3">
        <w:trPr>
          <w:trHeight w:val="30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项目</w:t>
            </w:r>
          </w:p>
        </w:tc>
        <w:tc>
          <w:tcPr>
            <w:tcW w:w="9609"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本年支出</w:t>
            </w:r>
          </w:p>
        </w:tc>
      </w:tr>
      <w:tr w:rsidR="00C110D3">
        <w:trPr>
          <w:trHeight w:val="326"/>
        </w:trPr>
        <w:tc>
          <w:tcPr>
            <w:tcW w:w="185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功能分类科目编码</w:t>
            </w:r>
          </w:p>
        </w:tc>
        <w:tc>
          <w:tcPr>
            <w:tcW w:w="35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项目（按“项”级功能分类科目）</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合计</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基本支出</w:t>
            </w:r>
          </w:p>
        </w:tc>
        <w:tc>
          <w:tcPr>
            <w:tcW w:w="297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项目支出</w:t>
            </w:r>
          </w:p>
        </w:tc>
      </w:tr>
      <w:tr w:rsidR="00C110D3">
        <w:trPr>
          <w:trHeight w:val="326"/>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297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r>
      <w:tr w:rsidR="00C110D3">
        <w:trPr>
          <w:trHeight w:val="615"/>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297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r>
      <w:tr w:rsidR="00C110D3">
        <w:trPr>
          <w:trHeight w:val="30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合计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bCs/>
                <w:color w:val="000000"/>
                <w:sz w:val="20"/>
                <w:szCs w:val="20"/>
              </w:rPr>
              <w:t>96.58</w:t>
            </w:r>
            <w:r>
              <w:rPr>
                <w:rFonts w:asciiTheme="minorEastAsia" w:eastAsiaTheme="minorEastAsia" w:hAnsiTheme="minorEastAsia" w:cstheme="min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bCs/>
                <w:color w:val="000000"/>
                <w:sz w:val="20"/>
                <w:szCs w:val="20"/>
              </w:rPr>
              <w:t>96.58</w:t>
            </w:r>
            <w:r>
              <w:rPr>
                <w:rFonts w:asciiTheme="minorEastAsia" w:eastAsiaTheme="minorEastAsia" w:hAnsiTheme="minorEastAsia" w:cstheme="minorEastAsia"/>
                <w:b/>
                <w:color w:val="000000"/>
                <w:sz w:val="20"/>
              </w:rPr>
              <w:t xml:space="preserve"> </w:t>
            </w:r>
          </w:p>
        </w:tc>
        <w:tc>
          <w:tcPr>
            <w:tcW w:w="2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rPr>
              <w:t xml:space="preserve"> </w:t>
            </w:r>
          </w:p>
        </w:tc>
      </w:tr>
      <w:tr w:rsidR="00C110D3">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一般公共服务支出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76.19</w:t>
            </w:r>
            <w:r>
              <w:rPr>
                <w:rFonts w:asciiTheme="minorEastAsia" w:eastAsiaTheme="minorEastAsia" w:hAnsiTheme="minorEastAsia" w:cstheme="min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76.19</w:t>
            </w:r>
            <w:r>
              <w:rPr>
                <w:rFonts w:asciiTheme="minorEastAsia" w:eastAsiaTheme="minorEastAsia" w:hAnsiTheme="minorEastAsia" w:cstheme="minorEastAsia"/>
                <w:b/>
                <w:color w:val="000000"/>
                <w:sz w:val="20"/>
              </w:rPr>
              <w:t xml:space="preserve"> </w:t>
            </w:r>
          </w:p>
        </w:tc>
        <w:tc>
          <w:tcPr>
            <w:tcW w:w="2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20111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纪检监察事务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76.19</w:t>
            </w:r>
            <w:r>
              <w:rPr>
                <w:rFonts w:asciiTheme="minorEastAsia" w:eastAsiaTheme="minorEastAsia" w:hAnsiTheme="minorEastAsia" w:cstheme="min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76.19</w:t>
            </w:r>
            <w:r>
              <w:rPr>
                <w:rFonts w:asciiTheme="minorEastAsia" w:eastAsiaTheme="minorEastAsia" w:hAnsiTheme="minorEastAsia" w:cstheme="minorEastAsia"/>
                <w:b/>
                <w:color w:val="000000"/>
                <w:sz w:val="20"/>
              </w:rPr>
              <w:t xml:space="preserve"> </w:t>
            </w:r>
          </w:p>
        </w:tc>
        <w:tc>
          <w:tcPr>
            <w:tcW w:w="2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2011150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事业运行</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szCs w:val="20"/>
              </w:rPr>
              <w:t>76.19</w:t>
            </w:r>
            <w:r>
              <w:rPr>
                <w:rFonts w:asciiTheme="minorEastAsia" w:eastAsiaTheme="minorEastAsia" w:hAnsiTheme="minorEastAsia" w:cstheme="minorEastAsia"/>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szCs w:val="20"/>
              </w:rPr>
              <w:t>76.19</w:t>
            </w:r>
            <w:r>
              <w:rPr>
                <w:rFonts w:asciiTheme="minorEastAsia" w:eastAsiaTheme="minorEastAsia" w:hAnsiTheme="minorEastAsia" w:cstheme="minorEastAsia"/>
                <w:color w:val="000000"/>
                <w:sz w:val="20"/>
              </w:rPr>
              <w:t xml:space="preserve"> </w:t>
            </w:r>
          </w:p>
        </w:tc>
        <w:tc>
          <w:tcPr>
            <w:tcW w:w="2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8.33</w:t>
            </w:r>
            <w:r>
              <w:rPr>
                <w:rFonts w:asciiTheme="minorEastAsia" w:eastAsiaTheme="minorEastAsia" w:hAnsiTheme="minorEastAsia" w:cstheme="min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8.33</w:t>
            </w:r>
            <w:r>
              <w:rPr>
                <w:rFonts w:asciiTheme="minorEastAsia" w:eastAsiaTheme="minorEastAsia" w:hAnsiTheme="minorEastAsia" w:cstheme="minorEastAsia"/>
                <w:b/>
                <w:color w:val="000000"/>
                <w:sz w:val="20"/>
              </w:rPr>
              <w:t xml:space="preserve"> </w:t>
            </w:r>
          </w:p>
        </w:tc>
        <w:tc>
          <w:tcPr>
            <w:tcW w:w="2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20805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8.33</w:t>
            </w:r>
            <w:r>
              <w:rPr>
                <w:rFonts w:asciiTheme="minorEastAsia" w:eastAsiaTheme="minorEastAsia" w:hAnsiTheme="minorEastAsia" w:cstheme="min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8.33</w:t>
            </w:r>
            <w:r>
              <w:rPr>
                <w:rFonts w:asciiTheme="minorEastAsia" w:eastAsiaTheme="minorEastAsia" w:hAnsiTheme="minorEastAsia" w:cstheme="minorEastAsia"/>
                <w:b/>
                <w:color w:val="000000"/>
                <w:sz w:val="20"/>
              </w:rPr>
              <w:t xml:space="preserve"> </w:t>
            </w:r>
          </w:p>
        </w:tc>
        <w:tc>
          <w:tcPr>
            <w:tcW w:w="2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2080505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szCs w:val="20"/>
              </w:rPr>
              <w:t>5.55</w:t>
            </w:r>
            <w:r>
              <w:rPr>
                <w:rFonts w:asciiTheme="minorEastAsia" w:eastAsiaTheme="minorEastAsia" w:hAnsiTheme="minorEastAsia" w:cstheme="minorEastAsia"/>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szCs w:val="20"/>
              </w:rPr>
              <w:t>5.55</w:t>
            </w:r>
            <w:r>
              <w:rPr>
                <w:rFonts w:asciiTheme="minorEastAsia" w:eastAsiaTheme="minorEastAsia" w:hAnsiTheme="minorEastAsia" w:cstheme="minorEastAsia"/>
                <w:color w:val="000000"/>
                <w:sz w:val="20"/>
              </w:rPr>
              <w:t xml:space="preserve"> </w:t>
            </w:r>
          </w:p>
        </w:tc>
        <w:tc>
          <w:tcPr>
            <w:tcW w:w="2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2080506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szCs w:val="20"/>
              </w:rPr>
              <w:t>2.78</w:t>
            </w:r>
            <w:r>
              <w:rPr>
                <w:rFonts w:asciiTheme="minorEastAsia" w:eastAsiaTheme="minorEastAsia" w:hAnsiTheme="minorEastAsia" w:cstheme="minorEastAsia"/>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szCs w:val="20"/>
              </w:rPr>
              <w:t>2.78</w:t>
            </w:r>
            <w:r>
              <w:rPr>
                <w:rFonts w:asciiTheme="minorEastAsia" w:eastAsiaTheme="minorEastAsia" w:hAnsiTheme="minorEastAsia" w:cstheme="minorEastAsia"/>
                <w:color w:val="000000"/>
                <w:sz w:val="20"/>
              </w:rPr>
              <w:t xml:space="preserve"> </w:t>
            </w:r>
          </w:p>
        </w:tc>
        <w:tc>
          <w:tcPr>
            <w:tcW w:w="2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4.11</w:t>
            </w:r>
            <w:r>
              <w:rPr>
                <w:rFonts w:asciiTheme="minorEastAsia" w:eastAsiaTheme="minorEastAsia" w:hAnsiTheme="minorEastAsia" w:cstheme="min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4.11</w:t>
            </w:r>
            <w:r>
              <w:rPr>
                <w:rFonts w:asciiTheme="minorEastAsia" w:eastAsiaTheme="minorEastAsia" w:hAnsiTheme="minorEastAsia" w:cstheme="minorEastAsia"/>
                <w:b/>
                <w:color w:val="000000"/>
                <w:sz w:val="20"/>
              </w:rPr>
              <w:t xml:space="preserve"> </w:t>
            </w:r>
          </w:p>
        </w:tc>
        <w:tc>
          <w:tcPr>
            <w:tcW w:w="2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21011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4.11</w:t>
            </w:r>
            <w:r>
              <w:rPr>
                <w:rFonts w:asciiTheme="minorEastAsia" w:eastAsiaTheme="minorEastAsia" w:hAnsiTheme="minorEastAsia" w:cstheme="min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4.11</w:t>
            </w:r>
            <w:r>
              <w:rPr>
                <w:rFonts w:asciiTheme="minorEastAsia" w:eastAsiaTheme="minorEastAsia" w:hAnsiTheme="minorEastAsia" w:cstheme="minorEastAsia"/>
                <w:b/>
                <w:color w:val="000000"/>
                <w:sz w:val="20"/>
              </w:rPr>
              <w:t xml:space="preserve"> </w:t>
            </w:r>
          </w:p>
        </w:tc>
        <w:tc>
          <w:tcPr>
            <w:tcW w:w="2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2101102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szCs w:val="20"/>
              </w:rPr>
              <w:t>3.59</w:t>
            </w:r>
            <w:r>
              <w:rPr>
                <w:rFonts w:asciiTheme="minorEastAsia" w:eastAsiaTheme="minorEastAsia" w:hAnsiTheme="minorEastAsia" w:cstheme="minorEastAsia"/>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szCs w:val="20"/>
              </w:rPr>
              <w:t>3.59</w:t>
            </w:r>
            <w:r>
              <w:rPr>
                <w:rFonts w:asciiTheme="minorEastAsia" w:eastAsiaTheme="minorEastAsia" w:hAnsiTheme="minorEastAsia" w:cstheme="minorEastAsia"/>
                <w:color w:val="000000"/>
                <w:sz w:val="20"/>
              </w:rPr>
              <w:t xml:space="preserve"> </w:t>
            </w:r>
          </w:p>
        </w:tc>
        <w:tc>
          <w:tcPr>
            <w:tcW w:w="2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2101199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其他行政事业单位医疗支出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szCs w:val="20"/>
              </w:rPr>
              <w:t>0.52</w:t>
            </w:r>
            <w:r>
              <w:rPr>
                <w:rFonts w:asciiTheme="minorEastAsia" w:eastAsiaTheme="minorEastAsia" w:hAnsiTheme="minorEastAsia" w:cstheme="minorEastAsia"/>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szCs w:val="20"/>
              </w:rPr>
              <w:t>0.52</w:t>
            </w:r>
            <w:r>
              <w:rPr>
                <w:rFonts w:asciiTheme="minorEastAsia" w:eastAsiaTheme="minorEastAsia" w:hAnsiTheme="minorEastAsia" w:cstheme="minorEastAsia"/>
                <w:color w:val="000000"/>
                <w:sz w:val="20"/>
              </w:rPr>
              <w:t xml:space="preserve"> </w:t>
            </w:r>
          </w:p>
        </w:tc>
        <w:tc>
          <w:tcPr>
            <w:tcW w:w="2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221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7.95</w:t>
            </w:r>
            <w:r>
              <w:rPr>
                <w:rFonts w:asciiTheme="minorEastAsia" w:eastAsiaTheme="minorEastAsia" w:hAnsiTheme="minorEastAsia" w:cstheme="min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7.95</w:t>
            </w:r>
            <w:r>
              <w:rPr>
                <w:rFonts w:asciiTheme="minorEastAsia" w:eastAsiaTheme="minorEastAsia" w:hAnsiTheme="minorEastAsia" w:cstheme="minorEastAsia"/>
                <w:b/>
                <w:color w:val="000000"/>
                <w:sz w:val="20"/>
              </w:rPr>
              <w:t xml:space="preserve"> </w:t>
            </w:r>
          </w:p>
        </w:tc>
        <w:tc>
          <w:tcPr>
            <w:tcW w:w="2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22102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7.95</w:t>
            </w:r>
            <w:r>
              <w:rPr>
                <w:rFonts w:asciiTheme="minorEastAsia" w:eastAsiaTheme="minorEastAsia" w:hAnsiTheme="minorEastAsia" w:cstheme="minorEastAsia"/>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7.95</w:t>
            </w:r>
            <w:r>
              <w:rPr>
                <w:rFonts w:asciiTheme="minorEastAsia" w:eastAsiaTheme="minorEastAsia" w:hAnsiTheme="minorEastAsia" w:cstheme="minorEastAsia"/>
                <w:b/>
                <w:color w:val="000000"/>
                <w:sz w:val="20"/>
              </w:rPr>
              <w:t xml:space="preserve"> </w:t>
            </w:r>
          </w:p>
        </w:tc>
        <w:tc>
          <w:tcPr>
            <w:tcW w:w="2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2210201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szCs w:val="20"/>
              </w:rPr>
              <w:t>6.82</w:t>
            </w:r>
            <w:r>
              <w:rPr>
                <w:rFonts w:asciiTheme="minorEastAsia" w:eastAsiaTheme="minorEastAsia" w:hAnsiTheme="minorEastAsia" w:cstheme="minorEastAsia"/>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szCs w:val="20"/>
              </w:rPr>
              <w:t>6.82</w:t>
            </w:r>
            <w:r>
              <w:rPr>
                <w:rFonts w:asciiTheme="minorEastAsia" w:eastAsiaTheme="minorEastAsia" w:hAnsiTheme="minorEastAsia" w:cstheme="minorEastAsia"/>
                <w:color w:val="000000"/>
                <w:sz w:val="20"/>
              </w:rPr>
              <w:t xml:space="preserve"> </w:t>
            </w:r>
          </w:p>
        </w:tc>
        <w:tc>
          <w:tcPr>
            <w:tcW w:w="2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rPr>
              <w:t xml:space="preserve"> </w:t>
            </w:r>
          </w:p>
        </w:tc>
      </w:tr>
      <w:tr w:rsidR="00C110D3">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2210203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购房补贴</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szCs w:val="20"/>
              </w:rPr>
              <w:t>1.12</w:t>
            </w:r>
            <w:r>
              <w:rPr>
                <w:rFonts w:asciiTheme="minorEastAsia" w:eastAsiaTheme="minorEastAsia" w:hAnsiTheme="minorEastAsia" w:cstheme="minorEastAsia"/>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szCs w:val="20"/>
              </w:rPr>
              <w:t>1.12</w:t>
            </w:r>
            <w:r>
              <w:rPr>
                <w:rFonts w:asciiTheme="minorEastAsia" w:eastAsiaTheme="minorEastAsia" w:hAnsiTheme="minorEastAsia" w:cstheme="minorEastAsia"/>
                <w:color w:val="000000"/>
                <w:sz w:val="20"/>
              </w:rPr>
              <w:t xml:space="preserve"> </w:t>
            </w:r>
          </w:p>
        </w:tc>
        <w:tc>
          <w:tcPr>
            <w:tcW w:w="2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color w:val="000000"/>
                <w:sz w:val="20"/>
              </w:rPr>
              <w:t xml:space="preserve"> </w:t>
            </w:r>
          </w:p>
        </w:tc>
      </w:tr>
    </w:tbl>
    <w:p w:rsidR="00C110D3" w:rsidRDefault="00B96975">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C110D3" w:rsidRDefault="00B96975">
      <w:pPr>
        <w:ind w:firstLineChars="300" w:firstLine="630"/>
        <w:rPr>
          <w:rFonts w:cs="宋体" w:hint="default"/>
          <w:sz w:val="21"/>
          <w:szCs w:val="21"/>
        </w:rPr>
      </w:pPr>
      <w:r>
        <w:rPr>
          <w:rFonts w:cs="宋体"/>
          <w:sz w:val="21"/>
          <w:szCs w:val="21"/>
        </w:rPr>
        <w:br w:type="page"/>
      </w:r>
    </w:p>
    <w:tbl>
      <w:tblPr>
        <w:tblW w:w="1503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559"/>
      </w:tblGrid>
      <w:tr w:rsidR="00C110D3">
        <w:trPr>
          <w:trHeight w:val="90"/>
        </w:trPr>
        <w:tc>
          <w:tcPr>
            <w:tcW w:w="15030" w:type="dxa"/>
            <w:gridSpan w:val="9"/>
            <w:tcBorders>
              <w:top w:val="nil"/>
              <w:left w:val="nil"/>
              <w:bottom w:val="nil"/>
              <w:right w:val="nil"/>
            </w:tcBorders>
            <w:shd w:val="clear" w:color="auto" w:fill="auto"/>
            <w:noWrap/>
            <w:tcMar>
              <w:top w:w="15" w:type="dxa"/>
              <w:left w:w="15" w:type="dxa"/>
              <w:right w:w="15" w:type="dxa"/>
            </w:tcMar>
            <w:vAlign w:val="bottom"/>
          </w:tcPr>
          <w:p w:rsidR="00C110D3" w:rsidRDefault="00B96975">
            <w:pPr>
              <w:spacing w:line="440" w:lineRule="exact"/>
              <w:jc w:val="center"/>
              <w:textAlignment w:val="bottom"/>
              <w:rPr>
                <w:rFonts w:asciiTheme="minorEastAsia" w:eastAsiaTheme="minorEastAsia" w:hAnsiTheme="minorEastAsia" w:cstheme="minorEastAsia" w:hint="default"/>
                <w:b/>
                <w:color w:val="000000"/>
                <w:sz w:val="32"/>
                <w:szCs w:val="32"/>
              </w:rPr>
            </w:pPr>
            <w:r>
              <w:rPr>
                <w:rFonts w:asciiTheme="minorEastAsia" w:eastAsiaTheme="minorEastAsia" w:hAnsiTheme="minorEastAsia" w:cstheme="minorEastAsia"/>
                <w:b/>
                <w:color w:val="000000"/>
                <w:sz w:val="32"/>
                <w:szCs w:val="32"/>
              </w:rPr>
              <w:lastRenderedPageBreak/>
              <w:t>一般公共预算财政拨款基本支出决算表</w:t>
            </w:r>
          </w:p>
        </w:tc>
      </w:tr>
      <w:tr w:rsidR="00C110D3">
        <w:trPr>
          <w:trHeight w:val="90"/>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rsidR="00C110D3" w:rsidRDefault="00B96975">
            <w:pPr>
              <w:spacing w:line="320" w:lineRule="exact"/>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sz w:val="20"/>
                <w:szCs w:val="20"/>
              </w:rPr>
              <w:t>公开单位</w:t>
            </w:r>
            <w:r>
              <w:rPr>
                <w:rFonts w:asciiTheme="minorEastAsia" w:eastAsiaTheme="minorEastAsia" w:hAnsiTheme="minorEastAsia" w:cstheme="minorEastAsia"/>
                <w:color w:val="000000"/>
                <w:sz w:val="20"/>
                <w:szCs w:val="20"/>
              </w:rPr>
              <w:t>：</w:t>
            </w: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rPr>
              <w:t>重庆市九龙坡区留置管理中心</w:t>
            </w:r>
          </w:p>
        </w:tc>
        <w:tc>
          <w:tcPr>
            <w:tcW w:w="1923"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320" w:lineRule="exact"/>
              <w:rPr>
                <w:rFonts w:asciiTheme="minorEastAsia" w:eastAsiaTheme="minorEastAsia" w:hAnsiTheme="minorEastAsia" w:cstheme="minorEastAsia"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320" w:lineRule="exact"/>
              <w:rPr>
                <w:rFonts w:asciiTheme="minorEastAsia" w:eastAsiaTheme="minorEastAsia" w:hAnsiTheme="minorEastAsia" w:cstheme="minorEastAsia"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320" w:lineRule="exact"/>
              <w:rPr>
                <w:rFonts w:asciiTheme="minorEastAsia" w:eastAsiaTheme="minorEastAsia" w:hAnsiTheme="minorEastAsia" w:cstheme="minorEastAsia"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320" w:lineRule="exact"/>
              <w:rPr>
                <w:rFonts w:asciiTheme="minorEastAsia" w:eastAsiaTheme="minorEastAsia" w:hAnsiTheme="minorEastAsia" w:cstheme="minorEastAsia" w:hint="default"/>
                <w:color w:val="000000"/>
                <w:sz w:val="18"/>
                <w:szCs w:val="18"/>
              </w:rPr>
            </w:pPr>
          </w:p>
        </w:tc>
        <w:tc>
          <w:tcPr>
            <w:tcW w:w="1559" w:type="dxa"/>
            <w:tcBorders>
              <w:top w:val="nil"/>
              <w:left w:val="nil"/>
              <w:bottom w:val="nil"/>
              <w:right w:val="nil"/>
            </w:tcBorders>
            <w:shd w:val="clear" w:color="auto" w:fill="auto"/>
            <w:noWrap/>
            <w:tcMar>
              <w:top w:w="15" w:type="dxa"/>
              <w:left w:w="15" w:type="dxa"/>
              <w:right w:w="15" w:type="dxa"/>
            </w:tcMar>
            <w:vAlign w:val="bottom"/>
          </w:tcPr>
          <w:p w:rsidR="00C110D3" w:rsidRDefault="00B96975">
            <w:pPr>
              <w:spacing w:line="32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公开</w:t>
            </w:r>
            <w:r>
              <w:rPr>
                <w:rFonts w:asciiTheme="minorEastAsia" w:eastAsiaTheme="minorEastAsia" w:hAnsiTheme="minorEastAsia" w:cstheme="minorEastAsia"/>
                <w:color w:val="000000"/>
                <w:sz w:val="20"/>
                <w:szCs w:val="20"/>
              </w:rPr>
              <w:t>06</w:t>
            </w:r>
            <w:r>
              <w:rPr>
                <w:rFonts w:asciiTheme="minorEastAsia" w:eastAsiaTheme="minorEastAsia" w:hAnsiTheme="minorEastAsia" w:cstheme="minorEastAsia"/>
                <w:color w:val="000000"/>
                <w:sz w:val="20"/>
                <w:szCs w:val="20"/>
              </w:rPr>
              <w:t>表</w:t>
            </w:r>
          </w:p>
        </w:tc>
      </w:tr>
      <w:tr w:rsidR="00C110D3">
        <w:trPr>
          <w:trHeight w:val="90"/>
        </w:trPr>
        <w:tc>
          <w:tcPr>
            <w:tcW w:w="5557" w:type="dxa"/>
            <w:gridSpan w:val="4"/>
            <w:vMerge/>
            <w:tcBorders>
              <w:left w:val="nil"/>
              <w:bottom w:val="nil"/>
              <w:right w:val="nil"/>
            </w:tcBorders>
            <w:shd w:val="clear" w:color="auto" w:fill="auto"/>
            <w:noWrap/>
            <w:tcMar>
              <w:top w:w="15" w:type="dxa"/>
              <w:left w:w="15" w:type="dxa"/>
              <w:right w:w="15" w:type="dxa"/>
            </w:tcMar>
            <w:vAlign w:val="bottom"/>
          </w:tcPr>
          <w:p w:rsidR="00C110D3" w:rsidRDefault="00C110D3">
            <w:pPr>
              <w:spacing w:line="320" w:lineRule="exact"/>
              <w:rPr>
                <w:rFonts w:asciiTheme="minorEastAsia" w:eastAsiaTheme="minorEastAsia" w:hAnsiTheme="minorEastAsia" w:cstheme="minorEastAsia" w:hint="default"/>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320" w:lineRule="exact"/>
              <w:rPr>
                <w:rFonts w:asciiTheme="minorEastAsia" w:eastAsiaTheme="minorEastAsia" w:hAnsiTheme="minorEastAsia" w:cstheme="minorEastAsia"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320" w:lineRule="exact"/>
              <w:rPr>
                <w:rFonts w:asciiTheme="minorEastAsia" w:eastAsiaTheme="minorEastAsia" w:hAnsiTheme="minorEastAsia" w:cstheme="minorEastAsia"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320" w:lineRule="exact"/>
              <w:rPr>
                <w:rFonts w:asciiTheme="minorEastAsia" w:eastAsiaTheme="minorEastAsia" w:hAnsiTheme="minorEastAsia" w:cstheme="minorEastAsia"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320" w:lineRule="exact"/>
              <w:rPr>
                <w:rFonts w:asciiTheme="minorEastAsia" w:eastAsiaTheme="minorEastAsia" w:hAnsiTheme="minorEastAsia" w:cstheme="minorEastAsia" w:hint="default"/>
                <w:color w:val="000000"/>
                <w:sz w:val="18"/>
                <w:szCs w:val="18"/>
              </w:rPr>
            </w:pPr>
          </w:p>
        </w:tc>
        <w:tc>
          <w:tcPr>
            <w:tcW w:w="1559" w:type="dxa"/>
            <w:tcBorders>
              <w:top w:val="nil"/>
              <w:left w:val="nil"/>
              <w:bottom w:val="nil"/>
              <w:right w:val="nil"/>
            </w:tcBorders>
            <w:shd w:val="clear" w:color="auto" w:fill="auto"/>
            <w:noWrap/>
            <w:tcMar>
              <w:top w:w="15" w:type="dxa"/>
              <w:left w:w="15" w:type="dxa"/>
              <w:right w:w="15" w:type="dxa"/>
            </w:tcMar>
            <w:vAlign w:val="bottom"/>
          </w:tcPr>
          <w:p w:rsidR="00C110D3" w:rsidRDefault="00B96975">
            <w:pPr>
              <w:spacing w:line="32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单位：</w:t>
            </w:r>
            <w:r>
              <w:rPr>
                <w:rFonts w:asciiTheme="minorEastAsia" w:eastAsiaTheme="minorEastAsia" w:hAnsiTheme="minorEastAsia" w:cstheme="minorEastAsia"/>
                <w:sz w:val="20"/>
                <w:szCs w:val="20"/>
              </w:rPr>
              <w:t>万元</w:t>
            </w:r>
          </w:p>
        </w:tc>
      </w:tr>
      <w:tr w:rsidR="00C110D3">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人员经费</w:t>
            </w:r>
          </w:p>
        </w:tc>
        <w:tc>
          <w:tcPr>
            <w:tcW w:w="10309"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公用经费</w:t>
            </w:r>
          </w:p>
        </w:tc>
      </w:tr>
      <w:tr w:rsidR="00C110D3">
        <w:trPr>
          <w:trHeight w:val="312"/>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经济分类科目（按“款”级功能分类科目）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经济分类科目（按“款”级功能分类科目）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经济分类科目（按“款”级功能分类科目）</w:t>
            </w:r>
          </w:p>
        </w:tc>
        <w:tc>
          <w:tcPr>
            <w:tcW w:w="155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金额</w:t>
            </w:r>
          </w:p>
        </w:tc>
      </w:tr>
      <w:tr w:rsidR="00C110D3">
        <w:trPr>
          <w:trHeight w:val="312"/>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spacing w:line="200" w:lineRule="exact"/>
              <w:jc w:val="center"/>
              <w:rPr>
                <w:rFonts w:asciiTheme="minorEastAsia" w:eastAsiaTheme="minorEastAsia" w:hAnsiTheme="minorEastAsia" w:cstheme="minorEastAsia" w:hint="default"/>
                <w:b/>
                <w:color w:val="000000"/>
                <w:sz w:val="18"/>
                <w:szCs w:val="18"/>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spacing w:line="200" w:lineRule="exact"/>
              <w:jc w:val="center"/>
              <w:rPr>
                <w:rFonts w:asciiTheme="minorEastAsia" w:eastAsiaTheme="minorEastAsia" w:hAnsiTheme="minorEastAsia" w:cstheme="minorEastAsia" w:hint="default"/>
                <w:b/>
                <w:color w:val="000000"/>
                <w:sz w:val="18"/>
                <w:szCs w:val="18"/>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spacing w:line="200" w:lineRule="exact"/>
              <w:jc w:val="center"/>
              <w:rPr>
                <w:rFonts w:asciiTheme="minorEastAsia" w:eastAsiaTheme="minorEastAsia" w:hAnsiTheme="minorEastAsia" w:cstheme="minorEastAsia"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spacing w:line="200" w:lineRule="exact"/>
              <w:jc w:val="center"/>
              <w:rPr>
                <w:rFonts w:asciiTheme="minorEastAsia" w:eastAsiaTheme="minorEastAsia" w:hAnsiTheme="minorEastAsia" w:cstheme="minorEastAsia" w:hint="default"/>
                <w:b/>
                <w:color w:val="000000"/>
                <w:sz w:val="18"/>
                <w:szCs w:val="18"/>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spacing w:line="200" w:lineRule="exact"/>
              <w:jc w:val="center"/>
              <w:rPr>
                <w:rFonts w:asciiTheme="minorEastAsia" w:eastAsiaTheme="minorEastAsia" w:hAnsiTheme="minorEastAsia" w:cstheme="minorEastAsia" w:hint="default"/>
                <w:b/>
                <w:color w:val="000000"/>
                <w:sz w:val="18"/>
                <w:szCs w:val="18"/>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spacing w:line="200" w:lineRule="exact"/>
              <w:jc w:val="center"/>
              <w:rPr>
                <w:rFonts w:asciiTheme="minorEastAsia" w:eastAsiaTheme="minorEastAsia" w:hAnsiTheme="minorEastAsia" w:cstheme="minorEastAsia"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spacing w:line="200" w:lineRule="exact"/>
              <w:jc w:val="center"/>
              <w:rPr>
                <w:rFonts w:asciiTheme="minorEastAsia" w:eastAsiaTheme="minorEastAsia" w:hAnsiTheme="minorEastAsia" w:cstheme="minorEastAsia" w:hint="default"/>
                <w:b/>
                <w:color w:val="000000"/>
                <w:sz w:val="18"/>
                <w:szCs w:val="18"/>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spacing w:line="200" w:lineRule="exact"/>
              <w:jc w:val="center"/>
              <w:rPr>
                <w:rFonts w:asciiTheme="minorEastAsia" w:eastAsiaTheme="minorEastAsia" w:hAnsiTheme="minorEastAsia" w:cstheme="minorEastAsia" w:hint="default"/>
                <w:b/>
                <w:color w:val="000000"/>
                <w:sz w:val="18"/>
                <w:szCs w:val="18"/>
              </w:rPr>
            </w:pPr>
          </w:p>
        </w:tc>
        <w:tc>
          <w:tcPr>
            <w:tcW w:w="155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spacing w:line="200" w:lineRule="exact"/>
              <w:jc w:val="center"/>
              <w:rPr>
                <w:rFonts w:asciiTheme="minorEastAsia" w:eastAsiaTheme="minorEastAsia" w:hAnsiTheme="minorEastAsia" w:cstheme="minorEastAsia" w:hint="default"/>
                <w:b/>
                <w:color w:val="000000"/>
                <w:sz w:val="18"/>
                <w:szCs w:val="18"/>
              </w:rPr>
            </w:pP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77.09</w:t>
            </w: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19.48</w:t>
            </w: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资本性支出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18.66</w:t>
            </w: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3.52</w:t>
            </w: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房屋建筑物购建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1.83</w:t>
            </w: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办公设备购置</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专用设备购置</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基础设施建设</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37.23</w:t>
            </w: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0.04</w:t>
            </w: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大型修缮</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5.55</w:t>
            </w: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0.85</w:t>
            </w: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信息网络及软件购置更新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2.78</w:t>
            </w: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1.56</w:t>
            </w: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物资储备</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2.95</w:t>
            </w: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土地补偿</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4.91</w:t>
            </w: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安置补助</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0.62</w:t>
            </w: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地上附着物和青苗补偿</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6.82</w:t>
            </w: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拆迁补偿</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0.64</w:t>
            </w: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公务用车购置</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其他交通工具购置</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文物和陈列品购置</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无形资产购置</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其他资本性支出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对企业补助</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资本金注入</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政府投资基金股权投资</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4.99</w:t>
            </w: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费用补贴</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利息补贴</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0.69</w:t>
            </w: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其他对企业补助</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其他支出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国家赔偿费用支出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对民间非营利组织和群众性自治组织补贴</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经常性赠与</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2.93</w:t>
            </w: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资本性赠与</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其他支出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r>
      <w:tr w:rsidR="00C110D3">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 xml:space="preserve">  </w:t>
            </w:r>
            <w:r>
              <w:rPr>
                <w:rFonts w:asciiTheme="minorEastAsia" w:eastAsiaTheme="minorEastAsia" w:hAnsiTheme="minorEastAsia" w:cstheme="minorEastAsia"/>
                <w:color w:val="000000"/>
                <w:sz w:val="18"/>
                <w:szCs w:val="18"/>
              </w:rPr>
              <w:t>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spacing w:line="200" w:lineRule="exact"/>
              <w:jc w:val="right"/>
              <w:rPr>
                <w:rFonts w:asciiTheme="minorEastAsia" w:eastAsiaTheme="minorEastAsia" w:hAnsiTheme="minorEastAsia" w:cstheme="minorEastAsia" w:hint="default"/>
                <w:color w:val="000000"/>
                <w:sz w:val="18"/>
                <w:szCs w:val="18"/>
              </w:rPr>
            </w:pPr>
          </w:p>
        </w:tc>
      </w:tr>
      <w:tr w:rsidR="00C110D3">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110D3" w:rsidRDefault="00B96975">
            <w:pPr>
              <w:wordWrap w:val="0"/>
              <w:spacing w:line="200" w:lineRule="exact"/>
              <w:jc w:val="right"/>
              <w:textAlignment w:val="bottom"/>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77.09</w:t>
            </w:r>
            <w:r>
              <w:rPr>
                <w:rFonts w:asciiTheme="minorEastAsia" w:eastAsiaTheme="minorEastAsia" w:hAnsiTheme="minorEastAsia" w:cstheme="minorEastAsia"/>
                <w:color w:val="000000"/>
                <w:sz w:val="18"/>
              </w:rPr>
              <w:t xml:space="preserve"> </w:t>
            </w:r>
          </w:p>
        </w:tc>
        <w:tc>
          <w:tcPr>
            <w:tcW w:w="8750"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18"/>
                <w:szCs w:val="18"/>
              </w:rPr>
            </w:pPr>
            <w:r>
              <w:rPr>
                <w:rFonts w:asciiTheme="minorEastAsia" w:eastAsiaTheme="minorEastAsia" w:hAnsiTheme="minorEastAsia" w:cstheme="minorEastAsia"/>
                <w:b/>
                <w:color w:val="000000"/>
                <w:sz w:val="18"/>
                <w:szCs w:val="18"/>
              </w:rPr>
              <w:t>公用经费合计</w:t>
            </w:r>
          </w:p>
        </w:tc>
        <w:tc>
          <w:tcPr>
            <w:tcW w:w="1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spacing w:line="200" w:lineRule="exact"/>
              <w:jc w:val="right"/>
              <w:textAlignment w:val="center"/>
              <w:rPr>
                <w:rFonts w:asciiTheme="minorEastAsia" w:eastAsiaTheme="minorEastAsia" w:hAnsiTheme="minorEastAsia" w:cstheme="minorEastAsia" w:hint="default"/>
                <w:color w:val="000000"/>
                <w:sz w:val="18"/>
                <w:szCs w:val="18"/>
              </w:rPr>
            </w:pPr>
            <w:r>
              <w:rPr>
                <w:rFonts w:asciiTheme="minorEastAsia" w:eastAsiaTheme="minorEastAsia" w:hAnsiTheme="minorEastAsia" w:cstheme="minorEastAsia"/>
                <w:color w:val="000000"/>
                <w:sz w:val="18"/>
                <w:szCs w:val="18"/>
              </w:rPr>
              <w:t>19.48</w:t>
            </w:r>
            <w:r>
              <w:rPr>
                <w:rFonts w:asciiTheme="minorEastAsia" w:eastAsiaTheme="minorEastAsia" w:hAnsiTheme="minorEastAsia" w:cstheme="minorEastAsia"/>
                <w:color w:val="000000"/>
                <w:sz w:val="18"/>
              </w:rPr>
              <w:t xml:space="preserve"> </w:t>
            </w:r>
          </w:p>
        </w:tc>
      </w:tr>
    </w:tbl>
    <w:p w:rsidR="00C110D3" w:rsidRDefault="00B96975">
      <w:pPr>
        <w:spacing w:line="280" w:lineRule="exact"/>
        <w:rPr>
          <w:rFonts w:cs="宋体" w:hint="default"/>
          <w:sz w:val="20"/>
          <w:szCs w:val="20"/>
        </w:rPr>
      </w:pPr>
      <w:r>
        <w:rPr>
          <w:rFonts w:cs="宋体"/>
          <w:sz w:val="20"/>
          <w:szCs w:val="20"/>
        </w:rPr>
        <w:lastRenderedPageBreak/>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1"/>
          <w:szCs w:val="21"/>
        </w:rPr>
        <w:br w:type="page"/>
      </w:r>
    </w:p>
    <w:tbl>
      <w:tblPr>
        <w:tblW w:w="15015"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509"/>
        <w:gridCol w:w="1736"/>
      </w:tblGrid>
      <w:tr w:rsidR="00C110D3">
        <w:trPr>
          <w:trHeight w:val="644"/>
        </w:trPr>
        <w:tc>
          <w:tcPr>
            <w:tcW w:w="15015" w:type="dxa"/>
            <w:gridSpan w:val="8"/>
            <w:tcBorders>
              <w:top w:val="nil"/>
              <w:left w:val="nil"/>
              <w:bottom w:val="nil"/>
              <w:right w:val="nil"/>
            </w:tcBorders>
            <w:shd w:val="clear" w:color="auto" w:fill="auto"/>
            <w:noWrap/>
            <w:tcMar>
              <w:top w:w="15" w:type="dxa"/>
              <w:left w:w="15" w:type="dxa"/>
              <w:right w:w="15" w:type="dxa"/>
            </w:tcMar>
            <w:vAlign w:val="bottom"/>
          </w:tcPr>
          <w:p w:rsidR="00C110D3" w:rsidRDefault="00B96975">
            <w:pPr>
              <w:jc w:val="center"/>
              <w:textAlignment w:val="bottom"/>
              <w:rPr>
                <w:rFonts w:asciiTheme="minorEastAsia" w:eastAsiaTheme="minorEastAsia" w:hAnsiTheme="minorEastAsia" w:cstheme="minorEastAsia" w:hint="default"/>
                <w:b/>
                <w:color w:val="000000"/>
                <w:sz w:val="32"/>
                <w:szCs w:val="32"/>
              </w:rPr>
            </w:pPr>
            <w:r>
              <w:rPr>
                <w:rFonts w:asciiTheme="minorEastAsia" w:eastAsiaTheme="minorEastAsia" w:hAnsiTheme="minorEastAsia" w:cstheme="minorEastAsia"/>
                <w:b/>
                <w:color w:val="000000"/>
                <w:sz w:val="32"/>
                <w:szCs w:val="32"/>
              </w:rPr>
              <w:lastRenderedPageBreak/>
              <w:t>政府性基金预算财政拨款收入支出决算表</w:t>
            </w:r>
          </w:p>
        </w:tc>
      </w:tr>
      <w:tr w:rsidR="00C110D3">
        <w:trPr>
          <w:trHeight w:val="329"/>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rsidR="00C110D3" w:rsidRDefault="00B96975">
            <w:pP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sz w:val="20"/>
                <w:szCs w:val="20"/>
              </w:rPr>
              <w:t>公开单位</w:t>
            </w:r>
            <w:r>
              <w:rPr>
                <w:rFonts w:asciiTheme="minorEastAsia" w:eastAsiaTheme="minorEastAsia" w:hAnsiTheme="minorEastAsia" w:cstheme="minorEastAsia"/>
                <w:color w:val="000000"/>
                <w:sz w:val="20"/>
                <w:szCs w:val="20"/>
              </w:rPr>
              <w:t>：</w:t>
            </w: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rPr>
              <w:t>重庆市九龙坡区留置管理中心</w:t>
            </w:r>
          </w:p>
        </w:tc>
        <w:tc>
          <w:tcPr>
            <w:tcW w:w="1707"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736" w:type="dxa"/>
            <w:tcBorders>
              <w:top w:val="nil"/>
              <w:left w:val="nil"/>
              <w:bottom w:val="nil"/>
              <w:right w:val="nil"/>
            </w:tcBorders>
            <w:shd w:val="clear" w:color="auto" w:fill="auto"/>
            <w:noWrap/>
            <w:tcMar>
              <w:top w:w="15" w:type="dxa"/>
              <w:left w:w="15" w:type="dxa"/>
              <w:right w:w="15" w:type="dxa"/>
            </w:tcMar>
            <w:vAlign w:val="bottom"/>
          </w:tcPr>
          <w:p w:rsidR="00C110D3" w:rsidRDefault="00B96975">
            <w:pPr>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公开</w:t>
            </w:r>
            <w:r>
              <w:rPr>
                <w:rFonts w:asciiTheme="minorEastAsia" w:eastAsiaTheme="minorEastAsia" w:hAnsiTheme="minorEastAsia" w:cstheme="minorEastAsia"/>
                <w:color w:val="000000"/>
                <w:sz w:val="20"/>
                <w:szCs w:val="20"/>
              </w:rPr>
              <w:t>07</w:t>
            </w:r>
            <w:r>
              <w:rPr>
                <w:rFonts w:asciiTheme="minorEastAsia" w:eastAsiaTheme="minorEastAsia" w:hAnsiTheme="minorEastAsia" w:cstheme="minorEastAsia"/>
                <w:color w:val="000000"/>
                <w:sz w:val="20"/>
                <w:szCs w:val="20"/>
              </w:rPr>
              <w:t>表</w:t>
            </w:r>
          </w:p>
        </w:tc>
      </w:tr>
      <w:tr w:rsidR="00C110D3">
        <w:trPr>
          <w:trHeight w:val="329"/>
        </w:trPr>
        <w:tc>
          <w:tcPr>
            <w:tcW w:w="6649" w:type="dxa"/>
            <w:gridSpan w:val="3"/>
            <w:vMerge/>
            <w:tcBorders>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asciiTheme="minorEastAsia" w:eastAsiaTheme="minorEastAsia" w:hAnsiTheme="minorEastAsia" w:cstheme="minorEastAsia" w:hint="default"/>
                <w:color w:val="000000"/>
                <w:sz w:val="20"/>
                <w:szCs w:val="20"/>
              </w:rPr>
            </w:pPr>
          </w:p>
        </w:tc>
        <w:tc>
          <w:tcPr>
            <w:tcW w:w="1736" w:type="dxa"/>
            <w:tcBorders>
              <w:top w:val="nil"/>
              <w:left w:val="nil"/>
              <w:bottom w:val="nil"/>
              <w:right w:val="nil"/>
            </w:tcBorders>
            <w:shd w:val="clear" w:color="auto" w:fill="auto"/>
            <w:noWrap/>
            <w:tcMar>
              <w:top w:w="15" w:type="dxa"/>
              <w:left w:w="15" w:type="dxa"/>
              <w:right w:w="15" w:type="dxa"/>
            </w:tcMar>
            <w:vAlign w:val="bottom"/>
          </w:tcPr>
          <w:p w:rsidR="00C110D3" w:rsidRDefault="00B96975">
            <w:pPr>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单位：</w:t>
            </w:r>
            <w:r>
              <w:rPr>
                <w:rFonts w:asciiTheme="minorEastAsia" w:eastAsiaTheme="minorEastAsia" w:hAnsiTheme="minorEastAsia" w:cstheme="minorEastAsia"/>
                <w:sz w:val="20"/>
                <w:szCs w:val="20"/>
              </w:rPr>
              <w:t>万元</w:t>
            </w:r>
          </w:p>
        </w:tc>
      </w:tr>
      <w:tr w:rsidR="00C110D3">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本年收入</w:t>
            </w:r>
          </w:p>
        </w:tc>
        <w:tc>
          <w:tcPr>
            <w:tcW w:w="4923"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本年支出</w:t>
            </w:r>
          </w:p>
        </w:tc>
        <w:tc>
          <w:tcPr>
            <w:tcW w:w="17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年末结转和结余</w:t>
            </w:r>
          </w:p>
        </w:tc>
      </w:tr>
      <w:tr w:rsidR="00C110D3">
        <w:trPr>
          <w:trHeight w:val="335"/>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项目（按“项”级功能分类科目）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基本支出</w:t>
            </w:r>
          </w:p>
        </w:tc>
        <w:tc>
          <w:tcPr>
            <w:tcW w:w="150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项目支出</w:t>
            </w:r>
          </w:p>
        </w:tc>
        <w:tc>
          <w:tcPr>
            <w:tcW w:w="17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r>
      <w:tr w:rsidR="00C110D3">
        <w:trPr>
          <w:trHeight w:val="33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50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r>
      <w:tr w:rsidR="00C110D3">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50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c>
          <w:tcPr>
            <w:tcW w:w="17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asciiTheme="minorEastAsia" w:eastAsiaTheme="minorEastAsia" w:hAnsiTheme="minorEastAsia" w:cstheme="minorEastAsia" w:hint="default"/>
                <w:b/>
                <w:color w:val="000000"/>
                <w:sz w:val="20"/>
                <w:szCs w:val="20"/>
              </w:rPr>
            </w:pPr>
          </w:p>
        </w:tc>
      </w:tr>
      <w:tr w:rsidR="00C110D3">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合计</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rPr>
              <w:t xml:space="preserve"> </w:t>
            </w:r>
          </w:p>
        </w:tc>
        <w:tc>
          <w:tcPr>
            <w:tcW w:w="15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rPr>
              <w:t xml:space="preserve"> </w:t>
            </w:r>
          </w:p>
        </w:tc>
        <w:tc>
          <w:tcPr>
            <w:tcW w:w="1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rPr>
              <w:t xml:space="preserve"> </w:t>
            </w:r>
          </w:p>
        </w:tc>
      </w:tr>
    </w:tbl>
    <w:p w:rsidR="00C110D3" w:rsidRDefault="00B96975">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C110D3" w:rsidRDefault="00B96975">
      <w:pPr>
        <w:rPr>
          <w:rFonts w:cs="宋体" w:hint="default"/>
          <w:sz w:val="21"/>
          <w:szCs w:val="21"/>
        </w:rPr>
      </w:pPr>
      <w:r>
        <w:rPr>
          <w:rFonts w:cs="宋体"/>
          <w:sz w:val="21"/>
          <w:szCs w:val="21"/>
        </w:rPr>
        <w:br w:type="page"/>
      </w:r>
    </w:p>
    <w:tbl>
      <w:tblPr>
        <w:tblW w:w="14917"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2947"/>
      </w:tblGrid>
      <w:tr w:rsidR="00C110D3">
        <w:trPr>
          <w:trHeight w:val="650"/>
        </w:trPr>
        <w:tc>
          <w:tcPr>
            <w:tcW w:w="14917" w:type="dxa"/>
            <w:gridSpan w:val="7"/>
            <w:tcBorders>
              <w:top w:val="nil"/>
              <w:left w:val="nil"/>
              <w:bottom w:val="nil"/>
              <w:right w:val="nil"/>
            </w:tcBorders>
            <w:shd w:val="clear" w:color="auto" w:fill="auto"/>
            <w:noWrap/>
            <w:tcMar>
              <w:top w:w="15" w:type="dxa"/>
              <w:left w:w="15" w:type="dxa"/>
              <w:right w:w="15" w:type="dxa"/>
            </w:tcMar>
            <w:vAlign w:val="bottom"/>
          </w:tcPr>
          <w:p w:rsidR="00C110D3" w:rsidRDefault="00B96975">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C110D3">
        <w:trPr>
          <w:trHeight w:val="332"/>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rsidR="00C110D3" w:rsidRDefault="00B96975">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重庆市九龙坡区留置管理中心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cs="宋体" w:hint="default"/>
                <w:color w:val="000000"/>
                <w:sz w:val="20"/>
                <w:szCs w:val="20"/>
              </w:rPr>
            </w:pPr>
          </w:p>
        </w:tc>
        <w:tc>
          <w:tcPr>
            <w:tcW w:w="2947" w:type="dxa"/>
            <w:tcBorders>
              <w:top w:val="nil"/>
              <w:left w:val="nil"/>
              <w:bottom w:val="nil"/>
              <w:right w:val="nil"/>
            </w:tcBorders>
            <w:shd w:val="clear" w:color="auto" w:fill="auto"/>
            <w:noWrap/>
            <w:tcMar>
              <w:top w:w="15" w:type="dxa"/>
              <w:left w:w="15" w:type="dxa"/>
              <w:right w:w="15" w:type="dxa"/>
            </w:tcMar>
            <w:vAlign w:val="bottom"/>
          </w:tcPr>
          <w:p w:rsidR="00C110D3" w:rsidRDefault="00B96975">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C110D3">
        <w:trPr>
          <w:trHeight w:val="332"/>
        </w:trPr>
        <w:tc>
          <w:tcPr>
            <w:tcW w:w="8218" w:type="dxa"/>
            <w:gridSpan w:val="3"/>
            <w:vMerge/>
            <w:tcBorders>
              <w:left w:val="nil"/>
              <w:bottom w:val="nil"/>
              <w:right w:val="nil"/>
            </w:tcBorders>
            <w:shd w:val="clear" w:color="auto" w:fill="auto"/>
            <w:noWrap/>
            <w:tcMar>
              <w:top w:w="15" w:type="dxa"/>
              <w:left w:w="15" w:type="dxa"/>
              <w:right w:w="15" w:type="dxa"/>
            </w:tcMar>
            <w:vAlign w:val="bottom"/>
          </w:tcPr>
          <w:p w:rsidR="00C110D3" w:rsidRDefault="00C110D3">
            <w:pPr>
              <w:rPr>
                <w:rFonts w:cs="宋体" w:hint="default"/>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C110D3" w:rsidRDefault="00C110D3">
            <w:pPr>
              <w:rPr>
                <w:rFonts w:cs="宋体" w:hint="default"/>
                <w:color w:val="000000"/>
                <w:sz w:val="20"/>
                <w:szCs w:val="20"/>
              </w:rPr>
            </w:pPr>
          </w:p>
        </w:tc>
        <w:tc>
          <w:tcPr>
            <w:tcW w:w="2947" w:type="dxa"/>
            <w:tcBorders>
              <w:top w:val="nil"/>
              <w:left w:val="nil"/>
              <w:bottom w:val="nil"/>
              <w:right w:val="nil"/>
            </w:tcBorders>
            <w:shd w:val="clear" w:color="auto" w:fill="auto"/>
            <w:noWrap/>
            <w:tcMar>
              <w:top w:w="15" w:type="dxa"/>
              <w:left w:w="15" w:type="dxa"/>
              <w:right w:w="15" w:type="dxa"/>
            </w:tcMar>
            <w:vAlign w:val="bottom"/>
          </w:tcPr>
          <w:p w:rsidR="00C110D3" w:rsidRDefault="00B9697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C110D3">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110D3" w:rsidRDefault="00B96975">
            <w:pPr>
              <w:jc w:val="center"/>
              <w:textAlignment w:val="bottom"/>
              <w:rPr>
                <w:rFonts w:cs="宋体" w:hint="default"/>
                <w:b/>
                <w:color w:val="000000"/>
                <w:sz w:val="20"/>
                <w:szCs w:val="20"/>
              </w:rPr>
            </w:pPr>
            <w:r>
              <w:rPr>
                <w:rFonts w:cs="宋体"/>
                <w:b/>
                <w:color w:val="000000"/>
                <w:sz w:val="20"/>
                <w:szCs w:val="20"/>
              </w:rPr>
              <w:t>项目</w:t>
            </w:r>
          </w:p>
        </w:tc>
        <w:tc>
          <w:tcPr>
            <w:tcW w:w="9975"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110D3" w:rsidRDefault="00B96975">
            <w:pPr>
              <w:jc w:val="center"/>
              <w:textAlignment w:val="bottom"/>
              <w:rPr>
                <w:rFonts w:cs="宋体" w:hint="default"/>
                <w:b/>
                <w:color w:val="000000"/>
                <w:sz w:val="20"/>
                <w:szCs w:val="20"/>
              </w:rPr>
            </w:pPr>
            <w:r>
              <w:rPr>
                <w:rFonts w:cs="宋体"/>
                <w:b/>
                <w:color w:val="000000"/>
                <w:sz w:val="20"/>
                <w:szCs w:val="20"/>
              </w:rPr>
              <w:t>本年支出</w:t>
            </w:r>
          </w:p>
        </w:tc>
      </w:tr>
      <w:tr w:rsidR="00C110D3">
        <w:trPr>
          <w:trHeight w:val="339"/>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cs="宋体" w:hint="default"/>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cs="宋体" w:hint="default"/>
                <w:b/>
                <w:color w:val="000000"/>
                <w:sz w:val="20"/>
                <w:szCs w:val="20"/>
              </w:rPr>
            </w:pPr>
            <w:r>
              <w:rPr>
                <w:rFonts w:cs="宋体"/>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cs="宋体" w:hint="default"/>
                <w:b/>
                <w:color w:val="000000"/>
                <w:sz w:val="20"/>
                <w:szCs w:val="20"/>
              </w:rPr>
            </w:pPr>
            <w:r>
              <w:rPr>
                <w:rFonts w:cs="宋体"/>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cs="宋体" w:hint="default"/>
                <w:b/>
                <w:color w:val="000000"/>
                <w:sz w:val="20"/>
                <w:szCs w:val="20"/>
              </w:rPr>
            </w:pPr>
            <w:r>
              <w:rPr>
                <w:rFonts w:cs="宋体"/>
                <w:b/>
                <w:color w:val="000000"/>
                <w:sz w:val="20"/>
                <w:szCs w:val="20"/>
              </w:rPr>
              <w:t>基本支出</w:t>
            </w:r>
          </w:p>
        </w:tc>
        <w:tc>
          <w:tcPr>
            <w:tcW w:w="3024"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cs="宋体" w:hint="default"/>
                <w:b/>
                <w:color w:val="000000"/>
                <w:sz w:val="20"/>
                <w:szCs w:val="20"/>
              </w:rPr>
            </w:pPr>
            <w:r>
              <w:rPr>
                <w:rFonts w:cs="宋体"/>
                <w:b/>
                <w:color w:val="000000"/>
                <w:sz w:val="20"/>
                <w:szCs w:val="20"/>
              </w:rPr>
              <w:t>项目支出</w:t>
            </w:r>
          </w:p>
        </w:tc>
      </w:tr>
      <w:tr w:rsidR="00C110D3">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cs="宋体" w:hint="default"/>
                <w:b/>
                <w:color w:val="000000"/>
                <w:sz w:val="20"/>
                <w:szCs w:val="20"/>
              </w:rPr>
            </w:pPr>
          </w:p>
        </w:tc>
        <w:tc>
          <w:tcPr>
            <w:tcW w:w="3024"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cs="宋体" w:hint="default"/>
                <w:b/>
                <w:color w:val="000000"/>
                <w:sz w:val="20"/>
                <w:szCs w:val="20"/>
              </w:rPr>
            </w:pPr>
          </w:p>
        </w:tc>
      </w:tr>
      <w:tr w:rsidR="00C110D3">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cs="宋体" w:hint="default"/>
                <w:b/>
                <w:color w:val="000000"/>
                <w:sz w:val="20"/>
                <w:szCs w:val="20"/>
              </w:rPr>
            </w:pPr>
          </w:p>
        </w:tc>
        <w:tc>
          <w:tcPr>
            <w:tcW w:w="3024"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cs="宋体" w:hint="default"/>
                <w:b/>
                <w:color w:val="000000"/>
                <w:sz w:val="20"/>
                <w:szCs w:val="20"/>
              </w:rPr>
            </w:pPr>
          </w:p>
        </w:tc>
      </w:tr>
      <w:tr w:rsidR="00C110D3">
        <w:trPr>
          <w:trHeight w:val="326"/>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cs="宋体" w:hint="default"/>
                <w:b/>
                <w:color w:val="000000"/>
                <w:sz w:val="20"/>
                <w:szCs w:val="20"/>
              </w:rPr>
            </w:pPr>
          </w:p>
        </w:tc>
        <w:tc>
          <w:tcPr>
            <w:tcW w:w="3024"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110D3" w:rsidRDefault="00C110D3">
            <w:pPr>
              <w:jc w:val="center"/>
              <w:rPr>
                <w:rFonts w:cs="宋体" w:hint="default"/>
                <w:b/>
                <w:color w:val="000000"/>
                <w:sz w:val="20"/>
                <w:szCs w:val="20"/>
              </w:rPr>
            </w:pPr>
          </w:p>
        </w:tc>
      </w:tr>
      <w:tr w:rsidR="00C110D3">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110D3" w:rsidRDefault="00B96975">
            <w:pPr>
              <w:jc w:val="center"/>
              <w:textAlignment w:val="center"/>
              <w:rPr>
                <w:rFonts w:cs="宋体" w:hint="default"/>
                <w:b/>
                <w:color w:val="000000"/>
                <w:sz w:val="20"/>
                <w:szCs w:val="20"/>
              </w:rPr>
            </w:pPr>
            <w:r>
              <w:rPr>
                <w:rFonts w:cs="宋体"/>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cs="宋体" w:hint="default"/>
                <w:b/>
                <w:color w:val="000000"/>
                <w:sz w:val="20"/>
                <w:szCs w:val="20"/>
              </w:rPr>
            </w:pPr>
            <w:r>
              <w:rPr>
                <w:b/>
                <w:color w:val="000000"/>
                <w:sz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C110D3">
            <w:pPr>
              <w:jc w:val="right"/>
              <w:rPr>
                <w:rFonts w:cs="宋体" w:hint="default"/>
                <w:b/>
                <w:color w:val="000000"/>
                <w:sz w:val="20"/>
                <w:szCs w:val="20"/>
              </w:rPr>
            </w:pPr>
          </w:p>
        </w:tc>
        <w:tc>
          <w:tcPr>
            <w:tcW w:w="302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110D3" w:rsidRDefault="00B96975">
            <w:pPr>
              <w:wordWrap w:val="0"/>
              <w:jc w:val="right"/>
              <w:textAlignment w:val="center"/>
              <w:rPr>
                <w:rFonts w:cs="宋体" w:hint="default"/>
                <w:b/>
                <w:color w:val="000000"/>
                <w:sz w:val="20"/>
                <w:szCs w:val="20"/>
              </w:rPr>
            </w:pPr>
            <w:r>
              <w:rPr>
                <w:b/>
                <w:color w:val="000000"/>
                <w:sz w:val="20"/>
              </w:rPr>
              <w:t xml:space="preserve"> </w:t>
            </w:r>
          </w:p>
        </w:tc>
      </w:tr>
    </w:tbl>
    <w:p w:rsidR="00C110D3" w:rsidRDefault="00B96975">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14931" w:type="dxa"/>
        <w:tblLayout w:type="fixed"/>
        <w:tblCellMar>
          <w:left w:w="170" w:type="dxa"/>
          <w:right w:w="170" w:type="dxa"/>
        </w:tblCellMar>
        <w:tblLook w:val="04A0" w:firstRow="1" w:lastRow="0" w:firstColumn="1" w:lastColumn="0" w:noHBand="0" w:noVBand="1"/>
      </w:tblPr>
      <w:tblGrid>
        <w:gridCol w:w="4041"/>
        <w:gridCol w:w="2166"/>
        <w:gridCol w:w="2115"/>
        <w:gridCol w:w="4524"/>
        <w:gridCol w:w="2085"/>
      </w:tblGrid>
      <w:tr w:rsidR="00C110D3">
        <w:trPr>
          <w:trHeight w:val="343"/>
        </w:trPr>
        <w:tc>
          <w:tcPr>
            <w:tcW w:w="14931" w:type="dxa"/>
            <w:gridSpan w:val="5"/>
            <w:tcBorders>
              <w:top w:val="nil"/>
              <w:left w:val="nil"/>
              <w:bottom w:val="nil"/>
              <w:right w:val="nil"/>
            </w:tcBorders>
            <w:shd w:val="clear" w:color="auto" w:fill="auto"/>
            <w:noWrap/>
            <w:tcMar>
              <w:top w:w="15" w:type="dxa"/>
              <w:left w:w="15" w:type="dxa"/>
              <w:right w:w="15" w:type="dxa"/>
            </w:tcMar>
            <w:vAlign w:val="bottom"/>
          </w:tcPr>
          <w:p w:rsidR="00C110D3" w:rsidRDefault="00B96975">
            <w:pPr>
              <w:spacing w:line="400" w:lineRule="exact"/>
              <w:jc w:val="center"/>
              <w:textAlignment w:val="bottom"/>
              <w:rPr>
                <w:rFonts w:asciiTheme="minorEastAsia" w:eastAsiaTheme="minorEastAsia" w:hAnsiTheme="minorEastAsia" w:cstheme="minorEastAsia" w:hint="default"/>
                <w:b/>
                <w:color w:val="000000"/>
                <w:sz w:val="32"/>
                <w:szCs w:val="32"/>
              </w:rPr>
            </w:pPr>
            <w:r>
              <w:rPr>
                <w:rFonts w:asciiTheme="minorEastAsia" w:eastAsiaTheme="minorEastAsia" w:hAnsiTheme="minorEastAsia" w:cstheme="minorEastAsia"/>
                <w:b/>
                <w:color w:val="000000"/>
                <w:sz w:val="32"/>
                <w:szCs w:val="32"/>
              </w:rPr>
              <w:lastRenderedPageBreak/>
              <w:t>机构运行信息表</w:t>
            </w:r>
          </w:p>
        </w:tc>
      </w:tr>
      <w:tr w:rsidR="00C110D3">
        <w:trPr>
          <w:trHeight w:val="244"/>
        </w:trPr>
        <w:tc>
          <w:tcPr>
            <w:tcW w:w="4041"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280" w:lineRule="exact"/>
              <w:rPr>
                <w:rFonts w:asciiTheme="minorEastAsia" w:eastAsiaTheme="minorEastAsia" w:hAnsiTheme="minorEastAsia" w:cstheme="minorEastAsia" w:hint="default"/>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280" w:lineRule="exact"/>
              <w:jc w:val="center"/>
              <w:rPr>
                <w:rFonts w:asciiTheme="minorEastAsia" w:eastAsiaTheme="minorEastAsia" w:hAnsiTheme="minorEastAsia" w:cstheme="minorEastAsia" w:hint="default"/>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280" w:lineRule="exact"/>
              <w:jc w:val="right"/>
              <w:rPr>
                <w:rFonts w:asciiTheme="minorEastAsia" w:eastAsiaTheme="minorEastAsia" w:hAnsiTheme="minorEastAsia" w:cstheme="minorEastAsia" w:hint="default"/>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rsidR="00C110D3" w:rsidRDefault="00C110D3">
            <w:pPr>
              <w:spacing w:line="280" w:lineRule="exact"/>
              <w:rPr>
                <w:rFonts w:asciiTheme="minorEastAsia" w:eastAsiaTheme="minorEastAsia" w:hAnsiTheme="minorEastAsia" w:cstheme="minorEastAsia" w:hint="default"/>
                <w:color w:val="000000"/>
                <w:sz w:val="20"/>
                <w:szCs w:val="20"/>
              </w:rPr>
            </w:pPr>
          </w:p>
        </w:tc>
        <w:tc>
          <w:tcPr>
            <w:tcW w:w="2085" w:type="dxa"/>
            <w:tcBorders>
              <w:top w:val="nil"/>
              <w:left w:val="nil"/>
              <w:bottom w:val="nil"/>
              <w:right w:val="nil"/>
            </w:tcBorders>
            <w:shd w:val="clear" w:color="auto" w:fill="auto"/>
            <w:noWrap/>
            <w:tcMar>
              <w:top w:w="15" w:type="dxa"/>
              <w:left w:w="15" w:type="dxa"/>
              <w:right w:w="15" w:type="dxa"/>
            </w:tcMar>
            <w:vAlign w:val="bottom"/>
          </w:tcPr>
          <w:p w:rsidR="00C110D3" w:rsidRDefault="00B96975">
            <w:pPr>
              <w:spacing w:line="28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公开</w:t>
            </w:r>
            <w:r>
              <w:rPr>
                <w:rFonts w:asciiTheme="minorEastAsia" w:eastAsiaTheme="minorEastAsia" w:hAnsiTheme="minorEastAsia" w:cstheme="minorEastAsia"/>
                <w:color w:val="000000"/>
                <w:sz w:val="20"/>
                <w:szCs w:val="20"/>
              </w:rPr>
              <w:t>09</w:t>
            </w:r>
            <w:r>
              <w:rPr>
                <w:rFonts w:asciiTheme="minorEastAsia" w:eastAsiaTheme="minorEastAsia" w:hAnsiTheme="minorEastAsia" w:cstheme="minorEastAsia"/>
                <w:color w:val="000000"/>
                <w:sz w:val="20"/>
                <w:szCs w:val="20"/>
              </w:rPr>
              <w:t>表</w:t>
            </w:r>
          </w:p>
        </w:tc>
      </w:tr>
      <w:tr w:rsidR="00C110D3">
        <w:trPr>
          <w:trHeight w:val="244"/>
        </w:trPr>
        <w:tc>
          <w:tcPr>
            <w:tcW w:w="6207"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C110D3" w:rsidRDefault="00B96975">
            <w:pPr>
              <w:spacing w:line="280" w:lineRule="exact"/>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sz w:val="20"/>
                <w:szCs w:val="20"/>
              </w:rPr>
              <w:t>公开单位</w:t>
            </w:r>
            <w:r>
              <w:rPr>
                <w:rFonts w:asciiTheme="minorEastAsia" w:eastAsiaTheme="minorEastAsia" w:hAnsiTheme="minorEastAsia" w:cstheme="minorEastAsia"/>
                <w:color w:val="000000"/>
                <w:sz w:val="20"/>
                <w:szCs w:val="20"/>
              </w:rPr>
              <w:t>：</w:t>
            </w: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rPr>
              <w:t>重庆市九龙坡区留置管理中心</w:t>
            </w:r>
          </w:p>
        </w:tc>
        <w:tc>
          <w:tcPr>
            <w:tcW w:w="2115" w:type="dxa"/>
            <w:tcBorders>
              <w:top w:val="nil"/>
              <w:left w:val="nil"/>
              <w:bottom w:val="single" w:sz="4" w:space="0" w:color="auto"/>
              <w:right w:val="nil"/>
            </w:tcBorders>
            <w:shd w:val="clear" w:color="auto" w:fill="auto"/>
            <w:noWrap/>
            <w:tcMar>
              <w:top w:w="15" w:type="dxa"/>
              <w:left w:w="15" w:type="dxa"/>
              <w:right w:w="15" w:type="dxa"/>
            </w:tcMar>
            <w:vAlign w:val="bottom"/>
          </w:tcPr>
          <w:p w:rsidR="00C110D3" w:rsidRDefault="00C110D3">
            <w:pPr>
              <w:spacing w:line="280" w:lineRule="exact"/>
              <w:jc w:val="right"/>
              <w:rPr>
                <w:rFonts w:asciiTheme="minorEastAsia" w:eastAsiaTheme="minorEastAsia" w:hAnsiTheme="minorEastAsia" w:cstheme="minorEastAsia" w:hint="default"/>
                <w:color w:val="000000"/>
                <w:sz w:val="20"/>
                <w:szCs w:val="20"/>
              </w:rPr>
            </w:pPr>
          </w:p>
        </w:tc>
        <w:tc>
          <w:tcPr>
            <w:tcW w:w="4524" w:type="dxa"/>
            <w:tcBorders>
              <w:top w:val="nil"/>
              <w:left w:val="nil"/>
              <w:bottom w:val="single" w:sz="4" w:space="0" w:color="auto"/>
              <w:right w:val="nil"/>
            </w:tcBorders>
            <w:shd w:val="clear" w:color="auto" w:fill="auto"/>
            <w:noWrap/>
            <w:tcMar>
              <w:top w:w="15" w:type="dxa"/>
              <w:left w:w="15" w:type="dxa"/>
              <w:right w:w="15" w:type="dxa"/>
            </w:tcMar>
            <w:vAlign w:val="bottom"/>
          </w:tcPr>
          <w:p w:rsidR="00C110D3" w:rsidRDefault="00C110D3">
            <w:pPr>
              <w:spacing w:line="280" w:lineRule="exact"/>
              <w:rPr>
                <w:rFonts w:asciiTheme="minorEastAsia" w:eastAsiaTheme="minorEastAsia" w:hAnsiTheme="minorEastAsia" w:cstheme="minorEastAsia" w:hint="default"/>
                <w:color w:val="000000"/>
                <w:sz w:val="20"/>
                <w:szCs w:val="20"/>
              </w:rPr>
            </w:pPr>
          </w:p>
        </w:tc>
        <w:tc>
          <w:tcPr>
            <w:tcW w:w="2085" w:type="dxa"/>
            <w:tcBorders>
              <w:top w:val="nil"/>
              <w:left w:val="nil"/>
              <w:bottom w:val="single" w:sz="4" w:space="0" w:color="auto"/>
              <w:right w:val="nil"/>
            </w:tcBorders>
            <w:shd w:val="clear" w:color="auto" w:fill="auto"/>
            <w:noWrap/>
            <w:tcMar>
              <w:top w:w="15" w:type="dxa"/>
              <w:left w:w="15" w:type="dxa"/>
              <w:right w:w="15" w:type="dxa"/>
            </w:tcMar>
            <w:vAlign w:val="bottom"/>
          </w:tcPr>
          <w:p w:rsidR="00C110D3" w:rsidRDefault="00B96975">
            <w:pPr>
              <w:spacing w:line="28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单位：</w:t>
            </w:r>
            <w:r>
              <w:rPr>
                <w:rFonts w:asciiTheme="minorEastAsia" w:eastAsiaTheme="minorEastAsia" w:hAnsiTheme="minorEastAsia" w:cstheme="minorEastAsia"/>
                <w:sz w:val="20"/>
                <w:szCs w:val="20"/>
              </w:rPr>
              <w:t>万元</w:t>
            </w:r>
          </w:p>
        </w:tc>
      </w:tr>
      <w:tr w:rsidR="00C110D3">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项</w:t>
            </w:r>
            <w:r>
              <w:rPr>
                <w:rFonts w:asciiTheme="minorEastAsia" w:eastAsiaTheme="minorEastAsia" w:hAnsiTheme="minorEastAsia" w:cstheme="minorEastAsia"/>
                <w:b/>
                <w:color w:val="000000"/>
                <w:sz w:val="20"/>
                <w:szCs w:val="20"/>
              </w:rPr>
              <w:t xml:space="preserve">  </w:t>
            </w:r>
            <w:r>
              <w:rPr>
                <w:rFonts w:asciiTheme="minorEastAsia" w:eastAsiaTheme="minorEastAsia" w:hAnsiTheme="minorEastAsia" w:cstheme="minorEastAsia"/>
                <w:b/>
                <w:color w:val="000000"/>
                <w:sz w:val="20"/>
                <w:szCs w:val="20"/>
              </w:rPr>
              <w:t>目</w:t>
            </w:r>
          </w:p>
        </w:tc>
        <w:tc>
          <w:tcPr>
            <w:tcW w:w="2166"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项</w:t>
            </w:r>
            <w:r>
              <w:rPr>
                <w:rFonts w:asciiTheme="minorEastAsia" w:eastAsiaTheme="minorEastAsia" w:hAnsiTheme="minorEastAsia" w:cstheme="minorEastAsia"/>
                <w:b/>
                <w:color w:val="000000"/>
                <w:sz w:val="20"/>
                <w:szCs w:val="20"/>
              </w:rPr>
              <w:t xml:space="preserve">  </w:t>
            </w:r>
            <w:r>
              <w:rPr>
                <w:rFonts w:asciiTheme="minorEastAsia" w:eastAsiaTheme="minorEastAsia" w:hAnsiTheme="minorEastAsia" w:cstheme="minorEastAsia"/>
                <w:b/>
                <w:color w:val="000000"/>
                <w:sz w:val="20"/>
                <w:szCs w:val="20"/>
              </w:rPr>
              <w:t>目</w:t>
            </w:r>
          </w:p>
        </w:tc>
        <w:tc>
          <w:tcPr>
            <w:tcW w:w="208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b/>
                <w:color w:val="000000"/>
                <w:sz w:val="20"/>
                <w:szCs w:val="20"/>
              </w:rPr>
            </w:pPr>
            <w:r>
              <w:rPr>
                <w:rFonts w:asciiTheme="minorEastAsia" w:eastAsiaTheme="minorEastAsia" w:hAnsiTheme="minorEastAsia" w:cstheme="minorEastAsia"/>
                <w:b/>
                <w:color w:val="000000"/>
                <w:sz w:val="20"/>
                <w:szCs w:val="20"/>
              </w:rPr>
              <w:t>决算数</w:t>
            </w:r>
          </w:p>
        </w:tc>
      </w:tr>
      <w:tr w:rsidR="00C110D3">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一、“三公”经费支出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四、机关运行经费</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szCs w:val="20"/>
              </w:rPr>
              <w:t>（一）支出合计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szCs w:val="20"/>
              </w:rPr>
              <w:t>（一）行政单位</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1</w:t>
            </w:r>
            <w:r>
              <w:rPr>
                <w:rFonts w:asciiTheme="minorEastAsia" w:eastAsiaTheme="minorEastAsia" w:hAnsiTheme="minorEastAsia" w:cstheme="minorEastAsia"/>
                <w:color w:val="000000"/>
                <w:sz w:val="20"/>
                <w:szCs w:val="20"/>
              </w:rPr>
              <w:t>．因公出国（境）费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szCs w:val="20"/>
              </w:rPr>
              <w:t>（二）参照公务员法管理事业单位</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2</w:t>
            </w:r>
            <w:r>
              <w:rPr>
                <w:rFonts w:asciiTheme="minorEastAsia" w:eastAsiaTheme="minorEastAsia" w:hAnsiTheme="minorEastAsia" w:cstheme="minorEastAsia"/>
                <w:color w:val="000000"/>
                <w:sz w:val="20"/>
                <w:szCs w:val="20"/>
              </w:rPr>
              <w:t>．公务用车购置及运行维护费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五、资产信息</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szCs w:val="20"/>
              </w:rPr>
              <w:t>（</w:t>
            </w:r>
            <w:r>
              <w:rPr>
                <w:rFonts w:asciiTheme="minorEastAsia" w:eastAsiaTheme="minorEastAsia" w:hAnsiTheme="minorEastAsia" w:cstheme="minorEastAsia"/>
                <w:color w:val="000000"/>
                <w:sz w:val="20"/>
                <w:szCs w:val="20"/>
              </w:rPr>
              <w:t>1</w:t>
            </w:r>
            <w:r>
              <w:rPr>
                <w:rFonts w:asciiTheme="minorEastAsia" w:eastAsiaTheme="minorEastAsia" w:hAnsiTheme="minorEastAsia" w:cstheme="minorEastAsia"/>
                <w:color w:val="000000"/>
                <w:sz w:val="20"/>
                <w:szCs w:val="20"/>
              </w:rPr>
              <w:t>）公务用车购置费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szCs w:val="20"/>
              </w:rPr>
              <w:t>（一）车辆数合计（辆）</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szCs w:val="20"/>
              </w:rPr>
              <w:t>（</w:t>
            </w:r>
            <w:r>
              <w:rPr>
                <w:rFonts w:asciiTheme="minorEastAsia" w:eastAsiaTheme="minorEastAsia" w:hAnsiTheme="minorEastAsia" w:cstheme="minorEastAsia"/>
                <w:color w:val="000000"/>
                <w:sz w:val="20"/>
                <w:szCs w:val="20"/>
              </w:rPr>
              <w:t>2</w:t>
            </w:r>
            <w:r>
              <w:rPr>
                <w:rFonts w:asciiTheme="minorEastAsia" w:eastAsiaTheme="minorEastAsia" w:hAnsiTheme="minorEastAsia" w:cstheme="minorEastAsia"/>
                <w:color w:val="000000"/>
                <w:sz w:val="20"/>
                <w:szCs w:val="20"/>
              </w:rPr>
              <w:t>）公务用车运行维护费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1</w:t>
            </w:r>
            <w:r>
              <w:rPr>
                <w:rFonts w:asciiTheme="minorEastAsia" w:eastAsiaTheme="minorEastAsia" w:hAnsiTheme="minorEastAsia" w:cstheme="minorEastAsia"/>
                <w:color w:val="000000"/>
                <w:sz w:val="20"/>
                <w:szCs w:val="20"/>
              </w:rPr>
              <w:t>．副部（省）级及以上领导用车</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3</w:t>
            </w:r>
            <w:r>
              <w:rPr>
                <w:rFonts w:asciiTheme="minorEastAsia" w:eastAsiaTheme="minorEastAsia" w:hAnsiTheme="minorEastAsia" w:cstheme="minorEastAsia"/>
                <w:color w:val="000000"/>
                <w:sz w:val="20"/>
                <w:szCs w:val="20"/>
              </w:rPr>
              <w:t>．公务接待费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2</w:t>
            </w:r>
            <w:r>
              <w:rPr>
                <w:rFonts w:asciiTheme="minorEastAsia" w:eastAsiaTheme="minorEastAsia" w:hAnsiTheme="minorEastAsia" w:cstheme="minorEastAsia"/>
                <w:color w:val="000000"/>
                <w:sz w:val="20"/>
                <w:szCs w:val="20"/>
              </w:rPr>
              <w:t>．主要领导干部用车</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szCs w:val="20"/>
              </w:rPr>
              <w:t>（</w:t>
            </w:r>
            <w:r>
              <w:rPr>
                <w:rFonts w:asciiTheme="minorEastAsia" w:eastAsiaTheme="minorEastAsia" w:hAnsiTheme="minorEastAsia" w:cstheme="minorEastAsia"/>
                <w:color w:val="000000"/>
                <w:sz w:val="20"/>
                <w:szCs w:val="20"/>
              </w:rPr>
              <w:t>1</w:t>
            </w:r>
            <w:r>
              <w:rPr>
                <w:rFonts w:asciiTheme="minorEastAsia" w:eastAsiaTheme="minorEastAsia" w:hAnsiTheme="minorEastAsia" w:cstheme="minorEastAsia"/>
                <w:color w:val="000000"/>
                <w:sz w:val="20"/>
                <w:szCs w:val="20"/>
              </w:rPr>
              <w:t>）国内接待费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3</w:t>
            </w:r>
            <w:r>
              <w:rPr>
                <w:rFonts w:asciiTheme="minorEastAsia" w:eastAsiaTheme="minorEastAsia" w:hAnsiTheme="minorEastAsia" w:cstheme="minorEastAsia"/>
                <w:color w:val="000000"/>
                <w:sz w:val="20"/>
                <w:szCs w:val="20"/>
              </w:rPr>
              <w:t>．机要通信用车</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szCs w:val="20"/>
              </w:rPr>
              <w:t>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4</w:t>
            </w:r>
            <w:r>
              <w:rPr>
                <w:rFonts w:asciiTheme="minorEastAsia" w:eastAsiaTheme="minorEastAsia" w:hAnsiTheme="minorEastAsia" w:cstheme="minorEastAsia"/>
                <w:color w:val="000000"/>
                <w:sz w:val="20"/>
                <w:szCs w:val="20"/>
              </w:rPr>
              <w:t>．应急保障用车</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szCs w:val="20"/>
              </w:rPr>
              <w:t>（</w:t>
            </w:r>
            <w:r>
              <w:rPr>
                <w:rFonts w:asciiTheme="minorEastAsia" w:eastAsiaTheme="minorEastAsia" w:hAnsiTheme="minorEastAsia" w:cstheme="minorEastAsia"/>
                <w:color w:val="000000"/>
                <w:sz w:val="20"/>
                <w:szCs w:val="20"/>
              </w:rPr>
              <w:t>2</w:t>
            </w:r>
            <w:r>
              <w:rPr>
                <w:rFonts w:asciiTheme="minorEastAsia" w:eastAsiaTheme="minorEastAsia" w:hAnsiTheme="minorEastAsia" w:cstheme="minorEastAsia"/>
                <w:color w:val="000000"/>
                <w:sz w:val="20"/>
                <w:szCs w:val="20"/>
              </w:rPr>
              <w:t>）国（境）外接待费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5</w:t>
            </w:r>
            <w:r>
              <w:rPr>
                <w:rFonts w:asciiTheme="minorEastAsia" w:eastAsiaTheme="minorEastAsia" w:hAnsiTheme="minorEastAsia" w:cstheme="minorEastAsia"/>
                <w:color w:val="000000"/>
                <w:sz w:val="20"/>
                <w:szCs w:val="20"/>
              </w:rPr>
              <w:t>．执法执勤用车</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szCs w:val="20"/>
              </w:rPr>
              <w:t>（二）相关统计数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6</w:t>
            </w:r>
            <w:r>
              <w:rPr>
                <w:rFonts w:asciiTheme="minorEastAsia" w:eastAsiaTheme="minorEastAsia" w:hAnsiTheme="minorEastAsia" w:cstheme="minorEastAsia"/>
                <w:color w:val="000000"/>
                <w:sz w:val="20"/>
                <w:szCs w:val="20"/>
              </w:rPr>
              <w:t>．特种专业技术用车</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1</w:t>
            </w:r>
            <w:r>
              <w:rPr>
                <w:rFonts w:asciiTheme="minorEastAsia" w:eastAsiaTheme="minorEastAsia" w:hAnsiTheme="minorEastAsia" w:cstheme="minorEastAsia"/>
                <w:color w:val="000000"/>
                <w:sz w:val="20"/>
                <w:szCs w:val="20"/>
              </w:rPr>
              <w:t>．因公出国（境）团组数（个）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7</w:t>
            </w:r>
            <w:r>
              <w:rPr>
                <w:rFonts w:asciiTheme="minorEastAsia" w:eastAsiaTheme="minorEastAsia" w:hAnsiTheme="minorEastAsia" w:cstheme="minorEastAsia"/>
                <w:color w:val="000000"/>
                <w:sz w:val="20"/>
                <w:szCs w:val="20"/>
              </w:rPr>
              <w:t>．离退休干部用车</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2</w:t>
            </w:r>
            <w:r>
              <w:rPr>
                <w:rFonts w:asciiTheme="minorEastAsia" w:eastAsiaTheme="minorEastAsia" w:hAnsiTheme="minorEastAsia" w:cstheme="minorEastAsia"/>
                <w:color w:val="000000"/>
                <w:sz w:val="20"/>
                <w:szCs w:val="20"/>
              </w:rPr>
              <w:t>．因公出国（境）人次数（人）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8</w:t>
            </w:r>
            <w:r>
              <w:rPr>
                <w:rFonts w:asciiTheme="minorEastAsia" w:eastAsiaTheme="minorEastAsia" w:hAnsiTheme="minorEastAsia" w:cstheme="minorEastAsia"/>
                <w:color w:val="000000"/>
                <w:sz w:val="20"/>
                <w:szCs w:val="20"/>
              </w:rPr>
              <w:t>．其他用车</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3</w:t>
            </w:r>
            <w:r>
              <w:rPr>
                <w:rFonts w:asciiTheme="minorEastAsia" w:eastAsiaTheme="minorEastAsia" w:hAnsiTheme="minorEastAsia" w:cstheme="minorEastAsia"/>
                <w:color w:val="000000"/>
                <w:sz w:val="20"/>
                <w:szCs w:val="20"/>
              </w:rPr>
              <w:t>．公务用车购置数（辆）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szCs w:val="20"/>
              </w:rPr>
              <w:t>（二）单价</w:t>
            </w:r>
            <w:r>
              <w:rPr>
                <w:rFonts w:asciiTheme="minorEastAsia" w:eastAsiaTheme="minorEastAsia" w:hAnsiTheme="minorEastAsia" w:cstheme="minorEastAsia"/>
                <w:color w:val="000000"/>
                <w:sz w:val="20"/>
                <w:szCs w:val="20"/>
              </w:rPr>
              <w:t>100</w:t>
            </w:r>
            <w:r>
              <w:rPr>
                <w:rFonts w:asciiTheme="minorEastAsia" w:eastAsiaTheme="minorEastAsia" w:hAnsiTheme="minorEastAsia" w:cstheme="minorEastAsia"/>
                <w:color w:val="000000"/>
                <w:sz w:val="20"/>
                <w:szCs w:val="20"/>
              </w:rPr>
              <w:t>万元（含）以上设备（不含车辆）</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4</w:t>
            </w:r>
            <w:r>
              <w:rPr>
                <w:rFonts w:asciiTheme="minorEastAsia" w:eastAsiaTheme="minorEastAsia" w:hAnsiTheme="minorEastAsia" w:cstheme="minorEastAsia"/>
                <w:color w:val="000000"/>
                <w:sz w:val="20"/>
                <w:szCs w:val="20"/>
              </w:rPr>
              <w:t>．公务用车保有量（辆）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六、政府采购支出信息</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5</w:t>
            </w:r>
            <w:r>
              <w:rPr>
                <w:rFonts w:asciiTheme="minorEastAsia" w:eastAsiaTheme="minorEastAsia" w:hAnsiTheme="minorEastAsia" w:cstheme="minorEastAsia"/>
                <w:color w:val="000000"/>
                <w:sz w:val="20"/>
                <w:szCs w:val="20"/>
              </w:rPr>
              <w:t>．国内公务接待批次（个）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szCs w:val="20"/>
              </w:rPr>
              <w:t>（一）政府采购支出合计</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szCs w:val="20"/>
              </w:rPr>
              <w:t>其中：外事接待批次（个）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1</w:t>
            </w:r>
            <w:r>
              <w:rPr>
                <w:rFonts w:asciiTheme="minorEastAsia" w:eastAsiaTheme="minorEastAsia" w:hAnsiTheme="minorEastAsia" w:cstheme="minorEastAsia"/>
                <w:color w:val="000000"/>
                <w:sz w:val="20"/>
                <w:szCs w:val="20"/>
              </w:rPr>
              <w:t>．政府采购货物支出</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6</w:t>
            </w:r>
            <w:r>
              <w:rPr>
                <w:rFonts w:asciiTheme="minorEastAsia" w:eastAsiaTheme="minorEastAsia" w:hAnsiTheme="minorEastAsia" w:cstheme="minorEastAsia"/>
                <w:color w:val="000000"/>
                <w:sz w:val="20"/>
                <w:szCs w:val="20"/>
              </w:rPr>
              <w:t>．国内公务接待人次（人）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2</w:t>
            </w:r>
            <w:r>
              <w:rPr>
                <w:rFonts w:asciiTheme="minorEastAsia" w:eastAsiaTheme="minorEastAsia" w:hAnsiTheme="minorEastAsia" w:cstheme="minorEastAsia"/>
                <w:color w:val="000000"/>
                <w:sz w:val="20"/>
                <w:szCs w:val="20"/>
              </w:rPr>
              <w:t>．政府采购工程支出</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szCs w:val="20"/>
              </w:rPr>
              <w:t>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3</w:t>
            </w:r>
            <w:r>
              <w:rPr>
                <w:rFonts w:asciiTheme="minorEastAsia" w:eastAsiaTheme="minorEastAsia" w:hAnsiTheme="minorEastAsia" w:cstheme="minorEastAsia"/>
                <w:color w:val="000000"/>
                <w:sz w:val="20"/>
                <w:szCs w:val="20"/>
              </w:rPr>
              <w:t>．政府采购服务支出</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7</w:t>
            </w:r>
            <w:r>
              <w:rPr>
                <w:rFonts w:asciiTheme="minorEastAsia" w:eastAsiaTheme="minorEastAsia" w:hAnsiTheme="minorEastAsia" w:cstheme="minorEastAsia"/>
                <w:color w:val="000000"/>
                <w:sz w:val="20"/>
                <w:szCs w:val="20"/>
              </w:rPr>
              <w:t>．国（境）外公务接待批次（个）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szCs w:val="20"/>
              </w:rPr>
              <w:t>（二）政府采购授予中小企业合同金额</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8</w:t>
            </w:r>
            <w:r>
              <w:rPr>
                <w:rFonts w:asciiTheme="minorEastAsia" w:eastAsiaTheme="minorEastAsia" w:hAnsiTheme="minorEastAsia" w:cstheme="minorEastAsia"/>
                <w:color w:val="000000"/>
                <w:sz w:val="20"/>
                <w:szCs w:val="20"/>
              </w:rPr>
              <w:t>．国（境）外公务接待人次（人）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r>
              <w:rPr>
                <w:rFonts w:asciiTheme="minorEastAsia" w:eastAsiaTheme="minorEastAsia" w:hAnsiTheme="minorEastAsia" w:cstheme="minorEastAsia"/>
                <w:color w:val="000000"/>
                <w:sz w:val="20"/>
                <w:szCs w:val="20"/>
              </w:rPr>
              <w:t>其中：授予小微企业合同金额</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r>
      <w:tr w:rsidR="00C110D3">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20"/>
                <w:szCs w:val="20"/>
              </w:rPr>
            </w:pP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C110D3">
            <w:pPr>
              <w:spacing w:line="200" w:lineRule="exact"/>
              <w:jc w:val="right"/>
              <w:rPr>
                <w:rFonts w:asciiTheme="minorEastAsia" w:eastAsiaTheme="minorEastAsia" w:hAnsiTheme="minorEastAsia" w:cstheme="minorEastAsia" w:hint="default"/>
                <w:color w:val="000000"/>
                <w:sz w:val="20"/>
                <w:szCs w:val="20"/>
              </w:rPr>
            </w:pPr>
          </w:p>
        </w:tc>
      </w:tr>
      <w:tr w:rsidR="00C110D3">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B96975">
            <w:pPr>
              <w:spacing w:line="200" w:lineRule="exact"/>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110D3" w:rsidRDefault="00B96975">
            <w:pPr>
              <w:spacing w:line="200" w:lineRule="exact"/>
              <w:jc w:val="center"/>
              <w:textAlignment w:val="center"/>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B96975">
            <w:pPr>
              <w:spacing w:line="200" w:lineRule="exact"/>
              <w:jc w:val="right"/>
              <w:textAlignment w:val="bottom"/>
              <w:rPr>
                <w:rFonts w:asciiTheme="minorEastAsia" w:eastAsiaTheme="minorEastAsia" w:hAnsiTheme="minorEastAsia" w:cstheme="minorEastAsia" w:hint="default"/>
                <w:color w:val="000000"/>
                <w:sz w:val="20"/>
                <w:szCs w:val="20"/>
              </w:rPr>
            </w:pPr>
            <w:r>
              <w:rPr>
                <w:rFonts w:asciiTheme="minorEastAsia" w:eastAsiaTheme="minorEastAsia" w:hAnsiTheme="minorEastAsia" w:cstheme="minorEastAsia"/>
                <w:color w:val="000000"/>
                <w:sz w:val="20"/>
                <w:szCs w:val="20"/>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110D3" w:rsidRDefault="00C110D3">
            <w:pPr>
              <w:spacing w:line="200" w:lineRule="exact"/>
              <w:rPr>
                <w:rFonts w:asciiTheme="minorEastAsia" w:eastAsiaTheme="minorEastAsia" w:hAnsiTheme="minorEastAsia" w:cstheme="minorEastAsia" w:hint="default"/>
                <w:color w:val="000000"/>
                <w:sz w:val="20"/>
                <w:szCs w:val="20"/>
              </w:rPr>
            </w:pP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110D3" w:rsidRDefault="00C110D3">
            <w:pPr>
              <w:spacing w:line="200" w:lineRule="exact"/>
              <w:jc w:val="right"/>
              <w:rPr>
                <w:rFonts w:asciiTheme="minorEastAsia" w:eastAsiaTheme="minorEastAsia" w:hAnsiTheme="minorEastAsia" w:cstheme="minorEastAsia" w:hint="default"/>
                <w:color w:val="000000"/>
                <w:sz w:val="20"/>
                <w:szCs w:val="20"/>
              </w:rPr>
            </w:pPr>
          </w:p>
        </w:tc>
      </w:tr>
    </w:tbl>
    <w:p w:rsidR="00C110D3" w:rsidRDefault="00B96975">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本表反映单位本年度财政拨款“三公”经费支出预决算情况。其中，预算数为“三公”经费全年预算数，反映按规定程序调整后的预算数；决算数为包括本年度</w:t>
      </w:r>
    </w:p>
    <w:p w:rsidR="00C110D3" w:rsidRDefault="00B96975">
      <w:pPr>
        <w:rPr>
          <w:rFonts w:cs="宋体" w:hint="default"/>
          <w:color w:val="000000" w:themeColor="text1"/>
          <w:sz w:val="32"/>
          <w:szCs w:val="32"/>
        </w:rPr>
      </w:pPr>
      <w:r>
        <w:rPr>
          <w:rFonts w:cs="宋体"/>
          <w:sz w:val="20"/>
          <w:szCs w:val="20"/>
        </w:rPr>
        <w:t xml:space="preserve">  </w:t>
      </w:r>
      <w:r>
        <w:rPr>
          <w:rFonts w:cs="宋体"/>
          <w:sz w:val="20"/>
          <w:szCs w:val="20"/>
        </w:rPr>
        <w:t xml:space="preserve">  </w:t>
      </w:r>
      <w:r>
        <w:rPr>
          <w:rFonts w:cs="宋体"/>
          <w:sz w:val="20"/>
          <w:szCs w:val="20"/>
        </w:rPr>
        <w:t xml:space="preserve">    </w:t>
      </w:r>
      <w:r>
        <w:rPr>
          <w:rFonts w:cs="宋体"/>
          <w:sz w:val="20"/>
          <w:szCs w:val="20"/>
        </w:rPr>
        <w:t>财政拨款和以前年度结转资金安排的实际支出。</w:t>
      </w:r>
      <w:r>
        <w:rPr>
          <w:rFonts w:cs="宋体"/>
          <w:sz w:val="20"/>
          <w:szCs w:val="20"/>
        </w:rPr>
        <w:br/>
        <w:t xml:space="preserve">      2.</w:t>
      </w:r>
      <w:r>
        <w:rPr>
          <w:rFonts w:cs="宋体"/>
          <w:sz w:val="20"/>
          <w:szCs w:val="20"/>
        </w:rPr>
        <w:t>本套报表金额单位转换时可能存在尾数误差。</w:t>
      </w:r>
      <w:r>
        <w:rPr>
          <w:rFonts w:cs="宋体"/>
          <w:sz w:val="20"/>
          <w:szCs w:val="20"/>
        </w:rPr>
        <w:br/>
      </w:r>
    </w:p>
    <w:sectPr w:rsidR="00C110D3">
      <w:headerReference w:type="default" r:id="rId9"/>
      <w:footerReference w:type="default" r:id="rId10"/>
      <w:pgSz w:w="16839" w:h="11907" w:orient="landscape"/>
      <w:pgMar w:top="567" w:right="454" w:bottom="567" w:left="1037" w:header="567" w:footer="397" w:gutter="0"/>
      <w:cols w:space="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975" w:rsidRDefault="00B96975">
      <w:pPr>
        <w:rPr>
          <w:rFonts w:hint="default"/>
        </w:rPr>
      </w:pPr>
      <w:r>
        <w:separator/>
      </w:r>
    </w:p>
  </w:endnote>
  <w:endnote w:type="continuationSeparator" w:id="0">
    <w:p w:rsidR="00B96975" w:rsidRDefault="00B9697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0D3" w:rsidRDefault="00B96975">
    <w:pPr>
      <w:pStyle w:val="a5"/>
      <w:rPr>
        <w:rFonts w:hint="default"/>
      </w:rPr>
    </w:pPr>
    <w:r>
      <w:rPr>
        <w:rFonts w:hint="default"/>
      </w:rPr>
      <w:pict>
        <v:shapetype id="_x0000_t202" coordsize="21600,21600" o:spt="202" path="m,l,21600r21600,l21600,xe">
          <v:stroke joinstyle="miter"/>
          <v:path gradientshapeok="t" o:connecttype="rect"/>
        </v:shapetype>
        <v:shape id="_x0000_s3073" type="#_x0000_t202" style="position:absolute;margin-left:92.8pt;margin-top:0;width:2in;height:2in;z-index:251661312;mso-wrap-style:none;mso-position-horizontal:outside;mso-position-horizontal-relative:margin;mso-width-relative:page;mso-height-relative:page" filled="f" stroked="f">
          <v:textbox style="mso-fit-shape-to-text:t" inset="0,0,0,0">
            <w:txbxContent>
              <w:p w:rsidR="00C110D3" w:rsidRDefault="00B96975">
                <w:pPr>
                  <w:pStyle w:val="a5"/>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 xml:space="preserve"> PAGE  \* MERGEFORMAT </w:instrText>
                </w:r>
                <w:r>
                  <w:rPr>
                    <w:rFonts w:asciiTheme="minorEastAsia" w:eastAsiaTheme="minorEastAsia" w:hAnsiTheme="minorEastAsia" w:cstheme="minorEastAsia"/>
                    <w:sz w:val="28"/>
                    <w:szCs w:val="28"/>
                  </w:rPr>
                  <w:fldChar w:fldCharType="separate"/>
                </w:r>
                <w:r w:rsidR="00C3515E">
                  <w:rPr>
                    <w:rFonts w:asciiTheme="minorEastAsia" w:eastAsiaTheme="minorEastAsia" w:hAnsiTheme="minorEastAsia" w:cstheme="minorEastAsia" w:hint="default"/>
                    <w:noProof/>
                    <w:sz w:val="28"/>
                    <w:szCs w:val="28"/>
                  </w:rPr>
                  <w:t>5</w:t>
                </w:r>
                <w:r>
                  <w:rPr>
                    <w:rFonts w:asciiTheme="minorEastAsia" w:eastAsiaTheme="minorEastAsia" w:hAnsiTheme="minorEastAsia" w:cstheme="minorEastAsia"/>
                    <w:sz w:val="28"/>
                    <w:szCs w:val="28"/>
                  </w:rPr>
                  <w:fldChar w:fldCharType="end"/>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t>—</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0D3" w:rsidRDefault="00B96975">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3074" type="#_x0000_t202" style="position:absolute;left:0;text-align:left;margin-left:92.8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C110D3" w:rsidRDefault="00B96975">
                <w:pPr>
                  <w:pStyle w:val="a5"/>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t>—</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PAGE   \* MERGEFORMAT</w:instrText>
                </w:r>
                <w:r>
                  <w:rPr>
                    <w:rFonts w:asciiTheme="minorEastAsia" w:eastAsiaTheme="minorEastAsia" w:hAnsiTheme="minorEastAsia" w:cstheme="minorEastAsia"/>
                    <w:sz w:val="28"/>
                    <w:szCs w:val="28"/>
                  </w:rPr>
                  <w:fldChar w:fldCharType="separate"/>
                </w:r>
                <w:r w:rsidR="00C3515E" w:rsidRPr="00C3515E">
                  <w:rPr>
                    <w:rFonts w:asciiTheme="minorEastAsia" w:eastAsiaTheme="minorEastAsia" w:hAnsiTheme="minorEastAsia" w:cstheme="minorEastAsia" w:hint="default"/>
                    <w:noProof/>
                    <w:sz w:val="28"/>
                    <w:szCs w:val="28"/>
                    <w:lang w:val="zh-CN"/>
                  </w:rPr>
                  <w:t>11</w:t>
                </w:r>
                <w:r>
                  <w:rPr>
                    <w:rFonts w:asciiTheme="minorEastAsia" w:eastAsiaTheme="minorEastAsia" w:hAnsiTheme="minorEastAsia" w:cstheme="minorEastAsia"/>
                    <w:sz w:val="28"/>
                    <w:szCs w:val="28"/>
                  </w:rPr>
                  <w:fldChar w:fldCharType="end"/>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t>—</w:t>
                </w:r>
                <w:r>
                  <w:rPr>
                    <w:rFonts w:asciiTheme="minorEastAsia" w:eastAsiaTheme="minorEastAsia" w:hAnsiTheme="minorEastAsia" w:cstheme="minorEastAsia"/>
                    <w:sz w:val="28"/>
                    <w:szCs w:val="28"/>
                  </w:rPr>
                  <w:t xml:space="preserve"> </w:t>
                </w:r>
              </w:p>
            </w:txbxContent>
          </v:textbox>
          <w10:wrap anchorx="margin"/>
        </v:shape>
      </w:pict>
    </w:r>
    <w:r>
      <w:rPr>
        <w:rFonts w:hint="default"/>
      </w:rPr>
      <w:pict>
        <v:shape id="_x0000_s3075"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C110D3" w:rsidRDefault="00B96975">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975" w:rsidRDefault="00B96975">
      <w:pPr>
        <w:rPr>
          <w:rFonts w:hint="default"/>
        </w:rPr>
      </w:pPr>
      <w:r>
        <w:separator/>
      </w:r>
    </w:p>
  </w:footnote>
  <w:footnote w:type="continuationSeparator" w:id="0">
    <w:p w:rsidR="00B96975" w:rsidRDefault="00B96975">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0D3" w:rsidRDefault="00C110D3">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EwYWJmOWVhYTNkNGE4N2MyYmNmMGI2MzQ2ZDRjMGIifQ=="/>
    <w:docVar w:name="KSO_WPS_MARK_KEY" w:val="ab6c82cb-6ee7-4446-96b5-5ae8ce69a27b"/>
  </w:docVars>
  <w:rsids>
    <w:rsidRoot w:val="00172A27"/>
    <w:rsid w:val="000239C6"/>
    <w:rsid w:val="00172A27"/>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96975"/>
    <w:rsid w:val="00BE2B89"/>
    <w:rsid w:val="00C10E9E"/>
    <w:rsid w:val="00C110D3"/>
    <w:rsid w:val="00C20C3E"/>
    <w:rsid w:val="00C3515E"/>
    <w:rsid w:val="00CF2ACF"/>
    <w:rsid w:val="00F73F90"/>
    <w:rsid w:val="00FB4B3B"/>
    <w:rsid w:val="01474EBF"/>
    <w:rsid w:val="01F3521E"/>
    <w:rsid w:val="03B87EA0"/>
    <w:rsid w:val="03E3214F"/>
    <w:rsid w:val="044C50BA"/>
    <w:rsid w:val="053C4F9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5E04B4"/>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262661"/>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CD33F1A"/>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585BAC"/>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A63FDB"/>
    <w:rsid w:val="5A3B59D6"/>
    <w:rsid w:val="5AD134D8"/>
    <w:rsid w:val="5C263CE4"/>
    <w:rsid w:val="5C5D2777"/>
    <w:rsid w:val="5CF66BF3"/>
    <w:rsid w:val="5D290C69"/>
    <w:rsid w:val="5F2D4A41"/>
    <w:rsid w:val="60C74F6C"/>
    <w:rsid w:val="61025A59"/>
    <w:rsid w:val="613D5BBC"/>
    <w:rsid w:val="61536C39"/>
    <w:rsid w:val="61E11C1E"/>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unhideWhenUsed="1" w:qFormat="1"/>
    <w:lsdException w:name="header" w:qFormat="1"/>
    <w:lsdException w:name="footer" w:qFormat="1"/>
    <w:lsdException w:name="caption" w:semiHidden="1" w:unhideWhenUsed="1" w:qFormat="1"/>
    <w:lsdException w:name="page number"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6"/>
    <w:uiPriority w:val="1"/>
    <w:qFormat/>
    <w:rPr>
      <w:rFonts w:ascii="方正仿宋_GBK" w:eastAsia="方正仿宋_GBK" w:hAnsi="方正仿宋_GBK" w:cs="方正仿宋_GBK"/>
      <w:sz w:val="32"/>
      <w:szCs w:val="32"/>
      <w:lang w:val="zh-CN" w:bidi="zh-CN"/>
    </w:rPr>
  </w:style>
  <w:style w:type="paragraph" w:styleId="6">
    <w:name w:val="index 6"/>
    <w:basedOn w:val="a"/>
    <w:next w:val="a"/>
    <w:uiPriority w:val="99"/>
    <w:unhideWhenUsed/>
    <w:qFormat/>
    <w:pPr>
      <w:ind w:left="210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4"/>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1796</Words>
  <Characters>10238</Characters>
  <Application>Microsoft Office Word</Application>
  <DocSecurity>0</DocSecurity>
  <Lines>85</Lines>
  <Paragraphs>24</Paragraphs>
  <ScaleCrop>false</ScaleCrop>
  <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谢杰</cp:lastModifiedBy>
  <cp:revision>12</cp:revision>
  <dcterms:created xsi:type="dcterms:W3CDTF">2024-07-11T02:00:00Z</dcterms:created>
  <dcterms:modified xsi:type="dcterms:W3CDTF">2024-11-30T09:53:00Z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