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重庆市九龙坡区发展和改革委员会</w:t>
      </w:r>
    </w:p>
    <w:p>
      <w:pPr>
        <w:spacing w:after="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民主村社区和劳动一村社区屋顶漏水整治项目</w:t>
      </w:r>
      <w:r>
        <w:rPr>
          <w:rFonts w:hint="eastAsia" w:ascii="方正小标宋_GBK" w:eastAsia="方正小标宋_GBK"/>
          <w:bCs/>
          <w:sz w:val="44"/>
          <w:szCs w:val="44"/>
        </w:rPr>
        <w:t>概算的批复</w:t>
      </w:r>
    </w:p>
    <w:p>
      <w:pPr>
        <w:spacing w:after="0"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ascii="方正仿宋_GBK" w:hAnsi="黑体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重庆市九龙坡区谢家湾街道办事处、重庆九龙坡城市更新建设有限公司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方正仿宋_GBK" w:hAnsi="黑体" w:eastAsia="方正仿宋_GBK"/>
          <w:snapToGrid w:val="0"/>
          <w:sz w:val="32"/>
          <w:szCs w:val="32"/>
        </w:rPr>
      </w:pPr>
      <w:r>
        <w:rPr>
          <w:rFonts w:hint="eastAsia" w:ascii="方正仿宋_GBK" w:hAnsi="黑体" w:eastAsia="方正仿宋_GBK"/>
          <w:snapToGrid w:val="0"/>
          <w:sz w:val="32"/>
          <w:szCs w:val="32"/>
        </w:rPr>
        <w:t>你单位《关于审批</w:t>
      </w:r>
      <w:r>
        <w:rPr>
          <w:rFonts w:hint="eastAsia" w:ascii="方正仿宋_GBK" w:hAnsi="黑体" w:eastAsia="方正仿宋_GBK"/>
          <w:snapToGrid w:val="0"/>
          <w:sz w:val="32"/>
          <w:szCs w:val="32"/>
          <w:lang w:eastAsia="zh-CN"/>
        </w:rPr>
        <w:t>民主村社区和劳动一村社区屋顶漏水整治项目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总投资概算的</w:t>
      </w:r>
      <w:r>
        <w:rPr>
          <w:rFonts w:hint="eastAsia" w:ascii="方正仿宋_GBK" w:eastAsia="方正仿宋_GBK"/>
          <w:snapToGrid w:val="0"/>
          <w:sz w:val="32"/>
          <w:szCs w:val="32"/>
        </w:rPr>
        <w:t>函》（谢街处函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〔2024〕219号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napToGrid w:val="0"/>
          <w:sz w:val="32"/>
          <w:szCs w:val="32"/>
        </w:rPr>
        <w:t>及相关资料收悉。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根据区政府</w:t>
      </w:r>
      <w:r>
        <w:rPr>
          <w:rFonts w:hint="eastAsia" w:ascii="方正仿宋_GBK" w:eastAsia="方正仿宋_GBK"/>
          <w:snapToGrid w:val="0"/>
          <w:sz w:val="32"/>
          <w:szCs w:val="32"/>
          <w:lang w:val="en-US"/>
        </w:rPr>
        <w:t>主要领导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及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有关领导批示</w:t>
      </w:r>
      <w:r>
        <w:rPr>
          <w:rFonts w:hint="eastAsia" w:ascii="方正仿宋_GBK" w:eastAsia="方正仿宋_GBK"/>
          <w:snapToGrid w:val="0"/>
          <w:sz w:val="32"/>
          <w:szCs w:val="32"/>
        </w:rPr>
        <w:t>，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结合重庆鸿森工程项目管理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  <w:r>
        <w:rPr>
          <w:rFonts w:hint="eastAsia" w:ascii="方正仿宋_GBK" w:hAnsi="方正仿宋_GBK" w:eastAsia="方正仿宋_GBK"/>
          <w:bCs/>
          <w:sz w:val="32"/>
          <w:szCs w:val="32"/>
        </w:rPr>
        <w:t>出具的审核报告</w:t>
      </w:r>
      <w:r>
        <w:rPr>
          <w:rFonts w:hint="eastAsia" w:ascii="方正仿宋_GBK" w:hAnsi="方正仿宋_GBK" w:eastAsia="方正仿宋_GBK"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HSZJ-2024-067号）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经研究，现将该项目投资概算批复如下：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方正仿宋_GBK" w:hAnsi="黑体" w:eastAsia="方正仿宋_GBK"/>
          <w:snapToGrid w:val="0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</w:rPr>
        <w:t>一、项目法人：</w:t>
      </w:r>
      <w:r>
        <w:rPr>
          <w:rFonts w:hint="eastAsia" w:ascii="方正仿宋_GBK" w:hAnsi="仿宋" w:eastAsia="方正仿宋_GBK"/>
          <w:sz w:val="32"/>
          <w:lang w:eastAsia="zh-CN"/>
        </w:rPr>
        <w:t>重庆市九龙坡区谢家湾街道办事处、重庆九龙坡城市更新建设有限公司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方正仿宋_GBK" w:hAnsi="黑体" w:eastAsia="方正仿宋_GBK"/>
          <w:snapToGrid w:val="0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</w:rPr>
        <w:t>二、建设地址：</w:t>
      </w:r>
      <w:r>
        <w:rPr>
          <w:rFonts w:hint="eastAsia" w:ascii="方正仿宋_GBK" w:hAnsi="Times New Roman" w:eastAsia="方正仿宋_GBK" w:cs="Times New Roman"/>
          <w:color w:val="auto"/>
          <w:sz w:val="32"/>
          <w:lang w:val="en-US" w:eastAsia="zh-CN"/>
        </w:rPr>
        <w:t>谢家湾街道民主村社区和劳动一村社区</w:t>
      </w:r>
      <w:r>
        <w:rPr>
          <w:rFonts w:hint="eastAsia" w:ascii="方正仿宋_GBK" w:hAnsi="仿宋" w:eastAsia="方正仿宋_GBK"/>
          <w:sz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</w:rPr>
        <w:t>三、建设规模及内容：</w:t>
      </w:r>
      <w:r>
        <w:rPr>
          <w:rFonts w:hint="eastAsia" w:ascii="方正仿宋_GBK" w:hAnsi="Times New Roman" w:eastAsia="方正仿宋_GBK" w:cs="Times New Roman"/>
          <w:color w:val="auto"/>
          <w:sz w:val="32"/>
          <w:lang w:val="zh-CN" w:eastAsia="zh-CN"/>
        </w:rPr>
        <w:t>漏水整治</w:t>
      </w:r>
      <w:r>
        <w:rPr>
          <w:rFonts w:hint="eastAsia" w:ascii="方正仿宋_GBK" w:hAnsi="Times New Roman" w:eastAsia="方正仿宋_GBK" w:cs="Times New Roman"/>
          <w:color w:val="auto"/>
          <w:sz w:val="32"/>
          <w:lang w:val="en-US" w:eastAsia="zh-CN"/>
        </w:rPr>
        <w:t>：漏水楼栋共涉及21栋49个单元，屋面漏水面积约1.43万方</w:t>
      </w:r>
      <w:r>
        <w:rPr>
          <w:rFonts w:hint="eastAsia" w:ascii="方正仿宋_GBK" w:hAnsi="Calibri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方正仿宋_GBK" w:hAnsi="黑体" w:eastAsia="方正仿宋_GBK"/>
          <w:snapToGrid w:val="0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</w:rPr>
        <w:t>四、总投资及资金来源：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项目总投资概算</w:t>
      </w:r>
      <w:r>
        <w:rPr>
          <w:rFonts w:hint="eastAsia" w:ascii="方正仿宋_GBK" w:hAnsi="黑体" w:eastAsia="方正仿宋_GBK"/>
          <w:snapToGrid w:val="0"/>
          <w:sz w:val="32"/>
          <w:szCs w:val="32"/>
          <w:lang w:eastAsia="zh-CN"/>
        </w:rPr>
        <w:t>311.12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万元，其中：工程费用</w:t>
      </w:r>
      <w:r>
        <w:rPr>
          <w:rFonts w:hint="eastAsia" w:ascii="方正仿宋_GBK" w:hAnsi="黑体" w:eastAsia="方正仿宋_GBK"/>
          <w:snapToGrid w:val="0"/>
          <w:sz w:val="32"/>
          <w:szCs w:val="32"/>
          <w:lang w:val="en-US" w:eastAsia="zh-CN"/>
        </w:rPr>
        <w:t>281.08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万元，工程建设其他费用</w:t>
      </w:r>
      <w:r>
        <w:rPr>
          <w:rFonts w:hint="eastAsia" w:ascii="方正仿宋_GBK" w:hAnsi="黑体" w:eastAsia="方正仿宋_GBK"/>
          <w:snapToGrid w:val="0"/>
          <w:sz w:val="32"/>
          <w:szCs w:val="32"/>
          <w:lang w:val="en-US" w:eastAsia="zh-CN"/>
        </w:rPr>
        <w:t>15.23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万元，预备费</w:t>
      </w:r>
      <w:r>
        <w:rPr>
          <w:rFonts w:hint="eastAsia" w:ascii="方正仿宋_GBK" w:hAnsi="黑体" w:eastAsia="方正仿宋_GBK"/>
          <w:snapToGrid w:val="0"/>
          <w:sz w:val="32"/>
          <w:szCs w:val="32"/>
          <w:lang w:val="en-US" w:eastAsia="zh-CN"/>
        </w:rPr>
        <w:t>14.82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万元。</w:t>
      </w:r>
      <w:r>
        <w:rPr>
          <w:rFonts w:hint="eastAsia" w:ascii="方正仿宋_GBK" w:hAnsi="Times New Roman" w:eastAsia="方正仿宋_GBK" w:cs="Times New Roman"/>
          <w:color w:val="auto"/>
          <w:sz w:val="32"/>
          <w:lang w:val="en-US" w:eastAsia="zh-CN"/>
        </w:rPr>
        <w:t>资金来源由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重庆九龙坡城市更新建设有限公司</w:t>
      </w:r>
      <w:r>
        <w:rPr>
          <w:rFonts w:hint="eastAsia" w:ascii="方正仿宋_GBK" w:hAnsi="Times New Roman" w:eastAsia="方正仿宋_GBK" w:cs="Times New Roman"/>
          <w:color w:val="auto"/>
          <w:sz w:val="32"/>
          <w:lang w:val="en-US" w:eastAsia="zh-CN"/>
        </w:rPr>
        <w:t>保障</w:t>
      </w:r>
      <w:r>
        <w:rPr>
          <w:rFonts w:hint="eastAsia" w:ascii="方正仿宋_GBK" w:hAnsi="黑体" w:eastAsia="方正仿宋_GBK"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15"/>
        <w:jc w:val="both"/>
        <w:textAlignment w:val="auto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</w:rPr>
        <w:t>五、相关要求：</w:t>
      </w:r>
      <w:r>
        <w:rPr>
          <w:rFonts w:hint="eastAsia" w:ascii="方正仿宋_GBK" w:eastAsia="方正仿宋_GBK"/>
          <w:snapToGrid w:val="0"/>
          <w:sz w:val="32"/>
          <w:szCs w:val="32"/>
        </w:rPr>
        <w:t>工程建设要严格执行项目法人责任制、招投标制、建设监理制和合同管理制，严格控制建设工程投资。若在实施项目中发生设计变更或出现新增建设内容，必须重新申报我委并转送相关部门，动用预备费需经我委同意后方能使用。请按经批准的工程项目投资概算精心组织施工，加强建设规范管理，确保工程顺利建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黑体" w:eastAsia="方正仿宋_GBK"/>
          <w:snapToGrid w:val="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民主村社区和劳动一村社区屋顶漏水整治项目</w:t>
      </w:r>
      <w:r>
        <w:rPr>
          <w:rFonts w:hint="eastAsia" w:ascii="方正仿宋_GBK" w:eastAsia="方正仿宋_GBK"/>
          <w:snapToGrid w:val="0"/>
          <w:sz w:val="32"/>
          <w:szCs w:val="32"/>
        </w:rPr>
        <w:t>总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投资概算表</w:t>
      </w:r>
    </w:p>
    <w:p>
      <w:pPr>
        <w:spacing w:after="0" w:line="520" w:lineRule="exact"/>
        <w:jc w:val="right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重庆市九龙坡区发展和改革委员会</w:t>
      </w:r>
    </w:p>
    <w:p>
      <w:pPr>
        <w:spacing w:after="0" w:line="520" w:lineRule="exact"/>
        <w:ind w:firstLine="5920" w:firstLineChars="1850"/>
        <w:jc w:val="both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napToGrid w:val="0"/>
          <w:sz w:val="32"/>
          <w:szCs w:val="32"/>
        </w:rPr>
        <w:t>年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napToGrid w:val="0"/>
          <w:sz w:val="32"/>
          <w:szCs w:val="32"/>
        </w:rPr>
        <w:t>月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snapToGrid w:val="0"/>
          <w:sz w:val="32"/>
          <w:szCs w:val="32"/>
        </w:rPr>
        <w:t>日</w:t>
      </w:r>
    </w:p>
    <w:p>
      <w:pPr>
        <w:spacing w:line="400" w:lineRule="exact"/>
        <w:rPr>
          <w:rFonts w:hint="eastAsia" w:ascii="方正黑体_GBK" w:hAnsi="方正黑体_GBK" w:eastAsia="方正黑体_GBK"/>
          <w:sz w:val="28"/>
        </w:rPr>
      </w:pPr>
    </w:p>
    <w:p>
      <w:pPr>
        <w:pStyle w:val="2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</w:p>
    <w:p>
      <w:pPr>
        <w:pStyle w:val="3"/>
        <w:rPr>
          <w:rFonts w:hint="eastAsia" w:ascii="方正黑体_GBK" w:hAnsi="方正黑体_GBK" w:eastAsia="方正黑体_GBK"/>
          <w:sz w:val="28"/>
        </w:rPr>
      </w:pPr>
      <w:bookmarkStart w:id="0" w:name="_GoBack"/>
      <w:bookmarkEnd w:id="0"/>
    </w:p>
    <w:p>
      <w:pPr>
        <w:spacing w:line="400" w:lineRule="exact"/>
        <w:rPr>
          <w:rFonts w:ascii="方正黑体_GBK" w:hAnsi="方正黑体_GBK" w:eastAsia="方正黑体_GBK"/>
          <w:sz w:val="28"/>
        </w:rPr>
      </w:pPr>
      <w:r>
        <w:rPr>
          <w:rFonts w:hint="eastAsia" w:ascii="方正黑体_GBK" w:hAnsi="方正黑体_GBK" w:eastAsia="方正黑体_GBK"/>
          <w:sz w:val="28"/>
        </w:rPr>
        <w:t>附件:</w:t>
      </w:r>
    </w:p>
    <w:p>
      <w:pPr>
        <w:spacing w:after="0"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民主村社区和劳动一村社区屋顶漏水整治项目</w:t>
      </w:r>
      <w:r>
        <w:rPr>
          <w:rFonts w:hint="eastAsia" w:ascii="方正小标宋_GBK" w:eastAsia="方正小标宋_GBK"/>
          <w:bCs/>
          <w:sz w:val="44"/>
          <w:szCs w:val="44"/>
        </w:rPr>
        <w:t>总投资概算表</w:t>
      </w:r>
    </w:p>
    <w:p>
      <w:pPr>
        <w:spacing w:line="400" w:lineRule="exact"/>
        <w:jc w:val="center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/>
          <w:snapToGrid w:val="0"/>
          <w:sz w:val="36"/>
          <w:szCs w:val="32"/>
        </w:rPr>
        <w:t xml:space="preserve">                                      </w:t>
      </w:r>
      <w:r>
        <w:rPr>
          <w:rFonts w:hint="eastAsia" w:ascii="方正仿宋_GBK" w:hAnsi="方正仿宋_GBK" w:eastAsia="方正仿宋_GBK"/>
          <w:sz w:val="32"/>
          <w:szCs w:val="32"/>
        </w:rPr>
        <w:t>单位：万元</w:t>
      </w:r>
    </w:p>
    <w:tbl>
      <w:tblPr>
        <w:tblStyle w:val="10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761"/>
        <w:gridCol w:w="1851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黑体_GBK" w:hAnsi="方正黑体_GBK" w:eastAsia="方正黑体_GBK"/>
                <w:bCs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bCs/>
                <w:sz w:val="30"/>
                <w:szCs w:val="30"/>
              </w:rPr>
              <w:t>序号</w:t>
            </w:r>
          </w:p>
        </w:tc>
        <w:tc>
          <w:tcPr>
            <w:tcW w:w="4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黑体_GBK" w:hAnsi="方正黑体_GBK" w:eastAsia="方正黑体_GBK"/>
                <w:bCs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bCs/>
                <w:sz w:val="30"/>
                <w:szCs w:val="30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黑体_GBK" w:hAnsi="方正黑体_GBK" w:eastAsia="方正黑体_GBK"/>
                <w:bCs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bCs/>
                <w:sz w:val="30"/>
                <w:szCs w:val="30"/>
              </w:rPr>
              <w:t>金额</w:t>
            </w:r>
          </w:p>
        </w:tc>
        <w:tc>
          <w:tcPr>
            <w:tcW w:w="11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黑体_GBK" w:hAnsi="方正黑体_GBK" w:eastAsia="方正黑体_GBK"/>
                <w:bCs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bCs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楷体_GBK" w:hAnsi="方正楷体_GBK" w:eastAsia="方正楷体_GBK"/>
                <w:sz w:val="32"/>
                <w:szCs w:val="30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一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textAlignment w:val="center"/>
              <w:rPr>
                <w:rFonts w:ascii="方正楷体_GBK" w:hAnsi="方正楷体_GBK" w:eastAsia="方正楷体_GBK"/>
                <w:sz w:val="32"/>
                <w:szCs w:val="30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工程费用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hint="eastAsia" w:ascii="方正楷体_GBK" w:hAnsi="方正楷体_GBK" w:eastAsia="方正楷体_GBK"/>
                <w:color w:val="000000"/>
                <w:sz w:val="32"/>
                <w:lang w:eastAsia="zh-CN"/>
              </w:rPr>
            </w:pPr>
            <w:r>
              <w:rPr>
                <w:rFonts w:hint="eastAsia" w:ascii="方正仿宋_GBK" w:hAnsi="黑体" w:eastAsia="方正仿宋_GBK"/>
                <w:snapToGrid w:val="0"/>
                <w:sz w:val="32"/>
                <w:szCs w:val="32"/>
                <w:lang w:val="en-US" w:eastAsia="zh-CN"/>
              </w:rPr>
              <w:t>281.08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楷体_GBK" w:hAnsi="方正楷体_GBK" w:eastAsia="方正楷体_GBK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仿宋_GBK" w:hAnsi="方正仿宋_GBK" w:eastAsia="方正仿宋_GBK"/>
                <w:bCs/>
                <w:sz w:val="32"/>
                <w:szCs w:val="30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二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textAlignment w:val="center"/>
              <w:rPr>
                <w:rFonts w:ascii="方正仿宋_GBK" w:hAnsi="方正楷体_GBK" w:eastAsia="方正仿宋_GBK"/>
                <w:color w:val="000000"/>
                <w:sz w:val="32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工程建设其他费用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hint="eastAsia" w:ascii="方正楷体_GBK" w:hAnsi="方正楷体_GBK" w:eastAsia="方正楷体_GBK"/>
                <w:color w:val="000000"/>
                <w:sz w:val="32"/>
                <w:lang w:eastAsia="zh-CN"/>
              </w:rPr>
            </w:pPr>
            <w:r>
              <w:rPr>
                <w:rFonts w:hint="eastAsia" w:ascii="方正仿宋_GBK" w:hAnsi="黑体" w:eastAsia="方正仿宋_GBK"/>
                <w:snapToGrid w:val="0"/>
                <w:sz w:val="32"/>
                <w:szCs w:val="32"/>
                <w:lang w:val="en-US" w:eastAsia="zh-CN"/>
              </w:rPr>
              <w:t>15.23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楷体_GBK" w:hAnsi="方正楷体_GBK" w:eastAsia="方正楷体_GBK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楷体_GBK" w:hAnsi="方正楷体_GBK" w:eastAsia="方正楷体_GBK"/>
                <w:color w:val="000000"/>
                <w:sz w:val="32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三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textAlignment w:val="center"/>
              <w:rPr>
                <w:rFonts w:ascii="方正楷体_GBK" w:hAnsi="方正楷体_GBK" w:eastAsia="方正楷体_GBK"/>
                <w:color w:val="000000"/>
                <w:sz w:val="32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预备费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hint="eastAsia" w:ascii="方正仿宋_GBK" w:hAnsi="黑体" w:eastAsia="方正仿宋_GBK"/>
                <w:snapToGrid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黑体" w:eastAsia="方正仿宋_GBK"/>
                <w:snapToGrid w:val="0"/>
                <w:sz w:val="32"/>
                <w:szCs w:val="32"/>
                <w:lang w:val="en-US" w:eastAsia="zh-CN"/>
              </w:rPr>
              <w:t>14.82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楷体_GBK" w:hAnsi="方正楷体_GBK" w:eastAsia="方正楷体_GBK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hint="eastAsia" w:ascii="方正楷体_GBK" w:hAnsi="方正楷体_GBK" w:eastAsia="方正楷体_GBK"/>
                <w:color w:val="000000"/>
                <w:sz w:val="32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  <w:lang w:eastAsia="zh-CN"/>
              </w:rPr>
              <w:t>四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textAlignment w:val="center"/>
              <w:rPr>
                <w:rFonts w:hint="eastAsia" w:ascii="方正楷体_GBK" w:hAnsi="方正楷体_GBK" w:eastAsia="方正楷体_GBK"/>
                <w:color w:val="000000"/>
                <w:sz w:val="32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32"/>
              </w:rPr>
              <w:t>投资概算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hint="default" w:ascii="方正仿宋_GBK" w:hAnsi="黑体" w:eastAsia="方正仿宋_GBK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黑体" w:eastAsia="方正仿宋_GBK"/>
                <w:snapToGrid w:val="0"/>
                <w:sz w:val="32"/>
                <w:szCs w:val="32"/>
                <w:lang w:eastAsia="zh-CN"/>
              </w:rPr>
              <w:t>311.12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 w:line="360" w:lineRule="exact"/>
              <w:jc w:val="center"/>
              <w:textAlignment w:val="center"/>
              <w:rPr>
                <w:rFonts w:ascii="方正楷体_GBK" w:hAnsi="方正楷体_GBK" w:eastAsia="方正楷体_GBK"/>
                <w:color w:val="000000"/>
                <w:sz w:val="32"/>
              </w:rPr>
            </w:pPr>
          </w:p>
        </w:tc>
      </w:tr>
    </w:tbl>
    <w:p>
      <w:pPr>
        <w:spacing w:line="400" w:lineRule="exact"/>
        <w:jc w:val="center"/>
        <w:rPr>
          <w:rFonts w:ascii="方正仿宋_GBK" w:hAnsi="方正仿宋_GBK" w:eastAsia="方正仿宋_GBK"/>
          <w:sz w:val="32"/>
          <w:szCs w:val="32"/>
        </w:rPr>
      </w:pPr>
    </w:p>
    <w:p>
      <w:pPr>
        <w:tabs>
          <w:tab w:val="left" w:pos="1692"/>
        </w:tabs>
      </w:pPr>
    </w:p>
    <w:p>
      <w:pPr>
        <w:tabs>
          <w:tab w:val="left" w:pos="1692"/>
        </w:tabs>
      </w:pPr>
      <w:r>
        <w:rPr>
          <w:rFonts w:hint="eastAsia"/>
        </w:rPr>
        <w:t xml:space="preserve"> </w:t>
      </w:r>
    </w:p>
    <w:p>
      <w:pPr>
        <w:tabs>
          <w:tab w:val="left" w:pos="1692"/>
        </w:tabs>
      </w:pPr>
    </w:p>
    <w:sectPr>
      <w:footerReference r:id="rId4" w:type="first"/>
      <w:footerReference r:id="rId3" w:type="default"/>
      <w:pgSz w:w="11906" w:h="16838"/>
      <w:pgMar w:top="2098" w:right="1531" w:bottom="1984" w:left="1531" w:header="851" w:footer="1474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Helvetica">
    <w:altName w:val="文泉驿微米黑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40" w:leftChars="200" w:right="440" w:rightChars="200"/>
      <w:rPr>
        <w:rStyle w:val="12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false"/>
  <w:bordersDoNotSurroundFooter w:val="false"/>
  <w:documentProtection w:enforcement="0"/>
  <w:defaultTabStop w:val="720"/>
  <w:drawingGridHorizontalSpacing w:val="0"/>
  <w:displayHorizontalDrawingGridEvery w:val="1"/>
  <w:displayVerticalDrawingGridEvery w:val="1"/>
  <w:noPunctuationKerning w:val="true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TI5Nzk2NmRlYjQ1OTIxMzdkYmEwZTUxOWE3YzMifQ=="/>
  </w:docVars>
  <w:rsids>
    <w:rsidRoot w:val="00172A27"/>
    <w:rsid w:val="00043EF7"/>
    <w:rsid w:val="00172A27"/>
    <w:rsid w:val="002040B8"/>
    <w:rsid w:val="002B3103"/>
    <w:rsid w:val="00355159"/>
    <w:rsid w:val="003A5623"/>
    <w:rsid w:val="003A6A91"/>
    <w:rsid w:val="00552197"/>
    <w:rsid w:val="005C56FA"/>
    <w:rsid w:val="008159D2"/>
    <w:rsid w:val="0088526F"/>
    <w:rsid w:val="009A1621"/>
    <w:rsid w:val="009B7968"/>
    <w:rsid w:val="00AF5386"/>
    <w:rsid w:val="00B066FF"/>
    <w:rsid w:val="00DE5CFC"/>
    <w:rsid w:val="0124146F"/>
    <w:rsid w:val="019D55FE"/>
    <w:rsid w:val="01B342D5"/>
    <w:rsid w:val="022C38E9"/>
    <w:rsid w:val="02407AF1"/>
    <w:rsid w:val="02707D53"/>
    <w:rsid w:val="02BA6256"/>
    <w:rsid w:val="032F2BE5"/>
    <w:rsid w:val="0349657A"/>
    <w:rsid w:val="03AA7B5F"/>
    <w:rsid w:val="040F4FA7"/>
    <w:rsid w:val="04303D0B"/>
    <w:rsid w:val="048B3B15"/>
    <w:rsid w:val="05BE3DE7"/>
    <w:rsid w:val="05C53928"/>
    <w:rsid w:val="060123E7"/>
    <w:rsid w:val="06207D89"/>
    <w:rsid w:val="065A5802"/>
    <w:rsid w:val="068851E5"/>
    <w:rsid w:val="07FE491D"/>
    <w:rsid w:val="0849661D"/>
    <w:rsid w:val="08825C62"/>
    <w:rsid w:val="08E82DF8"/>
    <w:rsid w:val="09797561"/>
    <w:rsid w:val="09F14739"/>
    <w:rsid w:val="09F93158"/>
    <w:rsid w:val="0A235240"/>
    <w:rsid w:val="0A346E24"/>
    <w:rsid w:val="0A8B0CEF"/>
    <w:rsid w:val="0AC76337"/>
    <w:rsid w:val="0B7B106C"/>
    <w:rsid w:val="0C144DB6"/>
    <w:rsid w:val="0C5E3BDC"/>
    <w:rsid w:val="0C771D4B"/>
    <w:rsid w:val="0C945C2E"/>
    <w:rsid w:val="0CF77927"/>
    <w:rsid w:val="0DC74F5D"/>
    <w:rsid w:val="0E2812FC"/>
    <w:rsid w:val="0EB37A93"/>
    <w:rsid w:val="0F0E187C"/>
    <w:rsid w:val="0F5A1B1C"/>
    <w:rsid w:val="0F713212"/>
    <w:rsid w:val="0F98145F"/>
    <w:rsid w:val="101A606C"/>
    <w:rsid w:val="10622ABE"/>
    <w:rsid w:val="13BF1C93"/>
    <w:rsid w:val="1471597C"/>
    <w:rsid w:val="14997B5E"/>
    <w:rsid w:val="14B04828"/>
    <w:rsid w:val="14DC71D1"/>
    <w:rsid w:val="14E1517B"/>
    <w:rsid w:val="151F6D81"/>
    <w:rsid w:val="15451DDD"/>
    <w:rsid w:val="158D711D"/>
    <w:rsid w:val="167E1512"/>
    <w:rsid w:val="16D969A0"/>
    <w:rsid w:val="16F2627D"/>
    <w:rsid w:val="17400A52"/>
    <w:rsid w:val="174A03CC"/>
    <w:rsid w:val="17CC0C13"/>
    <w:rsid w:val="17DE4C7C"/>
    <w:rsid w:val="180521EF"/>
    <w:rsid w:val="181A7902"/>
    <w:rsid w:val="18601B6E"/>
    <w:rsid w:val="18FF5DA9"/>
    <w:rsid w:val="19524AC9"/>
    <w:rsid w:val="195D1394"/>
    <w:rsid w:val="19B2494F"/>
    <w:rsid w:val="1A6F016E"/>
    <w:rsid w:val="1A9B0BAB"/>
    <w:rsid w:val="1AB22B7A"/>
    <w:rsid w:val="1AF851FC"/>
    <w:rsid w:val="1BA44F32"/>
    <w:rsid w:val="1BCD05D7"/>
    <w:rsid w:val="1C325DAA"/>
    <w:rsid w:val="1CBD25FA"/>
    <w:rsid w:val="1CCA18B5"/>
    <w:rsid w:val="1D1E0342"/>
    <w:rsid w:val="1D430EDF"/>
    <w:rsid w:val="1D5E784C"/>
    <w:rsid w:val="1D9A5768"/>
    <w:rsid w:val="1DA67191"/>
    <w:rsid w:val="1DAD60E8"/>
    <w:rsid w:val="1DC333D4"/>
    <w:rsid w:val="1DE101C3"/>
    <w:rsid w:val="1E3649B9"/>
    <w:rsid w:val="1EC77D2B"/>
    <w:rsid w:val="1ED77C81"/>
    <w:rsid w:val="1EEA2C5C"/>
    <w:rsid w:val="206D053C"/>
    <w:rsid w:val="20BD3492"/>
    <w:rsid w:val="217A38B5"/>
    <w:rsid w:val="21E243FA"/>
    <w:rsid w:val="21E46B89"/>
    <w:rsid w:val="22151A81"/>
    <w:rsid w:val="22B569E9"/>
    <w:rsid w:val="22DD7050"/>
    <w:rsid w:val="22FF6D17"/>
    <w:rsid w:val="23470E81"/>
    <w:rsid w:val="23491FB8"/>
    <w:rsid w:val="23533BA4"/>
    <w:rsid w:val="236339AC"/>
    <w:rsid w:val="237B36F5"/>
    <w:rsid w:val="23C7019A"/>
    <w:rsid w:val="23F72C3F"/>
    <w:rsid w:val="245E79F5"/>
    <w:rsid w:val="24EE1D3D"/>
    <w:rsid w:val="251A5664"/>
    <w:rsid w:val="25DB40B0"/>
    <w:rsid w:val="26FC6CBE"/>
    <w:rsid w:val="27406C2C"/>
    <w:rsid w:val="278276F2"/>
    <w:rsid w:val="284E06E0"/>
    <w:rsid w:val="28612876"/>
    <w:rsid w:val="286A3F94"/>
    <w:rsid w:val="287E4F92"/>
    <w:rsid w:val="288D7D73"/>
    <w:rsid w:val="28C24CA8"/>
    <w:rsid w:val="28DE694A"/>
    <w:rsid w:val="28E45951"/>
    <w:rsid w:val="29023E15"/>
    <w:rsid w:val="29BC6796"/>
    <w:rsid w:val="2A766868"/>
    <w:rsid w:val="2AB24C8B"/>
    <w:rsid w:val="2B0B0AF0"/>
    <w:rsid w:val="2B515102"/>
    <w:rsid w:val="2C255D4E"/>
    <w:rsid w:val="2C51060C"/>
    <w:rsid w:val="2D532382"/>
    <w:rsid w:val="2DC44AFE"/>
    <w:rsid w:val="2E555511"/>
    <w:rsid w:val="2EDF3CD3"/>
    <w:rsid w:val="302612FA"/>
    <w:rsid w:val="305A62E5"/>
    <w:rsid w:val="306501CC"/>
    <w:rsid w:val="30C93970"/>
    <w:rsid w:val="30EB77A9"/>
    <w:rsid w:val="311C4C13"/>
    <w:rsid w:val="31531AA2"/>
    <w:rsid w:val="31594D81"/>
    <w:rsid w:val="31B91665"/>
    <w:rsid w:val="31D51ED8"/>
    <w:rsid w:val="32201A93"/>
    <w:rsid w:val="33381E5A"/>
    <w:rsid w:val="335D192B"/>
    <w:rsid w:val="33D41102"/>
    <w:rsid w:val="349470A2"/>
    <w:rsid w:val="34CD1FA1"/>
    <w:rsid w:val="34EE0DA6"/>
    <w:rsid w:val="35220B3F"/>
    <w:rsid w:val="35C70AE3"/>
    <w:rsid w:val="35FE7028"/>
    <w:rsid w:val="36107446"/>
    <w:rsid w:val="367C5017"/>
    <w:rsid w:val="370C1E73"/>
    <w:rsid w:val="371C1DA0"/>
    <w:rsid w:val="374172DC"/>
    <w:rsid w:val="375755A3"/>
    <w:rsid w:val="377E54CD"/>
    <w:rsid w:val="37872C98"/>
    <w:rsid w:val="378D4262"/>
    <w:rsid w:val="37D04ADA"/>
    <w:rsid w:val="37F65105"/>
    <w:rsid w:val="38144B6D"/>
    <w:rsid w:val="38176374"/>
    <w:rsid w:val="384466C0"/>
    <w:rsid w:val="38472F33"/>
    <w:rsid w:val="389A0BB8"/>
    <w:rsid w:val="38A930FB"/>
    <w:rsid w:val="38AA6FD2"/>
    <w:rsid w:val="3A6A4661"/>
    <w:rsid w:val="3B3771B7"/>
    <w:rsid w:val="3B443337"/>
    <w:rsid w:val="3BAD7E31"/>
    <w:rsid w:val="3BB8133C"/>
    <w:rsid w:val="3C0435A9"/>
    <w:rsid w:val="3C592EDE"/>
    <w:rsid w:val="3C5F673A"/>
    <w:rsid w:val="3C8659B0"/>
    <w:rsid w:val="3CB04DD3"/>
    <w:rsid w:val="3CCB4C02"/>
    <w:rsid w:val="3CCC04D5"/>
    <w:rsid w:val="3E17309B"/>
    <w:rsid w:val="3E5B2BFF"/>
    <w:rsid w:val="3EB07683"/>
    <w:rsid w:val="3ED85011"/>
    <w:rsid w:val="3EE00BA8"/>
    <w:rsid w:val="3EEF3CDA"/>
    <w:rsid w:val="3F0D420A"/>
    <w:rsid w:val="3F222A1F"/>
    <w:rsid w:val="3F516B05"/>
    <w:rsid w:val="3F8A465F"/>
    <w:rsid w:val="3FC22149"/>
    <w:rsid w:val="405506F2"/>
    <w:rsid w:val="40893366"/>
    <w:rsid w:val="40E76354"/>
    <w:rsid w:val="413A49AF"/>
    <w:rsid w:val="41BF0F26"/>
    <w:rsid w:val="4239618A"/>
    <w:rsid w:val="42641245"/>
    <w:rsid w:val="428477D3"/>
    <w:rsid w:val="42937435"/>
    <w:rsid w:val="42947666"/>
    <w:rsid w:val="43042694"/>
    <w:rsid w:val="43354069"/>
    <w:rsid w:val="43405AF9"/>
    <w:rsid w:val="43941D2D"/>
    <w:rsid w:val="43F450AA"/>
    <w:rsid w:val="449D459A"/>
    <w:rsid w:val="4511217C"/>
    <w:rsid w:val="45221A31"/>
    <w:rsid w:val="452A22D2"/>
    <w:rsid w:val="455E738D"/>
    <w:rsid w:val="45641329"/>
    <w:rsid w:val="45DD09E4"/>
    <w:rsid w:val="45F678CC"/>
    <w:rsid w:val="45FB3C6E"/>
    <w:rsid w:val="46045CCA"/>
    <w:rsid w:val="4662410F"/>
    <w:rsid w:val="46856715"/>
    <w:rsid w:val="470E4524"/>
    <w:rsid w:val="4718679D"/>
    <w:rsid w:val="47A82BB6"/>
    <w:rsid w:val="47E00292"/>
    <w:rsid w:val="47FD5207"/>
    <w:rsid w:val="48823859"/>
    <w:rsid w:val="48996C4B"/>
    <w:rsid w:val="489A408B"/>
    <w:rsid w:val="493C0A1E"/>
    <w:rsid w:val="49A11DCC"/>
    <w:rsid w:val="49BE465C"/>
    <w:rsid w:val="4A835FE1"/>
    <w:rsid w:val="4AAA0079"/>
    <w:rsid w:val="4AAC5DC2"/>
    <w:rsid w:val="4ADC43D5"/>
    <w:rsid w:val="4AE20F59"/>
    <w:rsid w:val="4AE63D8C"/>
    <w:rsid w:val="4B2F5926"/>
    <w:rsid w:val="4C677EAF"/>
    <w:rsid w:val="4CAC4489"/>
    <w:rsid w:val="4CEB4797"/>
    <w:rsid w:val="4CF11927"/>
    <w:rsid w:val="4D211A3A"/>
    <w:rsid w:val="4D791D20"/>
    <w:rsid w:val="4DE762F8"/>
    <w:rsid w:val="4E6073D4"/>
    <w:rsid w:val="4E950123"/>
    <w:rsid w:val="4EAC449C"/>
    <w:rsid w:val="4ED07170"/>
    <w:rsid w:val="4F62371A"/>
    <w:rsid w:val="4F9F4E45"/>
    <w:rsid w:val="4FA931B8"/>
    <w:rsid w:val="4FAD1718"/>
    <w:rsid w:val="4FBB44F8"/>
    <w:rsid w:val="4FC248BB"/>
    <w:rsid w:val="4FF55EDC"/>
    <w:rsid w:val="50470FB0"/>
    <w:rsid w:val="504C23E2"/>
    <w:rsid w:val="50562093"/>
    <w:rsid w:val="50AC44E3"/>
    <w:rsid w:val="50C03BDF"/>
    <w:rsid w:val="50D341F3"/>
    <w:rsid w:val="51745B02"/>
    <w:rsid w:val="518A5306"/>
    <w:rsid w:val="5212481A"/>
    <w:rsid w:val="523F7880"/>
    <w:rsid w:val="52933A77"/>
    <w:rsid w:val="53A44990"/>
    <w:rsid w:val="53B81DD5"/>
    <w:rsid w:val="53C00217"/>
    <w:rsid w:val="53E82994"/>
    <w:rsid w:val="54C30351"/>
    <w:rsid w:val="54D21C19"/>
    <w:rsid w:val="552F0075"/>
    <w:rsid w:val="554511D2"/>
    <w:rsid w:val="558B1C18"/>
    <w:rsid w:val="55C776C9"/>
    <w:rsid w:val="55D817D8"/>
    <w:rsid w:val="55F858F5"/>
    <w:rsid w:val="560643C4"/>
    <w:rsid w:val="560845BF"/>
    <w:rsid w:val="56132360"/>
    <w:rsid w:val="56526204"/>
    <w:rsid w:val="5655765A"/>
    <w:rsid w:val="568850AA"/>
    <w:rsid w:val="568B756D"/>
    <w:rsid w:val="56FB257C"/>
    <w:rsid w:val="57A16FEF"/>
    <w:rsid w:val="57C62133"/>
    <w:rsid w:val="57EE082A"/>
    <w:rsid w:val="58E80DBF"/>
    <w:rsid w:val="58FA026B"/>
    <w:rsid w:val="593C55CC"/>
    <w:rsid w:val="597B2CA5"/>
    <w:rsid w:val="59B12E53"/>
    <w:rsid w:val="5A030DBC"/>
    <w:rsid w:val="5A0F782D"/>
    <w:rsid w:val="5B725F7D"/>
    <w:rsid w:val="5BB75BA8"/>
    <w:rsid w:val="5BED7997"/>
    <w:rsid w:val="5CC86699"/>
    <w:rsid w:val="5D0B6039"/>
    <w:rsid w:val="5D265557"/>
    <w:rsid w:val="5D601BF2"/>
    <w:rsid w:val="5DB669A1"/>
    <w:rsid w:val="5DBF047E"/>
    <w:rsid w:val="5DF66D9E"/>
    <w:rsid w:val="5E7B7DCF"/>
    <w:rsid w:val="5E922121"/>
    <w:rsid w:val="5EB84053"/>
    <w:rsid w:val="5EDD42CF"/>
    <w:rsid w:val="5F4813AE"/>
    <w:rsid w:val="604D5486"/>
    <w:rsid w:val="609C350B"/>
    <w:rsid w:val="60A42306"/>
    <w:rsid w:val="60A80102"/>
    <w:rsid w:val="61377DF9"/>
    <w:rsid w:val="6205695F"/>
    <w:rsid w:val="624D749C"/>
    <w:rsid w:val="62920C6F"/>
    <w:rsid w:val="63117482"/>
    <w:rsid w:val="632F7F5A"/>
    <w:rsid w:val="63602ADE"/>
    <w:rsid w:val="6379740E"/>
    <w:rsid w:val="638F2E18"/>
    <w:rsid w:val="646E0D8F"/>
    <w:rsid w:val="64C52A86"/>
    <w:rsid w:val="65617001"/>
    <w:rsid w:val="661C6284"/>
    <w:rsid w:val="66230F97"/>
    <w:rsid w:val="666C427C"/>
    <w:rsid w:val="667C005C"/>
    <w:rsid w:val="66A8447D"/>
    <w:rsid w:val="67530BDB"/>
    <w:rsid w:val="677F5ACB"/>
    <w:rsid w:val="68045002"/>
    <w:rsid w:val="68055ADF"/>
    <w:rsid w:val="68073B12"/>
    <w:rsid w:val="68450231"/>
    <w:rsid w:val="68824CA3"/>
    <w:rsid w:val="68B14F6A"/>
    <w:rsid w:val="68EA7324"/>
    <w:rsid w:val="698E3442"/>
    <w:rsid w:val="6AA8643E"/>
    <w:rsid w:val="6B5B1931"/>
    <w:rsid w:val="6BAA09CE"/>
    <w:rsid w:val="6BCD0F64"/>
    <w:rsid w:val="6BF5003C"/>
    <w:rsid w:val="6BFE728D"/>
    <w:rsid w:val="6C88775B"/>
    <w:rsid w:val="6C9E1A85"/>
    <w:rsid w:val="6CB034C8"/>
    <w:rsid w:val="6CD24E7A"/>
    <w:rsid w:val="6CDC7B95"/>
    <w:rsid w:val="6CFB7904"/>
    <w:rsid w:val="6D090AE2"/>
    <w:rsid w:val="6D4B6858"/>
    <w:rsid w:val="6DB70D86"/>
    <w:rsid w:val="6DE8375D"/>
    <w:rsid w:val="6DE92459"/>
    <w:rsid w:val="6E1376F9"/>
    <w:rsid w:val="6E41661F"/>
    <w:rsid w:val="6E8B316B"/>
    <w:rsid w:val="6E9A4590"/>
    <w:rsid w:val="6EDB79B7"/>
    <w:rsid w:val="6F0B285F"/>
    <w:rsid w:val="6F124208"/>
    <w:rsid w:val="6F2A36D8"/>
    <w:rsid w:val="6F593389"/>
    <w:rsid w:val="70001CFE"/>
    <w:rsid w:val="70DE1242"/>
    <w:rsid w:val="70F3520B"/>
    <w:rsid w:val="71397275"/>
    <w:rsid w:val="71397EC1"/>
    <w:rsid w:val="71465098"/>
    <w:rsid w:val="7266045D"/>
    <w:rsid w:val="72C074C0"/>
    <w:rsid w:val="738A6A7E"/>
    <w:rsid w:val="73EA1EC8"/>
    <w:rsid w:val="74110A36"/>
    <w:rsid w:val="75AE7249"/>
    <w:rsid w:val="75BF3543"/>
    <w:rsid w:val="76161E1C"/>
    <w:rsid w:val="7640172C"/>
    <w:rsid w:val="76570E12"/>
    <w:rsid w:val="77232339"/>
    <w:rsid w:val="772331A0"/>
    <w:rsid w:val="772F6BA7"/>
    <w:rsid w:val="77455B96"/>
    <w:rsid w:val="775C0A95"/>
    <w:rsid w:val="7794694C"/>
    <w:rsid w:val="77BC27C3"/>
    <w:rsid w:val="77C42A9F"/>
    <w:rsid w:val="78112B7C"/>
    <w:rsid w:val="788D14FE"/>
    <w:rsid w:val="78AB64EE"/>
    <w:rsid w:val="794118F7"/>
    <w:rsid w:val="7A870038"/>
    <w:rsid w:val="7B71432D"/>
    <w:rsid w:val="7BE53260"/>
    <w:rsid w:val="7C2205FC"/>
    <w:rsid w:val="7C3123D9"/>
    <w:rsid w:val="7D621902"/>
    <w:rsid w:val="7DEB1F2A"/>
    <w:rsid w:val="7E8670D0"/>
    <w:rsid w:val="7EDB6545"/>
    <w:rsid w:val="7F4F5E47"/>
    <w:rsid w:val="7F6000C3"/>
    <w:rsid w:val="FBD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黑体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napToGrid w:val="0"/>
      <w:spacing w:before="240"/>
      <w:ind w:right="-1"/>
      <w:jc w:val="center"/>
      <w:textAlignment w:val="bottom"/>
    </w:pPr>
    <w:rPr>
      <w:b/>
      <w:bCs/>
      <w:sz w:val="5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widowControl w:val="0"/>
      <w:tabs>
        <w:tab w:val="center" w:pos="4153"/>
        <w:tab w:val="right" w:pos="8306"/>
      </w:tabs>
      <w:adjustRightInd/>
    </w:pPr>
    <w:rPr>
      <w:rFonts w:ascii="Calibri" w:hAnsi="Calibri" w:cs="Times New Roman"/>
      <w:kern w:val="2"/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tabs>
        <w:tab w:val="right" w:leader="dot" w:pos="8296"/>
      </w:tabs>
      <w:ind w:left="480" w:leftChars="200" w:firstLine="480"/>
    </w:pPr>
  </w:style>
  <w:style w:type="paragraph" w:styleId="8">
    <w:name w:val="Normal (Web)"/>
    <w:basedOn w:val="1"/>
    <w:unhideWhenUsed/>
    <w:qFormat/>
    <w:uiPriority w:val="0"/>
    <w:rPr>
      <w:sz w:val="24"/>
    </w:rPr>
  </w:style>
  <w:style w:type="paragraph" w:styleId="9">
    <w:name w:val="Body Text First Indent"/>
    <w:basedOn w:val="2"/>
    <w:unhideWhenUsed/>
    <w:qFormat/>
    <w:uiPriority w:val="0"/>
    <w:pPr>
      <w:spacing w:beforeLines="0" w:after="0" w:afterLines="0"/>
      <w:ind w:firstLine="200" w:firstLineChars="200"/>
    </w:pPr>
    <w:rPr>
      <w:rFonts w:hint="eastAsia"/>
      <w:sz w:val="21"/>
    </w:rPr>
  </w:style>
  <w:style w:type="character" w:styleId="12">
    <w:name w:val="page number"/>
    <w:basedOn w:val="11"/>
    <w:qFormat/>
    <w:uiPriority w:val="0"/>
    <w:rPr>
      <w:rFonts w:ascii="Times New Roman" w:hAnsi="Times New Roman"/>
      <w:szCs w:val="24"/>
    </w:rPr>
  </w:style>
  <w:style w:type="paragraph" w:customStyle="1" w:styleId="13">
    <w:name w:val="默认段落字体 Para Char Char Char Char Char Char Char Char Char Char Char Char Char"/>
    <w:basedOn w:val="1"/>
    <w:qFormat/>
    <w:uiPriority w:val="0"/>
    <w:rPr>
      <w:rFonts w:ascii="Times New Roman" w:hAnsi="Times New Roman"/>
      <w:szCs w:val="24"/>
    </w:rPr>
  </w:style>
  <w:style w:type="character" w:customStyle="1" w:styleId="14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1"/>
    <w:link w:val="6"/>
    <w:semiHidden/>
    <w:qFormat/>
    <w:uiPriority w:val="0"/>
    <w:rPr>
      <w:rFonts w:ascii="Tahoma" w:hAnsi="Tahoma" w:cs="黑体"/>
      <w:sz w:val="18"/>
      <w:szCs w:val="18"/>
    </w:rPr>
  </w:style>
  <w:style w:type="character" w:customStyle="1" w:styleId="16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页脚 Char1"/>
    <w:basedOn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1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9">
    <w:name w:val="p0"/>
    <w:basedOn w:val="1"/>
    <w:qFormat/>
    <w:uiPriority w:val="0"/>
    <w:pPr>
      <w:jc w:val="both"/>
    </w:pPr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864</Words>
  <Characters>983</Characters>
  <Lines>9</Lines>
  <Paragraphs>2</Paragraphs>
  <TotalTime>0</TotalTime>
  <ScaleCrop>false</ScaleCrop>
  <LinksUpToDate>false</LinksUpToDate>
  <CharactersWithSpaces>1045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2016-04-26T16:51:00Z</dcterms:created>
  <dc:creator>Administrator</dc:creator>
  <cp:lastModifiedBy>cheng</cp:lastModifiedBy>
  <cp:lastPrinted>2023-07-14T13:33:00Z</cp:lastPrinted>
  <dcterms:modified xsi:type="dcterms:W3CDTF">2024-11-26T10:00:49Z</dcterms:modified>
  <dc:title>重庆市九龙坡区发展和改革委员会发文稿纸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0_embed</vt:lpwstr>
  </property>
  <property fmtid="{D5CDD505-2E9C-101B-9397-08002B2CF9AE}" pid="4" name="ICV">
    <vt:lpwstr>7A6C4768E7C544BF852FCAFF31025A62_13</vt:lpwstr>
  </property>
  <property fmtid="{D5CDD505-2E9C-101B-9397-08002B2CF9AE}" pid="5" name="commondata">
    <vt:lpwstr>eyJoZGlkIjoiMzg4NTI5Nzk2NmRlYjQ1OTIxMzdkYmEwZTUxOWE3YzMifQ==</vt:lpwstr>
  </property>
</Properties>
</file>