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E91CE">
      <w:pPr>
        <w:pStyle w:val="9"/>
        <w:ind w:left="0" w:leftChars="0" w:firstLine="0" w:firstLineChars="0"/>
        <w:jc w:val="center"/>
        <w:rPr>
          <w:rFonts w:ascii="方正小标宋_GBK" w:eastAsia="方正小标宋_GBK"/>
          <w:sz w:val="44"/>
          <w:szCs w:val="44"/>
        </w:rPr>
      </w:pPr>
      <w:bookmarkStart w:id="0" w:name="_GoBack"/>
      <w:r>
        <w:rPr>
          <w:rFonts w:hint="eastAsia" w:ascii="方正小标宋_GBK" w:eastAsia="方正小标宋_GBK"/>
          <w:sz w:val="44"/>
          <w:szCs w:val="44"/>
        </w:rPr>
        <w:t>重庆市九龙坡区华梁幼儿园</w:t>
      </w:r>
    </w:p>
    <w:p w14:paraId="3824CD55">
      <w:pPr>
        <w:pStyle w:val="9"/>
        <w:ind w:left="0" w:leftChars="0" w:firstLine="0" w:firstLineChars="0"/>
        <w:jc w:val="center"/>
        <w:rPr>
          <w:rFonts w:ascii="方正小标宋_GBK" w:eastAsia="方正小标宋_GBK"/>
          <w:sz w:val="44"/>
          <w:szCs w:val="44"/>
          <w:shd w:val="clear" w:color="auto" w:fill="FFFFFF"/>
        </w:rPr>
      </w:pPr>
      <w:r>
        <w:rPr>
          <w:rFonts w:hint="eastAsia" w:ascii="方正小标宋_GBK" w:hAnsi="Times New Roman" w:eastAsia="方正小标宋_GBK"/>
          <w:sz w:val="44"/>
          <w:szCs w:val="44"/>
          <w:shd w:val="clear" w:color="auto" w:fill="FFFFFF"/>
        </w:rPr>
        <w:t>2024</w:t>
      </w:r>
      <w:r>
        <w:rPr>
          <w:rFonts w:hint="eastAsia" w:ascii="方正小标宋_GBK" w:eastAsia="方正小标宋_GBK"/>
          <w:sz w:val="44"/>
          <w:szCs w:val="44"/>
          <w:shd w:val="clear" w:color="auto" w:fill="FFFFFF"/>
        </w:rPr>
        <w:t>年度单位</w:t>
      </w:r>
      <w:r>
        <w:rPr>
          <w:rFonts w:hint="eastAsia" w:ascii="方正小标宋_GBK" w:eastAsia="方正小标宋_GBK"/>
          <w:sz w:val="44"/>
          <w:szCs w:val="44"/>
        </w:rPr>
        <w:t>决算情况</w:t>
      </w:r>
      <w:r>
        <w:rPr>
          <w:rFonts w:hint="eastAsia" w:ascii="方正小标宋_GBK" w:eastAsia="方正小标宋_GBK"/>
          <w:sz w:val="44"/>
          <w:szCs w:val="44"/>
          <w:shd w:val="clear" w:color="auto" w:fill="FFFFFF"/>
        </w:rPr>
        <w:t>说明</w:t>
      </w:r>
    </w:p>
    <w:p w14:paraId="7A95055B">
      <w:pPr>
        <w:keepNext w:val="0"/>
        <w:keepLines w:val="0"/>
        <w:pageBreakBefore w:val="0"/>
        <w:widowControl w:val="0"/>
        <w:wordWrap/>
        <w:overflowPunct/>
        <w:topLinePunct w:val="0"/>
        <w:bidi w:val="0"/>
        <w:spacing w:line="600" w:lineRule="exact"/>
        <w:ind w:firstLine="640" w:firstLineChars="200"/>
        <w:jc w:val="both"/>
        <w:rPr>
          <w:rFonts w:eastAsia="方正黑体_GBK" w:cs="宋体"/>
          <w:bCs/>
          <w:sz w:val="32"/>
          <w:szCs w:val="32"/>
        </w:rPr>
      </w:pPr>
    </w:p>
    <w:p w14:paraId="0FFFB107">
      <w:pPr>
        <w:keepNext w:val="0"/>
        <w:keepLines w:val="0"/>
        <w:pageBreakBefore w:val="0"/>
        <w:widowControl w:val="0"/>
        <w:wordWrap/>
        <w:overflowPunct/>
        <w:topLinePunct w:val="0"/>
        <w:bidi w:val="0"/>
        <w:spacing w:line="600" w:lineRule="exact"/>
        <w:ind w:firstLine="640" w:firstLineChars="200"/>
        <w:jc w:val="both"/>
        <w:rPr>
          <w:rFonts w:hint="default" w:eastAsia="方正黑体_GBK" w:cs="宋体"/>
          <w:b/>
          <w:sz w:val="32"/>
          <w:szCs w:val="32"/>
        </w:rPr>
      </w:pPr>
      <w:r>
        <w:rPr>
          <w:rFonts w:eastAsia="方正黑体_GBK" w:cs="宋体"/>
          <w:bCs/>
          <w:sz w:val="32"/>
          <w:szCs w:val="32"/>
        </w:rPr>
        <w:t>一、单位基本情况</w:t>
      </w:r>
    </w:p>
    <w:p w14:paraId="04006B31">
      <w:pPr>
        <w:pStyle w:val="9"/>
        <w:keepNext w:val="0"/>
        <w:keepLines w:val="0"/>
        <w:pageBreakBefore w:val="0"/>
        <w:widowControl w:val="0"/>
        <w:wordWrap/>
        <w:overflowPunct/>
        <w:topLinePunct w:val="0"/>
        <w:bidi w:val="0"/>
        <w:spacing w:line="600" w:lineRule="exact"/>
        <w:rPr>
          <w:b/>
        </w:rPr>
      </w:pPr>
      <w:r>
        <w:rPr>
          <w:rStyle w:val="12"/>
          <w:rFonts w:ascii="方正楷体_GBK" w:hAnsi="楷体" w:eastAsia="方正楷体_GBK" w:cs="楷体"/>
          <w:b w:val="0"/>
          <w:shd w:val="clear" w:color="auto" w:fill="FFFFFF"/>
        </w:rPr>
        <w:t>（一）职能职责</w:t>
      </w:r>
    </w:p>
    <w:p w14:paraId="7037EB11">
      <w:pPr>
        <w:pStyle w:val="9"/>
        <w:keepNext w:val="0"/>
        <w:keepLines w:val="0"/>
        <w:pageBreakBefore w:val="0"/>
        <w:widowControl w:val="0"/>
        <w:wordWrap/>
        <w:overflowPunct/>
        <w:topLinePunct w:val="0"/>
        <w:bidi w:val="0"/>
        <w:spacing w:line="600" w:lineRule="exact"/>
      </w:pPr>
      <w:r>
        <w:t>实施普通学前教育，促进学生全面发展。开展保育教育服务；开展基本卫生保健服务；负责行政管理工作；维护园区安全；提供后勤保障服务。</w:t>
      </w:r>
    </w:p>
    <w:p w14:paraId="1252C0C1">
      <w:pPr>
        <w:pStyle w:val="9"/>
        <w:keepNext w:val="0"/>
        <w:keepLines w:val="0"/>
        <w:pageBreakBefore w:val="0"/>
        <w:widowControl w:val="0"/>
        <w:wordWrap/>
        <w:overflowPunct/>
        <w:topLinePunct w:val="0"/>
        <w:bidi w:val="0"/>
        <w:spacing w:line="600" w:lineRule="exact"/>
        <w:rPr>
          <w:b/>
        </w:rPr>
      </w:pPr>
      <w:r>
        <w:rPr>
          <w:rStyle w:val="12"/>
          <w:rFonts w:ascii="方正楷体_GBK" w:hAnsi="楷体" w:eastAsia="方正楷体_GBK" w:cs="楷体"/>
          <w:b w:val="0"/>
          <w:shd w:val="clear" w:color="auto" w:fill="FFFFFF"/>
        </w:rPr>
        <w:t>（二）机构设置</w:t>
      </w:r>
    </w:p>
    <w:p w14:paraId="2403DE9B">
      <w:pPr>
        <w:pStyle w:val="9"/>
        <w:keepNext w:val="0"/>
        <w:keepLines w:val="0"/>
        <w:pageBreakBefore w:val="0"/>
        <w:widowControl w:val="0"/>
        <w:kinsoku/>
        <w:wordWrap/>
        <w:overflowPunct/>
        <w:topLinePunct w:val="0"/>
        <w:autoSpaceDE/>
        <w:autoSpaceDN/>
        <w:bidi w:val="0"/>
        <w:adjustRightInd/>
        <w:snapToGrid w:val="0"/>
        <w:spacing w:line="600" w:lineRule="exact"/>
        <w:textAlignment w:val="auto"/>
        <w:rPr>
          <w:color w:val="FF0000"/>
          <w:shd w:val="clear" w:color="auto" w:fill="FFFFFF"/>
        </w:rPr>
      </w:pPr>
      <w:r>
        <w:t>我园在职在编教师1人，幼儿、学前9个班，幼儿人数324人。幼儿园下设党政办公室、德育处、教导处和安保后勤办公室。</w:t>
      </w:r>
    </w:p>
    <w:p w14:paraId="6C021535">
      <w:pPr>
        <w:pStyle w:val="9"/>
        <w:keepNext w:val="0"/>
        <w:keepLines w:val="0"/>
        <w:pageBreakBefore w:val="0"/>
        <w:widowControl w:val="0"/>
        <w:wordWrap/>
        <w:overflowPunct/>
        <w:topLinePunct w:val="0"/>
        <w:bidi w:val="0"/>
        <w:spacing w:line="600" w:lineRule="exact"/>
        <w:rPr>
          <w:rStyle w:val="12"/>
          <w:rFonts w:ascii="方正黑体_GBK" w:hAnsi="黑体" w:eastAsia="方正黑体_GBK" w:cs="黑体"/>
          <w:b w:val="0"/>
          <w:shd w:val="clear" w:color="auto" w:fill="FFFFFF"/>
        </w:rPr>
      </w:pPr>
      <w:r>
        <w:rPr>
          <w:rStyle w:val="12"/>
          <w:rFonts w:ascii="方正黑体_GBK" w:hAnsi="黑体" w:eastAsia="方正黑体_GBK" w:cs="黑体"/>
          <w:b w:val="0"/>
          <w:shd w:val="clear" w:color="auto" w:fill="FFFFFF"/>
        </w:rPr>
        <w:t>二、单位决算收支情况说明</w:t>
      </w:r>
    </w:p>
    <w:p w14:paraId="1C424016">
      <w:pPr>
        <w:pStyle w:val="9"/>
        <w:keepNext w:val="0"/>
        <w:keepLines w:val="0"/>
        <w:pageBreakBefore w:val="0"/>
        <w:widowControl w:val="0"/>
        <w:wordWrap/>
        <w:overflowPunct/>
        <w:topLinePunct w:val="0"/>
        <w:bidi w:val="0"/>
        <w:spacing w:line="600" w:lineRule="exact"/>
        <w:rPr>
          <w:rFonts w:ascii="楷体" w:eastAsia="楷体"/>
          <w:shd w:val="clear" w:color="auto" w:fill="FFFFFF"/>
        </w:rPr>
      </w:pPr>
      <w:r>
        <w:rPr>
          <w:rFonts w:hint="eastAsia" w:ascii="方正楷体_GBK" w:eastAsia="方正楷体_GBK"/>
          <w:shd w:val="clear" w:color="auto" w:fill="FFFFFF"/>
        </w:rPr>
        <w:t>（一）收入支出决算总体情况说明。</w:t>
      </w:r>
    </w:p>
    <w:p w14:paraId="1B12327B">
      <w:pPr>
        <w:keepNext w:val="0"/>
        <w:keepLines w:val="0"/>
        <w:pageBreakBefore w:val="0"/>
        <w:widowControl w:val="0"/>
        <w:wordWrap/>
        <w:overflowPunct/>
        <w:topLinePunct w:val="0"/>
        <w:bidi w:val="0"/>
        <w:spacing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2024年度收入总计247.16万元，支出总计</w:t>
      </w:r>
      <w:r>
        <w:rPr>
          <w:rFonts w:ascii="方正仿宋_GBK" w:hAnsi="方正仿宋_GBK" w:eastAsia="方正仿宋_GBK" w:cs="方正仿宋_GBK"/>
          <w:sz w:val="32"/>
          <w:szCs w:val="32"/>
        </w:rPr>
        <w:t>247.16</w:t>
      </w:r>
      <w:r>
        <w:rPr>
          <w:rFonts w:ascii="方正仿宋_GBK" w:hAnsi="方正仿宋_GBK" w:eastAsia="方正仿宋_GBK" w:cs="方正仿宋_GBK"/>
          <w:sz w:val="32"/>
          <w:szCs w:val="32"/>
          <w:shd w:val="clear" w:color="auto" w:fill="FFFFFF"/>
        </w:rPr>
        <w:t>万元。收、支与2023年度相比，增加238.29万元，增长2686.5%，主要原因是</w:t>
      </w:r>
      <w:r>
        <w:rPr>
          <w:rFonts w:hint="eastAsia" w:ascii="方正仿宋_GBK" w:hAnsi="方正仿宋_GBK" w:eastAsia="方正仿宋_GBK" w:cs="方正仿宋_GBK"/>
          <w:sz w:val="32"/>
          <w:szCs w:val="32"/>
          <w:shd w:val="clear" w:color="auto" w:fill="FFFFFF"/>
          <w:lang w:val="en-US" w:eastAsia="zh-CN"/>
        </w:rPr>
        <w:t>师生人数增加</w:t>
      </w:r>
      <w:r>
        <w:rPr>
          <w:rFonts w:ascii="方正仿宋_GBK" w:hAnsi="方正仿宋_GBK" w:eastAsia="方正仿宋_GBK" w:cs="方正仿宋_GBK"/>
          <w:sz w:val="32"/>
          <w:szCs w:val="32"/>
          <w:shd w:val="clear" w:color="auto" w:fill="FFFFFF"/>
        </w:rPr>
        <w:t>。</w:t>
      </w:r>
    </w:p>
    <w:p w14:paraId="3A7BE989">
      <w:pPr>
        <w:keepNext w:val="0"/>
        <w:keepLines w:val="0"/>
        <w:pageBreakBefore w:val="0"/>
        <w:widowControl w:val="0"/>
        <w:wordWrap/>
        <w:overflowPunct/>
        <w:topLinePunct w:val="0"/>
        <w:bidi w:val="0"/>
        <w:spacing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2024年度收入合计247.16万元，与2023年度相比，增加238.29万元，增长2686.5%，主要原因是</w:t>
      </w:r>
      <w:r>
        <w:rPr>
          <w:rFonts w:hint="eastAsia" w:ascii="方正仿宋_GBK" w:hAnsi="方正仿宋_GBK" w:eastAsia="方正仿宋_GBK" w:cs="方正仿宋_GBK"/>
          <w:sz w:val="32"/>
          <w:szCs w:val="32"/>
          <w:shd w:val="clear" w:color="auto" w:fill="FFFFFF"/>
          <w:lang w:val="en-US" w:eastAsia="zh-CN"/>
        </w:rPr>
        <w:t>师生人数增加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145.84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59.01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101.32</w:t>
      </w:r>
      <w:r>
        <w:rPr>
          <w:rFonts w:ascii="方正仿宋_GBK" w:hAnsi="方正仿宋_GBK" w:eastAsia="方正仿宋_GBK" w:cs="方正仿宋_GBK"/>
          <w:sz w:val="32"/>
          <w:szCs w:val="32"/>
          <w:shd w:val="clear" w:color="auto" w:fill="FFFFFF"/>
        </w:rPr>
        <w:t>万元，占40.99%。</w:t>
      </w:r>
    </w:p>
    <w:p w14:paraId="388A2F9C">
      <w:pPr>
        <w:pStyle w:val="9"/>
        <w:keepNext w:val="0"/>
        <w:keepLines w:val="0"/>
        <w:pageBreakBefore w:val="0"/>
        <w:widowControl w:val="0"/>
        <w:wordWrap/>
        <w:overflowPunct/>
        <w:topLinePunct w:val="0"/>
        <w:bidi w:val="0"/>
        <w:spacing w:line="600" w:lineRule="exact"/>
        <w:ind w:firstLine="643"/>
        <w:rPr>
          <w:shd w:val="clear" w:color="auto" w:fill="FFFFFF"/>
        </w:rPr>
      </w:pPr>
      <w:r>
        <w:rPr>
          <w:rStyle w:val="12"/>
          <w:shd w:val="clear" w:color="auto" w:fill="FFFFFF"/>
        </w:rPr>
        <w:t>3.支出情况。</w:t>
      </w:r>
      <w:r>
        <w:rPr>
          <w:shd w:val="clear" w:color="auto" w:fill="FFFFFF"/>
        </w:rPr>
        <w:t>2024年度支出合计</w:t>
      </w:r>
      <w:r>
        <w:t>247.16</w:t>
      </w:r>
      <w:r>
        <w:rPr>
          <w:shd w:val="clear" w:color="auto" w:fill="FFFFFF"/>
        </w:rPr>
        <w:t>万元，与2023年度相比，增加238.29万元，增长2686.5%，主要原因是</w:t>
      </w:r>
      <w:r>
        <w:rPr>
          <w:rFonts w:hint="eastAsia" w:ascii="方正仿宋_GBK" w:hAnsi="方正仿宋_GBK" w:eastAsia="方正仿宋_GBK" w:cs="方正仿宋_GBK"/>
          <w:sz w:val="32"/>
          <w:szCs w:val="32"/>
          <w:shd w:val="clear" w:color="auto" w:fill="FFFFFF"/>
          <w:lang w:val="en-US" w:eastAsia="zh-CN"/>
        </w:rPr>
        <w:t>师生人数增加</w:t>
      </w:r>
      <w:r>
        <w:rPr>
          <w:shd w:val="clear" w:color="auto" w:fill="FFFFFF"/>
        </w:rPr>
        <w:t>。其中：基本支出</w:t>
      </w:r>
      <w:r>
        <w:t>44.48</w:t>
      </w:r>
      <w:r>
        <w:rPr>
          <w:shd w:val="clear" w:color="auto" w:fill="FFFFFF"/>
        </w:rPr>
        <w:t>万元，占18.00%；项目支出</w:t>
      </w:r>
      <w:r>
        <w:t>202.68</w:t>
      </w:r>
      <w:r>
        <w:rPr>
          <w:shd w:val="clear" w:color="auto" w:fill="FFFFFF"/>
        </w:rPr>
        <w:t>万元，占82.00%。</w:t>
      </w:r>
    </w:p>
    <w:p w14:paraId="6F7EF815">
      <w:pPr>
        <w:pStyle w:val="9"/>
        <w:keepNext w:val="0"/>
        <w:keepLines w:val="0"/>
        <w:pageBreakBefore w:val="0"/>
        <w:widowControl w:val="0"/>
        <w:wordWrap/>
        <w:overflowPunct/>
        <w:topLinePunct w:val="0"/>
        <w:bidi w:val="0"/>
        <w:spacing w:line="600" w:lineRule="exact"/>
        <w:ind w:firstLine="643"/>
        <w:rPr>
          <w:color w:val="000000" w:themeColor="text1"/>
          <w:shd w:val="clear" w:color="auto" w:fill="FFFFFF"/>
          <w14:textFill>
            <w14:solidFill>
              <w14:schemeClr w14:val="tx1"/>
            </w14:solidFill>
          </w14:textFill>
        </w:rPr>
      </w:pPr>
      <w:r>
        <w:rPr>
          <w:rStyle w:val="12"/>
          <w:shd w:val="clear" w:color="auto" w:fill="FFFFFF"/>
        </w:rPr>
        <w:t>4.结转结余情况。</w:t>
      </w:r>
      <w:r>
        <w:rPr>
          <w:shd w:val="clear" w:color="auto" w:fill="FFFFFF"/>
        </w:rPr>
        <w:t>2024年度年末结转和结余</w:t>
      </w:r>
      <w:r>
        <w:t>0.00</w:t>
      </w:r>
      <w:r>
        <w:rPr>
          <w:shd w:val="clear" w:color="auto" w:fill="FFFFFF"/>
        </w:rPr>
        <w:t>万元，较上年决算数无增减，主要原因是本年度收支平衡</w:t>
      </w:r>
      <w:r>
        <w:rPr>
          <w:color w:val="000000" w:themeColor="text1"/>
          <w:shd w:val="clear" w:color="auto" w:fill="FFFFFF"/>
          <w14:textFill>
            <w14:solidFill>
              <w14:schemeClr w14:val="tx1"/>
            </w14:solidFill>
          </w14:textFill>
        </w:rPr>
        <w:t>。</w:t>
      </w:r>
    </w:p>
    <w:p w14:paraId="7BFDC239">
      <w:pPr>
        <w:pStyle w:val="13"/>
        <w:keepNext w:val="0"/>
        <w:keepLines w:val="0"/>
        <w:pageBreakBefore w:val="0"/>
        <w:widowControl w:val="0"/>
        <w:wordWrap/>
        <w:overflowPunct/>
        <w:topLinePunct w:val="0"/>
        <w:autoSpaceDE w:val="0"/>
        <w:bidi w:val="0"/>
        <w:spacing w:line="600" w:lineRule="exact"/>
        <w:ind w:firstLine="64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（二）财政拨款收入支出决算总体情况说明</w:t>
      </w:r>
    </w:p>
    <w:p w14:paraId="05C1F392">
      <w:pPr>
        <w:keepNext w:val="0"/>
        <w:keepLines w:val="0"/>
        <w:pageBreakBefore w:val="0"/>
        <w:widowControl w:val="0"/>
        <w:wordWrap/>
        <w:overflowPunct/>
        <w:topLinePunct w:val="0"/>
        <w:bidi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2024年度财政拨款收、支总计145.84万元。与2023年相比，财政拨款收、支总计各增加136.97万元，增长1544.2%。主要原因是</w:t>
      </w:r>
      <w:r>
        <w:rPr>
          <w:rFonts w:hint="eastAsia" w:ascii="方正仿宋_GBK" w:hAnsi="方正仿宋_GBK" w:eastAsia="方正仿宋_GBK" w:cs="方正仿宋_GBK"/>
          <w:sz w:val="32"/>
          <w:szCs w:val="32"/>
          <w:shd w:val="clear" w:color="auto" w:fill="FFFFFF"/>
          <w:lang w:val="en-US" w:eastAsia="zh-CN"/>
        </w:rPr>
        <w:t>师生人数增加</w:t>
      </w:r>
      <w:r>
        <w:rPr>
          <w:rFonts w:ascii="方正仿宋_GBK" w:hAnsi="方正仿宋_GBK" w:eastAsia="方正仿宋_GBK" w:cs="方正仿宋_GBK"/>
          <w:sz w:val="32"/>
          <w:szCs w:val="32"/>
          <w:shd w:val="clear" w:color="auto" w:fill="FFFFFF"/>
        </w:rPr>
        <w:t>。</w:t>
      </w:r>
    </w:p>
    <w:p w14:paraId="278332E4">
      <w:pPr>
        <w:pStyle w:val="9"/>
        <w:keepNext w:val="0"/>
        <w:keepLines w:val="0"/>
        <w:pageBreakBefore w:val="0"/>
        <w:widowControl w:val="0"/>
        <w:wordWrap/>
        <w:overflowPunct/>
        <w:topLinePunct w:val="0"/>
        <w:bidi w:val="0"/>
        <w:spacing w:line="600" w:lineRule="exact"/>
        <w:rPr>
          <w:rFonts w:ascii="方正楷体_GBK" w:eastAsia="方正楷体_GBK"/>
          <w:shd w:val="clear" w:color="auto" w:fill="FFFFFF"/>
        </w:rPr>
      </w:pPr>
      <w:r>
        <w:rPr>
          <w:rFonts w:hint="eastAsia" w:ascii="方正楷体_GBK" w:eastAsia="方正楷体_GBK"/>
          <w:shd w:val="clear" w:color="auto" w:fill="FFFFFF"/>
        </w:rPr>
        <w:t>（三）一般公共预算财政拨款收入支出决算情况说明</w:t>
      </w:r>
    </w:p>
    <w:p w14:paraId="4E531D08">
      <w:pPr>
        <w:keepNext w:val="0"/>
        <w:keepLines w:val="0"/>
        <w:pageBreakBefore w:val="0"/>
        <w:widowControl w:val="0"/>
        <w:wordWrap/>
        <w:overflowPunct/>
        <w:topLinePunct w:val="0"/>
        <w:bidi w:val="0"/>
        <w:spacing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145.84</w:t>
      </w:r>
      <w:r>
        <w:rPr>
          <w:rFonts w:ascii="方正仿宋_GBK" w:hAnsi="方正仿宋_GBK" w:eastAsia="方正仿宋_GBK" w:cs="方正仿宋_GBK"/>
          <w:sz w:val="32"/>
          <w:szCs w:val="32"/>
          <w:shd w:val="clear" w:color="auto" w:fill="FFFFFF"/>
        </w:rPr>
        <w:t>万元，与2023年度相比，增加136.97万元，增长1544.2%。主要原因是</w:t>
      </w:r>
      <w:r>
        <w:rPr>
          <w:rFonts w:hint="eastAsia" w:ascii="方正仿宋_GBK" w:hAnsi="方正仿宋_GBK" w:eastAsia="方正仿宋_GBK" w:cs="方正仿宋_GBK"/>
          <w:sz w:val="32"/>
          <w:szCs w:val="32"/>
          <w:shd w:val="clear" w:color="auto" w:fill="FFFFFF"/>
          <w:lang w:val="en-US" w:eastAsia="zh-CN"/>
        </w:rPr>
        <w:t>师生人数增加</w:t>
      </w:r>
      <w:r>
        <w:rPr>
          <w:rFonts w:ascii="方正仿宋_GBK" w:hAnsi="方正仿宋_GBK" w:eastAsia="方正仿宋_GBK" w:cs="方正仿宋_GBK"/>
          <w:sz w:val="32"/>
          <w:szCs w:val="32"/>
          <w:shd w:val="clear" w:color="auto" w:fill="FFFFFF"/>
        </w:rPr>
        <w:t>。较年初预算数增加29.30万元，增长25.1%。主要原因是</w:t>
      </w:r>
      <w:r>
        <w:rPr>
          <w:rFonts w:hint="eastAsia" w:ascii="方正仿宋_GBK" w:hAnsi="方正仿宋_GBK" w:eastAsia="方正仿宋_GBK" w:cs="方正仿宋_GBK"/>
          <w:sz w:val="32"/>
          <w:szCs w:val="32"/>
          <w:shd w:val="clear" w:color="auto" w:fill="FFFFFF"/>
          <w:lang w:val="en-US" w:eastAsia="zh-CN"/>
        </w:rPr>
        <w:t>政策性调资及师生人数增加</w:t>
      </w:r>
      <w:r>
        <w:rPr>
          <w:rFonts w:ascii="方正仿宋_GBK" w:hAnsi="方正仿宋_GBK" w:eastAsia="方正仿宋_GBK" w:cs="方正仿宋_GBK"/>
          <w:sz w:val="32"/>
          <w:szCs w:val="32"/>
          <w:shd w:val="clear" w:color="auto" w:fill="FFFFFF"/>
        </w:rPr>
        <w:t>。</w:t>
      </w:r>
    </w:p>
    <w:p w14:paraId="4913D7DC">
      <w:pPr>
        <w:keepNext w:val="0"/>
        <w:keepLines w:val="0"/>
        <w:pageBreakBefore w:val="0"/>
        <w:widowControl w:val="0"/>
        <w:wordWrap/>
        <w:overflowPunct/>
        <w:topLinePunct w:val="0"/>
        <w:bidi w:val="0"/>
        <w:spacing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145.84</w:t>
      </w:r>
      <w:r>
        <w:rPr>
          <w:rFonts w:ascii="方正仿宋_GBK" w:hAnsi="方正仿宋_GBK" w:eastAsia="方正仿宋_GBK" w:cs="方正仿宋_GBK"/>
          <w:sz w:val="32"/>
          <w:szCs w:val="32"/>
          <w:shd w:val="clear" w:color="auto" w:fill="FFFFFF"/>
        </w:rPr>
        <w:t>万元，与2023年度相比，增加136.97万元，增长1544.2%。主要原因是</w:t>
      </w:r>
      <w:r>
        <w:rPr>
          <w:rFonts w:hint="eastAsia" w:ascii="方正仿宋_GBK" w:hAnsi="方正仿宋_GBK" w:eastAsia="方正仿宋_GBK" w:cs="方正仿宋_GBK"/>
          <w:sz w:val="32"/>
          <w:szCs w:val="32"/>
          <w:shd w:val="clear" w:color="auto" w:fill="FFFFFF"/>
          <w:lang w:val="en-US" w:eastAsia="zh-CN"/>
        </w:rPr>
        <w:t>政策性调资及师生人数增加</w:t>
      </w:r>
      <w:r>
        <w:rPr>
          <w:rFonts w:ascii="方正仿宋_GBK" w:hAnsi="方正仿宋_GBK" w:eastAsia="方正仿宋_GBK" w:cs="方正仿宋_GBK"/>
          <w:sz w:val="32"/>
          <w:szCs w:val="32"/>
          <w:shd w:val="clear" w:color="auto" w:fill="FFFFFF"/>
        </w:rPr>
        <w:t>。较年初预算数增加29.30万元，增长25.1%。主要原因是</w:t>
      </w:r>
      <w:r>
        <w:rPr>
          <w:rFonts w:hint="eastAsia" w:ascii="方正仿宋_GBK" w:hAnsi="方正仿宋_GBK" w:eastAsia="方正仿宋_GBK" w:cs="方正仿宋_GBK"/>
          <w:sz w:val="32"/>
          <w:szCs w:val="32"/>
          <w:shd w:val="clear" w:color="auto" w:fill="FFFFFF"/>
          <w:lang w:val="en-US" w:eastAsia="zh-CN"/>
        </w:rPr>
        <w:t>政策性调资及师生人数增加</w:t>
      </w:r>
      <w:r>
        <w:rPr>
          <w:rFonts w:ascii="方正仿宋_GBK" w:hAnsi="方正仿宋_GBK" w:eastAsia="方正仿宋_GBK" w:cs="方正仿宋_GBK"/>
          <w:sz w:val="32"/>
          <w:szCs w:val="32"/>
          <w:shd w:val="clear" w:color="auto" w:fill="FFFFFF"/>
        </w:rPr>
        <w:t>。</w:t>
      </w:r>
    </w:p>
    <w:p w14:paraId="1AE86D1F">
      <w:pPr>
        <w:keepNext w:val="0"/>
        <w:keepLines w:val="0"/>
        <w:pageBreakBefore w:val="0"/>
        <w:widowControl w:val="0"/>
        <w:wordWrap/>
        <w:overflowPunct/>
        <w:topLinePunct w:val="0"/>
        <w:bidi w:val="0"/>
        <w:spacing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万元，与2023年度相比，无增减，主要原因是本年度收支平衡</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0773316">
      <w:pPr>
        <w:pStyle w:val="9"/>
        <w:keepNext w:val="0"/>
        <w:keepLines w:val="0"/>
        <w:pageBreakBefore w:val="0"/>
        <w:widowControl w:val="0"/>
        <w:wordWrap/>
        <w:overflowPunct/>
        <w:topLinePunct w:val="0"/>
        <w:bidi w:val="0"/>
        <w:spacing w:line="600" w:lineRule="exact"/>
        <w:ind w:firstLine="643"/>
        <w:rPr>
          <w:color w:val="FF0000"/>
          <w:highlight w:val="cyan"/>
          <w:shd w:val="clear" w:color="auto" w:fill="FFFFFF"/>
        </w:rPr>
      </w:pPr>
      <w:r>
        <w:rPr>
          <w:rStyle w:val="12"/>
          <w:shd w:val="clear" w:color="auto" w:fill="FFFFFF"/>
        </w:rPr>
        <w:t>4.比较情况。</w:t>
      </w:r>
      <w:r>
        <w:rPr>
          <w:shd w:val="clear" w:color="auto" w:fill="FFFFFF"/>
        </w:rPr>
        <w:t>本单位2024年度一般公共预算财政拨款支出主要用于以下几个方面：</w:t>
      </w:r>
    </w:p>
    <w:p w14:paraId="492E887F">
      <w:pPr>
        <w:keepNext w:val="0"/>
        <w:keepLines w:val="0"/>
        <w:pageBreakBefore w:val="0"/>
        <w:widowControl w:val="0"/>
        <w:wordWrap/>
        <w:overflowPunct/>
        <w:topLinePunct w:val="0"/>
        <w:bidi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141.88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97.28</w:t>
      </w:r>
      <w:r>
        <w:rPr>
          <w:rFonts w:ascii="方正仿宋_GBK" w:hAnsi="方正仿宋_GBK" w:eastAsia="方正仿宋_GBK" w:cs="方正仿宋_GBK"/>
          <w:sz w:val="32"/>
          <w:szCs w:val="32"/>
          <w:shd w:val="clear" w:color="auto" w:fill="FFFFFF"/>
        </w:rPr>
        <w:t>%，较年初预算数增加28.62万元，增长25.3%，主要原因是</w:t>
      </w:r>
      <w:r>
        <w:rPr>
          <w:rFonts w:hint="eastAsia" w:ascii="方正仿宋_GBK" w:hAnsi="方正仿宋_GBK" w:eastAsia="方正仿宋_GBK" w:cs="方正仿宋_GBK"/>
          <w:sz w:val="32"/>
          <w:szCs w:val="32"/>
          <w:shd w:val="clear" w:color="auto" w:fill="FFFFFF"/>
          <w:lang w:val="en-US" w:eastAsia="zh-CN"/>
        </w:rPr>
        <w:t>政策性调资及师生人数增加</w:t>
      </w:r>
      <w:r>
        <w:rPr>
          <w:rFonts w:ascii="方正仿宋_GBK" w:hAnsi="方正仿宋_GBK" w:eastAsia="方正仿宋_GBK" w:cs="方正仿宋_GBK"/>
          <w:sz w:val="32"/>
          <w:szCs w:val="32"/>
          <w:shd w:val="clear" w:color="auto" w:fill="FFFFFF"/>
        </w:rPr>
        <w:t>。</w:t>
      </w:r>
    </w:p>
    <w:p w14:paraId="28A6B5B3">
      <w:pPr>
        <w:keepNext w:val="0"/>
        <w:keepLines w:val="0"/>
        <w:pageBreakBefore w:val="0"/>
        <w:widowControl w:val="0"/>
        <w:wordWrap/>
        <w:overflowPunct/>
        <w:topLinePunct w:val="0"/>
        <w:bidi w:val="0"/>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（2）社会保障与就业支出1.97万元，占1.35%，较年初预算数增加0.68万元，增长52.7%，主要原因是社保缴费基数调整。</w:t>
      </w:r>
    </w:p>
    <w:p w14:paraId="75D3DEE7">
      <w:pPr>
        <w:pStyle w:val="9"/>
        <w:keepNext w:val="0"/>
        <w:keepLines w:val="0"/>
        <w:pageBreakBefore w:val="0"/>
        <w:widowControl w:val="0"/>
        <w:wordWrap/>
        <w:overflowPunct/>
        <w:topLinePunct w:val="0"/>
        <w:bidi w:val="0"/>
        <w:spacing w:line="600" w:lineRule="exact"/>
      </w:pPr>
      <w:r>
        <w:rPr>
          <w:shd w:val="clear" w:color="auto" w:fill="FFFFFF"/>
        </w:rPr>
        <w:t>（3）卫生健康支出</w:t>
      </w:r>
      <w:r>
        <w:t>0.70</w:t>
      </w:r>
      <w:r>
        <w:rPr>
          <w:shd w:val="clear" w:color="auto" w:fill="FFFFFF"/>
        </w:rPr>
        <w:t>万元，占</w:t>
      </w:r>
      <w:r>
        <w:t>0.48</w:t>
      </w:r>
      <w:r>
        <w:rPr>
          <w:shd w:val="clear" w:color="auto" w:fill="FFFFFF"/>
        </w:rPr>
        <w:t>%，较年初预算数无增减，主要原因是</w:t>
      </w:r>
      <w:r>
        <w:rPr>
          <w:rFonts w:hint="eastAsia"/>
          <w:shd w:val="clear" w:color="auto" w:fill="FFFFFF"/>
          <w:lang w:val="en-US" w:eastAsia="zh-CN"/>
        </w:rPr>
        <w:t>严格按预算执行</w:t>
      </w:r>
      <w:r>
        <w:rPr>
          <w:shd w:val="clear" w:color="auto" w:fill="FFFFFF"/>
        </w:rPr>
        <w:t>。</w:t>
      </w:r>
    </w:p>
    <w:p w14:paraId="5B4A871E">
      <w:pPr>
        <w:pStyle w:val="9"/>
        <w:keepNext w:val="0"/>
        <w:keepLines w:val="0"/>
        <w:pageBreakBefore w:val="0"/>
        <w:widowControl w:val="0"/>
        <w:wordWrap/>
        <w:overflowPunct/>
        <w:topLinePunct w:val="0"/>
        <w:bidi w:val="0"/>
        <w:spacing w:line="600" w:lineRule="exact"/>
        <w:rPr>
          <w:color w:val="FF0000"/>
          <w:shd w:val="clear" w:color="auto" w:fill="FFFFFF"/>
        </w:rPr>
      </w:pPr>
      <w:r>
        <w:rPr>
          <w:shd w:val="clear" w:color="auto" w:fill="FFFFFF"/>
        </w:rPr>
        <w:t>（4）</w:t>
      </w:r>
      <w:r>
        <w:t>住房保障支出1.29</w:t>
      </w:r>
      <w:r>
        <w:rPr>
          <w:shd w:val="clear" w:color="auto" w:fill="FFFFFF"/>
        </w:rPr>
        <w:t>万元，占</w:t>
      </w:r>
      <w:r>
        <w:t>0.89</w:t>
      </w:r>
      <w:r>
        <w:rPr>
          <w:shd w:val="clear" w:color="auto" w:fill="FFFFFF"/>
        </w:rPr>
        <w:t>%，较年初预算数无增减，主要原因是</w:t>
      </w:r>
      <w:r>
        <w:rPr>
          <w:rFonts w:hint="eastAsia"/>
          <w:shd w:val="clear" w:color="auto" w:fill="FFFFFF"/>
          <w:lang w:val="en-US" w:eastAsia="zh-CN"/>
        </w:rPr>
        <w:t>严格按预算执行</w:t>
      </w:r>
      <w:r>
        <w:rPr>
          <w:shd w:val="clear" w:color="auto" w:fill="FFFFFF"/>
        </w:rPr>
        <w:t>。</w:t>
      </w:r>
    </w:p>
    <w:p w14:paraId="7C446BCF">
      <w:pPr>
        <w:pStyle w:val="13"/>
        <w:keepNext w:val="0"/>
        <w:keepLines w:val="0"/>
        <w:pageBreakBefore w:val="0"/>
        <w:widowControl w:val="0"/>
        <w:wordWrap/>
        <w:overflowPunct/>
        <w:topLinePunct w:val="0"/>
        <w:autoSpaceDE w:val="0"/>
        <w:bidi w:val="0"/>
        <w:spacing w:line="600" w:lineRule="exact"/>
        <w:ind w:firstLine="64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（四）一般公共预算财政拨款基本支出决算情况说明</w:t>
      </w:r>
    </w:p>
    <w:p w14:paraId="2C796968">
      <w:pPr>
        <w:pStyle w:val="9"/>
        <w:keepNext w:val="0"/>
        <w:keepLines w:val="0"/>
        <w:pageBreakBefore w:val="0"/>
        <w:widowControl w:val="0"/>
        <w:wordWrap/>
        <w:overflowPunct/>
        <w:topLinePunct w:val="0"/>
        <w:bidi w:val="0"/>
        <w:spacing w:line="600" w:lineRule="exact"/>
      </w:pPr>
      <w:r>
        <w:rPr>
          <w:shd w:val="clear" w:color="auto" w:fill="FFFFFF"/>
        </w:rPr>
        <w:t>2024年度一般公共财政拨款基本支出</w:t>
      </w:r>
      <w:r>
        <w:t>44.48</w:t>
      </w:r>
      <w:r>
        <w:rPr>
          <w:shd w:val="clear" w:color="auto" w:fill="FFFFFF"/>
        </w:rPr>
        <w:t>万元。其中：人员经费</w:t>
      </w:r>
      <w:r>
        <w:t>14.22</w:t>
      </w:r>
      <w:r>
        <w:rPr>
          <w:shd w:val="clear" w:color="auto" w:fill="FFFFFF"/>
        </w:rPr>
        <w:t>万元，与2023年度相比，增加5.35万元，增长60.3%，主要原因是工资调标。人员经费用途主要包括基本工资、津贴补贴、绩效工资、机关事业单位基本养老保险费、职业年金缴费、职工基本医疗保险缴费、其他社会保障缴费、住房公积金、对个人和家庭的补助、助学金等。公用经费</w:t>
      </w:r>
      <w:r>
        <w:t>30.26</w:t>
      </w:r>
      <w:r>
        <w:rPr>
          <w:shd w:val="clear" w:color="auto" w:fill="FFFFFF"/>
        </w:rPr>
        <w:t>万元，与2023年度相比，增加30.26万元，增长100.0%，主要原因是</w:t>
      </w:r>
      <w:r>
        <w:rPr>
          <w:rFonts w:hint="eastAsia"/>
          <w:shd w:val="clear" w:color="auto" w:fill="FFFFFF"/>
          <w:lang w:val="en-US" w:eastAsia="zh-CN"/>
        </w:rPr>
        <w:t>学生人数增加</w:t>
      </w:r>
      <w:r>
        <w:rPr>
          <w:shd w:val="clear" w:color="auto" w:fill="FFFFFF"/>
        </w:rPr>
        <w:t>。公用经费用途主要包括办公费、印刷费、水费、电费、邮电费、物业管理费、差旅费、维修（护）费、培训费、专用材料费、劳务费、工会经费、福利费、其他商品和服务支出。</w:t>
      </w:r>
    </w:p>
    <w:p w14:paraId="4910C24D">
      <w:pPr>
        <w:pStyle w:val="13"/>
        <w:keepNext w:val="0"/>
        <w:keepLines w:val="0"/>
        <w:pageBreakBefore w:val="0"/>
        <w:widowControl w:val="0"/>
        <w:wordWrap/>
        <w:overflowPunct/>
        <w:topLinePunct w:val="0"/>
        <w:autoSpaceDE w:val="0"/>
        <w:bidi w:val="0"/>
        <w:spacing w:line="600" w:lineRule="exact"/>
        <w:ind w:firstLine="64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（五）政府性基金预算收支决算情况说明</w:t>
      </w:r>
    </w:p>
    <w:p w14:paraId="62227AE5">
      <w:pPr>
        <w:pStyle w:val="9"/>
        <w:keepNext w:val="0"/>
        <w:keepLines w:val="0"/>
        <w:pageBreakBefore w:val="0"/>
        <w:widowControl w:val="0"/>
        <w:wordWrap/>
        <w:overflowPunct/>
        <w:topLinePunct w:val="0"/>
        <w:bidi w:val="0"/>
        <w:spacing w:line="600" w:lineRule="exact"/>
        <w:rPr>
          <w:b/>
        </w:rPr>
      </w:pPr>
      <w:r>
        <w:rPr>
          <w:rStyle w:val="12"/>
          <w:b w:val="0"/>
        </w:rPr>
        <w:t>本单位2024年度无政府性基金预算财政拨款收支。</w:t>
      </w:r>
    </w:p>
    <w:p w14:paraId="7D5A0BFC">
      <w:pPr>
        <w:pStyle w:val="13"/>
        <w:keepNext w:val="0"/>
        <w:keepLines w:val="0"/>
        <w:pageBreakBefore w:val="0"/>
        <w:widowControl w:val="0"/>
        <w:wordWrap/>
        <w:overflowPunct/>
        <w:topLinePunct w:val="0"/>
        <w:autoSpaceDE w:val="0"/>
        <w:bidi w:val="0"/>
        <w:spacing w:line="600" w:lineRule="exact"/>
        <w:ind w:firstLine="64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14:paraId="2438646C">
      <w:pPr>
        <w:pStyle w:val="9"/>
        <w:keepNext w:val="0"/>
        <w:keepLines w:val="0"/>
        <w:pageBreakBefore w:val="0"/>
        <w:widowControl w:val="0"/>
        <w:wordWrap/>
        <w:overflowPunct/>
        <w:topLinePunct w:val="0"/>
        <w:bidi w:val="0"/>
        <w:spacing w:line="600" w:lineRule="exact"/>
        <w:rPr>
          <w:b/>
        </w:rPr>
      </w:pPr>
      <w:r>
        <w:rPr>
          <w:rStyle w:val="12"/>
          <w:b w:val="0"/>
        </w:rPr>
        <w:t>本单位2024年度无国有资本经营预算财政拨款支出。</w:t>
      </w:r>
    </w:p>
    <w:p w14:paraId="160A6D81">
      <w:pPr>
        <w:pStyle w:val="9"/>
        <w:keepNext w:val="0"/>
        <w:keepLines w:val="0"/>
        <w:pageBreakBefore w:val="0"/>
        <w:widowControl w:val="0"/>
        <w:wordWrap/>
        <w:overflowPunct/>
        <w:topLinePunct w:val="0"/>
        <w:bidi w:val="0"/>
        <w:spacing w:line="600" w:lineRule="exact"/>
        <w:rPr>
          <w:rStyle w:val="12"/>
          <w:rFonts w:ascii="方正黑体_GBK" w:hAnsi="黑体" w:eastAsia="方正黑体_GBK" w:cs="黑体"/>
          <w:b w:val="0"/>
          <w:shd w:val="clear" w:color="auto" w:fill="FFFFFF"/>
        </w:rPr>
      </w:pPr>
      <w:r>
        <w:rPr>
          <w:rStyle w:val="12"/>
          <w:rFonts w:hint="eastAsia" w:ascii="方正黑体_GBK" w:hAnsi="黑体" w:eastAsia="方正黑体_GBK" w:cs="黑体"/>
          <w:b w:val="0"/>
          <w:shd w:val="clear" w:color="auto" w:fill="FFFFFF"/>
        </w:rPr>
        <w:t>三、财政拨款“三公”经费情况说明</w:t>
      </w:r>
    </w:p>
    <w:p w14:paraId="6CCC09F2">
      <w:pPr>
        <w:pStyle w:val="13"/>
        <w:keepNext w:val="0"/>
        <w:keepLines w:val="0"/>
        <w:pageBreakBefore w:val="0"/>
        <w:widowControl w:val="0"/>
        <w:wordWrap/>
        <w:overflowPunct/>
        <w:topLinePunct w:val="0"/>
        <w:autoSpaceDE w:val="0"/>
        <w:bidi w:val="0"/>
        <w:spacing w:line="600" w:lineRule="exact"/>
        <w:ind w:firstLine="64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14:paraId="577AFF37">
      <w:pPr>
        <w:pStyle w:val="9"/>
        <w:keepNext w:val="0"/>
        <w:keepLines w:val="0"/>
        <w:pageBreakBefore w:val="0"/>
        <w:widowControl w:val="0"/>
        <w:wordWrap/>
        <w:overflowPunct/>
        <w:topLinePunct w:val="0"/>
        <w:bidi w:val="0"/>
        <w:spacing w:line="600" w:lineRule="exact"/>
      </w:pPr>
      <w:r>
        <w:rPr>
          <w:shd w:val="clear" w:color="auto" w:fill="FFFFFF"/>
        </w:rPr>
        <w:t>2024年度“三公”经费支出共计</w:t>
      </w:r>
      <w:r>
        <w:t>0.00</w:t>
      </w:r>
      <w:r>
        <w:rPr>
          <w:shd w:val="clear" w:color="auto" w:fill="FFFFFF"/>
        </w:rPr>
        <w:t>万元，较年初预算数无增减</w:t>
      </w:r>
      <w:r>
        <w:rPr>
          <w:bCs/>
          <w:shd w:val="clear" w:color="auto" w:fill="FFFFFF"/>
        </w:rPr>
        <w:t>。</w:t>
      </w:r>
      <w:r>
        <w:rPr>
          <w:shd w:val="clear" w:color="auto" w:fill="FFFFFF"/>
        </w:rPr>
        <w:t>较上年支出数无增减，主要原因是</w:t>
      </w:r>
      <w:r>
        <w:rPr>
          <w:bCs/>
          <w:shd w:val="clear" w:color="auto" w:fill="FFFFFF"/>
        </w:rPr>
        <w:t>本单位2024年度未发生“三公”经费支出，与上年决算数持平。</w:t>
      </w:r>
    </w:p>
    <w:p w14:paraId="2B9267DB">
      <w:pPr>
        <w:pStyle w:val="13"/>
        <w:keepNext w:val="0"/>
        <w:keepLines w:val="0"/>
        <w:pageBreakBefore w:val="0"/>
        <w:widowControl w:val="0"/>
        <w:wordWrap/>
        <w:overflowPunct/>
        <w:topLinePunct w:val="0"/>
        <w:autoSpaceDE w:val="0"/>
        <w:bidi w:val="0"/>
        <w:spacing w:line="600" w:lineRule="exact"/>
        <w:ind w:firstLine="640"/>
        <w:jc w:val="both"/>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（二）“三公”经费分项支出情况</w:t>
      </w:r>
    </w:p>
    <w:p w14:paraId="34A539A9">
      <w:pPr>
        <w:pStyle w:val="9"/>
        <w:keepNext w:val="0"/>
        <w:keepLines w:val="0"/>
        <w:pageBreakBefore w:val="0"/>
        <w:widowControl w:val="0"/>
        <w:wordWrap/>
        <w:overflowPunct/>
        <w:topLinePunct w:val="0"/>
        <w:bidi w:val="0"/>
        <w:spacing w:line="600" w:lineRule="exact"/>
        <w:rPr>
          <w:bCs/>
          <w:shd w:val="clear" w:color="auto" w:fill="FFFFFF"/>
        </w:rPr>
      </w:pPr>
      <w:r>
        <w:rPr>
          <w:shd w:val="clear" w:color="auto" w:fill="FFFFFF"/>
        </w:rPr>
        <w:t>2024年度本单位因公出国（境）费用</w:t>
      </w:r>
      <w:r>
        <w:t>0.00</w:t>
      </w:r>
      <w:r>
        <w:rPr>
          <w:shd w:val="clear" w:color="auto" w:fill="FFFFFF"/>
        </w:rPr>
        <w:t>万元，费用支出较年初预算数无增减，主要原因是</w:t>
      </w:r>
      <w:r>
        <w:rPr>
          <w:bCs/>
          <w:shd w:val="clear" w:color="auto" w:fill="FFFFFF"/>
        </w:rPr>
        <w:t>本单位2024年度未发生因公出国（境）费用支出。</w:t>
      </w:r>
      <w:r>
        <w:rPr>
          <w:shd w:val="clear" w:color="auto" w:fill="FFFFFF"/>
        </w:rPr>
        <w:t>较上年支出数无增减，主要原因是</w:t>
      </w:r>
      <w:r>
        <w:rPr>
          <w:bCs/>
          <w:shd w:val="clear" w:color="auto" w:fill="FFFFFF"/>
        </w:rPr>
        <w:t>本单位2024年度未发生因公出国（境）费用支出，与上年决算数持平。</w:t>
      </w:r>
    </w:p>
    <w:p w14:paraId="59895B7E">
      <w:pPr>
        <w:keepNext w:val="0"/>
        <w:keepLines w:val="0"/>
        <w:pageBreakBefore w:val="0"/>
        <w:widowControl w:val="0"/>
        <w:wordWrap/>
        <w:overflowPunct/>
        <w:topLinePunct w:val="0"/>
        <w:bidi w:val="0"/>
        <w:snapToGrid w:val="0"/>
        <w:spacing w:line="600"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eastAsia="方正仿宋_GBK"/>
          <w:sz w:val="32"/>
          <w:szCs w:val="32"/>
          <w:shd w:val="clear" w:color="auto" w:fill="FFFFFF"/>
        </w:rPr>
        <w:t>公务车购置费</w:t>
      </w:r>
      <w:r>
        <w:rPr>
          <w:rFonts w:ascii="方正仿宋_GBK" w:eastAsia="方正仿宋_GBK"/>
          <w:sz w:val="32"/>
          <w:szCs w:val="32"/>
        </w:rPr>
        <w:t>0.00</w:t>
      </w:r>
      <w:r>
        <w:rPr>
          <w:rFonts w:ascii="方正仿宋_GBK" w:eastAsia="方正仿宋_GBK"/>
          <w:sz w:val="32"/>
          <w:szCs w:val="32"/>
          <w:shd w:val="clear" w:color="auto" w:fill="FFFFFF"/>
        </w:rPr>
        <w:t>万元，费用支出较年初预算数无增减，主要原因是</w:t>
      </w:r>
      <w:r>
        <w:rPr>
          <w:rFonts w:ascii="方正仿宋_GBK" w:hAnsi="方正仿宋_GBK" w:eastAsia="方正仿宋_GBK" w:cs="方正仿宋_GBK"/>
          <w:bCs/>
          <w:sz w:val="32"/>
          <w:szCs w:val="32"/>
          <w:shd w:val="clear" w:color="auto" w:fill="FFFFFF"/>
        </w:rPr>
        <w:t>本单位2024年度未发生公务车购置费支出。较上年支出数无增减，主要原因是本单位2024年度未发生公务车购置费支出，与上年决算数持平。</w:t>
      </w:r>
    </w:p>
    <w:p w14:paraId="155F10F2">
      <w:pPr>
        <w:pStyle w:val="9"/>
        <w:keepNext w:val="0"/>
        <w:keepLines w:val="0"/>
        <w:pageBreakBefore w:val="0"/>
        <w:widowControl w:val="0"/>
        <w:wordWrap/>
        <w:overflowPunct/>
        <w:topLinePunct w:val="0"/>
        <w:bidi w:val="0"/>
        <w:spacing w:line="600" w:lineRule="exact"/>
        <w:rPr>
          <w:bCs/>
          <w:shd w:val="clear" w:color="auto" w:fill="FFFFFF"/>
        </w:rPr>
      </w:pPr>
      <w:r>
        <w:rPr>
          <w:shd w:val="clear" w:color="auto" w:fill="FFFFFF"/>
        </w:rPr>
        <w:t>公务车运行维护费</w:t>
      </w:r>
      <w:r>
        <w:t>0.00</w:t>
      </w:r>
      <w:r>
        <w:rPr>
          <w:shd w:val="clear" w:color="auto" w:fill="FFFFFF"/>
        </w:rPr>
        <w:t>万元。费用支出较年初预算数无增减，主要原因是</w:t>
      </w:r>
      <w:r>
        <w:rPr>
          <w:bCs/>
          <w:shd w:val="clear" w:color="auto" w:fill="FFFFFF"/>
        </w:rPr>
        <w:t>本单位2024年度未发生公务车购置费支出。</w:t>
      </w:r>
      <w:r>
        <w:rPr>
          <w:shd w:val="clear" w:color="auto" w:fill="FFFFFF"/>
        </w:rPr>
        <w:t>较上年支出数无增减，主要原因是</w:t>
      </w:r>
      <w:r>
        <w:rPr>
          <w:bCs/>
          <w:shd w:val="clear" w:color="auto" w:fill="FFFFFF"/>
        </w:rPr>
        <w:t>本单位2024年度未发生公务车购置费支出，与上年决算数持平。</w:t>
      </w:r>
    </w:p>
    <w:p w14:paraId="0DAEEDC2">
      <w:pPr>
        <w:pStyle w:val="9"/>
        <w:keepNext w:val="0"/>
        <w:keepLines w:val="0"/>
        <w:pageBreakBefore w:val="0"/>
        <w:widowControl w:val="0"/>
        <w:wordWrap/>
        <w:overflowPunct/>
        <w:topLinePunct w:val="0"/>
        <w:bidi w:val="0"/>
        <w:spacing w:line="600" w:lineRule="exact"/>
        <w:rPr>
          <w:bCs/>
          <w:shd w:val="clear" w:color="auto" w:fill="FFFFFF"/>
        </w:rPr>
      </w:pPr>
      <w:r>
        <w:rPr>
          <w:shd w:val="clear" w:color="auto" w:fill="FFFFFF"/>
        </w:rPr>
        <w:t>公务接待费</w:t>
      </w:r>
      <w:r>
        <w:t>0.00</w:t>
      </w:r>
      <w:r>
        <w:rPr>
          <w:shd w:val="clear" w:color="auto" w:fill="FFFFFF"/>
        </w:rPr>
        <w:t>万元。费用支出较年初预算数无增减，主要原因是</w:t>
      </w:r>
      <w:r>
        <w:rPr>
          <w:bCs/>
          <w:shd w:val="clear" w:color="auto" w:fill="FFFFFF"/>
        </w:rPr>
        <w:t>本单位2024年度未发生公务车购置费支出</w:t>
      </w:r>
      <w:r>
        <w:rPr>
          <w:shd w:val="clear" w:color="auto" w:fill="FFFFFF"/>
        </w:rPr>
        <w:t>。较上年支出数无增减，主要原因是</w:t>
      </w:r>
      <w:r>
        <w:rPr>
          <w:bCs/>
          <w:shd w:val="clear" w:color="auto" w:fill="FFFFFF"/>
        </w:rPr>
        <w:t>本单位2024年度未发生公务车购置费支出，与上年决算数持平。</w:t>
      </w:r>
    </w:p>
    <w:p w14:paraId="49781AD5">
      <w:pPr>
        <w:pStyle w:val="9"/>
        <w:keepNext w:val="0"/>
        <w:keepLines w:val="0"/>
        <w:pageBreakBefore w:val="0"/>
        <w:widowControl w:val="0"/>
        <w:wordWrap/>
        <w:overflowPunct/>
        <w:topLinePunct w:val="0"/>
        <w:bidi w:val="0"/>
        <w:spacing w:line="600" w:lineRule="exact"/>
        <w:rPr>
          <w:rFonts w:ascii="方正楷体_GBK" w:hAnsi="楷体" w:eastAsia="方正楷体_GBK" w:cs="楷体"/>
          <w:bCs/>
          <w:shd w:val="clear" w:color="auto" w:fill="FFFFFF"/>
        </w:rPr>
      </w:pPr>
      <w:r>
        <w:rPr>
          <w:rFonts w:hint="eastAsia" w:ascii="方正楷体_GBK" w:hAnsi="楷体" w:eastAsia="方正楷体_GBK" w:cs="楷体"/>
          <w:bCs/>
          <w:shd w:val="clear" w:color="auto" w:fill="FFFFFF"/>
        </w:rPr>
        <w:t>（三）“三公”经费实物量情况</w:t>
      </w:r>
    </w:p>
    <w:p w14:paraId="6A3D52EC">
      <w:pPr>
        <w:pStyle w:val="9"/>
        <w:keepNext w:val="0"/>
        <w:keepLines w:val="0"/>
        <w:pageBreakBefore w:val="0"/>
        <w:widowControl w:val="0"/>
        <w:wordWrap/>
        <w:overflowPunct/>
        <w:topLinePunct w:val="0"/>
        <w:bidi w:val="0"/>
        <w:spacing w:line="600" w:lineRule="exact"/>
      </w:pPr>
      <w:r>
        <w:rPr>
          <w:shd w:val="clear" w:color="auto" w:fill="FFFFFF"/>
        </w:rPr>
        <w:t>2024年度本单位因公出国（境）共计</w:t>
      </w:r>
      <w:r>
        <w:t>0</w:t>
      </w:r>
      <w:r>
        <w:rPr>
          <w:shd w:val="clear" w:color="auto" w:fill="FFFFFF"/>
        </w:rPr>
        <w:t>个团组，</w:t>
      </w:r>
      <w:r>
        <w:t>0</w:t>
      </w:r>
      <w:r>
        <w:rPr>
          <w:shd w:val="clear" w:color="auto" w:fill="FFFFFF"/>
        </w:rPr>
        <w:t>人；公务用车购置</w:t>
      </w:r>
      <w:r>
        <w:t>0</w:t>
      </w:r>
      <w:r>
        <w:rPr>
          <w:shd w:val="clear" w:color="auto" w:fill="FFFFFF"/>
        </w:rPr>
        <w:t>辆，公务车保有量为</w:t>
      </w:r>
      <w:r>
        <w:t>0</w:t>
      </w:r>
      <w:r>
        <w:rPr>
          <w:shd w:val="clear" w:color="auto" w:fill="FFFFFF"/>
        </w:rPr>
        <w:t>辆；国内公务接待</w:t>
      </w:r>
      <w:r>
        <w:t>0</w:t>
      </w:r>
      <w:r>
        <w:rPr>
          <w:shd w:val="clear" w:color="auto" w:fill="FFFFFF"/>
        </w:rPr>
        <w:t>批次</w:t>
      </w:r>
      <w:r>
        <w:t>0</w:t>
      </w:r>
      <w:r>
        <w:rPr>
          <w:shd w:val="clear" w:color="auto" w:fill="FFFFFF"/>
        </w:rPr>
        <w:t>人，其中：国内外事接待</w:t>
      </w:r>
      <w:r>
        <w:t>0</w:t>
      </w:r>
      <w:r>
        <w:rPr>
          <w:shd w:val="clear" w:color="auto" w:fill="FFFFFF"/>
        </w:rPr>
        <w:t>批次，</w:t>
      </w:r>
      <w:r>
        <w:t>0</w:t>
      </w:r>
      <w:r>
        <w:rPr>
          <w:shd w:val="clear" w:color="auto" w:fill="FFFFFF"/>
        </w:rPr>
        <w:t>人；国（境）外公务接待</w:t>
      </w:r>
      <w:r>
        <w:t>0</w:t>
      </w:r>
      <w:r>
        <w:rPr>
          <w:shd w:val="clear" w:color="auto" w:fill="FFFFFF"/>
        </w:rPr>
        <w:t>批次，</w:t>
      </w:r>
      <w:r>
        <w:t>0</w:t>
      </w:r>
      <w:r>
        <w:rPr>
          <w:shd w:val="clear" w:color="auto" w:fill="FFFFFF"/>
        </w:rPr>
        <w:t>人。2024年本单位人均接待费</w:t>
      </w:r>
      <w:r>
        <w:t>0</w:t>
      </w:r>
      <w:r>
        <w:rPr>
          <w:shd w:val="clear" w:color="auto" w:fill="FFFFFF"/>
        </w:rPr>
        <w:t>元，车均购置费</w:t>
      </w:r>
      <w:r>
        <w:t>0</w:t>
      </w:r>
      <w:r>
        <w:rPr>
          <w:shd w:val="clear" w:color="auto" w:fill="FFFFFF"/>
        </w:rPr>
        <w:t>万元，车均维护费</w:t>
      </w:r>
      <w:r>
        <w:t>0</w:t>
      </w:r>
      <w:r>
        <w:rPr>
          <w:shd w:val="clear" w:color="auto" w:fill="FFFFFF"/>
        </w:rPr>
        <w:t>万元。</w:t>
      </w:r>
    </w:p>
    <w:p w14:paraId="295D6F91">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四、其他需要说明的事项</w:t>
      </w:r>
    </w:p>
    <w:p w14:paraId="188C3A3D">
      <w:pPr>
        <w:pStyle w:val="13"/>
        <w:keepNext w:val="0"/>
        <w:keepLines w:val="0"/>
        <w:pageBreakBefore w:val="0"/>
        <w:widowControl w:val="0"/>
        <w:wordWrap/>
        <w:overflowPunct/>
        <w:topLinePunct w:val="0"/>
        <w:autoSpaceDE w:val="0"/>
        <w:bidi w:val="0"/>
        <w:spacing w:line="600" w:lineRule="exact"/>
        <w:ind w:firstLine="643"/>
        <w:jc w:val="both"/>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14:paraId="3B2D8D05">
      <w:pPr>
        <w:pStyle w:val="9"/>
        <w:keepNext w:val="0"/>
        <w:keepLines w:val="0"/>
        <w:pageBreakBefore w:val="0"/>
        <w:widowControl w:val="0"/>
        <w:wordWrap/>
        <w:overflowPunct/>
        <w:topLinePunct w:val="0"/>
        <w:bidi w:val="0"/>
        <w:spacing w:line="600" w:lineRule="exact"/>
        <w:rPr>
          <w:bCs/>
          <w:shd w:val="clear" w:color="auto" w:fill="FFFFFF"/>
        </w:rPr>
      </w:pPr>
      <w:r>
        <w:rPr>
          <w:shd w:val="clear" w:color="auto" w:fill="FFFFFF"/>
        </w:rPr>
        <w:t>本年度会议费支出</w:t>
      </w:r>
      <w:r>
        <w:t>0.00</w:t>
      </w:r>
      <w:r>
        <w:rPr>
          <w:shd w:val="clear" w:color="auto" w:fill="FFFFFF"/>
        </w:rPr>
        <w:t>万元，与2023年度相比，无增减，主要原因是</w:t>
      </w:r>
      <w:r>
        <w:rPr>
          <w:bCs/>
          <w:shd w:val="clear" w:color="auto" w:fill="FFFFFF"/>
        </w:rPr>
        <w:t>本单位2024年度未发生会议费用支出</w:t>
      </w:r>
      <w:r>
        <w:rPr>
          <w:shd w:val="clear" w:color="auto" w:fill="FFFFFF"/>
        </w:rPr>
        <w:t>。本年度培训费支出</w:t>
      </w:r>
      <w:r>
        <w:t>0.48</w:t>
      </w:r>
      <w:r>
        <w:rPr>
          <w:shd w:val="clear" w:color="auto" w:fill="FFFFFF"/>
        </w:rPr>
        <w:t>万元，与2023年度相比，增加0.48万元，增长100.0%，主要原因是</w:t>
      </w:r>
      <w:r>
        <w:rPr>
          <w:bCs/>
          <w:shd w:val="clear" w:color="auto" w:fill="FFFFFF"/>
        </w:rPr>
        <w:t>加大教师培训力度。</w:t>
      </w:r>
    </w:p>
    <w:p w14:paraId="4FA87E30">
      <w:pPr>
        <w:pStyle w:val="9"/>
        <w:keepNext w:val="0"/>
        <w:keepLines w:val="0"/>
        <w:pageBreakBefore w:val="0"/>
        <w:widowControl w:val="0"/>
        <w:wordWrap/>
        <w:overflowPunct/>
        <w:topLinePunct w:val="0"/>
        <w:bidi w:val="0"/>
        <w:spacing w:line="600" w:lineRule="exact"/>
        <w:rPr>
          <w:rFonts w:ascii="方正楷体_GBK" w:hAnsi="楷体" w:eastAsia="方正楷体_GBK" w:cs="楷体"/>
          <w:bCs/>
          <w:shd w:val="clear" w:color="auto" w:fill="FFFFFF"/>
        </w:rPr>
      </w:pPr>
      <w:r>
        <w:rPr>
          <w:rFonts w:hint="eastAsia" w:ascii="方正楷体_GBK" w:hAnsi="楷体" w:eastAsia="方正楷体_GBK" w:cs="楷体"/>
          <w:bCs/>
          <w:shd w:val="clear" w:color="auto" w:fill="FFFFFF"/>
        </w:rPr>
        <w:t>（二）机关运行经费情况说明</w:t>
      </w:r>
    </w:p>
    <w:p w14:paraId="454A9153">
      <w:pPr>
        <w:keepNext w:val="0"/>
        <w:keepLines w:val="0"/>
        <w:pageBreakBefore w:val="0"/>
        <w:widowControl w:val="0"/>
        <w:wordWrap/>
        <w:overflowPunct/>
        <w:topLinePunct w:val="0"/>
        <w:bidi w:val="0"/>
        <w:snapToGrid w:val="0"/>
        <w:spacing w:line="600"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按照部门决算列报口径，我单位不在机关运行经费统计范围之内。</w:t>
      </w:r>
    </w:p>
    <w:p w14:paraId="61736789">
      <w:pPr>
        <w:pStyle w:val="13"/>
        <w:keepNext w:val="0"/>
        <w:keepLines w:val="0"/>
        <w:pageBreakBefore w:val="0"/>
        <w:widowControl w:val="0"/>
        <w:wordWrap/>
        <w:overflowPunct/>
        <w:topLinePunct w:val="0"/>
        <w:autoSpaceDE w:val="0"/>
        <w:bidi w:val="0"/>
        <w:spacing w:line="600" w:lineRule="exact"/>
        <w:ind w:firstLine="640"/>
        <w:jc w:val="both"/>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14:paraId="1978BD2B">
      <w:pPr>
        <w:keepNext w:val="0"/>
        <w:keepLines w:val="0"/>
        <w:pageBreakBefore w:val="0"/>
        <w:widowControl w:val="0"/>
        <w:wordWrap/>
        <w:overflowPunct/>
        <w:topLinePunct w:val="0"/>
        <w:bidi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A111E78">
      <w:pPr>
        <w:pStyle w:val="13"/>
        <w:keepNext w:val="0"/>
        <w:keepLines w:val="0"/>
        <w:pageBreakBefore w:val="0"/>
        <w:widowControl w:val="0"/>
        <w:wordWrap/>
        <w:overflowPunct/>
        <w:topLinePunct w:val="0"/>
        <w:autoSpaceDE w:val="0"/>
        <w:bidi w:val="0"/>
        <w:spacing w:line="600" w:lineRule="exact"/>
        <w:ind w:firstLine="64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14:paraId="7A8AC6E6">
      <w:pPr>
        <w:pStyle w:val="9"/>
        <w:keepNext w:val="0"/>
        <w:keepLines w:val="0"/>
        <w:pageBreakBefore w:val="0"/>
        <w:widowControl w:val="0"/>
        <w:wordWrap/>
        <w:overflowPunct/>
        <w:topLinePunct w:val="0"/>
        <w:bidi w:val="0"/>
        <w:spacing w:line="600" w:lineRule="exact"/>
        <w:rPr>
          <w:color w:val="FF0000"/>
          <w:shd w:val="clear" w:color="auto" w:fill="FFFFFF"/>
        </w:rPr>
      </w:pPr>
      <w:r>
        <w:rPr>
          <w:shd w:val="clear" w:color="auto" w:fill="FFFFFF"/>
        </w:rPr>
        <w:t>2024年度本单位政府采购支出总额</w:t>
      </w:r>
      <w:r>
        <w:t>1.51</w:t>
      </w:r>
      <w:r>
        <w:rPr>
          <w:shd w:val="clear" w:color="auto" w:fill="FFFFFF"/>
        </w:rPr>
        <w:t>万元，其中：政府采购货物支出</w:t>
      </w:r>
      <w:r>
        <w:t>1.51</w:t>
      </w:r>
      <w:r>
        <w:rPr>
          <w:shd w:val="clear" w:color="auto" w:fill="FFFFFF"/>
        </w:rPr>
        <w:t>万元、政府采购工程支出</w:t>
      </w:r>
      <w:r>
        <w:t>0.00</w:t>
      </w:r>
      <w:r>
        <w:rPr>
          <w:shd w:val="clear" w:color="auto" w:fill="FFFFFF"/>
        </w:rPr>
        <w:t>万元、政府采购服务支出</w:t>
      </w:r>
      <w:r>
        <w:t>0.00</w:t>
      </w:r>
      <w:r>
        <w:rPr>
          <w:shd w:val="clear" w:color="auto" w:fill="FFFFFF"/>
        </w:rPr>
        <w:t>万元。授予中小企业合同金额</w:t>
      </w:r>
      <w:r>
        <w:t>1.51万</w:t>
      </w:r>
      <w:r>
        <w:rPr>
          <w:shd w:val="clear" w:color="auto" w:fill="FFFFFF"/>
        </w:rPr>
        <w:t>元，占政府采购支出总额的</w:t>
      </w:r>
      <w:r>
        <w:t>100.00</w:t>
      </w:r>
      <w:r>
        <w:rPr>
          <w:shd w:val="clear" w:color="auto" w:fill="FFFFFF"/>
        </w:rPr>
        <w:t>%，其中：授予小微企业合同金额</w:t>
      </w:r>
      <w:r>
        <w:t>1.51</w:t>
      </w:r>
      <w:r>
        <w:rPr>
          <w:shd w:val="clear" w:color="auto" w:fill="FFFFFF"/>
        </w:rPr>
        <w:t>万元，占政府采购支出总额的</w:t>
      </w:r>
      <w:r>
        <w:t>100.00</w:t>
      </w:r>
      <w:r>
        <w:rPr>
          <w:shd w:val="clear" w:color="auto" w:fill="FFFFFF"/>
        </w:rPr>
        <w:t xml:space="preserve"> %。主要用于采购</w:t>
      </w:r>
      <w:r>
        <w:rPr>
          <w:rFonts w:hint="eastAsia"/>
          <w:shd w:val="clear" w:color="auto" w:fill="FFFFFF"/>
        </w:rPr>
        <w:t>办公电脑。</w:t>
      </w:r>
    </w:p>
    <w:p w14:paraId="4397B287">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五、2024年度预算绩效管理情况说明</w:t>
      </w:r>
    </w:p>
    <w:p w14:paraId="2A8611AD">
      <w:pPr>
        <w:pStyle w:val="13"/>
        <w:keepNext w:val="0"/>
        <w:keepLines w:val="0"/>
        <w:pageBreakBefore w:val="0"/>
        <w:widowControl w:val="0"/>
        <w:wordWrap/>
        <w:overflowPunct/>
        <w:topLinePunct w:val="0"/>
        <w:autoSpaceDE w:val="0"/>
        <w:bidi w:val="0"/>
        <w:spacing w:line="60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（一）预算绩效管理工作开展情况</w:t>
      </w:r>
    </w:p>
    <w:p w14:paraId="455A7E78">
      <w:pPr>
        <w:pStyle w:val="2"/>
        <w:keepNext w:val="0"/>
        <w:keepLines w:val="0"/>
        <w:pageBreakBefore w:val="0"/>
        <w:widowControl w:val="0"/>
        <w:wordWrap/>
        <w:overflowPunct/>
        <w:topLinePunct w:val="0"/>
        <w:bidi w:val="0"/>
        <w:spacing w:after="0" w:line="600" w:lineRule="exact"/>
        <w:ind w:right="8"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个二级项目开展了绩效自评，涉及财政拨款项目支出</w:t>
      </w:r>
      <w:r>
        <w:rPr>
          <w:rFonts w:hint="default" w:ascii="方正仿宋_GBK" w:hAnsi="方正仿宋_GBK" w:eastAsia="方正仿宋_GBK" w:cs="方正仿宋_GBK"/>
          <w:sz w:val="32"/>
          <w:szCs w:val="32"/>
          <w:shd w:val="clear" w:color="auto" w:fill="FFFFFF"/>
        </w:rPr>
        <w:t>101.36</w:t>
      </w:r>
      <w:r>
        <w:rPr>
          <w:rFonts w:ascii="方正仿宋_GBK" w:hAnsi="方正仿宋_GBK" w:eastAsia="方正仿宋_GBK" w:cs="方正仿宋_GBK"/>
          <w:sz w:val="32"/>
          <w:szCs w:val="32"/>
          <w:shd w:val="clear" w:color="auto" w:fill="FFFFFF"/>
        </w:rPr>
        <w:t>万元。从评价情况来看，整 体预算执行情况较好，基本实现年初既定绩效目标。</w:t>
      </w:r>
    </w:p>
    <w:p w14:paraId="176C4DCF">
      <w:pPr>
        <w:keepNext w:val="0"/>
        <w:keepLines w:val="0"/>
        <w:pageBreakBefore w:val="0"/>
        <w:widowControl w:val="0"/>
        <w:tabs>
          <w:tab w:val="center" w:pos="4153"/>
          <w:tab w:val="left" w:pos="7275"/>
        </w:tabs>
        <w:wordWrap/>
        <w:overflowPunct/>
        <w:topLinePunct w:val="0"/>
        <w:bidi w:val="0"/>
        <w:spacing w:line="6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sz w:val="28"/>
          <w:szCs w:val="28"/>
          <w:lang w:bidi="ar"/>
        </w:rPr>
        <w:t>重庆市九龙坡区华梁幼儿园2024年度项目支出绩效自评表</w:t>
      </w:r>
    </w:p>
    <w:tbl>
      <w:tblPr>
        <w:tblStyle w:val="10"/>
        <w:tblpPr w:leftFromText="180" w:rightFromText="180" w:vertAnchor="text" w:horzAnchor="page" w:tblpX="1444" w:tblpY="595"/>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765"/>
        <w:gridCol w:w="1352"/>
        <w:gridCol w:w="795"/>
        <w:gridCol w:w="838"/>
        <w:gridCol w:w="810"/>
        <w:gridCol w:w="825"/>
        <w:gridCol w:w="1262"/>
        <w:gridCol w:w="762"/>
        <w:gridCol w:w="390"/>
        <w:gridCol w:w="811"/>
      </w:tblGrid>
      <w:tr w14:paraId="5F70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21" w:type="dxa"/>
            <w:tcBorders>
              <w:top w:val="single" w:color="auto" w:sz="4" w:space="0"/>
            </w:tcBorders>
            <w:vAlign w:val="center"/>
          </w:tcPr>
          <w:p w14:paraId="6246F703">
            <w:pPr>
              <w:keepNext w:val="0"/>
              <w:keepLines w:val="0"/>
              <w:pageBreakBefore w:val="0"/>
              <w:widowControl w:val="0"/>
              <w:wordWrap/>
              <w:overflowPunct/>
              <w:topLinePunct w:val="0"/>
              <w:bidi w:val="0"/>
              <w:spacing w:line="240" w:lineRule="atLeast"/>
              <w:jc w:val="center"/>
              <w:textAlignment w:val="center"/>
              <w:rPr>
                <w:rFonts w:hint="default" w:eastAsia="方正黑体_GBK" w:cs="方正黑体_GBK"/>
                <w:color w:val="000000"/>
                <w:sz w:val="20"/>
                <w:szCs w:val="20"/>
              </w:rPr>
            </w:pPr>
            <w:r>
              <w:rPr>
                <w:rFonts w:eastAsia="方正黑体_GBK" w:cs="方正黑体_GBK"/>
                <w:color w:val="000000"/>
                <w:sz w:val="20"/>
                <w:szCs w:val="20"/>
                <w:lang w:bidi="ar"/>
              </w:rPr>
              <w:t>序号</w:t>
            </w:r>
          </w:p>
        </w:tc>
        <w:tc>
          <w:tcPr>
            <w:tcW w:w="765" w:type="dxa"/>
            <w:tcBorders>
              <w:top w:val="single" w:color="auto" w:sz="4" w:space="0"/>
            </w:tcBorders>
            <w:vAlign w:val="center"/>
          </w:tcPr>
          <w:p w14:paraId="4BF638D0">
            <w:pPr>
              <w:keepNext w:val="0"/>
              <w:keepLines w:val="0"/>
              <w:pageBreakBefore w:val="0"/>
              <w:widowControl w:val="0"/>
              <w:kinsoku w:val="0"/>
              <w:wordWrap/>
              <w:overflowPunct/>
              <w:topLinePunct w:val="0"/>
              <w:autoSpaceDE w:val="0"/>
              <w:autoSpaceDN w:val="0"/>
              <w:bidi w:val="0"/>
              <w:adjustRightInd w:val="0"/>
              <w:snapToGrid w:val="0"/>
              <w:spacing w:before="62" w:line="240" w:lineRule="atLeast"/>
              <w:ind w:right="140"/>
              <w:jc w:val="center"/>
              <w:textAlignment w:val="baseline"/>
              <w:rPr>
                <w:rFonts w:hint="default" w:ascii="方正黑体_GBK" w:hAnsi="方正黑体_GBK" w:eastAsia="方正黑体_GBK" w:cs="方正黑体_GBK"/>
                <w:snapToGrid w:val="0"/>
                <w:color w:val="000000"/>
                <w:spacing w:val="-4"/>
                <w:sz w:val="20"/>
                <w:szCs w:val="20"/>
              </w:rPr>
            </w:pPr>
            <w:r>
              <w:rPr>
                <w:rFonts w:ascii="方正黑体_GBK" w:hAnsi="方正黑体_GBK" w:eastAsia="方正黑体_GBK" w:cs="方正黑体_GBK"/>
                <w:snapToGrid w:val="0"/>
                <w:color w:val="000000"/>
                <w:spacing w:val="-4"/>
                <w:sz w:val="20"/>
                <w:szCs w:val="20"/>
                <w:lang w:eastAsia="en-US"/>
              </w:rPr>
              <w:t>项目</w:t>
            </w:r>
            <w:r>
              <w:rPr>
                <w:rFonts w:ascii="方正黑体_GBK" w:hAnsi="方正黑体_GBK" w:eastAsia="方正黑体_GBK" w:cs="方正黑体_GBK"/>
                <w:snapToGrid w:val="0"/>
                <w:color w:val="000000"/>
                <w:spacing w:val="-4"/>
                <w:sz w:val="20"/>
                <w:szCs w:val="20"/>
              </w:rPr>
              <w:t>名称</w:t>
            </w:r>
          </w:p>
        </w:tc>
        <w:tc>
          <w:tcPr>
            <w:tcW w:w="1352" w:type="dxa"/>
            <w:tcBorders>
              <w:top w:val="single" w:color="auto" w:sz="4" w:space="0"/>
            </w:tcBorders>
            <w:vAlign w:val="center"/>
          </w:tcPr>
          <w:p w14:paraId="43DDDD55">
            <w:pPr>
              <w:keepNext w:val="0"/>
              <w:keepLines w:val="0"/>
              <w:pageBreakBefore w:val="0"/>
              <w:widowControl w:val="0"/>
              <w:kinsoku w:val="0"/>
              <w:wordWrap/>
              <w:overflowPunct/>
              <w:topLinePunct w:val="0"/>
              <w:autoSpaceDE w:val="0"/>
              <w:autoSpaceDN w:val="0"/>
              <w:bidi w:val="0"/>
              <w:adjustRightInd w:val="0"/>
              <w:snapToGrid w:val="0"/>
              <w:spacing w:before="62" w:line="240" w:lineRule="atLeast"/>
              <w:ind w:right="140"/>
              <w:jc w:val="center"/>
              <w:textAlignment w:val="baseline"/>
              <w:rPr>
                <w:rFonts w:hint="default" w:ascii="方正黑体_GBK" w:hAnsi="方正黑体_GBK" w:eastAsia="方正黑体_GBK" w:cs="方正黑体_GBK"/>
                <w:snapToGrid w:val="0"/>
                <w:color w:val="000000"/>
                <w:spacing w:val="-4"/>
                <w:sz w:val="20"/>
                <w:szCs w:val="20"/>
                <w:lang w:eastAsia="en-US"/>
              </w:rPr>
            </w:pPr>
            <w:r>
              <w:rPr>
                <w:rFonts w:ascii="方正黑体_GBK" w:hAnsi="方正黑体_GBK" w:eastAsia="方正黑体_GBK" w:cs="方正黑体_GBK"/>
                <w:snapToGrid w:val="0"/>
                <w:color w:val="000000"/>
                <w:spacing w:val="-4"/>
                <w:sz w:val="20"/>
                <w:szCs w:val="20"/>
                <w:lang w:eastAsia="en-US"/>
              </w:rPr>
              <w:t>指标名称</w:t>
            </w:r>
          </w:p>
        </w:tc>
        <w:tc>
          <w:tcPr>
            <w:tcW w:w="795" w:type="dxa"/>
            <w:tcBorders>
              <w:top w:val="single" w:color="auto" w:sz="4" w:space="0"/>
            </w:tcBorders>
            <w:vAlign w:val="center"/>
          </w:tcPr>
          <w:p w14:paraId="66811C05">
            <w:pPr>
              <w:keepNext w:val="0"/>
              <w:keepLines w:val="0"/>
              <w:pageBreakBefore w:val="0"/>
              <w:widowControl w:val="0"/>
              <w:kinsoku w:val="0"/>
              <w:wordWrap/>
              <w:overflowPunct/>
              <w:topLinePunct w:val="0"/>
              <w:autoSpaceDE w:val="0"/>
              <w:autoSpaceDN w:val="0"/>
              <w:bidi w:val="0"/>
              <w:adjustRightInd w:val="0"/>
              <w:snapToGrid w:val="0"/>
              <w:spacing w:before="62" w:line="240" w:lineRule="atLeast"/>
              <w:ind w:right="140"/>
              <w:jc w:val="center"/>
              <w:textAlignment w:val="baseline"/>
              <w:rPr>
                <w:rFonts w:hint="default" w:ascii="方正黑体_GBK" w:hAnsi="方正黑体_GBK" w:eastAsia="方正黑体_GBK" w:cs="方正黑体_GBK"/>
                <w:snapToGrid w:val="0"/>
                <w:color w:val="000000"/>
                <w:spacing w:val="-4"/>
                <w:sz w:val="20"/>
                <w:szCs w:val="20"/>
                <w:lang w:eastAsia="en-US"/>
              </w:rPr>
            </w:pPr>
            <w:r>
              <w:rPr>
                <w:rFonts w:ascii="方正黑体_GBK" w:hAnsi="方正黑体_GBK" w:eastAsia="方正黑体_GBK" w:cs="方正黑体_GBK"/>
                <w:snapToGrid w:val="0"/>
                <w:color w:val="000000"/>
                <w:spacing w:val="-4"/>
                <w:sz w:val="20"/>
                <w:szCs w:val="20"/>
                <w:lang w:eastAsia="en-US"/>
              </w:rPr>
              <w:t>指标性质</w:t>
            </w:r>
          </w:p>
        </w:tc>
        <w:tc>
          <w:tcPr>
            <w:tcW w:w="838" w:type="dxa"/>
            <w:tcBorders>
              <w:top w:val="single" w:color="auto" w:sz="4" w:space="0"/>
            </w:tcBorders>
            <w:vAlign w:val="center"/>
          </w:tcPr>
          <w:p w14:paraId="3DD50452">
            <w:pPr>
              <w:keepNext w:val="0"/>
              <w:keepLines w:val="0"/>
              <w:pageBreakBefore w:val="0"/>
              <w:widowControl w:val="0"/>
              <w:kinsoku w:val="0"/>
              <w:wordWrap/>
              <w:overflowPunct/>
              <w:topLinePunct w:val="0"/>
              <w:autoSpaceDE w:val="0"/>
              <w:autoSpaceDN w:val="0"/>
              <w:bidi w:val="0"/>
              <w:adjustRightInd w:val="0"/>
              <w:snapToGrid w:val="0"/>
              <w:spacing w:before="62" w:line="240" w:lineRule="atLeast"/>
              <w:ind w:right="140"/>
              <w:jc w:val="center"/>
              <w:textAlignment w:val="baseline"/>
              <w:rPr>
                <w:rFonts w:hint="default" w:ascii="方正黑体_GBK" w:hAnsi="方正黑体_GBK" w:eastAsia="方正黑体_GBK" w:cs="方正黑体_GBK"/>
                <w:snapToGrid w:val="0"/>
                <w:color w:val="000000"/>
                <w:spacing w:val="-4"/>
                <w:sz w:val="20"/>
                <w:szCs w:val="20"/>
                <w:lang w:eastAsia="en-US"/>
              </w:rPr>
            </w:pPr>
            <w:r>
              <w:rPr>
                <w:rFonts w:ascii="方正黑体_GBK" w:hAnsi="方正黑体_GBK" w:eastAsia="方正黑体_GBK" w:cs="方正黑体_GBK"/>
                <w:snapToGrid w:val="0"/>
                <w:color w:val="000000"/>
                <w:spacing w:val="-4"/>
                <w:sz w:val="20"/>
                <w:szCs w:val="20"/>
                <w:lang w:eastAsia="en-US"/>
              </w:rPr>
              <w:t>指标值</w:t>
            </w:r>
          </w:p>
        </w:tc>
        <w:tc>
          <w:tcPr>
            <w:tcW w:w="810" w:type="dxa"/>
            <w:tcBorders>
              <w:top w:val="single" w:color="auto" w:sz="4" w:space="0"/>
            </w:tcBorders>
            <w:vAlign w:val="center"/>
          </w:tcPr>
          <w:p w14:paraId="044B6815">
            <w:pPr>
              <w:keepNext w:val="0"/>
              <w:keepLines w:val="0"/>
              <w:pageBreakBefore w:val="0"/>
              <w:widowControl w:val="0"/>
              <w:kinsoku w:val="0"/>
              <w:wordWrap/>
              <w:overflowPunct/>
              <w:topLinePunct w:val="0"/>
              <w:autoSpaceDE w:val="0"/>
              <w:autoSpaceDN w:val="0"/>
              <w:bidi w:val="0"/>
              <w:adjustRightInd w:val="0"/>
              <w:snapToGrid w:val="0"/>
              <w:spacing w:before="62" w:line="240" w:lineRule="atLeast"/>
              <w:ind w:right="140"/>
              <w:jc w:val="center"/>
              <w:textAlignment w:val="baseline"/>
              <w:rPr>
                <w:rFonts w:hint="default" w:ascii="方正黑体_GBK" w:hAnsi="方正黑体_GBK" w:eastAsia="方正黑体_GBK" w:cs="方正黑体_GBK"/>
                <w:snapToGrid w:val="0"/>
                <w:color w:val="000000"/>
                <w:spacing w:val="-4"/>
                <w:sz w:val="20"/>
                <w:szCs w:val="20"/>
                <w:lang w:eastAsia="en-US"/>
              </w:rPr>
            </w:pPr>
            <w:r>
              <w:rPr>
                <w:rFonts w:ascii="方正黑体_GBK" w:hAnsi="方正黑体_GBK" w:eastAsia="方正黑体_GBK" w:cs="方正黑体_GBK"/>
                <w:snapToGrid w:val="0"/>
                <w:color w:val="000000"/>
                <w:spacing w:val="-4"/>
                <w:sz w:val="20"/>
                <w:szCs w:val="20"/>
                <w:lang w:eastAsia="en-US"/>
              </w:rPr>
              <w:t>计量单位</w:t>
            </w:r>
          </w:p>
        </w:tc>
        <w:tc>
          <w:tcPr>
            <w:tcW w:w="825" w:type="dxa"/>
            <w:tcBorders>
              <w:top w:val="single" w:color="auto" w:sz="4" w:space="0"/>
            </w:tcBorders>
            <w:vAlign w:val="center"/>
          </w:tcPr>
          <w:p w14:paraId="65ADFEEB">
            <w:pPr>
              <w:keepNext w:val="0"/>
              <w:keepLines w:val="0"/>
              <w:pageBreakBefore w:val="0"/>
              <w:widowControl w:val="0"/>
              <w:kinsoku w:val="0"/>
              <w:wordWrap/>
              <w:overflowPunct/>
              <w:topLinePunct w:val="0"/>
              <w:autoSpaceDE w:val="0"/>
              <w:autoSpaceDN w:val="0"/>
              <w:bidi w:val="0"/>
              <w:adjustRightInd w:val="0"/>
              <w:snapToGrid w:val="0"/>
              <w:spacing w:before="62" w:line="240" w:lineRule="atLeast"/>
              <w:ind w:right="140"/>
              <w:jc w:val="center"/>
              <w:textAlignment w:val="baseline"/>
              <w:rPr>
                <w:rFonts w:hint="default" w:ascii="方正黑体_GBK" w:hAnsi="方正黑体_GBK" w:eastAsia="方正黑体_GBK" w:cs="方正黑体_GBK"/>
                <w:snapToGrid w:val="0"/>
                <w:color w:val="000000"/>
                <w:spacing w:val="-4"/>
                <w:sz w:val="20"/>
                <w:szCs w:val="20"/>
                <w:lang w:eastAsia="en-US"/>
              </w:rPr>
            </w:pPr>
            <w:r>
              <w:rPr>
                <w:rFonts w:ascii="方正黑体_GBK" w:hAnsi="方正黑体_GBK" w:eastAsia="方正黑体_GBK" w:cs="方正黑体_GBK"/>
                <w:snapToGrid w:val="0"/>
                <w:color w:val="000000"/>
                <w:spacing w:val="-4"/>
                <w:sz w:val="20"/>
                <w:szCs w:val="20"/>
                <w:lang w:eastAsia="en-US"/>
              </w:rPr>
              <w:t>指标权重</w:t>
            </w:r>
          </w:p>
        </w:tc>
        <w:tc>
          <w:tcPr>
            <w:tcW w:w="1262" w:type="dxa"/>
            <w:tcBorders>
              <w:top w:val="single" w:color="auto" w:sz="4" w:space="0"/>
            </w:tcBorders>
            <w:vAlign w:val="center"/>
          </w:tcPr>
          <w:p w14:paraId="1D7088C3">
            <w:pPr>
              <w:keepNext w:val="0"/>
              <w:keepLines w:val="0"/>
              <w:pageBreakBefore w:val="0"/>
              <w:widowControl w:val="0"/>
              <w:kinsoku w:val="0"/>
              <w:wordWrap/>
              <w:overflowPunct/>
              <w:topLinePunct w:val="0"/>
              <w:autoSpaceDE w:val="0"/>
              <w:autoSpaceDN w:val="0"/>
              <w:bidi w:val="0"/>
              <w:adjustRightInd w:val="0"/>
              <w:snapToGrid w:val="0"/>
              <w:spacing w:before="62" w:line="240" w:lineRule="atLeast"/>
              <w:ind w:right="140"/>
              <w:jc w:val="center"/>
              <w:textAlignment w:val="baseline"/>
              <w:rPr>
                <w:rFonts w:hint="default" w:ascii="方正黑体_GBK" w:hAnsi="方正黑体_GBK" w:eastAsia="方正黑体_GBK" w:cs="方正黑体_GBK"/>
                <w:snapToGrid w:val="0"/>
                <w:color w:val="000000"/>
                <w:spacing w:val="-4"/>
                <w:sz w:val="20"/>
                <w:szCs w:val="20"/>
                <w:lang w:eastAsia="en-US"/>
              </w:rPr>
            </w:pPr>
            <w:r>
              <w:rPr>
                <w:rFonts w:ascii="方正黑体_GBK" w:hAnsi="方正黑体_GBK" w:eastAsia="方正黑体_GBK" w:cs="方正黑体_GBK"/>
                <w:snapToGrid w:val="0"/>
                <w:color w:val="000000"/>
                <w:spacing w:val="-4"/>
                <w:sz w:val="20"/>
                <w:szCs w:val="20"/>
                <w:lang w:eastAsia="en-US"/>
              </w:rPr>
              <w:t>全年完成值</w:t>
            </w:r>
          </w:p>
        </w:tc>
        <w:tc>
          <w:tcPr>
            <w:tcW w:w="762" w:type="dxa"/>
            <w:tcBorders>
              <w:top w:val="single" w:color="auto" w:sz="4" w:space="0"/>
            </w:tcBorders>
            <w:vAlign w:val="center"/>
          </w:tcPr>
          <w:p w14:paraId="03D822E5">
            <w:pPr>
              <w:keepNext w:val="0"/>
              <w:keepLines w:val="0"/>
              <w:pageBreakBefore w:val="0"/>
              <w:widowControl w:val="0"/>
              <w:kinsoku w:val="0"/>
              <w:wordWrap/>
              <w:overflowPunct/>
              <w:topLinePunct w:val="0"/>
              <w:autoSpaceDE w:val="0"/>
              <w:autoSpaceDN w:val="0"/>
              <w:bidi w:val="0"/>
              <w:adjustRightInd w:val="0"/>
              <w:snapToGrid w:val="0"/>
              <w:spacing w:before="62" w:line="240" w:lineRule="atLeast"/>
              <w:ind w:right="140"/>
              <w:jc w:val="center"/>
              <w:textAlignment w:val="baseline"/>
              <w:rPr>
                <w:rFonts w:hint="default" w:ascii="方正黑体_GBK" w:hAnsi="方正黑体_GBK" w:eastAsia="方正黑体_GBK" w:cs="方正黑体_GBK"/>
                <w:snapToGrid w:val="0"/>
                <w:color w:val="000000"/>
                <w:spacing w:val="-4"/>
                <w:sz w:val="20"/>
                <w:szCs w:val="20"/>
                <w:lang w:eastAsia="en-US"/>
              </w:rPr>
            </w:pPr>
            <w:r>
              <w:rPr>
                <w:rFonts w:ascii="方正黑体_GBK" w:hAnsi="方正黑体_GBK" w:eastAsia="方正黑体_GBK" w:cs="方正黑体_GBK"/>
                <w:snapToGrid w:val="0"/>
                <w:color w:val="000000"/>
                <w:spacing w:val="-4"/>
                <w:sz w:val="20"/>
                <w:szCs w:val="20"/>
                <w:lang w:eastAsia="en-US"/>
              </w:rPr>
              <w:t>指标得分</w:t>
            </w:r>
          </w:p>
        </w:tc>
        <w:tc>
          <w:tcPr>
            <w:tcW w:w="390" w:type="dxa"/>
            <w:tcBorders>
              <w:top w:val="single" w:color="auto" w:sz="4" w:space="0"/>
            </w:tcBorders>
            <w:vAlign w:val="center"/>
          </w:tcPr>
          <w:p w14:paraId="5F19188B">
            <w:pPr>
              <w:keepNext w:val="0"/>
              <w:keepLines w:val="0"/>
              <w:pageBreakBefore w:val="0"/>
              <w:widowControl w:val="0"/>
              <w:kinsoku w:val="0"/>
              <w:wordWrap/>
              <w:overflowPunct/>
              <w:topLinePunct w:val="0"/>
              <w:autoSpaceDE w:val="0"/>
              <w:autoSpaceDN w:val="0"/>
              <w:bidi w:val="0"/>
              <w:adjustRightInd w:val="0"/>
              <w:snapToGrid w:val="0"/>
              <w:spacing w:before="62" w:line="240" w:lineRule="atLeast"/>
              <w:ind w:right="140"/>
              <w:jc w:val="center"/>
              <w:textAlignment w:val="baseline"/>
              <w:rPr>
                <w:rFonts w:hint="default" w:ascii="方正黑体_GBK" w:hAnsi="方正黑体_GBK" w:eastAsia="方正黑体_GBK" w:cs="方正黑体_GBK"/>
                <w:snapToGrid w:val="0"/>
                <w:color w:val="000000"/>
                <w:spacing w:val="-4"/>
                <w:sz w:val="20"/>
                <w:szCs w:val="20"/>
              </w:rPr>
            </w:pPr>
            <w:r>
              <w:rPr>
                <w:rFonts w:ascii="方正黑体_GBK" w:hAnsi="方正黑体_GBK" w:eastAsia="方正黑体_GBK" w:cs="方正黑体_GBK"/>
                <w:snapToGrid w:val="0"/>
                <w:color w:val="000000"/>
                <w:spacing w:val="-4"/>
                <w:sz w:val="20"/>
                <w:szCs w:val="20"/>
              </w:rPr>
              <w:t>说明</w:t>
            </w:r>
          </w:p>
        </w:tc>
        <w:tc>
          <w:tcPr>
            <w:tcW w:w="811" w:type="dxa"/>
            <w:tcBorders>
              <w:top w:val="single" w:color="auto" w:sz="4" w:space="0"/>
            </w:tcBorders>
            <w:vAlign w:val="center"/>
          </w:tcPr>
          <w:p w14:paraId="7DE97CFA">
            <w:pPr>
              <w:keepNext w:val="0"/>
              <w:keepLines w:val="0"/>
              <w:pageBreakBefore w:val="0"/>
              <w:widowControl w:val="0"/>
              <w:kinsoku w:val="0"/>
              <w:wordWrap/>
              <w:overflowPunct/>
              <w:topLinePunct w:val="0"/>
              <w:autoSpaceDE w:val="0"/>
              <w:autoSpaceDN w:val="0"/>
              <w:bidi w:val="0"/>
              <w:adjustRightInd w:val="0"/>
              <w:snapToGrid w:val="0"/>
              <w:spacing w:before="62" w:line="240" w:lineRule="atLeast"/>
              <w:ind w:right="140"/>
              <w:jc w:val="center"/>
              <w:textAlignment w:val="baseline"/>
              <w:rPr>
                <w:rFonts w:hint="default" w:ascii="方正黑体_GBK" w:hAnsi="方正黑体_GBK" w:eastAsia="方正黑体_GBK" w:cs="方正黑体_GBK"/>
                <w:snapToGrid w:val="0"/>
                <w:color w:val="000000"/>
                <w:spacing w:val="-4"/>
                <w:sz w:val="20"/>
                <w:szCs w:val="20"/>
                <w:lang w:eastAsia="en-US"/>
              </w:rPr>
            </w:pPr>
            <w:r>
              <w:rPr>
                <w:rFonts w:ascii="方正黑体_GBK" w:hAnsi="方正黑体_GBK" w:eastAsia="方正黑体_GBK" w:cs="方正黑体_GBK"/>
                <w:snapToGrid w:val="0"/>
                <w:color w:val="000000"/>
                <w:spacing w:val="-4"/>
                <w:sz w:val="20"/>
                <w:szCs w:val="20"/>
                <w:lang w:eastAsia="en-US"/>
              </w:rPr>
              <w:t>自评得分</w:t>
            </w:r>
          </w:p>
        </w:tc>
      </w:tr>
      <w:tr w14:paraId="2C64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1" w:type="dxa"/>
            <w:vMerge w:val="restart"/>
            <w:noWrap/>
            <w:vAlign w:val="center"/>
          </w:tcPr>
          <w:p w14:paraId="504A917A">
            <w:pPr>
              <w:keepNext w:val="0"/>
              <w:keepLines w:val="0"/>
              <w:pageBreakBefore w:val="0"/>
              <w:widowControl w:val="0"/>
              <w:wordWrap/>
              <w:overflowPunct/>
              <w:topLinePunct w:val="0"/>
              <w:bidi w:val="0"/>
              <w:spacing w:line="240" w:lineRule="atLeas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bidi="ar"/>
              </w:rPr>
              <w:t>1</w:t>
            </w:r>
          </w:p>
        </w:tc>
        <w:tc>
          <w:tcPr>
            <w:tcW w:w="765" w:type="dxa"/>
            <w:vMerge w:val="restart"/>
            <w:noWrap/>
            <w:vAlign w:val="center"/>
          </w:tcPr>
          <w:p w14:paraId="5007D7C4">
            <w:pPr>
              <w:keepNext w:val="0"/>
              <w:keepLines w:val="0"/>
              <w:pageBreakBefore w:val="0"/>
              <w:widowControl w:val="0"/>
              <w:kinsoku w:val="0"/>
              <w:wordWrap/>
              <w:overflowPunct/>
              <w:topLinePunct w:val="0"/>
              <w:autoSpaceDE w:val="0"/>
              <w:autoSpaceDN w:val="0"/>
              <w:bidi w:val="0"/>
              <w:adjustRightInd w:val="0"/>
              <w:snapToGrid w:val="0"/>
              <w:spacing w:before="83" w:line="240" w:lineRule="atLeast"/>
              <w:jc w:val="center"/>
              <w:textAlignment w:val="baseline"/>
              <w:rPr>
                <w:rFonts w:hint="eastAsia" w:ascii="方正仿宋_GBK" w:hAnsi="方正仿宋_GBK" w:eastAsia="方正仿宋_GBK" w:cs="方正仿宋_GBK"/>
                <w:snapToGrid w:val="0"/>
                <w:color w:val="000000"/>
                <w:spacing w:val="-2"/>
                <w:sz w:val="20"/>
                <w:szCs w:val="20"/>
                <w:lang w:eastAsia="en-US"/>
              </w:rPr>
            </w:pPr>
          </w:p>
          <w:p w14:paraId="39127459">
            <w:pPr>
              <w:keepNext w:val="0"/>
              <w:keepLines w:val="0"/>
              <w:pageBreakBefore w:val="0"/>
              <w:widowControl w:val="0"/>
              <w:kinsoku w:val="0"/>
              <w:wordWrap/>
              <w:overflowPunct/>
              <w:topLinePunct w:val="0"/>
              <w:autoSpaceDE w:val="0"/>
              <w:autoSpaceDN w:val="0"/>
              <w:bidi w:val="0"/>
              <w:adjustRightInd w:val="0"/>
              <w:snapToGrid w:val="0"/>
              <w:spacing w:before="83" w:line="240" w:lineRule="atLeast"/>
              <w:jc w:val="center"/>
              <w:textAlignment w:val="baseline"/>
              <w:rPr>
                <w:rFonts w:hint="eastAsia" w:ascii="方正仿宋_GBK" w:hAnsi="方正仿宋_GBK" w:eastAsia="方正仿宋_GBK" w:cs="方正仿宋_GBK"/>
                <w:snapToGrid w:val="0"/>
                <w:color w:val="000000"/>
                <w:spacing w:val="-2"/>
                <w:sz w:val="20"/>
                <w:szCs w:val="20"/>
                <w:lang w:eastAsia="en-US"/>
              </w:rPr>
            </w:pPr>
          </w:p>
          <w:p w14:paraId="58734759">
            <w:pPr>
              <w:keepNext w:val="0"/>
              <w:keepLines w:val="0"/>
              <w:pageBreakBefore w:val="0"/>
              <w:widowControl w:val="0"/>
              <w:kinsoku w:val="0"/>
              <w:wordWrap/>
              <w:overflowPunct/>
              <w:topLinePunct w:val="0"/>
              <w:autoSpaceDE w:val="0"/>
              <w:autoSpaceDN w:val="0"/>
              <w:bidi w:val="0"/>
              <w:adjustRightInd w:val="0"/>
              <w:snapToGrid w:val="0"/>
              <w:spacing w:before="83" w:line="240" w:lineRule="atLeast"/>
              <w:jc w:val="center"/>
              <w:textAlignment w:val="baseline"/>
              <w:rPr>
                <w:rFonts w:hint="eastAsia" w:ascii="方正仿宋_GBK" w:hAnsi="方正仿宋_GBK" w:eastAsia="方正仿宋_GBK" w:cs="方正仿宋_GBK"/>
                <w:snapToGrid w:val="0"/>
                <w:color w:val="000000"/>
                <w:spacing w:val="-2"/>
                <w:sz w:val="20"/>
                <w:szCs w:val="20"/>
                <w:lang w:eastAsia="en-US"/>
              </w:rPr>
            </w:pPr>
          </w:p>
          <w:p w14:paraId="297B7CC6">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2024年学前教育家庭经济困难幼儿资助专项经费</w:t>
            </w:r>
          </w:p>
          <w:p w14:paraId="01A8AE30">
            <w:pPr>
              <w:keepNext w:val="0"/>
              <w:keepLines w:val="0"/>
              <w:pageBreakBefore w:val="0"/>
              <w:widowControl w:val="0"/>
              <w:kinsoku w:val="0"/>
              <w:wordWrap/>
              <w:overflowPunct/>
              <w:topLinePunct w:val="0"/>
              <w:autoSpaceDE w:val="0"/>
              <w:autoSpaceDN w:val="0"/>
              <w:bidi w:val="0"/>
              <w:adjustRightInd w:val="0"/>
              <w:snapToGrid w:val="0"/>
              <w:spacing w:before="83" w:line="240" w:lineRule="atLeast"/>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352" w:type="dxa"/>
            <w:noWrap/>
            <w:vAlign w:val="center"/>
          </w:tcPr>
          <w:p w14:paraId="1D39B7F5">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受助学生人数</w:t>
            </w:r>
          </w:p>
        </w:tc>
        <w:tc>
          <w:tcPr>
            <w:tcW w:w="795" w:type="dxa"/>
            <w:noWrap/>
            <w:vAlign w:val="center"/>
          </w:tcPr>
          <w:p w14:paraId="093EBB8E">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8" w:type="dxa"/>
            <w:noWrap/>
            <w:vAlign w:val="center"/>
          </w:tcPr>
          <w:p w14:paraId="12F7B6F3">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w:t>
            </w:r>
          </w:p>
        </w:tc>
        <w:tc>
          <w:tcPr>
            <w:tcW w:w="810" w:type="dxa"/>
            <w:noWrap/>
            <w:vAlign w:val="center"/>
          </w:tcPr>
          <w:p w14:paraId="11643ED6">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w:t>
            </w:r>
          </w:p>
        </w:tc>
        <w:tc>
          <w:tcPr>
            <w:tcW w:w="825" w:type="dxa"/>
            <w:noWrap/>
            <w:vAlign w:val="center"/>
          </w:tcPr>
          <w:p w14:paraId="4FB873B1">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1262" w:type="dxa"/>
            <w:noWrap/>
            <w:vAlign w:val="center"/>
          </w:tcPr>
          <w:p w14:paraId="1444DF60">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w:t>
            </w:r>
          </w:p>
        </w:tc>
        <w:tc>
          <w:tcPr>
            <w:tcW w:w="762" w:type="dxa"/>
            <w:noWrap/>
            <w:vAlign w:val="center"/>
          </w:tcPr>
          <w:p w14:paraId="66736B8D">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390" w:type="dxa"/>
            <w:noWrap/>
            <w:vAlign w:val="center"/>
          </w:tcPr>
          <w:p w14:paraId="372B507B">
            <w:pPr>
              <w:keepNext w:val="0"/>
              <w:keepLines w:val="0"/>
              <w:pageBreakBefore w:val="0"/>
              <w:widowControl w:val="0"/>
              <w:kinsoku w:val="0"/>
              <w:wordWrap/>
              <w:overflowPunct/>
              <w:topLinePunct w:val="0"/>
              <w:autoSpaceDE w:val="0"/>
              <w:autoSpaceDN w:val="0"/>
              <w:bidi w:val="0"/>
              <w:adjustRightInd w:val="0"/>
              <w:snapToGrid w:val="0"/>
              <w:spacing w:before="83" w:line="240" w:lineRule="atLeast"/>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811" w:type="dxa"/>
            <w:vMerge w:val="restart"/>
            <w:noWrap/>
            <w:vAlign w:val="center"/>
          </w:tcPr>
          <w:p w14:paraId="131A44F5">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r>
      <w:tr w14:paraId="7307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1" w:type="dxa"/>
            <w:vMerge w:val="continue"/>
            <w:noWrap/>
            <w:vAlign w:val="center"/>
          </w:tcPr>
          <w:p w14:paraId="5735791C">
            <w:pPr>
              <w:keepNext w:val="0"/>
              <w:keepLines w:val="0"/>
              <w:pageBreakBefore w:val="0"/>
              <w:widowControl w:val="0"/>
              <w:wordWrap/>
              <w:overflowPunct/>
              <w:topLinePunct w:val="0"/>
              <w:bidi w:val="0"/>
              <w:spacing w:line="240" w:lineRule="atLeast"/>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37C8B438">
            <w:pPr>
              <w:keepNext w:val="0"/>
              <w:keepLines w:val="0"/>
              <w:pageBreakBefore w:val="0"/>
              <w:widowControl w:val="0"/>
              <w:kinsoku w:val="0"/>
              <w:wordWrap/>
              <w:overflowPunct/>
              <w:topLinePunct w:val="0"/>
              <w:autoSpaceDE w:val="0"/>
              <w:autoSpaceDN w:val="0"/>
              <w:bidi w:val="0"/>
              <w:adjustRightInd w:val="0"/>
              <w:snapToGrid w:val="0"/>
              <w:spacing w:before="83" w:line="240" w:lineRule="atLeast"/>
              <w:ind w:left="14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352" w:type="dxa"/>
            <w:noWrap/>
            <w:vAlign w:val="center"/>
          </w:tcPr>
          <w:p w14:paraId="09B50E28">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资助到位时间</w:t>
            </w:r>
          </w:p>
        </w:tc>
        <w:tc>
          <w:tcPr>
            <w:tcW w:w="795" w:type="dxa"/>
            <w:noWrap/>
            <w:vAlign w:val="center"/>
          </w:tcPr>
          <w:p w14:paraId="309475D0">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8" w:type="dxa"/>
            <w:noWrap/>
            <w:vAlign w:val="center"/>
          </w:tcPr>
          <w:p w14:paraId="4FFA5A1D">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50</w:t>
            </w:r>
          </w:p>
        </w:tc>
        <w:tc>
          <w:tcPr>
            <w:tcW w:w="810" w:type="dxa"/>
            <w:noWrap/>
            <w:vAlign w:val="center"/>
          </w:tcPr>
          <w:p w14:paraId="153B924E">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天</w:t>
            </w:r>
          </w:p>
        </w:tc>
        <w:tc>
          <w:tcPr>
            <w:tcW w:w="825" w:type="dxa"/>
            <w:noWrap/>
            <w:vAlign w:val="center"/>
          </w:tcPr>
          <w:p w14:paraId="653DB6F2">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1262" w:type="dxa"/>
            <w:noWrap/>
            <w:vAlign w:val="center"/>
          </w:tcPr>
          <w:p w14:paraId="68842343">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50</w:t>
            </w:r>
          </w:p>
        </w:tc>
        <w:tc>
          <w:tcPr>
            <w:tcW w:w="762" w:type="dxa"/>
            <w:noWrap/>
            <w:vAlign w:val="center"/>
          </w:tcPr>
          <w:p w14:paraId="0DCEE637">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390" w:type="dxa"/>
            <w:noWrap/>
            <w:vAlign w:val="center"/>
          </w:tcPr>
          <w:p w14:paraId="5E1D30A6">
            <w:pPr>
              <w:keepNext w:val="0"/>
              <w:keepLines w:val="0"/>
              <w:pageBreakBefore w:val="0"/>
              <w:widowControl w:val="0"/>
              <w:kinsoku w:val="0"/>
              <w:wordWrap/>
              <w:overflowPunct/>
              <w:topLinePunct w:val="0"/>
              <w:autoSpaceDE w:val="0"/>
              <w:autoSpaceDN w:val="0"/>
              <w:bidi w:val="0"/>
              <w:adjustRightInd w:val="0"/>
              <w:snapToGrid w:val="0"/>
              <w:spacing w:before="83" w:line="240" w:lineRule="atLeast"/>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811" w:type="dxa"/>
            <w:vMerge w:val="continue"/>
            <w:noWrap/>
            <w:vAlign w:val="center"/>
          </w:tcPr>
          <w:p w14:paraId="5B23664F">
            <w:pPr>
              <w:keepNext w:val="0"/>
              <w:keepLines w:val="0"/>
              <w:pageBreakBefore w:val="0"/>
              <w:widowControl w:val="0"/>
              <w:wordWrap/>
              <w:overflowPunct/>
              <w:topLinePunct w:val="0"/>
              <w:bidi w:val="0"/>
              <w:spacing w:line="240" w:lineRule="atLeast"/>
              <w:ind w:firstLine="400" w:firstLineChars="200"/>
              <w:jc w:val="center"/>
              <w:rPr>
                <w:rFonts w:hint="eastAsia" w:ascii="方正仿宋_GBK" w:hAnsi="方正仿宋_GBK" w:eastAsia="方正仿宋_GBK" w:cs="方正仿宋_GBK"/>
                <w:color w:val="000000"/>
                <w:sz w:val="20"/>
                <w:szCs w:val="20"/>
              </w:rPr>
            </w:pPr>
          </w:p>
        </w:tc>
      </w:tr>
      <w:tr w14:paraId="06A2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1" w:type="dxa"/>
            <w:vMerge w:val="continue"/>
            <w:noWrap/>
            <w:vAlign w:val="center"/>
          </w:tcPr>
          <w:p w14:paraId="130AAD70">
            <w:pPr>
              <w:keepNext w:val="0"/>
              <w:keepLines w:val="0"/>
              <w:pageBreakBefore w:val="0"/>
              <w:widowControl w:val="0"/>
              <w:wordWrap/>
              <w:overflowPunct/>
              <w:topLinePunct w:val="0"/>
              <w:bidi w:val="0"/>
              <w:spacing w:line="240" w:lineRule="atLeast"/>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020BBBED">
            <w:pPr>
              <w:keepNext w:val="0"/>
              <w:keepLines w:val="0"/>
              <w:pageBreakBefore w:val="0"/>
              <w:widowControl w:val="0"/>
              <w:kinsoku w:val="0"/>
              <w:wordWrap/>
              <w:overflowPunct/>
              <w:topLinePunct w:val="0"/>
              <w:autoSpaceDE w:val="0"/>
              <w:autoSpaceDN w:val="0"/>
              <w:bidi w:val="0"/>
              <w:adjustRightInd w:val="0"/>
              <w:snapToGrid w:val="0"/>
              <w:spacing w:before="83" w:line="240" w:lineRule="atLeast"/>
              <w:ind w:left="14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352" w:type="dxa"/>
            <w:noWrap/>
            <w:vAlign w:val="center"/>
          </w:tcPr>
          <w:p w14:paraId="1A769EEA">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受助标准</w:t>
            </w:r>
          </w:p>
        </w:tc>
        <w:tc>
          <w:tcPr>
            <w:tcW w:w="795" w:type="dxa"/>
            <w:noWrap/>
            <w:vAlign w:val="center"/>
          </w:tcPr>
          <w:p w14:paraId="028DD2B0">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8" w:type="dxa"/>
            <w:noWrap/>
            <w:vAlign w:val="center"/>
          </w:tcPr>
          <w:p w14:paraId="63A6FD51">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29400</w:t>
            </w:r>
          </w:p>
        </w:tc>
        <w:tc>
          <w:tcPr>
            <w:tcW w:w="810" w:type="dxa"/>
            <w:noWrap/>
            <w:vAlign w:val="center"/>
          </w:tcPr>
          <w:p w14:paraId="00AC7DD3">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元</w:t>
            </w:r>
          </w:p>
        </w:tc>
        <w:tc>
          <w:tcPr>
            <w:tcW w:w="825" w:type="dxa"/>
            <w:noWrap/>
            <w:vAlign w:val="center"/>
          </w:tcPr>
          <w:p w14:paraId="5902FEA4">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1262" w:type="dxa"/>
            <w:noWrap/>
            <w:vAlign w:val="center"/>
          </w:tcPr>
          <w:p w14:paraId="5F6A6916">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29400</w:t>
            </w:r>
          </w:p>
        </w:tc>
        <w:tc>
          <w:tcPr>
            <w:tcW w:w="762" w:type="dxa"/>
            <w:noWrap/>
            <w:vAlign w:val="center"/>
          </w:tcPr>
          <w:p w14:paraId="7FD58424">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390" w:type="dxa"/>
            <w:noWrap/>
            <w:vAlign w:val="center"/>
          </w:tcPr>
          <w:p w14:paraId="606DB96E">
            <w:pPr>
              <w:keepNext w:val="0"/>
              <w:keepLines w:val="0"/>
              <w:pageBreakBefore w:val="0"/>
              <w:widowControl w:val="0"/>
              <w:kinsoku w:val="0"/>
              <w:wordWrap/>
              <w:overflowPunct/>
              <w:topLinePunct w:val="0"/>
              <w:autoSpaceDE w:val="0"/>
              <w:autoSpaceDN w:val="0"/>
              <w:bidi w:val="0"/>
              <w:adjustRightInd w:val="0"/>
              <w:snapToGrid w:val="0"/>
              <w:spacing w:before="83" w:line="240" w:lineRule="atLeast"/>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811" w:type="dxa"/>
            <w:vMerge w:val="continue"/>
            <w:noWrap/>
            <w:vAlign w:val="center"/>
          </w:tcPr>
          <w:p w14:paraId="0A80CECF">
            <w:pPr>
              <w:keepNext w:val="0"/>
              <w:keepLines w:val="0"/>
              <w:pageBreakBefore w:val="0"/>
              <w:widowControl w:val="0"/>
              <w:wordWrap/>
              <w:overflowPunct/>
              <w:topLinePunct w:val="0"/>
              <w:bidi w:val="0"/>
              <w:spacing w:line="240" w:lineRule="atLeast"/>
              <w:ind w:firstLine="400" w:firstLineChars="200"/>
              <w:jc w:val="center"/>
              <w:rPr>
                <w:rFonts w:hint="eastAsia" w:ascii="方正仿宋_GBK" w:hAnsi="方正仿宋_GBK" w:eastAsia="方正仿宋_GBK" w:cs="方正仿宋_GBK"/>
                <w:color w:val="000000"/>
                <w:sz w:val="20"/>
                <w:szCs w:val="20"/>
              </w:rPr>
            </w:pPr>
          </w:p>
        </w:tc>
      </w:tr>
      <w:tr w14:paraId="783A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1" w:type="dxa"/>
            <w:vMerge w:val="continue"/>
            <w:noWrap/>
            <w:vAlign w:val="center"/>
          </w:tcPr>
          <w:p w14:paraId="07E9253C">
            <w:pPr>
              <w:keepNext w:val="0"/>
              <w:keepLines w:val="0"/>
              <w:pageBreakBefore w:val="0"/>
              <w:widowControl w:val="0"/>
              <w:wordWrap/>
              <w:overflowPunct/>
              <w:topLinePunct w:val="0"/>
              <w:bidi w:val="0"/>
              <w:spacing w:line="240" w:lineRule="atLeast"/>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5B98383B">
            <w:pPr>
              <w:keepNext w:val="0"/>
              <w:keepLines w:val="0"/>
              <w:pageBreakBefore w:val="0"/>
              <w:widowControl w:val="0"/>
              <w:kinsoku w:val="0"/>
              <w:wordWrap/>
              <w:overflowPunct/>
              <w:topLinePunct w:val="0"/>
              <w:autoSpaceDE w:val="0"/>
              <w:autoSpaceDN w:val="0"/>
              <w:bidi w:val="0"/>
              <w:adjustRightInd w:val="0"/>
              <w:snapToGrid w:val="0"/>
              <w:spacing w:before="83" w:line="240" w:lineRule="atLeast"/>
              <w:ind w:left="14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352" w:type="dxa"/>
            <w:noWrap/>
            <w:vAlign w:val="center"/>
          </w:tcPr>
          <w:p w14:paraId="355CF8A1">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提高学生健康水平，促进少年儿童健康成长</w:t>
            </w:r>
          </w:p>
        </w:tc>
        <w:tc>
          <w:tcPr>
            <w:tcW w:w="795" w:type="dxa"/>
            <w:noWrap/>
            <w:vAlign w:val="center"/>
          </w:tcPr>
          <w:p w14:paraId="2EB4B6D7">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838" w:type="dxa"/>
            <w:noWrap/>
            <w:vAlign w:val="center"/>
          </w:tcPr>
          <w:p w14:paraId="26490FC5">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较大提高</w:t>
            </w:r>
          </w:p>
        </w:tc>
        <w:tc>
          <w:tcPr>
            <w:tcW w:w="810" w:type="dxa"/>
            <w:noWrap/>
            <w:vAlign w:val="center"/>
          </w:tcPr>
          <w:p w14:paraId="7956AEC9">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p>
        </w:tc>
        <w:tc>
          <w:tcPr>
            <w:tcW w:w="825" w:type="dxa"/>
            <w:noWrap/>
            <w:vAlign w:val="center"/>
          </w:tcPr>
          <w:p w14:paraId="08C04D7F">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1262" w:type="dxa"/>
            <w:noWrap/>
            <w:vAlign w:val="center"/>
          </w:tcPr>
          <w:p w14:paraId="598CA9EE">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w:t>
            </w:r>
          </w:p>
        </w:tc>
        <w:tc>
          <w:tcPr>
            <w:tcW w:w="762" w:type="dxa"/>
            <w:noWrap/>
            <w:vAlign w:val="center"/>
          </w:tcPr>
          <w:p w14:paraId="0D7D8098">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390" w:type="dxa"/>
            <w:noWrap/>
            <w:vAlign w:val="center"/>
          </w:tcPr>
          <w:p w14:paraId="46793B8A">
            <w:pPr>
              <w:keepNext w:val="0"/>
              <w:keepLines w:val="0"/>
              <w:pageBreakBefore w:val="0"/>
              <w:widowControl w:val="0"/>
              <w:kinsoku w:val="0"/>
              <w:wordWrap/>
              <w:overflowPunct/>
              <w:topLinePunct w:val="0"/>
              <w:autoSpaceDE w:val="0"/>
              <w:autoSpaceDN w:val="0"/>
              <w:bidi w:val="0"/>
              <w:adjustRightInd w:val="0"/>
              <w:snapToGrid w:val="0"/>
              <w:spacing w:before="83" w:line="240" w:lineRule="atLeast"/>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811" w:type="dxa"/>
            <w:vMerge w:val="continue"/>
            <w:noWrap/>
            <w:vAlign w:val="center"/>
          </w:tcPr>
          <w:p w14:paraId="64AEC8E8">
            <w:pPr>
              <w:keepNext w:val="0"/>
              <w:keepLines w:val="0"/>
              <w:pageBreakBefore w:val="0"/>
              <w:widowControl w:val="0"/>
              <w:wordWrap/>
              <w:overflowPunct/>
              <w:topLinePunct w:val="0"/>
              <w:bidi w:val="0"/>
              <w:spacing w:line="240" w:lineRule="atLeast"/>
              <w:ind w:firstLine="400" w:firstLineChars="200"/>
              <w:jc w:val="center"/>
              <w:rPr>
                <w:rFonts w:hint="eastAsia" w:ascii="方正仿宋_GBK" w:hAnsi="方正仿宋_GBK" w:eastAsia="方正仿宋_GBK" w:cs="方正仿宋_GBK"/>
                <w:color w:val="000000"/>
                <w:sz w:val="20"/>
                <w:szCs w:val="20"/>
              </w:rPr>
            </w:pPr>
          </w:p>
        </w:tc>
      </w:tr>
      <w:tr w14:paraId="6F40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1" w:type="dxa"/>
            <w:vMerge w:val="continue"/>
            <w:noWrap/>
            <w:vAlign w:val="center"/>
          </w:tcPr>
          <w:p w14:paraId="2C8C2C38">
            <w:pPr>
              <w:keepNext w:val="0"/>
              <w:keepLines w:val="0"/>
              <w:pageBreakBefore w:val="0"/>
              <w:widowControl w:val="0"/>
              <w:wordWrap/>
              <w:overflowPunct/>
              <w:topLinePunct w:val="0"/>
              <w:bidi w:val="0"/>
              <w:spacing w:line="240" w:lineRule="atLeast"/>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08A2D44F">
            <w:pPr>
              <w:keepNext w:val="0"/>
              <w:keepLines w:val="0"/>
              <w:pageBreakBefore w:val="0"/>
              <w:widowControl w:val="0"/>
              <w:kinsoku w:val="0"/>
              <w:wordWrap/>
              <w:overflowPunct/>
              <w:topLinePunct w:val="0"/>
              <w:autoSpaceDE w:val="0"/>
              <w:autoSpaceDN w:val="0"/>
              <w:bidi w:val="0"/>
              <w:adjustRightInd w:val="0"/>
              <w:snapToGrid w:val="0"/>
              <w:spacing w:before="83" w:line="240" w:lineRule="atLeast"/>
              <w:ind w:left="14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352" w:type="dxa"/>
            <w:noWrap/>
            <w:vAlign w:val="center"/>
          </w:tcPr>
          <w:p w14:paraId="00EE8DC9">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提高学生健康水平，促进少年儿童健康成长</w:t>
            </w:r>
          </w:p>
        </w:tc>
        <w:tc>
          <w:tcPr>
            <w:tcW w:w="795" w:type="dxa"/>
            <w:noWrap/>
            <w:vAlign w:val="center"/>
          </w:tcPr>
          <w:p w14:paraId="246E2BCC">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838" w:type="dxa"/>
            <w:noWrap/>
            <w:vAlign w:val="center"/>
          </w:tcPr>
          <w:p w14:paraId="7E4A1C0C">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较好</w:t>
            </w:r>
          </w:p>
        </w:tc>
        <w:tc>
          <w:tcPr>
            <w:tcW w:w="810" w:type="dxa"/>
            <w:noWrap/>
            <w:vAlign w:val="center"/>
          </w:tcPr>
          <w:p w14:paraId="3E23F0DB">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p>
        </w:tc>
        <w:tc>
          <w:tcPr>
            <w:tcW w:w="825" w:type="dxa"/>
            <w:noWrap/>
            <w:vAlign w:val="center"/>
          </w:tcPr>
          <w:p w14:paraId="298C87C2">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1262" w:type="dxa"/>
            <w:noWrap/>
            <w:vAlign w:val="center"/>
          </w:tcPr>
          <w:p w14:paraId="15CBA194">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w:t>
            </w:r>
          </w:p>
        </w:tc>
        <w:tc>
          <w:tcPr>
            <w:tcW w:w="762" w:type="dxa"/>
            <w:noWrap/>
            <w:vAlign w:val="center"/>
          </w:tcPr>
          <w:p w14:paraId="695507DE">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390" w:type="dxa"/>
            <w:noWrap/>
            <w:vAlign w:val="center"/>
          </w:tcPr>
          <w:p w14:paraId="64437010">
            <w:pPr>
              <w:keepNext w:val="0"/>
              <w:keepLines w:val="0"/>
              <w:pageBreakBefore w:val="0"/>
              <w:widowControl w:val="0"/>
              <w:kinsoku w:val="0"/>
              <w:wordWrap/>
              <w:overflowPunct/>
              <w:topLinePunct w:val="0"/>
              <w:autoSpaceDE w:val="0"/>
              <w:autoSpaceDN w:val="0"/>
              <w:bidi w:val="0"/>
              <w:adjustRightInd w:val="0"/>
              <w:snapToGrid w:val="0"/>
              <w:spacing w:before="83" w:line="240" w:lineRule="atLeast"/>
              <w:jc w:val="center"/>
              <w:textAlignment w:val="baseline"/>
              <w:rPr>
                <w:rFonts w:hint="eastAsia" w:ascii="方正仿宋_GBK" w:hAnsi="方正仿宋_GBK" w:eastAsia="方正仿宋_GBK" w:cs="方正仿宋_GBK"/>
                <w:snapToGrid w:val="0"/>
                <w:color w:val="000000"/>
                <w:spacing w:val="-2"/>
                <w:sz w:val="20"/>
                <w:szCs w:val="20"/>
              </w:rPr>
            </w:pPr>
          </w:p>
        </w:tc>
        <w:tc>
          <w:tcPr>
            <w:tcW w:w="811" w:type="dxa"/>
            <w:vMerge w:val="continue"/>
            <w:noWrap/>
            <w:vAlign w:val="center"/>
          </w:tcPr>
          <w:p w14:paraId="00D5887C">
            <w:pPr>
              <w:keepNext w:val="0"/>
              <w:keepLines w:val="0"/>
              <w:pageBreakBefore w:val="0"/>
              <w:widowControl w:val="0"/>
              <w:wordWrap/>
              <w:overflowPunct/>
              <w:topLinePunct w:val="0"/>
              <w:bidi w:val="0"/>
              <w:spacing w:line="240" w:lineRule="atLeast"/>
              <w:ind w:firstLine="400" w:firstLineChars="200"/>
              <w:jc w:val="center"/>
              <w:rPr>
                <w:rFonts w:hint="eastAsia" w:ascii="方正仿宋_GBK" w:hAnsi="方正仿宋_GBK" w:eastAsia="方正仿宋_GBK" w:cs="方正仿宋_GBK"/>
                <w:color w:val="000000"/>
                <w:sz w:val="20"/>
                <w:szCs w:val="20"/>
              </w:rPr>
            </w:pPr>
          </w:p>
        </w:tc>
      </w:tr>
      <w:tr w14:paraId="0AB2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1" w:type="dxa"/>
            <w:vMerge w:val="continue"/>
            <w:noWrap/>
            <w:vAlign w:val="center"/>
          </w:tcPr>
          <w:p w14:paraId="5B5E8611">
            <w:pPr>
              <w:keepNext w:val="0"/>
              <w:keepLines w:val="0"/>
              <w:pageBreakBefore w:val="0"/>
              <w:widowControl w:val="0"/>
              <w:wordWrap/>
              <w:overflowPunct/>
              <w:topLinePunct w:val="0"/>
              <w:bidi w:val="0"/>
              <w:spacing w:line="240" w:lineRule="atLeast"/>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747233A5">
            <w:pPr>
              <w:keepNext w:val="0"/>
              <w:keepLines w:val="0"/>
              <w:pageBreakBefore w:val="0"/>
              <w:widowControl w:val="0"/>
              <w:kinsoku w:val="0"/>
              <w:wordWrap/>
              <w:overflowPunct/>
              <w:topLinePunct w:val="0"/>
              <w:autoSpaceDE w:val="0"/>
              <w:autoSpaceDN w:val="0"/>
              <w:bidi w:val="0"/>
              <w:adjustRightInd w:val="0"/>
              <w:snapToGrid w:val="0"/>
              <w:spacing w:before="83" w:line="240" w:lineRule="atLeast"/>
              <w:ind w:left="14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352" w:type="dxa"/>
            <w:noWrap/>
            <w:vAlign w:val="center"/>
          </w:tcPr>
          <w:p w14:paraId="72017554">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受助学生满意度</w:t>
            </w:r>
          </w:p>
        </w:tc>
        <w:tc>
          <w:tcPr>
            <w:tcW w:w="795" w:type="dxa"/>
            <w:noWrap/>
            <w:vAlign w:val="center"/>
          </w:tcPr>
          <w:p w14:paraId="5FEBCAB7">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8" w:type="dxa"/>
            <w:noWrap/>
            <w:vAlign w:val="center"/>
          </w:tcPr>
          <w:p w14:paraId="2636C082">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810" w:type="dxa"/>
            <w:noWrap/>
            <w:vAlign w:val="center"/>
          </w:tcPr>
          <w:p w14:paraId="5BEC03E6">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25" w:type="dxa"/>
            <w:noWrap/>
            <w:vAlign w:val="center"/>
          </w:tcPr>
          <w:p w14:paraId="316D1FB8">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1262" w:type="dxa"/>
            <w:noWrap/>
            <w:vAlign w:val="center"/>
          </w:tcPr>
          <w:p w14:paraId="43F57814">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762" w:type="dxa"/>
            <w:noWrap/>
            <w:vAlign w:val="center"/>
          </w:tcPr>
          <w:p w14:paraId="143C7022">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390" w:type="dxa"/>
            <w:noWrap/>
            <w:vAlign w:val="center"/>
          </w:tcPr>
          <w:p w14:paraId="7A2D4154">
            <w:pPr>
              <w:keepNext w:val="0"/>
              <w:keepLines w:val="0"/>
              <w:pageBreakBefore w:val="0"/>
              <w:widowControl w:val="0"/>
              <w:kinsoku w:val="0"/>
              <w:wordWrap/>
              <w:overflowPunct/>
              <w:topLinePunct w:val="0"/>
              <w:autoSpaceDE w:val="0"/>
              <w:autoSpaceDN w:val="0"/>
              <w:bidi w:val="0"/>
              <w:adjustRightInd w:val="0"/>
              <w:snapToGrid w:val="0"/>
              <w:spacing w:before="83" w:line="240" w:lineRule="atLeast"/>
              <w:jc w:val="center"/>
              <w:textAlignment w:val="baseline"/>
              <w:rPr>
                <w:rFonts w:hint="eastAsia" w:ascii="方正仿宋_GBK" w:hAnsi="方正仿宋_GBK" w:eastAsia="方正仿宋_GBK" w:cs="方正仿宋_GBK"/>
                <w:snapToGrid w:val="0"/>
                <w:color w:val="000000"/>
                <w:spacing w:val="-2"/>
                <w:sz w:val="20"/>
                <w:szCs w:val="20"/>
              </w:rPr>
            </w:pPr>
          </w:p>
        </w:tc>
        <w:tc>
          <w:tcPr>
            <w:tcW w:w="811" w:type="dxa"/>
            <w:vMerge w:val="continue"/>
            <w:noWrap/>
            <w:vAlign w:val="center"/>
          </w:tcPr>
          <w:p w14:paraId="0E032710">
            <w:pPr>
              <w:keepNext w:val="0"/>
              <w:keepLines w:val="0"/>
              <w:pageBreakBefore w:val="0"/>
              <w:widowControl w:val="0"/>
              <w:wordWrap/>
              <w:overflowPunct/>
              <w:topLinePunct w:val="0"/>
              <w:bidi w:val="0"/>
              <w:spacing w:line="240" w:lineRule="atLeast"/>
              <w:ind w:firstLine="400" w:firstLineChars="200"/>
              <w:jc w:val="center"/>
              <w:rPr>
                <w:rFonts w:hint="eastAsia" w:ascii="方正仿宋_GBK" w:hAnsi="方正仿宋_GBK" w:eastAsia="方正仿宋_GBK" w:cs="方正仿宋_GBK"/>
                <w:color w:val="000000"/>
                <w:sz w:val="20"/>
                <w:szCs w:val="20"/>
              </w:rPr>
            </w:pPr>
          </w:p>
        </w:tc>
      </w:tr>
      <w:tr w14:paraId="6304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1" w:type="dxa"/>
            <w:vMerge w:val="continue"/>
            <w:noWrap/>
            <w:vAlign w:val="center"/>
          </w:tcPr>
          <w:p w14:paraId="4E8DF879">
            <w:pPr>
              <w:keepNext w:val="0"/>
              <w:keepLines w:val="0"/>
              <w:pageBreakBefore w:val="0"/>
              <w:widowControl w:val="0"/>
              <w:wordWrap/>
              <w:overflowPunct/>
              <w:topLinePunct w:val="0"/>
              <w:bidi w:val="0"/>
              <w:spacing w:line="240" w:lineRule="atLeast"/>
              <w:ind w:firstLine="400" w:firstLineChars="200"/>
              <w:jc w:val="center"/>
              <w:textAlignment w:val="center"/>
              <w:rPr>
                <w:rFonts w:hint="eastAsia" w:ascii="方正仿宋_GBK" w:hAnsi="方正仿宋_GBK" w:eastAsia="方正仿宋_GBK" w:cs="方正仿宋_GBK"/>
                <w:color w:val="000000"/>
                <w:sz w:val="20"/>
                <w:szCs w:val="20"/>
              </w:rPr>
            </w:pPr>
          </w:p>
        </w:tc>
        <w:tc>
          <w:tcPr>
            <w:tcW w:w="765" w:type="dxa"/>
            <w:vMerge w:val="continue"/>
            <w:noWrap/>
            <w:vAlign w:val="center"/>
          </w:tcPr>
          <w:p w14:paraId="35C9BC08">
            <w:pPr>
              <w:keepNext w:val="0"/>
              <w:keepLines w:val="0"/>
              <w:pageBreakBefore w:val="0"/>
              <w:widowControl w:val="0"/>
              <w:kinsoku w:val="0"/>
              <w:wordWrap/>
              <w:overflowPunct/>
              <w:topLinePunct w:val="0"/>
              <w:autoSpaceDE w:val="0"/>
              <w:autoSpaceDN w:val="0"/>
              <w:bidi w:val="0"/>
              <w:adjustRightInd w:val="0"/>
              <w:snapToGrid w:val="0"/>
              <w:spacing w:before="83" w:line="240" w:lineRule="atLeast"/>
              <w:ind w:left="140"/>
              <w:jc w:val="center"/>
              <w:textAlignment w:val="baseline"/>
              <w:rPr>
                <w:rFonts w:hint="eastAsia" w:ascii="方正仿宋_GBK" w:hAnsi="方正仿宋_GBK" w:eastAsia="方正仿宋_GBK" w:cs="方正仿宋_GBK"/>
                <w:snapToGrid w:val="0"/>
                <w:color w:val="000000"/>
                <w:spacing w:val="-2"/>
                <w:sz w:val="20"/>
                <w:szCs w:val="20"/>
                <w:lang w:eastAsia="en-US"/>
              </w:rPr>
            </w:pPr>
          </w:p>
        </w:tc>
        <w:tc>
          <w:tcPr>
            <w:tcW w:w="1352" w:type="dxa"/>
            <w:noWrap/>
            <w:vAlign w:val="center"/>
          </w:tcPr>
          <w:p w14:paraId="10A429A5">
            <w:pPr>
              <w:keepNext w:val="0"/>
              <w:keepLines w:val="0"/>
              <w:pageBreakBefore w:val="0"/>
              <w:widowControl w:val="0"/>
              <w:wordWrap/>
              <w:overflowPunct/>
              <w:topLinePunct w:val="0"/>
              <w:bidi w:val="0"/>
              <w:spacing w:line="240" w:lineRule="atLeas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执行率</w:t>
            </w:r>
          </w:p>
        </w:tc>
        <w:tc>
          <w:tcPr>
            <w:tcW w:w="795" w:type="dxa"/>
            <w:noWrap/>
            <w:vAlign w:val="center"/>
          </w:tcPr>
          <w:p w14:paraId="219A0C42">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8" w:type="dxa"/>
            <w:noWrap/>
            <w:vAlign w:val="center"/>
          </w:tcPr>
          <w:p w14:paraId="158DD2E0">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810" w:type="dxa"/>
            <w:noWrap/>
            <w:vAlign w:val="center"/>
          </w:tcPr>
          <w:p w14:paraId="0A238E39">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25" w:type="dxa"/>
            <w:noWrap/>
            <w:vAlign w:val="center"/>
          </w:tcPr>
          <w:p w14:paraId="0B5BB6C4">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1262" w:type="dxa"/>
            <w:noWrap/>
            <w:vAlign w:val="center"/>
          </w:tcPr>
          <w:p w14:paraId="7B3CCEA4">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62" w:type="dxa"/>
            <w:noWrap/>
            <w:vAlign w:val="center"/>
          </w:tcPr>
          <w:p w14:paraId="138ABF25">
            <w:pPr>
              <w:keepNext w:val="0"/>
              <w:keepLines w:val="0"/>
              <w:pageBreakBefore w:val="0"/>
              <w:widowControl w:val="0"/>
              <w:wordWrap/>
              <w:overflowPunct/>
              <w:topLinePunct w:val="0"/>
              <w:bidi w:val="0"/>
              <w:spacing w:line="240" w:lineRule="atLeas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390" w:type="dxa"/>
            <w:noWrap/>
            <w:vAlign w:val="center"/>
          </w:tcPr>
          <w:p w14:paraId="3A63792C">
            <w:pPr>
              <w:keepNext w:val="0"/>
              <w:keepLines w:val="0"/>
              <w:pageBreakBefore w:val="0"/>
              <w:widowControl w:val="0"/>
              <w:kinsoku w:val="0"/>
              <w:wordWrap/>
              <w:overflowPunct/>
              <w:topLinePunct w:val="0"/>
              <w:autoSpaceDE w:val="0"/>
              <w:autoSpaceDN w:val="0"/>
              <w:bidi w:val="0"/>
              <w:adjustRightInd w:val="0"/>
              <w:snapToGrid w:val="0"/>
              <w:spacing w:before="83" w:line="240" w:lineRule="atLeast"/>
              <w:jc w:val="center"/>
              <w:textAlignment w:val="baseline"/>
              <w:rPr>
                <w:rFonts w:hint="eastAsia" w:ascii="方正仿宋_GBK" w:hAnsi="方正仿宋_GBK" w:eastAsia="方正仿宋_GBK" w:cs="方正仿宋_GBK"/>
                <w:snapToGrid w:val="0"/>
                <w:color w:val="000000"/>
                <w:spacing w:val="-2"/>
                <w:sz w:val="20"/>
                <w:szCs w:val="20"/>
              </w:rPr>
            </w:pPr>
          </w:p>
        </w:tc>
        <w:tc>
          <w:tcPr>
            <w:tcW w:w="811" w:type="dxa"/>
            <w:vMerge w:val="continue"/>
            <w:noWrap/>
            <w:vAlign w:val="center"/>
          </w:tcPr>
          <w:p w14:paraId="55E83063">
            <w:pPr>
              <w:keepNext w:val="0"/>
              <w:keepLines w:val="0"/>
              <w:pageBreakBefore w:val="0"/>
              <w:widowControl w:val="0"/>
              <w:wordWrap/>
              <w:overflowPunct/>
              <w:topLinePunct w:val="0"/>
              <w:bidi w:val="0"/>
              <w:spacing w:line="240" w:lineRule="atLeast"/>
              <w:ind w:firstLine="400" w:firstLineChars="200"/>
              <w:jc w:val="center"/>
              <w:rPr>
                <w:rFonts w:hint="eastAsia" w:ascii="方正仿宋_GBK" w:hAnsi="方正仿宋_GBK" w:eastAsia="方正仿宋_GBK" w:cs="方正仿宋_GBK"/>
                <w:color w:val="000000"/>
                <w:sz w:val="20"/>
                <w:szCs w:val="20"/>
              </w:rPr>
            </w:pPr>
          </w:p>
        </w:tc>
      </w:tr>
    </w:tbl>
    <w:p w14:paraId="3FB748F0">
      <w:pPr>
        <w:keepNext w:val="0"/>
        <w:keepLines w:val="0"/>
        <w:pageBreakBefore w:val="0"/>
        <w:widowControl w:val="0"/>
        <w:tabs>
          <w:tab w:val="center" w:pos="4153"/>
          <w:tab w:val="left" w:pos="7275"/>
        </w:tabs>
        <w:wordWrap/>
        <w:overflowPunct/>
        <w:topLinePunct w:val="0"/>
        <w:bidi w:val="0"/>
        <w:spacing w:line="600" w:lineRule="exact"/>
        <w:ind w:firstLine="640" w:firstLineChars="200"/>
        <w:rPr>
          <w:rStyle w:val="12"/>
          <w:rFonts w:hint="default" w:ascii="楷体" w:hAnsi="楷体" w:eastAsia="楷体" w:cs="楷体"/>
          <w:sz w:val="32"/>
          <w:szCs w:val="32"/>
          <w:shd w:val="clear" w:color="auto" w:fill="FFFFFF"/>
        </w:rPr>
      </w:pPr>
      <w:r>
        <w:rPr>
          <w:rFonts w:ascii="方正楷体_GBK" w:hAnsi="方正楷体_GBK" w:eastAsia="方正楷体_GBK" w:cs="方正楷体_GBK"/>
          <w:sz w:val="32"/>
          <w:szCs w:val="32"/>
          <w:shd w:val="clear" w:color="auto" w:fill="FFFFFF"/>
        </w:rPr>
        <w:t>（二）单位重点绩效评价情况</w:t>
      </w:r>
    </w:p>
    <w:p w14:paraId="60A4C949">
      <w:pPr>
        <w:keepNext w:val="0"/>
        <w:keepLines w:val="0"/>
        <w:pageBreakBefore w:val="0"/>
        <w:widowControl w:val="0"/>
        <w:tabs>
          <w:tab w:val="center" w:pos="4153"/>
          <w:tab w:val="left" w:pos="7275"/>
        </w:tabs>
        <w:wordWrap/>
        <w:overflowPunct/>
        <w:topLinePunct w:val="0"/>
        <w:bidi w:val="0"/>
        <w:spacing w:line="600" w:lineRule="exact"/>
        <w:ind w:firstLine="640" w:firstLineChars="200"/>
        <w:rPr>
          <w:rFonts w:hint="default" w:ascii="楷体" w:hAnsi="楷体" w:eastAsia="楷体" w:cs="楷体"/>
          <w:b/>
          <w:sz w:val="32"/>
          <w:szCs w:val="32"/>
          <w:shd w:val="clear" w:color="auto" w:fill="FFFFFF"/>
        </w:rPr>
      </w:pPr>
      <w:r>
        <w:rPr>
          <w:rFonts w:ascii="方正仿宋_GBK" w:hAnsi="方正仿宋_GBK" w:eastAsia="方正仿宋_GBK" w:cs="方正仿宋_GBK"/>
          <w:sz w:val="32"/>
          <w:szCs w:val="32"/>
          <w:shd w:val="clear" w:color="auto" w:fill="FFFFFF"/>
        </w:rPr>
        <w:t>我单位对</w:t>
      </w:r>
      <w:r>
        <w:rPr>
          <w:rFonts w:hint="default" w:ascii="方正仿宋_GBK" w:hAnsi="方正仿宋_GBK" w:eastAsia="方正仿宋_GBK" w:cs="方正仿宋_GBK"/>
          <w:sz w:val="32"/>
          <w:szCs w:val="32"/>
          <w:shd w:val="clear" w:color="auto" w:fill="FFFFFF"/>
        </w:rPr>
        <w:t>2024年学前教育家庭经济困难幼儿资助</w:t>
      </w:r>
      <w:r>
        <w:rPr>
          <w:rFonts w:ascii="方正仿宋_GBK" w:hAnsi="方正仿宋_GBK" w:eastAsia="方正仿宋_GBK" w:cs="方正仿宋_GBK"/>
          <w:sz w:val="32"/>
          <w:szCs w:val="32"/>
          <w:shd w:val="clear" w:color="auto" w:fill="FFFFFF"/>
        </w:rPr>
        <w:t>开展了绩效评价，涉及财政拨款项目资金</w:t>
      </w:r>
      <w:r>
        <w:rPr>
          <w:rFonts w:hint="default" w:ascii="方正仿宋_GBK" w:hAnsi="方正仿宋_GBK" w:eastAsia="方正仿宋_GBK" w:cs="方正仿宋_GBK"/>
          <w:sz w:val="32"/>
          <w:szCs w:val="32"/>
          <w:shd w:val="clear" w:color="auto" w:fill="FFFFFF"/>
        </w:rPr>
        <w:t>5.68</w:t>
      </w:r>
      <w:r>
        <w:rPr>
          <w:rFonts w:ascii="方正仿宋_GBK" w:hAnsi="方正仿宋_GBK" w:eastAsia="方正仿宋_GBK" w:cs="方正仿宋_GBK"/>
          <w:sz w:val="32"/>
          <w:szCs w:val="32"/>
          <w:shd w:val="clear" w:color="auto" w:fill="FFFFFF"/>
        </w:rPr>
        <w:t>万元，评价得分</w:t>
      </w:r>
      <w:r>
        <w:rPr>
          <w:rFonts w:hint="default" w:ascii="方正仿宋_GBK" w:hAnsi="方正仿宋_GBK"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val="en-US" w:eastAsia="zh-CN"/>
        </w:rPr>
        <w:t>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ascii="方正仿宋_GBK" w:hAnsi="方正仿宋_GBK" w:eastAsia="方正仿宋_GBK" w:cs="方正仿宋_GBK"/>
          <w:sz w:val="32"/>
          <w:szCs w:val="32"/>
          <w:shd w:val="clear" w:color="auto" w:fill="FFFFFF"/>
        </w:rPr>
        <w:t>。</w:t>
      </w:r>
    </w:p>
    <w:p w14:paraId="49339ECF">
      <w:pPr>
        <w:keepNext w:val="0"/>
        <w:keepLines w:val="0"/>
        <w:pageBreakBefore w:val="0"/>
        <w:widowControl w:val="0"/>
        <w:numPr>
          <w:ilvl w:val="0"/>
          <w:numId w:val="1"/>
        </w:numPr>
        <w:tabs>
          <w:tab w:val="center" w:pos="4153"/>
          <w:tab w:val="left" w:pos="7275"/>
        </w:tabs>
        <w:wordWrap/>
        <w:overflowPunct/>
        <w:topLinePunct w:val="0"/>
        <w:bidi w:val="0"/>
        <w:spacing w:line="600" w:lineRule="exact"/>
        <w:ind w:firstLine="640" w:firstLineChars="20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财政绩效评价情况</w:t>
      </w:r>
    </w:p>
    <w:p w14:paraId="15CE830E">
      <w:pPr>
        <w:keepNext w:val="0"/>
        <w:keepLines w:val="0"/>
        <w:pageBreakBefore w:val="0"/>
        <w:widowControl w:val="0"/>
        <w:tabs>
          <w:tab w:val="center" w:pos="4153"/>
          <w:tab w:val="left" w:pos="7275"/>
        </w:tabs>
        <w:wordWrap/>
        <w:overflowPunct/>
        <w:topLinePunct w:val="0"/>
        <w:bidi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财政重点绩效评价由区财政局统一公开。</w:t>
      </w:r>
    </w:p>
    <w:p w14:paraId="21008FFD">
      <w:pPr>
        <w:keepNext w:val="0"/>
        <w:keepLines w:val="0"/>
        <w:pageBreakBefore w:val="0"/>
        <w:widowControl w:val="0"/>
        <w:wordWrap/>
        <w:overflowPunct/>
        <w:topLinePunct w:val="0"/>
        <w:bidi w:val="0"/>
        <w:spacing w:line="600" w:lineRule="exact"/>
        <w:ind w:firstLine="640" w:firstLineChars="200"/>
        <w:rPr>
          <w:rFonts w:hint="default" w:ascii="方正仿宋_GBK" w:hAnsi="方正仿宋_GBK" w:eastAsia="方正仿宋_GBK" w:cs="方正仿宋_GBK"/>
          <w:sz w:val="32"/>
          <w:szCs w:val="32"/>
        </w:rPr>
      </w:pPr>
      <w:r>
        <w:rPr>
          <w:rStyle w:val="15"/>
          <w:rFonts w:hint="eastAsia" w:ascii="方正黑体_GBK" w:hAnsi="方正仿宋_GBK" w:eastAsia="方正黑体_GBK" w:cs="方正仿宋_GBK"/>
          <w:b w:val="0"/>
          <w:sz w:val="32"/>
          <w:szCs w:val="32"/>
          <w:shd w:val="clear" w:color="auto" w:fill="FFFFFF"/>
        </w:rPr>
        <w:t>六、专业名词解释</w:t>
      </w:r>
      <w:r>
        <w:rPr>
          <w:rStyle w:val="12"/>
          <w:rFonts w:ascii="黑体" w:hAnsi="黑体" w:eastAsia="黑体" w:cs="黑体"/>
          <w:sz w:val="32"/>
          <w:szCs w:val="32"/>
          <w:shd w:val="clear" w:color="auto" w:fill="FFFFFF"/>
        </w:rPr>
        <w:t xml:space="preserve"> </w:t>
      </w:r>
    </w:p>
    <w:p w14:paraId="447ED83B">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指本年度从本级财政单位取得的财政拨款，包括一般公共预算财政拨款和政府性基金预算财政拨款。</w:t>
      </w:r>
    </w:p>
    <w:p w14:paraId="787BF0E8">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1084E06">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13B56D8">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573F711A">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C483CE4">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A8C26DE">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26C3E2D">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EFCC7EC">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F5176AD">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459B155">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99AE690">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64AFFB">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978D017">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36490E7">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B74EFA9">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54158E4C">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2"/>
          <w:rFonts w:hint="eastAsia" w:ascii="方正楷体_GBK" w:hAnsi="楷体" w:eastAsia="方正楷体_GBK" w:cs="楷体"/>
          <w:b w:val="0"/>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01D54C33">
      <w:pPr>
        <w:pStyle w:val="14"/>
        <w:keepNext w:val="0"/>
        <w:keepLines w:val="0"/>
        <w:pageBreakBefore w:val="0"/>
        <w:widowControl w:val="0"/>
        <w:wordWrap/>
        <w:overflowPunct/>
        <w:topLinePunct w:val="0"/>
        <w:bidi w:val="0"/>
        <w:spacing w:before="0" w:beforeAutospacing="0" w:after="0" w:afterAutospacing="0" w:line="600" w:lineRule="exact"/>
        <w:ind w:firstLine="640" w:firstLineChars="200"/>
        <w:rPr>
          <w:rFonts w:hint="eastAsia" w:ascii="方正黑体_GBK" w:hAnsi="方正黑体_GBK" w:eastAsia="方正黑体_GBK" w:cs="方正黑体_GBK"/>
          <w:b w:val="0"/>
          <w:bCs/>
          <w:sz w:val="32"/>
          <w:szCs w:val="32"/>
        </w:rPr>
      </w:pPr>
      <w:r>
        <w:rPr>
          <w:rStyle w:val="12"/>
          <w:rFonts w:hint="eastAsia" w:ascii="方正黑体_GBK" w:hAnsi="方正黑体_GBK" w:eastAsia="方正黑体_GBK" w:cs="方正黑体_GBK"/>
          <w:b w:val="0"/>
          <w:bCs/>
          <w:sz w:val="32"/>
          <w:szCs w:val="32"/>
          <w:shd w:val="clear" w:color="auto" w:fill="FFFFFF"/>
        </w:rPr>
        <w:t>七、决算公开联系方式及信息反馈渠道</w:t>
      </w:r>
    </w:p>
    <w:p w14:paraId="1A632630">
      <w:pPr>
        <w:pStyle w:val="9"/>
        <w:keepNext w:val="0"/>
        <w:keepLines w:val="0"/>
        <w:pageBreakBefore w:val="0"/>
        <w:widowControl w:val="0"/>
        <w:wordWrap/>
        <w:overflowPunct/>
        <w:topLinePunct w:val="0"/>
        <w:bidi w:val="0"/>
        <w:spacing w:line="600" w:lineRule="exact"/>
        <w:rPr>
          <w:shd w:val="clear" w:color="auto" w:fill="FFFFFF"/>
        </w:rPr>
      </w:pPr>
      <w:r>
        <w:rPr>
          <w:shd w:val="clear" w:color="auto" w:fill="FFFFFF"/>
        </w:rPr>
        <w:t>本单位决算公开信息反馈和联系方式：023-86518018</w:t>
      </w:r>
    </w:p>
    <w:p w14:paraId="36D02297">
      <w:pPr>
        <w:pStyle w:val="9"/>
        <w:keepNext w:val="0"/>
        <w:keepLines w:val="0"/>
        <w:pageBreakBefore w:val="0"/>
        <w:widowControl w:val="0"/>
        <w:wordWrap/>
        <w:overflowPunct/>
        <w:topLinePunct w:val="0"/>
        <w:bidi w:val="0"/>
        <w:spacing w:line="600" w:lineRule="exact"/>
        <w:rPr>
          <w:shd w:val="clear" w:color="auto" w:fill="FFFFFF"/>
        </w:rPr>
      </w:pPr>
    </w:p>
    <w:p w14:paraId="718F6AC6">
      <w:pPr>
        <w:keepNext w:val="0"/>
        <w:keepLines w:val="0"/>
        <w:pageBreakBefore w:val="0"/>
        <w:widowControl w:val="0"/>
        <w:wordWrap/>
        <w:overflowPunct/>
        <w:topLinePunct w:val="0"/>
        <w:bidi w:val="0"/>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附件：1.收入支出决算总表</w:t>
      </w:r>
    </w:p>
    <w:p w14:paraId="1C6B8B6D">
      <w:pPr>
        <w:keepNext w:val="0"/>
        <w:keepLines w:val="0"/>
        <w:pageBreakBefore w:val="0"/>
        <w:widowControl w:val="0"/>
        <w:wordWrap/>
        <w:overflowPunct/>
        <w:topLinePunct w:val="0"/>
        <w:bidi w:val="0"/>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2.收入决算表</w:t>
      </w:r>
    </w:p>
    <w:p w14:paraId="0CAE4FF3">
      <w:pPr>
        <w:keepNext w:val="0"/>
        <w:keepLines w:val="0"/>
        <w:pageBreakBefore w:val="0"/>
        <w:widowControl w:val="0"/>
        <w:wordWrap/>
        <w:overflowPunct/>
        <w:topLinePunct w:val="0"/>
        <w:bidi w:val="0"/>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3.支出决算表</w:t>
      </w:r>
    </w:p>
    <w:p w14:paraId="634BFC2A">
      <w:pPr>
        <w:keepNext w:val="0"/>
        <w:keepLines w:val="0"/>
        <w:pageBreakBefore w:val="0"/>
        <w:widowControl w:val="0"/>
        <w:wordWrap/>
        <w:overflowPunct/>
        <w:topLinePunct w:val="0"/>
        <w:bidi w:val="0"/>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4.财政拨款收入支出决算总表</w:t>
      </w:r>
    </w:p>
    <w:p w14:paraId="3CA7897F">
      <w:pPr>
        <w:keepNext w:val="0"/>
        <w:keepLines w:val="0"/>
        <w:pageBreakBefore w:val="0"/>
        <w:widowControl w:val="0"/>
        <w:wordWrap/>
        <w:overflowPunct/>
        <w:topLinePunct w:val="0"/>
        <w:bidi w:val="0"/>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5.一般公共预算财政拨款支出决算表</w:t>
      </w:r>
    </w:p>
    <w:p w14:paraId="5F851CC3">
      <w:pPr>
        <w:keepNext w:val="0"/>
        <w:keepLines w:val="0"/>
        <w:pageBreakBefore w:val="0"/>
        <w:widowControl w:val="0"/>
        <w:wordWrap/>
        <w:overflowPunct/>
        <w:topLinePunct w:val="0"/>
        <w:bidi w:val="0"/>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6.一般公共预算财政拨款基本支出决算表</w:t>
      </w:r>
    </w:p>
    <w:p w14:paraId="2AF71488">
      <w:pPr>
        <w:keepNext w:val="0"/>
        <w:keepLines w:val="0"/>
        <w:pageBreakBefore w:val="0"/>
        <w:widowControl w:val="0"/>
        <w:wordWrap/>
        <w:overflowPunct/>
        <w:topLinePunct w:val="0"/>
        <w:bidi w:val="0"/>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7.政府性基金预算财政拨款收入支出决算表</w:t>
      </w:r>
    </w:p>
    <w:p w14:paraId="1AFC33E6">
      <w:pPr>
        <w:keepNext w:val="0"/>
        <w:keepLines w:val="0"/>
        <w:pageBreakBefore w:val="0"/>
        <w:widowControl w:val="0"/>
        <w:wordWrap/>
        <w:overflowPunct/>
        <w:topLinePunct w:val="0"/>
        <w:bidi w:val="0"/>
        <w:adjustRightInd w:val="0"/>
        <w:snapToGrid w:val="0"/>
        <w:spacing w:line="600" w:lineRule="exact"/>
        <w:ind w:firstLine="1600" w:firstLineChars="5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8.国有资本经营预算财政拨款支出决算表</w:t>
      </w:r>
    </w:p>
    <w:p w14:paraId="7A40B0D3">
      <w:pPr>
        <w:pStyle w:val="13"/>
        <w:keepNext w:val="0"/>
        <w:keepLines w:val="0"/>
        <w:pageBreakBefore w:val="0"/>
        <w:widowControl w:val="0"/>
        <w:wordWrap/>
        <w:overflowPunct/>
        <w:topLinePunct w:val="0"/>
        <w:autoSpaceDE w:val="0"/>
        <w:bidi w:val="0"/>
        <w:spacing w:line="600" w:lineRule="exact"/>
        <w:ind w:firstLine="1600" w:firstLineChars="5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9.机构运行信息表</w:t>
      </w:r>
      <w:bookmarkEnd w:id="0"/>
    </w:p>
    <w:p w14:paraId="7BB91B48">
      <w:pPr>
        <w:pStyle w:val="13"/>
        <w:keepNext w:val="0"/>
        <w:keepLines w:val="0"/>
        <w:pageBreakBefore w:val="0"/>
        <w:widowControl w:val="0"/>
        <w:wordWrap/>
        <w:overflowPunct/>
        <w:topLinePunct w:val="0"/>
        <w:autoSpaceDE w:val="0"/>
        <w:bidi w:val="0"/>
        <w:spacing w:line="600" w:lineRule="exact"/>
        <w:ind w:firstLine="1600" w:firstLineChars="500"/>
        <w:jc w:val="both"/>
        <w:rPr>
          <w:rFonts w:ascii="方正仿宋_GBK" w:hAnsi="方正仿宋_GBK" w:eastAsia="方正仿宋_GBK" w:cs="方正仿宋_GBK"/>
          <w:sz w:val="32"/>
          <w:szCs w:val="32"/>
          <w:shd w:val="clear" w:color="auto" w:fill="FFFFFF"/>
        </w:rPr>
      </w:pPr>
    </w:p>
    <w:p w14:paraId="052D2801">
      <w:pPr>
        <w:pStyle w:val="13"/>
        <w:keepNext w:val="0"/>
        <w:keepLines w:val="0"/>
        <w:pageBreakBefore w:val="0"/>
        <w:widowControl w:val="0"/>
        <w:wordWrap/>
        <w:overflowPunct/>
        <w:topLinePunct w:val="0"/>
        <w:autoSpaceDE w:val="0"/>
        <w:bidi w:val="0"/>
        <w:spacing w:line="600" w:lineRule="exact"/>
        <w:ind w:firstLine="643"/>
        <w:jc w:val="both"/>
        <w:rPr>
          <w:rStyle w:val="12"/>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26" w:charSpace="0"/>
        </w:sectPr>
      </w:pPr>
    </w:p>
    <w:p w14:paraId="028DB6B2">
      <w:pPr>
        <w:rPr>
          <w:rFonts w:hint="default" w:cs="宋体"/>
          <w:sz w:val="21"/>
          <w:szCs w:val="21"/>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BEB298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BF62D0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180A65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CE3A15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0CDE64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7780CE0">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363F90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54C2DF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49B1A80">
            <w:pPr>
              <w:spacing w:line="280" w:lineRule="exact"/>
              <w:rPr>
                <w:rFonts w:hint="default" w:ascii="Arial" w:hAnsi="Arial" w:cs="Arial"/>
                <w:color w:val="000000"/>
                <w:sz w:val="22"/>
                <w:szCs w:val="22"/>
              </w:rPr>
            </w:pPr>
            <w:r>
              <w:rPr>
                <w:rFonts w:cs="宋体"/>
                <w:sz w:val="20"/>
                <w:szCs w:val="20"/>
              </w:rPr>
              <w:t>单位：</w:t>
            </w:r>
            <w:r>
              <w:rPr>
                <w:sz w:val="20"/>
              </w:rPr>
              <w:t>重庆市九龙坡区华梁幼儿园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591D5E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77B09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AB1765">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CA9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7E1A9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84B06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BE8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51CE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D4B5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84B3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E5F0C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097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053F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CC3B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BC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C163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DD5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059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361D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04F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D719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A1A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EC0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77BB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DE6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FC44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3A9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E49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166B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469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14E2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9AA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C11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61B2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6D8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243.20</w:t>
            </w:r>
            <w:r>
              <w:rPr>
                <w:rFonts w:ascii="Times New Roman" w:hAnsi="Times New Roman"/>
                <w:color w:val="000000"/>
                <w:sz w:val="20"/>
              </w:rPr>
              <w:t xml:space="preserve"> </w:t>
            </w:r>
          </w:p>
        </w:tc>
      </w:tr>
      <w:tr w14:paraId="232F22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44B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ED4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8DF6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44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BA2D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3DF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B6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471A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451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F2BF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183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06811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1708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2F4F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r>
      <w:tr w14:paraId="6570B1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F0F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81EE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1EDC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462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r>
      <w:tr w14:paraId="4126E2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3F7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E27C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1F5D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E63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EDE0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DB2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2C8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56D8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C7A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08FF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4E7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2B4B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B641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3FE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2F94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981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C1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694F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315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F54C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FF7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5A7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498F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EB8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383A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CC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C03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0EDF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2C2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C5FD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72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3E6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A724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8D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BD35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96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BC6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25B7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2DF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D07EF1">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FEA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3F3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9EE6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9A9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EC65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18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35CA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0CC8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7E8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r>
      <w:tr w14:paraId="084B69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675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61F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C31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E9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4DC1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11B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B8E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35AE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2D0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E1A5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7DC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A69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51A4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0C1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B2D5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3DA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CF5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0968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604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C2A8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C68A">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5B5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F380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23B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8DA1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C024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BFD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315A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F58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89B6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CF5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B51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ED5D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3E5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D8A6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F2F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CD6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247.16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C1CE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66A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247.16</w:t>
            </w:r>
            <w:r>
              <w:rPr>
                <w:rFonts w:ascii="Times New Roman" w:hAnsi="Times New Roman"/>
                <w:color w:val="000000"/>
                <w:sz w:val="20"/>
              </w:rPr>
              <w:t xml:space="preserve"> </w:t>
            </w:r>
          </w:p>
        </w:tc>
      </w:tr>
      <w:tr w14:paraId="27E0C1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640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6C4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D54C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AE5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B31D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635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5DB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C519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FD13E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5EDF5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AB0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E9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247.16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6275FA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40A3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247.16</w:t>
            </w:r>
            <w:r>
              <w:rPr>
                <w:rFonts w:ascii="Times New Roman" w:hAnsi="Times New Roman"/>
                <w:color w:val="000000"/>
                <w:sz w:val="20"/>
              </w:rPr>
              <w:t xml:space="preserve"> </w:t>
            </w:r>
          </w:p>
        </w:tc>
      </w:tr>
    </w:tbl>
    <w:p w14:paraId="6A0F1B8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CF4F505">
      <w:pPr>
        <w:rPr>
          <w:rFonts w:hint="default" w:cs="宋体"/>
          <w:sz w:val="21"/>
          <w:szCs w:val="21"/>
        </w:rPr>
      </w:pP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37B583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2E7CE81">
            <w:pPr>
              <w:jc w:val="center"/>
              <w:textAlignment w:val="bottom"/>
              <w:rPr>
                <w:rFonts w:hint="default" w:cs="宋体"/>
                <w:b/>
                <w:color w:val="000000"/>
                <w:sz w:val="32"/>
                <w:szCs w:val="32"/>
              </w:rPr>
            </w:pPr>
            <w:r>
              <w:rPr>
                <w:rFonts w:cs="宋体"/>
                <w:b/>
                <w:color w:val="000000"/>
                <w:sz w:val="32"/>
                <w:szCs w:val="32"/>
              </w:rPr>
              <w:t>收入决算表</w:t>
            </w:r>
          </w:p>
        </w:tc>
      </w:tr>
      <w:tr w14:paraId="4902C10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FB2A878">
            <w:pPr>
              <w:spacing w:line="280" w:lineRule="exact"/>
              <w:rPr>
                <w:rFonts w:hint="default" w:cs="宋体"/>
                <w:color w:val="000000"/>
                <w:sz w:val="20"/>
                <w:szCs w:val="20"/>
              </w:rPr>
            </w:pPr>
            <w:r>
              <w:rPr>
                <w:rFonts w:cs="宋体"/>
                <w:sz w:val="20"/>
                <w:szCs w:val="20"/>
              </w:rPr>
              <w:t>单位：</w:t>
            </w:r>
            <w:r>
              <w:rPr>
                <w:sz w:val="20"/>
              </w:rPr>
              <w:t>重庆市九龙坡区华梁幼儿园</w:t>
            </w:r>
          </w:p>
        </w:tc>
        <w:tc>
          <w:tcPr>
            <w:tcW w:w="467" w:type="pct"/>
            <w:tcBorders>
              <w:top w:val="nil"/>
              <w:left w:val="nil"/>
              <w:bottom w:val="nil"/>
              <w:right w:val="nil"/>
            </w:tcBorders>
            <w:shd w:val="clear" w:color="auto" w:fill="auto"/>
            <w:noWrap/>
            <w:tcMar>
              <w:top w:w="15" w:type="dxa"/>
              <w:left w:w="15" w:type="dxa"/>
              <w:right w:w="15" w:type="dxa"/>
            </w:tcMar>
            <w:vAlign w:val="bottom"/>
          </w:tcPr>
          <w:p w14:paraId="58A2C56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51588C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F2939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E57809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0FC271C">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2D0B0B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34F7A2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E0D3A5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D288DD4">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7ACF8A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23C61D9">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8453F5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CF9CD6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058D0B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C58913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79DE36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19EDB6">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877FEC4">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C1C1">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88E8C">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ED7C5">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E7046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8BC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0906">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B87A">
            <w:pPr>
              <w:jc w:val="center"/>
              <w:textAlignment w:val="center"/>
              <w:rPr>
                <w:rFonts w:hint="default" w:cs="宋体"/>
                <w:b/>
                <w:color w:val="000000"/>
                <w:sz w:val="20"/>
                <w:szCs w:val="20"/>
              </w:rPr>
            </w:pPr>
            <w:r>
              <w:rPr>
                <w:rFonts w:cs="宋体"/>
                <w:b/>
                <w:color w:val="000000"/>
                <w:sz w:val="20"/>
                <w:szCs w:val="20"/>
              </w:rPr>
              <w:t>其他收入</w:t>
            </w:r>
          </w:p>
        </w:tc>
      </w:tr>
      <w:tr w14:paraId="22144F2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6F5C">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15495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DAF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714B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1F19">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64C3E">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1CFA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0074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088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7BF52">
            <w:pPr>
              <w:jc w:val="center"/>
              <w:rPr>
                <w:rFonts w:hint="default" w:cs="宋体"/>
                <w:b/>
                <w:color w:val="000000"/>
                <w:sz w:val="20"/>
                <w:szCs w:val="20"/>
              </w:rPr>
            </w:pPr>
          </w:p>
        </w:tc>
      </w:tr>
      <w:tr w14:paraId="2A286577">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5D2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4D49B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5C0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45A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58C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5189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0BF9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8991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DEB6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E8605">
            <w:pPr>
              <w:jc w:val="center"/>
              <w:rPr>
                <w:rFonts w:hint="default" w:cs="宋体"/>
                <w:b/>
                <w:color w:val="000000"/>
                <w:sz w:val="20"/>
                <w:szCs w:val="20"/>
              </w:rPr>
            </w:pPr>
          </w:p>
        </w:tc>
      </w:tr>
      <w:tr w14:paraId="215CDCA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7FE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6FD32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CF6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BE2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09B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EDE8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8ED7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582D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1C30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6F1B4">
            <w:pPr>
              <w:jc w:val="center"/>
              <w:rPr>
                <w:rFonts w:hint="default" w:cs="宋体"/>
                <w:b/>
                <w:color w:val="000000"/>
                <w:sz w:val="20"/>
                <w:szCs w:val="20"/>
              </w:rPr>
            </w:pPr>
          </w:p>
        </w:tc>
      </w:tr>
      <w:tr w14:paraId="6EAD65F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1F4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BAD84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91C4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CE79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F25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AC44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658A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7E78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631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2994">
            <w:pPr>
              <w:jc w:val="center"/>
              <w:rPr>
                <w:rFonts w:hint="default" w:cs="宋体"/>
                <w:b/>
                <w:color w:val="000000"/>
                <w:sz w:val="20"/>
                <w:szCs w:val="20"/>
              </w:rPr>
            </w:pPr>
          </w:p>
        </w:tc>
      </w:tr>
      <w:tr w14:paraId="54C7952C">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4625">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FDE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247.16</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1BA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145.84</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DEC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10A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101.32</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72E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101.32</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B88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74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6BA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F6DDD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344D">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88107">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1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1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0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F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101.32</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C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101.32</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E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2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4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90A6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04CE">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EBA23">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1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6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E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D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101.32</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0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101.32</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F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1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B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1AA7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17DE">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F0FE8">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7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2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141.88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1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E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101.32</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D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101.32</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3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F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5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7B0F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E273">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4E0B5">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F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3D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6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5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D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6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0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8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D275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8FD4">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AFD1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6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0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1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EB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D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56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B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7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FD20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25BA">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04391">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D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7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0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1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5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E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0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4D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6679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F805">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85134">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C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F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F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1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D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B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4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6BC0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E12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4EBED">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C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5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8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0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2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4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D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E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D835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C906">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33E6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E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5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A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F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A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F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1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F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B610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B809">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234C">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C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B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8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B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C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1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2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8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62F2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87A6">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F0515">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E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D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6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B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0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0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F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3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3462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8225">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5EFF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1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5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1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4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0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8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D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90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1319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B0B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B2957">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5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A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9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7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0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2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8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6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552C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772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A1AE3">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B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9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3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3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B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7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6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1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790113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58A55EAC">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FA73CD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9086812">
            <w:pPr>
              <w:jc w:val="center"/>
              <w:textAlignment w:val="bottom"/>
              <w:rPr>
                <w:rFonts w:hint="default" w:cs="宋体"/>
                <w:b/>
                <w:color w:val="000000"/>
                <w:sz w:val="32"/>
                <w:szCs w:val="32"/>
              </w:rPr>
            </w:pPr>
            <w:r>
              <w:rPr>
                <w:rFonts w:cs="宋体"/>
                <w:b/>
                <w:color w:val="000000"/>
                <w:sz w:val="32"/>
                <w:szCs w:val="32"/>
              </w:rPr>
              <w:t>支出决算表</w:t>
            </w:r>
          </w:p>
        </w:tc>
      </w:tr>
      <w:tr w14:paraId="6B6292D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76FFD9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重庆市九龙坡区华梁幼儿园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2231ED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33091C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11DF94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90D0B2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5354F8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B9CBAF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0C236E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589A8A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CB1A81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1D3ED0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7518C9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86DC9D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6D410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C9A535">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36607">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F5642">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5FBA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94B6B">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F4AD9">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3F8B">
            <w:pPr>
              <w:jc w:val="center"/>
              <w:textAlignment w:val="center"/>
              <w:rPr>
                <w:rFonts w:hint="default" w:cs="宋体"/>
                <w:b/>
                <w:color w:val="000000"/>
                <w:sz w:val="20"/>
                <w:szCs w:val="20"/>
              </w:rPr>
            </w:pPr>
            <w:r>
              <w:rPr>
                <w:rFonts w:cs="宋体"/>
                <w:b/>
                <w:color w:val="000000"/>
                <w:sz w:val="20"/>
                <w:szCs w:val="20"/>
              </w:rPr>
              <w:t>对附属单位补助支出</w:t>
            </w:r>
          </w:p>
        </w:tc>
      </w:tr>
      <w:tr w14:paraId="04FB6A4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415E">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A01BA7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6E21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D75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E507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801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5FAA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76A06">
            <w:pPr>
              <w:jc w:val="center"/>
              <w:rPr>
                <w:rFonts w:hint="default" w:cs="宋体"/>
                <w:b/>
                <w:color w:val="000000"/>
                <w:sz w:val="20"/>
                <w:szCs w:val="20"/>
              </w:rPr>
            </w:pPr>
          </w:p>
        </w:tc>
      </w:tr>
      <w:tr w14:paraId="77D698A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618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0A106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BD6F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A350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437D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95B4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3B2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CB9DA">
            <w:pPr>
              <w:jc w:val="center"/>
              <w:rPr>
                <w:rFonts w:hint="default" w:cs="宋体"/>
                <w:b/>
                <w:color w:val="000000"/>
                <w:sz w:val="20"/>
                <w:szCs w:val="20"/>
              </w:rPr>
            </w:pPr>
          </w:p>
        </w:tc>
      </w:tr>
      <w:tr w14:paraId="571DB20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4E3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36AF0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865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0771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5D3D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55A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4C3F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949D">
            <w:pPr>
              <w:jc w:val="center"/>
              <w:rPr>
                <w:rFonts w:hint="default" w:cs="宋体"/>
                <w:b/>
                <w:color w:val="000000"/>
                <w:sz w:val="20"/>
                <w:szCs w:val="20"/>
              </w:rPr>
            </w:pPr>
          </w:p>
        </w:tc>
      </w:tr>
      <w:tr w14:paraId="5CB57E5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5DE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A8B9C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E2AC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0F9E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C26E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4A98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76D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DEBC7">
            <w:pPr>
              <w:jc w:val="center"/>
              <w:rPr>
                <w:rFonts w:hint="default" w:cs="宋体"/>
                <w:b/>
                <w:color w:val="000000"/>
                <w:sz w:val="20"/>
                <w:szCs w:val="20"/>
              </w:rPr>
            </w:pPr>
          </w:p>
        </w:tc>
      </w:tr>
      <w:tr w14:paraId="1ED2BC6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05AD">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C01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247.16</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00B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44.48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3C2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202.68</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794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31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C82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545F3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6574">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7831D">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F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6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C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E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B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2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4C5C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65A8">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78828">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B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B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1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F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A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B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4CBF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0CD6">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017CB">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9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4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4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202.68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D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9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0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4442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D324">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C96EA">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1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1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6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F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1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A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B89E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AB5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F6F8F">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3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6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E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D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A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C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7471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8BB7">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FB464">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D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F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8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C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A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F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D1B1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6A0C">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FAF0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C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E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B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2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3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F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9B5A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18E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2A84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B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C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1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B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4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7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57FC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70A6">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13CF">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D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9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0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0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A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B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9114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9152">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93759">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1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5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0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1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D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4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EDB1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4E5B">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B51D1">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1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7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5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0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A6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A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7CD3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96C8">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1C728">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1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E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C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7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7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F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30AD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7AE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9D1D7">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7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B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1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6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0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A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0653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D13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2EE50">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7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4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0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8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5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1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22E4C78">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781823C2">
      <w:pPr>
        <w:rPr>
          <w:rFonts w:hint="default" w:cs="宋体"/>
          <w:sz w:val="21"/>
          <w:szCs w:val="21"/>
        </w:rPr>
      </w:pPr>
      <w:r>
        <w:rPr>
          <w:rFonts w:cs="宋体"/>
          <w:sz w:val="21"/>
          <w:szCs w:val="21"/>
        </w:rPr>
        <w:br w:type="page"/>
      </w:r>
    </w:p>
    <w:p w14:paraId="03B41E43">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F299B4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C64AB1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C3139E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5B8D47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重庆市九龙坡区华梁幼儿园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757BED3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F2700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53EEDC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3797781">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E8C6EE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9FD45C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4AF55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511C5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AA063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F108F4A">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F5F51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5AD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62D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C36D15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DF78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DFC1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796A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AAF5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3BD288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4CF29">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D351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B78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7B7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BF74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8CDB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B78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71702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F5C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6CE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79C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4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B2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6A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5A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2E59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5B5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ED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46B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AB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E2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C9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84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2776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09A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22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9F8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2D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B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5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5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3D34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BD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08AA4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654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5C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14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5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3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9BAA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87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BFF9C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E0E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76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F5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57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83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8150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C8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4A10F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44E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31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79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AB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7D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6EDA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7A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B6001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42E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9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8B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62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1F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47DD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E8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78DF9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F9E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5C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86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7E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F1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53C8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B3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7B85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1E5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32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0F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3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D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6F7F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168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09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FEF8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FB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2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73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F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B55D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62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504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D80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0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6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AD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96FB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C2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C6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24D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C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E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77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CB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2303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7F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171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31F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0A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2D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EC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5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F8A6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59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24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D24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F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D6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8D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5C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DBAD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0D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D9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B30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9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4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B8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07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629C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E5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5C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50D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51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79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25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A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A867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55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A5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6B0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A1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9B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5F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1F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1E6E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2B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73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A330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4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2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89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C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F909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376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2A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D11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5D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BF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99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3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BF53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77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28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C76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5B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D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5B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5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CF94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1A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A6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03E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CC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5B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97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AA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3ADC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3A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83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720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4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0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B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E6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7B24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73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E2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C6B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AE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0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F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1F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45D8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53BA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8D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896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D6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6D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7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5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D01D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82DD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60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E3D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D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A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2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2A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48EA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51A8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F7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FB7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1F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E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06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F5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58ED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084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5D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06F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39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FE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DA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F1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E185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44B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6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57B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E2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AF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BF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F6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AD7C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4F2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9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25418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1F7F3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2C7D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DE787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E78583">
            <w:pPr>
              <w:spacing w:line="200" w:lineRule="exact"/>
              <w:rPr>
                <w:rFonts w:hint="default" w:ascii="Times New Roman" w:hAnsi="Times New Roman"/>
                <w:color w:val="000000"/>
                <w:sz w:val="18"/>
                <w:szCs w:val="18"/>
              </w:rPr>
            </w:pPr>
          </w:p>
        </w:tc>
      </w:tr>
      <w:tr w14:paraId="68FFF5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B7B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F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75C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DCE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4F7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BAA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78B4">
            <w:pPr>
              <w:spacing w:line="200" w:lineRule="exact"/>
              <w:jc w:val="right"/>
              <w:rPr>
                <w:rFonts w:hint="default" w:ascii="Times New Roman" w:hAnsi="Times New Roman"/>
                <w:color w:val="000000"/>
                <w:sz w:val="18"/>
                <w:szCs w:val="18"/>
              </w:rPr>
            </w:pPr>
          </w:p>
        </w:tc>
      </w:tr>
      <w:tr w14:paraId="5BF86B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343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73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19D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0C3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3B6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905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0507">
            <w:pPr>
              <w:spacing w:line="200" w:lineRule="exact"/>
              <w:jc w:val="right"/>
              <w:rPr>
                <w:rFonts w:hint="default" w:ascii="Times New Roman" w:hAnsi="Times New Roman"/>
                <w:color w:val="000000"/>
                <w:sz w:val="18"/>
                <w:szCs w:val="18"/>
              </w:rPr>
            </w:pPr>
          </w:p>
        </w:tc>
      </w:tr>
      <w:tr w14:paraId="673995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39C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7F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F31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80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A6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B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CB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392CD0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693F12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7594F0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5BB5C1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676321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重庆市九龙坡区华梁幼儿园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5CACCB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4FC29E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9F09FB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B641EF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26ADA2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47642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313F0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C02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F07AC9">
            <w:pPr>
              <w:jc w:val="center"/>
              <w:textAlignment w:val="center"/>
              <w:rPr>
                <w:rFonts w:hint="default" w:cs="宋体"/>
                <w:b/>
                <w:color w:val="000000"/>
                <w:sz w:val="20"/>
                <w:szCs w:val="20"/>
              </w:rPr>
            </w:pPr>
            <w:r>
              <w:rPr>
                <w:rFonts w:cs="宋体"/>
                <w:b/>
                <w:color w:val="000000"/>
                <w:sz w:val="20"/>
                <w:szCs w:val="20"/>
              </w:rPr>
              <w:t>本年支出</w:t>
            </w:r>
          </w:p>
        </w:tc>
      </w:tr>
      <w:tr w14:paraId="276952C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0A51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F1A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777F5">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B0B4B">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22984">
            <w:pPr>
              <w:jc w:val="center"/>
              <w:textAlignment w:val="center"/>
              <w:rPr>
                <w:rFonts w:hint="default" w:cs="宋体"/>
                <w:b/>
                <w:color w:val="000000"/>
                <w:sz w:val="20"/>
                <w:szCs w:val="20"/>
              </w:rPr>
            </w:pPr>
            <w:r>
              <w:rPr>
                <w:rFonts w:cs="宋体"/>
                <w:b/>
                <w:color w:val="000000"/>
                <w:sz w:val="20"/>
                <w:szCs w:val="20"/>
              </w:rPr>
              <w:t>项目支出</w:t>
            </w:r>
          </w:p>
        </w:tc>
      </w:tr>
      <w:tr w14:paraId="7A53990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696A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04CD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5590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186D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012EC">
            <w:pPr>
              <w:jc w:val="center"/>
              <w:rPr>
                <w:rFonts w:hint="default" w:cs="宋体"/>
                <w:b/>
                <w:color w:val="000000"/>
                <w:sz w:val="20"/>
                <w:szCs w:val="20"/>
              </w:rPr>
            </w:pPr>
          </w:p>
        </w:tc>
      </w:tr>
      <w:tr w14:paraId="66CE2E4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8455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E5F5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09F2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DC83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F2546">
            <w:pPr>
              <w:jc w:val="center"/>
              <w:rPr>
                <w:rFonts w:hint="default" w:cs="宋体"/>
                <w:b/>
                <w:color w:val="000000"/>
                <w:sz w:val="20"/>
                <w:szCs w:val="20"/>
              </w:rPr>
            </w:pPr>
          </w:p>
        </w:tc>
      </w:tr>
      <w:tr w14:paraId="2BFCA58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B8869">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526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DE3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4C3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101.36</w:t>
            </w:r>
            <w:r>
              <w:rPr>
                <w:rFonts w:ascii="Times New Roman" w:hAnsi="Times New Roman"/>
                <w:b/>
                <w:color w:val="000000"/>
                <w:sz w:val="20"/>
              </w:rPr>
              <w:t xml:space="preserve"> </w:t>
            </w:r>
          </w:p>
        </w:tc>
      </w:tr>
      <w:tr w14:paraId="26B91F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3E38">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B2702">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05D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C05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CF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101.36</w:t>
            </w:r>
            <w:r>
              <w:rPr>
                <w:rFonts w:ascii="Times New Roman" w:hAnsi="Times New Roman"/>
                <w:b/>
                <w:color w:val="000000"/>
                <w:sz w:val="20"/>
              </w:rPr>
              <w:t xml:space="preserve"> </w:t>
            </w:r>
          </w:p>
        </w:tc>
      </w:tr>
      <w:tr w14:paraId="3CEB13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5FD4">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387CF">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22B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000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A12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101.36</w:t>
            </w:r>
            <w:r>
              <w:rPr>
                <w:rFonts w:ascii="Times New Roman" w:hAnsi="Times New Roman"/>
                <w:b/>
                <w:color w:val="000000"/>
                <w:sz w:val="20"/>
              </w:rPr>
              <w:t xml:space="preserve"> </w:t>
            </w:r>
          </w:p>
        </w:tc>
      </w:tr>
      <w:tr w14:paraId="2898E4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416F">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4C21B">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B4D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141.88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64C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848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101.36</w:t>
            </w:r>
            <w:r>
              <w:rPr>
                <w:rFonts w:ascii="Times New Roman" w:hAnsi="Times New Roman"/>
                <w:color w:val="000000"/>
                <w:sz w:val="20"/>
              </w:rPr>
              <w:t xml:space="preserve"> </w:t>
            </w:r>
          </w:p>
        </w:tc>
      </w:tr>
      <w:tr w14:paraId="20FEA8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D3F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B80E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11D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C11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E87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D6CB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DF8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B0F2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6AA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F10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0C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551F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FC1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A7C8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140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53E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40F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F66A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437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56AD">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EDF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CD8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D13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6F80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56E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C7D3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87B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3D9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360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00DB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E434">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1958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8F3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345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C42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BF87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E3E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7BC5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F51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E55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13B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54D7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B9FF">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5667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834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370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A17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6859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E797">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A5A6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93A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013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95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D6A0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410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2BD0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231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3B1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E4A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115B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787E">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FD4C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799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54E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CAC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A17EF6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C936F4">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A087F4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718D49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BF1B43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A615006">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重庆市九龙坡区华梁幼儿园</w:t>
            </w:r>
          </w:p>
        </w:tc>
        <w:tc>
          <w:tcPr>
            <w:tcW w:w="463" w:type="pct"/>
            <w:tcBorders>
              <w:top w:val="nil"/>
              <w:left w:val="nil"/>
              <w:bottom w:val="nil"/>
              <w:right w:val="nil"/>
            </w:tcBorders>
            <w:shd w:val="clear" w:color="auto" w:fill="auto"/>
            <w:noWrap/>
            <w:tcMar>
              <w:top w:w="15" w:type="dxa"/>
              <w:left w:w="15" w:type="dxa"/>
              <w:right w:w="15" w:type="dxa"/>
            </w:tcMar>
            <w:vAlign w:val="bottom"/>
          </w:tcPr>
          <w:p w14:paraId="3CC25DD2">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B87B2C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929D6B2">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54FCEC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268AFE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1F74B82">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138B57C">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B88BEB7">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07D1552">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D87586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78FE3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F7F8">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07AD5E">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83196A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039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5AA5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9811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453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1014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E05A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7F87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239AB">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CF103">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5B9149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DC2C">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5478C">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CEA16">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29BC7">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8FBCA">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668A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79C5">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9813E">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64763">
            <w:pPr>
              <w:spacing w:line="192" w:lineRule="exact"/>
              <w:jc w:val="center"/>
              <w:rPr>
                <w:rFonts w:hint="default" w:cs="宋体"/>
                <w:b/>
                <w:color w:val="000000"/>
                <w:sz w:val="18"/>
                <w:szCs w:val="18"/>
              </w:rPr>
            </w:pPr>
          </w:p>
        </w:tc>
      </w:tr>
      <w:tr w14:paraId="5403BA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7F5B8">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5BE5">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2B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A4A5">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D03F">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F1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1BAB">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44FC">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8F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w:t>
            </w:r>
            <w:r>
              <w:rPr>
                <w:rFonts w:ascii="Times New Roman" w:hAnsi="Times New Roman"/>
                <w:color w:val="000000"/>
                <w:sz w:val="18"/>
              </w:rPr>
              <w:t xml:space="preserve"> </w:t>
            </w:r>
          </w:p>
        </w:tc>
      </w:tr>
      <w:tr w14:paraId="737583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EE00">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32FC">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10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2437">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D1DF">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CB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362E">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F55B">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84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3638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12D1">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5FDA">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A4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B246">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8BE7">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96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8274">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D57F">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28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w:t>
            </w:r>
            <w:r>
              <w:rPr>
                <w:rFonts w:ascii="Times New Roman" w:hAnsi="Times New Roman"/>
                <w:color w:val="000000"/>
                <w:sz w:val="18"/>
              </w:rPr>
              <w:t xml:space="preserve"> </w:t>
            </w:r>
          </w:p>
        </w:tc>
      </w:tr>
      <w:tr w14:paraId="1CEAF3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8A54">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A7F2">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1B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EDB8">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078A">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5F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399A">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9F43">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EB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5EA5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A76E">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D93B">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07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1357">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E7F1">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99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951A">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D33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FE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3707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8EF1">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A3E6">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24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292E">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F25C">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08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354E">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00C6">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45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4D3F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8991">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1439">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13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4347">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C532">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59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AA43">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9A3A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86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CF98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014B">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4E8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E0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E2CF">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C793">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D0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39D8">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C96F">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0C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436B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E5E2">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3FFB">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BB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C7D0">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4DC5">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DD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0F60">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A8FA">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11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63BC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EBF0">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6761">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C0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CC78">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665C">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7B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592F">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F89D">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D6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DC88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96EC">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638A">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4E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E4D5">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0927">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37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6D41">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AFC0">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28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6416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11BA">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445B">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76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1F9D">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FBD6">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90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B3E0">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ADB5">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F6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9A0E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7C13">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1221">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6F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DD40">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6DAC">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B4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7397">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1B28">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19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38F1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5362">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5AF7">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41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E46D">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0A40">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A7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D1BE">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1B24">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24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91B9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84FF">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1856">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21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4055">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EBB4">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CA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2E94">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540A">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31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8696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183B">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8B52">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89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80D0">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1FB0">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6B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A2D5">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2E86">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D8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FF6C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16A7">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9001">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F3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DDD1">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6191">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31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25F2">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CB30">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DD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3B4F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7B5A">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48F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FB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57D0">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4FF9">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F2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BCD9">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9855">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BF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0068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BF32">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484C">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F8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C41E">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0678">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A5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53CC">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7056">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CE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F525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25A0">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74E7">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1D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4751">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8848">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2B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1ACB">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40CB">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B4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B9A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EFC7">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4C99">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1C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71E1">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57FC">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10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4FC9">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66C4">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42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FE1B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CCF3">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2944">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76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853F">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B524">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5C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A118">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3528">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80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D5B8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8F6C">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99F3">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22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3B39">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85CD">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EF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A343">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0067">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F9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5AA3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B3FE">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C1A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14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F96A">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4D65">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42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7AB7">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620B">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61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8C3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8A0C">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C774">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00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B1D3">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3D12">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D5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9A23">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1E05">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AC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A757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9695">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E909">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FB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8D09">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BF62">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4C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DA18">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FED2">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EB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C59A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DD4E">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7A9E">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A3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5AE1">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BC5D">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33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5D86">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3C3B">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17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B164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34A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AA8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F4D46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884F">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D096">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D4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5624">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FDB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72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7D1C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438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AE3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53B28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B952">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AE8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79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FF14">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B085">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C1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3EB1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1E6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6FB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D9BC1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8607">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841F">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1A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E2A2">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821E">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7D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63EB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468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63A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C918C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A4D9">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BED9">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30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0588">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E93A">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7D73">
            <w:pPr>
              <w:spacing w:line="192" w:lineRule="exact"/>
              <w:jc w:val="right"/>
              <w:rPr>
                <w:rFonts w:hint="default" w:ascii="Times New Roman" w:hAnsi="Times New Roman"/>
                <w:color w:val="000000"/>
                <w:sz w:val="18"/>
                <w:szCs w:val="18"/>
              </w:rPr>
            </w:pPr>
          </w:p>
        </w:tc>
      </w:tr>
      <w:tr w14:paraId="667969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549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51E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012C3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984B">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DBD8">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FB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5AE2">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4A2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946A">
            <w:pPr>
              <w:spacing w:line="192" w:lineRule="exact"/>
              <w:jc w:val="right"/>
              <w:rPr>
                <w:rFonts w:hint="default" w:ascii="Times New Roman" w:hAnsi="Times New Roman"/>
                <w:color w:val="000000"/>
                <w:sz w:val="18"/>
                <w:szCs w:val="18"/>
              </w:rPr>
            </w:pPr>
          </w:p>
        </w:tc>
      </w:tr>
      <w:tr w14:paraId="637A399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967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150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06E5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8428">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93CB">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FB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E2A9">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719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BB40">
            <w:pPr>
              <w:spacing w:line="192" w:lineRule="exact"/>
              <w:jc w:val="right"/>
              <w:rPr>
                <w:rFonts w:hint="default" w:ascii="Times New Roman" w:hAnsi="Times New Roman"/>
                <w:color w:val="000000"/>
                <w:sz w:val="18"/>
                <w:szCs w:val="18"/>
              </w:rPr>
            </w:pPr>
          </w:p>
        </w:tc>
      </w:tr>
      <w:tr w14:paraId="1FE8538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B0FD">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E481C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14.22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A5F68">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76B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30.26</w:t>
            </w:r>
            <w:r>
              <w:rPr>
                <w:rFonts w:ascii="Times New Roman" w:hAnsi="Times New Roman"/>
                <w:color w:val="000000"/>
                <w:sz w:val="18"/>
              </w:rPr>
              <w:t xml:space="preserve"> </w:t>
            </w:r>
          </w:p>
        </w:tc>
      </w:tr>
    </w:tbl>
    <w:p w14:paraId="5F1C1588">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F06A63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A9E8C6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A3500A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F49DA3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重庆市九龙坡区华梁幼儿园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4B652A0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AE4C1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4BCA1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FE1CEC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82BD24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C07845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5FCE00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63E8A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DBB99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DF691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E6BE05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FA6D9A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C6004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96DA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3BF75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519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F69EF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653E">
            <w:pPr>
              <w:jc w:val="center"/>
              <w:textAlignment w:val="center"/>
              <w:rPr>
                <w:rFonts w:hint="default" w:cs="宋体"/>
                <w:b/>
                <w:color w:val="000000"/>
                <w:sz w:val="20"/>
                <w:szCs w:val="20"/>
              </w:rPr>
            </w:pPr>
            <w:r>
              <w:rPr>
                <w:rFonts w:cs="宋体"/>
                <w:b/>
                <w:color w:val="000000"/>
                <w:sz w:val="20"/>
                <w:szCs w:val="20"/>
              </w:rPr>
              <w:t>年末结转和结余</w:t>
            </w:r>
          </w:p>
        </w:tc>
      </w:tr>
      <w:tr w14:paraId="4137B05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6FB0A">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B3AB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AFC63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369E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527D2">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506C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C150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50E5D">
            <w:pPr>
              <w:jc w:val="center"/>
              <w:rPr>
                <w:rFonts w:hint="default" w:cs="宋体"/>
                <w:b/>
                <w:color w:val="000000"/>
                <w:sz w:val="20"/>
                <w:szCs w:val="20"/>
              </w:rPr>
            </w:pPr>
          </w:p>
        </w:tc>
      </w:tr>
      <w:tr w14:paraId="5988A7E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986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46E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7A0BA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18C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0EDC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3F82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7C8B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84CD2">
            <w:pPr>
              <w:jc w:val="center"/>
              <w:rPr>
                <w:rFonts w:hint="default" w:cs="宋体"/>
                <w:b/>
                <w:color w:val="000000"/>
                <w:sz w:val="20"/>
                <w:szCs w:val="20"/>
              </w:rPr>
            </w:pPr>
          </w:p>
        </w:tc>
      </w:tr>
      <w:tr w14:paraId="5CAA5AA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992D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3260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8B88A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C574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FA63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2CB0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5388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1E09B">
            <w:pPr>
              <w:jc w:val="center"/>
              <w:rPr>
                <w:rFonts w:hint="default" w:cs="宋体"/>
                <w:b/>
                <w:color w:val="000000"/>
                <w:sz w:val="20"/>
                <w:szCs w:val="20"/>
              </w:rPr>
            </w:pPr>
          </w:p>
        </w:tc>
      </w:tr>
      <w:tr w14:paraId="74DD042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843C">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8C5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834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411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E16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A07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500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56E8C6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1005">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09BA7">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48D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63F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EF8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BA6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A4D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A84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499CC1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7E6C70A">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831B5C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8D195C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9142A0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43027F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重庆市九龙坡区华梁幼儿园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AA6F2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5DC958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DC490F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217933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708C16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C42188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221D3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BCEC2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3DBB7">
            <w:pPr>
              <w:jc w:val="center"/>
              <w:textAlignment w:val="bottom"/>
              <w:rPr>
                <w:rFonts w:hint="default" w:cs="宋体"/>
                <w:b/>
                <w:color w:val="000000"/>
                <w:sz w:val="20"/>
                <w:szCs w:val="20"/>
              </w:rPr>
            </w:pPr>
            <w:r>
              <w:rPr>
                <w:rFonts w:cs="宋体"/>
                <w:b/>
                <w:color w:val="000000"/>
                <w:sz w:val="20"/>
                <w:szCs w:val="20"/>
              </w:rPr>
              <w:t>本年支出</w:t>
            </w:r>
          </w:p>
        </w:tc>
      </w:tr>
      <w:tr w14:paraId="0A4DEE89">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5F1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B23B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BC8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5A37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D59D5">
            <w:pPr>
              <w:jc w:val="center"/>
              <w:textAlignment w:val="center"/>
              <w:rPr>
                <w:rFonts w:hint="default" w:cs="宋体"/>
                <w:b/>
                <w:color w:val="000000"/>
                <w:sz w:val="20"/>
                <w:szCs w:val="20"/>
              </w:rPr>
            </w:pPr>
            <w:r>
              <w:rPr>
                <w:rFonts w:cs="宋体"/>
                <w:b/>
                <w:color w:val="000000"/>
                <w:sz w:val="20"/>
                <w:szCs w:val="20"/>
              </w:rPr>
              <w:t>项目支出</w:t>
            </w:r>
          </w:p>
        </w:tc>
      </w:tr>
      <w:tr w14:paraId="00C280C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D78E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ED8C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92C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1D7E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B4BD2">
            <w:pPr>
              <w:jc w:val="center"/>
              <w:rPr>
                <w:rFonts w:hint="default" w:cs="宋体"/>
                <w:b/>
                <w:color w:val="000000"/>
                <w:sz w:val="20"/>
                <w:szCs w:val="20"/>
              </w:rPr>
            </w:pPr>
          </w:p>
        </w:tc>
      </w:tr>
      <w:tr w14:paraId="04FC1ED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770D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199F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7F9B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5A74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784BA">
            <w:pPr>
              <w:jc w:val="center"/>
              <w:rPr>
                <w:rFonts w:hint="default" w:cs="宋体"/>
                <w:b/>
                <w:color w:val="000000"/>
                <w:sz w:val="20"/>
                <w:szCs w:val="20"/>
              </w:rPr>
            </w:pPr>
          </w:p>
        </w:tc>
      </w:tr>
      <w:tr w14:paraId="4BA4E67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1B7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60E0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6475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6569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4E040">
            <w:pPr>
              <w:jc w:val="center"/>
              <w:rPr>
                <w:rFonts w:hint="default" w:cs="宋体"/>
                <w:b/>
                <w:color w:val="000000"/>
                <w:sz w:val="20"/>
                <w:szCs w:val="20"/>
              </w:rPr>
            </w:pPr>
          </w:p>
        </w:tc>
      </w:tr>
      <w:tr w14:paraId="34B5766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4910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9E8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C04B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53B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478010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B0B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25684">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CA5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0CBE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323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F67F15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1AB5612">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6470A1F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BF8506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B666EF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9E22F8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C0FE21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793B72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016326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EC938A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BF5BC4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52AA6B2">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重庆市九龙坡区华梁幼儿园</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0921FE8">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26F42E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D67330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363632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45EB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95AAC">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14DE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D721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C099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B54C31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CD876">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101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8BA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7CEE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062F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8598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963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D6EF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CCB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4DD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0CB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3FBB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CAC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6A6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1FF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D09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2B501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9B34F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03B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830AD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F9B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B27CB">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3D13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C05B8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44F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D4A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58B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3E5C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C636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C8C2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5CB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BD7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60F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B2C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E91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62CEC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E2B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5D57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B28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0AE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23C6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A405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415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1E2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35B3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406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147D6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F939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4C2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54AE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796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63C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0D9D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520E1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4BC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5B67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9A0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D87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C5C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9FAD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B2A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4AF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077DA">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A2F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AB8F9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847D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4B3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C041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06F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B81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5D0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0141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614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D31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D4E4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29C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A4A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F37B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177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4D9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815B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C4E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8022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1E0B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0D6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443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9322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28529">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D69A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FF7CE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D88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1E10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19D4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A69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C14E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rPr>
              <w:t xml:space="preserve"> </w:t>
            </w:r>
          </w:p>
        </w:tc>
      </w:tr>
      <w:tr w14:paraId="484458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5CB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995A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CC17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005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96BF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rPr>
              <w:t xml:space="preserve"> </w:t>
            </w:r>
          </w:p>
        </w:tc>
      </w:tr>
      <w:tr w14:paraId="2D2EDB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4B6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64E3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2B21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97C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411C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D9CA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419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F452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D15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61F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00E9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0BCD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801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A93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6E6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09C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4608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rPr>
              <w:t xml:space="preserve"> </w:t>
            </w:r>
          </w:p>
        </w:tc>
      </w:tr>
      <w:tr w14:paraId="44E73D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4E9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A97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25F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4F2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B59C9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rPr>
              <w:t xml:space="preserve"> </w:t>
            </w:r>
          </w:p>
        </w:tc>
      </w:tr>
      <w:tr w14:paraId="1594C98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CE7D0">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8D1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E95C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04C82">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C46B3">
            <w:pPr>
              <w:spacing w:line="280" w:lineRule="exact"/>
              <w:jc w:val="right"/>
              <w:rPr>
                <w:rFonts w:hint="default" w:cs="宋体"/>
                <w:color w:val="000000"/>
                <w:kern w:val="2"/>
                <w:sz w:val="16"/>
                <w:szCs w:val="16"/>
              </w:rPr>
            </w:pPr>
          </w:p>
        </w:tc>
      </w:tr>
      <w:tr w14:paraId="4E6F054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44AF66">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AC6F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D271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541B2">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A6B6A">
            <w:pPr>
              <w:spacing w:line="280" w:lineRule="exact"/>
              <w:jc w:val="right"/>
              <w:rPr>
                <w:rFonts w:hint="default" w:cs="宋体"/>
                <w:color w:val="000000"/>
                <w:kern w:val="2"/>
                <w:sz w:val="16"/>
                <w:szCs w:val="16"/>
              </w:rPr>
            </w:pPr>
          </w:p>
        </w:tc>
      </w:tr>
      <w:tr w14:paraId="6145174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06BB8">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47A7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41AC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5311B">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AA657">
            <w:pPr>
              <w:spacing w:line="280" w:lineRule="exact"/>
              <w:jc w:val="right"/>
              <w:rPr>
                <w:rFonts w:hint="default" w:cs="宋体"/>
                <w:color w:val="000000"/>
                <w:sz w:val="16"/>
                <w:szCs w:val="16"/>
              </w:rPr>
            </w:pPr>
          </w:p>
        </w:tc>
      </w:tr>
    </w:tbl>
    <w:p w14:paraId="35E6A223">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23D40ED1">
      <w:pPr>
        <w:pStyle w:val="13"/>
        <w:autoSpaceDE w:val="0"/>
        <w:spacing w:line="596" w:lineRule="exact"/>
        <w:ind w:firstLine="0" w:firstLineChars="0"/>
        <w:jc w:val="both"/>
        <w:rPr>
          <w:rFonts w:ascii="方正仿宋_GBK" w:hAnsi="方正仿宋_GBK" w:eastAsia="方正仿宋_GBK" w:cs="方正仿宋_GBK"/>
          <w:sz w:val="32"/>
          <w:szCs w:val="32"/>
          <w:shd w:val="clear" w:color="auto" w:fill="FFFFFF"/>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39EA1">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FF58A5">
                          <w:pPr>
                            <w:pStyle w:val="5"/>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5FF58A5">
                    <w:pPr>
                      <w:pStyle w:val="5"/>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1BF7">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FE39EE">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0FE39EE">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A092EA">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A092EA">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9ED79">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A71C0"/>
    <w:multiLevelType w:val="singleLevel"/>
    <w:tmpl w:val="979A71C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549D3"/>
    <w:rsid w:val="00084D17"/>
    <w:rsid w:val="000D7BCC"/>
    <w:rsid w:val="00142C2F"/>
    <w:rsid w:val="002672C4"/>
    <w:rsid w:val="003304EA"/>
    <w:rsid w:val="00342A20"/>
    <w:rsid w:val="00373D24"/>
    <w:rsid w:val="00412233"/>
    <w:rsid w:val="005345C0"/>
    <w:rsid w:val="00550ABE"/>
    <w:rsid w:val="006D0173"/>
    <w:rsid w:val="00706388"/>
    <w:rsid w:val="007B419D"/>
    <w:rsid w:val="008A2F66"/>
    <w:rsid w:val="009B67B8"/>
    <w:rsid w:val="009B67D4"/>
    <w:rsid w:val="00A07052"/>
    <w:rsid w:val="00A16C8C"/>
    <w:rsid w:val="00B03CCD"/>
    <w:rsid w:val="00B64102"/>
    <w:rsid w:val="00C97DF7"/>
    <w:rsid w:val="00CC51E6"/>
    <w:rsid w:val="00D3417A"/>
    <w:rsid w:val="00DC6A47"/>
    <w:rsid w:val="00DC7CC1"/>
    <w:rsid w:val="00DF382E"/>
    <w:rsid w:val="00E7034D"/>
    <w:rsid w:val="00ED7569"/>
    <w:rsid w:val="00F9489B"/>
    <w:rsid w:val="00FC1712"/>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E31F53"/>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545B74"/>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8CE5293"/>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DE4850"/>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napToGrid w:val="0"/>
      <w:spacing w:line="600" w:lineRule="exact"/>
      <w:ind w:firstLine="640" w:firstLineChars="200"/>
      <w:jc w:val="both"/>
    </w:pPr>
    <w:rPr>
      <w:rFonts w:hint="default" w:ascii="方正仿宋_GBK" w:hAnsi="方正仿宋_GBK" w:eastAsia="方正仿宋_GBK" w:cs="方正仿宋_GBK"/>
      <w:sz w:val="32"/>
      <w:szCs w:val="32"/>
    </w:r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列出段落2"/>
    <w:basedOn w:val="1"/>
    <w:autoRedefine/>
    <w:qFormat/>
    <w:uiPriority w:val="99"/>
    <w:pPr>
      <w:ind w:firstLine="420" w:firstLineChars="200"/>
    </w:pPr>
  </w:style>
  <w:style w:type="character" w:customStyle="1" w:styleId="17">
    <w:name w:val="正文文本 字符"/>
    <w:basedOn w:val="11"/>
    <w:link w:val="2"/>
    <w:qFormat/>
    <w:uiPriority w:val="0"/>
    <w:rPr>
      <w:rFonts w:ascii="宋体" w:hAnsi="宋体"/>
      <w:sz w:val="24"/>
      <w:szCs w:val="24"/>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4975</Words>
  <Characters>5524</Characters>
  <Lines>94</Lines>
  <Paragraphs>26</Paragraphs>
  <TotalTime>0</TotalTime>
  <ScaleCrop>false</ScaleCrop>
  <LinksUpToDate>false</LinksUpToDate>
  <CharactersWithSpaces>5578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2025-10-28T03:04:03Z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