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A10CF">
      <w:pPr>
        <w:pStyle w:val="8"/>
        <w:keepNext w:val="0"/>
        <w:keepLines w:val="0"/>
        <w:pageBreakBefore w:val="0"/>
        <w:kinsoku/>
        <w:overflowPunct/>
        <w:topLinePunct w:val="0"/>
        <w:autoSpaceDN/>
        <w:bidi w:val="0"/>
        <w:spacing w:before="0" w:beforeAutospacing="0" w:after="0" w:afterAutospacing="0" w:line="600" w:lineRule="exact"/>
        <w:jc w:val="center"/>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重庆市袁家岗幼儿园</w:t>
      </w:r>
    </w:p>
    <w:p w14:paraId="2F81BC21">
      <w:pPr>
        <w:pStyle w:val="8"/>
        <w:keepNext w:val="0"/>
        <w:keepLines w:val="0"/>
        <w:pageBreakBefore w:val="0"/>
        <w:kinsoku/>
        <w:overflowPunct/>
        <w:topLinePunct w:val="0"/>
        <w:autoSpaceDN/>
        <w:bidi w:val="0"/>
        <w:spacing w:before="0" w:beforeAutospacing="0" w:after="0" w:afterAutospacing="0" w:line="600" w:lineRule="exact"/>
        <w:jc w:val="center"/>
        <w:rPr>
          <w:rFonts w:ascii="Times New Roman" w:hAnsi="Times New Roman" w:eastAsia="方正小标宋_GBK" w:cs="方正小标宋_GBK"/>
          <w:sz w:val="36"/>
          <w:szCs w:val="36"/>
          <w:shd w:val="clear" w:color="auto" w:fill="FFFFFF"/>
        </w:rPr>
      </w:pPr>
      <w:r>
        <w:rPr>
          <w:rFonts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w:t>
      </w:r>
      <w:r>
        <w:rPr>
          <w:rFonts w:hint="eastAsia" w:ascii="Times New Roman" w:hAnsi="Times New Roman" w:eastAsia="方正小标宋_GBK" w:cs="方正小标宋_GBK"/>
          <w:sz w:val="44"/>
          <w:szCs w:val="44"/>
          <w:shd w:val="clear" w:color="auto" w:fill="FFFFFF"/>
          <w:lang w:val="en-US" w:eastAsia="zh-CN"/>
        </w:rPr>
        <w:t>单位</w:t>
      </w:r>
      <w:r>
        <w:rPr>
          <w:rFonts w:ascii="Times New Roman" w:hAnsi="Times New Roman" w:eastAsia="方正小标宋_GBK" w:cs="方正小标宋_GBK"/>
          <w:sz w:val="44"/>
          <w:szCs w:val="44"/>
          <w:shd w:val="clear" w:color="auto" w:fill="FFFFFF"/>
        </w:rPr>
        <w:t>决算</w:t>
      </w:r>
      <w:r>
        <w:rPr>
          <w:rFonts w:hint="eastAsia" w:ascii="Times New Roman" w:hAnsi="Times New Roman" w:eastAsia="方正小标宋_GBK" w:cs="方正小标宋_GBK"/>
          <w:sz w:val="44"/>
          <w:szCs w:val="44"/>
          <w:shd w:val="clear" w:color="auto" w:fill="FFFFFF"/>
          <w:lang w:val="en-US" w:eastAsia="zh-CN"/>
        </w:rPr>
        <w:t>情况</w:t>
      </w:r>
      <w:r>
        <w:rPr>
          <w:rFonts w:ascii="Times New Roman" w:hAnsi="Times New Roman" w:eastAsia="方正小标宋_GBK" w:cs="方正小标宋_GBK"/>
          <w:sz w:val="44"/>
          <w:szCs w:val="44"/>
          <w:shd w:val="clear" w:color="auto" w:fill="FFFFFF"/>
        </w:rPr>
        <w:t>说明</w:t>
      </w:r>
    </w:p>
    <w:p w14:paraId="5BBB8E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p>
    <w:p w14:paraId="46CA1DA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一、单位基本情况</w:t>
      </w:r>
    </w:p>
    <w:p w14:paraId="3E1DD05C">
      <w:pPr>
        <w:keepNext w:val="0"/>
        <w:keepLines w:val="0"/>
        <w:pageBreakBefore w:val="0"/>
        <w:widowControl w:val="0"/>
        <w:kinsoku/>
        <w:overflowPunct/>
        <w:topLinePunct w:val="0"/>
        <w:autoSpaceDN/>
        <w:bidi w:val="0"/>
        <w:spacing w:beforeAutospacing="0" w:afterAutospacing="0" w:line="600" w:lineRule="exact"/>
        <w:ind w:firstLine="640" w:firstLineChars="200"/>
        <w:rPr>
          <w:rFonts w:ascii="Times New Roman" w:hAnsi="Times New Roman" w:eastAsia="方正楷体_GBK" w:cs="方正楷体_GBK"/>
          <w:bCs/>
          <w:sz w:val="32"/>
          <w:szCs w:val="32"/>
        </w:rPr>
      </w:pPr>
      <w:r>
        <w:rPr>
          <w:rFonts w:ascii="Times New Roman" w:hAnsi="Times New Roman" w:eastAsia="方正楷体_GBK" w:cs="方正楷体_GBK"/>
          <w:bCs/>
          <w:sz w:val="32"/>
          <w:szCs w:val="32"/>
        </w:rPr>
        <w:t>（一）职能职责</w:t>
      </w:r>
      <w:bookmarkStart w:id="1" w:name="_GoBack"/>
      <w:bookmarkEnd w:id="1"/>
    </w:p>
    <w:p w14:paraId="2E5686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宋体"/>
          <w:sz w:val="32"/>
          <w:szCs w:val="32"/>
        </w:rPr>
        <w:t>重庆市袁家岗幼儿园创办于</w:t>
      </w:r>
      <w:r>
        <w:rPr>
          <w:rFonts w:ascii="Times New Roman" w:hAnsi="Times New Roman" w:eastAsia="方正仿宋_GBK" w:cs="方正仿宋_GBK"/>
          <w:sz w:val="32"/>
          <w:szCs w:val="32"/>
          <w:shd w:val="clear" w:color="auto" w:fill="FFFFFF"/>
        </w:rPr>
        <w:t>1985</w:t>
      </w:r>
      <w:r>
        <w:rPr>
          <w:rFonts w:ascii="Times New Roman" w:hAnsi="Times New Roman" w:eastAsia="方正仿宋_GBK" w:cs="宋体"/>
          <w:sz w:val="32"/>
          <w:szCs w:val="32"/>
        </w:rPr>
        <w:t>年，地处九龙坡区谢家湾正街</w:t>
      </w:r>
      <w:r>
        <w:rPr>
          <w:rFonts w:ascii="Times New Roman" w:hAnsi="Times New Roman" w:eastAsia="方正仿宋_GBK" w:cs="方正仿宋_GBK"/>
          <w:sz w:val="32"/>
          <w:szCs w:val="32"/>
          <w:shd w:val="clear" w:color="auto" w:fill="FFFFFF"/>
        </w:rPr>
        <w:t>58</w:t>
      </w:r>
      <w:r>
        <w:rPr>
          <w:rFonts w:ascii="Times New Roman" w:hAnsi="Times New Roman" w:eastAsia="方正仿宋_GBK" w:cs="宋体"/>
          <w:sz w:val="32"/>
          <w:szCs w:val="32"/>
        </w:rPr>
        <w:t>号，至今已有近</w:t>
      </w:r>
      <w:r>
        <w:rPr>
          <w:rFonts w:ascii="Times New Roman" w:hAnsi="Times New Roman" w:eastAsia="方正仿宋_GBK" w:cs="方正仿宋_GBK"/>
          <w:sz w:val="32"/>
          <w:szCs w:val="32"/>
          <w:shd w:val="clear" w:color="auto" w:fill="FFFFFF"/>
        </w:rPr>
        <w:t>40</w:t>
      </w:r>
      <w:r>
        <w:rPr>
          <w:rFonts w:ascii="Times New Roman" w:hAnsi="Times New Roman" w:eastAsia="方正仿宋_GBK" w:cs="宋体"/>
          <w:sz w:val="32"/>
          <w:szCs w:val="32"/>
        </w:rPr>
        <w:t>余年的办学历史。重庆市袁家岗幼儿园为区级全额拨款的事业法人单位。办学宗旨：提供幼儿保育、教育服务，为社会提供公益性优质教育服务；开展教育科研工作，保证教育教学质量；开展幼儿德育、美育、体育、卫生、艺术工作，促进幼儿全面发展；维护校园安全，提供后勤保障服务；按政策规定开展学前教育。</w:t>
      </w:r>
    </w:p>
    <w:p w14:paraId="3D1FE030">
      <w:pPr>
        <w:keepNext w:val="0"/>
        <w:keepLines w:val="0"/>
        <w:pageBreakBefore w:val="0"/>
        <w:widowControl w:val="0"/>
        <w:kinsoku/>
        <w:overflowPunct/>
        <w:topLinePunct w:val="0"/>
        <w:autoSpaceDN/>
        <w:bidi w:val="0"/>
        <w:spacing w:beforeAutospacing="0" w:afterAutospacing="0" w:line="600" w:lineRule="exact"/>
        <w:ind w:firstLine="640" w:firstLineChars="200"/>
        <w:rPr>
          <w:rFonts w:hint="default" w:ascii="Times New Roman" w:hAnsi="Times New Roman" w:eastAsia="方正楷体_GBK" w:cs="方正楷体_GBK"/>
          <w:bCs/>
          <w:sz w:val="32"/>
          <w:szCs w:val="32"/>
        </w:rPr>
      </w:pPr>
      <w:r>
        <w:rPr>
          <w:rFonts w:ascii="Times New Roman" w:hAnsi="Times New Roman" w:eastAsia="方正楷体_GBK" w:cs="方正楷体_GBK"/>
          <w:bCs/>
          <w:sz w:val="32"/>
          <w:szCs w:val="32"/>
        </w:rPr>
        <w:t>（二）机构设置</w:t>
      </w:r>
    </w:p>
    <w:p w14:paraId="4AFF79F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宋体"/>
          <w:sz w:val="32"/>
          <w:szCs w:val="32"/>
        </w:rPr>
        <w:t>幼儿园设有行政办公室、党政办公室、综合办公室、财务室、卫生保健室、教研办公室等机构。</w:t>
      </w:r>
      <w:r>
        <w:rPr>
          <w:rFonts w:ascii="Times New Roman" w:hAnsi="Times New Roman" w:eastAsia="方正仿宋_GBK" w:cs="方正仿宋_GBK"/>
          <w:sz w:val="32"/>
          <w:szCs w:val="32"/>
          <w:shd w:val="clear" w:color="auto" w:fill="FFFFFF"/>
        </w:rPr>
        <w:t>2024年末袁家岗幼儿园有7个班级。</w:t>
      </w:r>
    </w:p>
    <w:p w14:paraId="11A530DA">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二、单位决算收支情况说明</w:t>
      </w:r>
    </w:p>
    <w:p w14:paraId="65EC9E0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Style w:val="11"/>
          <w:rFonts w:ascii="Times New Roman" w:hAnsi="Times New Roman" w:eastAsia="方正楷体_GBK"/>
          <w:b w:val="0"/>
          <w:sz w:val="32"/>
          <w:szCs w:val="32"/>
        </w:rPr>
      </w:pPr>
      <w:r>
        <w:rPr>
          <w:rStyle w:val="11"/>
          <w:rFonts w:hint="eastAsia" w:ascii="Times New Roman" w:hAnsi="Times New Roman" w:eastAsia="方正楷体_GBK"/>
          <w:b w:val="0"/>
          <w:sz w:val="32"/>
          <w:szCs w:val="32"/>
        </w:rPr>
        <w:t>（一）收入支出决算总体情况说明</w:t>
      </w:r>
    </w:p>
    <w:p w14:paraId="5A4E4324">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2024年度收入总计922.71万元，支出总计</w:t>
      </w:r>
      <w:r>
        <w:rPr>
          <w:rFonts w:ascii="Times New Roman" w:hAnsi="Times New Roman" w:eastAsia="方正仿宋_GBK" w:cs="方正仿宋_GBK"/>
          <w:sz w:val="32"/>
          <w:szCs w:val="32"/>
        </w:rPr>
        <w:t>922.71</w:t>
      </w:r>
      <w:r>
        <w:rPr>
          <w:rFonts w:ascii="Times New Roman" w:hAnsi="Times New Roman" w:eastAsia="方正仿宋_GBK" w:cs="方正仿宋_GBK"/>
          <w:sz w:val="32"/>
          <w:szCs w:val="32"/>
          <w:shd w:val="clear" w:color="auto" w:fill="FFFFFF"/>
        </w:rPr>
        <w:t>万元。收、支与2023年度相比，减少10.05万元，下降1.1%，主要原因是工程项目经费减少。</w:t>
      </w:r>
    </w:p>
    <w:p w14:paraId="4502FC7B">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2024年度收入合计922.71万元，与2023年度相比，减少10.05万元，下降1.1%，主要原因是工程项目经费减少。其中：财政拨款收入</w:t>
      </w:r>
      <w:r>
        <w:rPr>
          <w:rFonts w:ascii="Times New Roman" w:hAnsi="Times New Roman" w:eastAsia="方正仿宋_GBK" w:cs="方正仿宋_GBK"/>
          <w:sz w:val="32"/>
          <w:szCs w:val="32"/>
        </w:rPr>
        <w:t>734.85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79.64</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187.86</w:t>
      </w:r>
      <w:r>
        <w:rPr>
          <w:rFonts w:ascii="Times New Roman" w:hAnsi="Times New Roman" w:eastAsia="方正仿宋_GBK" w:cs="方正仿宋_GBK"/>
          <w:sz w:val="32"/>
          <w:szCs w:val="32"/>
          <w:shd w:val="clear" w:color="auto" w:fill="FFFFFF"/>
        </w:rPr>
        <w:t>万元，占20.36%。</w:t>
      </w:r>
    </w:p>
    <w:p w14:paraId="457B3B91">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922.71</w:t>
      </w:r>
      <w:r>
        <w:rPr>
          <w:rFonts w:ascii="Times New Roman" w:hAnsi="Times New Roman" w:eastAsia="方正仿宋_GBK" w:cs="方正仿宋_GBK"/>
          <w:sz w:val="32"/>
          <w:szCs w:val="32"/>
          <w:shd w:val="clear" w:color="auto" w:fill="FFFFFF"/>
        </w:rPr>
        <w:t>万元，与2023年度相比，减少10.05万元，下降1.1%，主要原因是工程项目经费减少。其中：基本支出</w:t>
      </w:r>
      <w:r>
        <w:rPr>
          <w:rFonts w:ascii="Times New Roman" w:hAnsi="Times New Roman" w:eastAsia="方正仿宋_GBK" w:cs="方正仿宋_GBK"/>
          <w:sz w:val="32"/>
          <w:szCs w:val="32"/>
        </w:rPr>
        <w:t>520.59</w:t>
      </w:r>
      <w:r>
        <w:rPr>
          <w:rFonts w:ascii="Times New Roman" w:hAnsi="Times New Roman" w:eastAsia="方正仿宋_GBK" w:cs="方正仿宋_GBK"/>
          <w:sz w:val="32"/>
          <w:szCs w:val="32"/>
          <w:shd w:val="clear" w:color="auto" w:fill="FFFFFF"/>
        </w:rPr>
        <w:t>万元，占56.42%；项目支出</w:t>
      </w:r>
      <w:r>
        <w:rPr>
          <w:rFonts w:ascii="Times New Roman" w:hAnsi="Times New Roman" w:eastAsia="方正仿宋_GBK" w:cs="方正仿宋_GBK"/>
          <w:sz w:val="32"/>
          <w:szCs w:val="32"/>
        </w:rPr>
        <w:t>402.12</w:t>
      </w:r>
      <w:r>
        <w:rPr>
          <w:rFonts w:ascii="Times New Roman" w:hAnsi="Times New Roman" w:eastAsia="方正仿宋_GBK" w:cs="方正仿宋_GBK"/>
          <w:sz w:val="32"/>
          <w:szCs w:val="32"/>
          <w:shd w:val="clear" w:color="auto" w:fill="FFFFFF"/>
        </w:rPr>
        <w:t>万元，占43.58%。</w:t>
      </w:r>
    </w:p>
    <w:p w14:paraId="4BA1D46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color w:val="FF0000"/>
          <w:sz w:val="32"/>
          <w:szCs w:val="32"/>
          <w:shd w:val="clear" w:color="auto" w:fill="FFFFFF"/>
        </w:rPr>
      </w:pPr>
      <w:r>
        <w:rPr>
          <w:rStyle w:val="11"/>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万元，与2023年度相比，无增减，主要原因是本年度收支平衡。</w:t>
      </w:r>
    </w:p>
    <w:p w14:paraId="64A64BF4">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（二）财政拨款收入支出决算总体情况说明</w:t>
      </w:r>
    </w:p>
    <w:p w14:paraId="16E66969">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2024年度财政拨款收、支总计734.85万元。与2023年相比，财政拨款收、支总计各减少9.75万元，下降1.3%。主要原因是本年度工程项目经费减少。</w:t>
      </w:r>
    </w:p>
    <w:p w14:paraId="27465DD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（三）一般公共预算财政拨款收入支出决算情况说明</w:t>
      </w:r>
    </w:p>
    <w:p w14:paraId="6172214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684.85</w:t>
      </w:r>
      <w:r>
        <w:rPr>
          <w:rFonts w:ascii="Times New Roman" w:hAnsi="Times New Roman" w:eastAsia="方正仿宋_GBK" w:cs="方正仿宋_GBK"/>
          <w:sz w:val="32"/>
          <w:szCs w:val="32"/>
          <w:shd w:val="clear" w:color="auto" w:fill="FFFFFF"/>
        </w:rPr>
        <w:t>万元，与2023年度相比，减少59.75万元，下降8.0%。主要原因是工程改造项目经费减少。较年初预算数增加58.89万元，增长9.4%。主要原因是新增大门维修改造工程。此外，年初财政拨款结转和结余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11F8DEB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684.85</w:t>
      </w:r>
      <w:r>
        <w:rPr>
          <w:rFonts w:ascii="Times New Roman" w:hAnsi="Times New Roman" w:eastAsia="方正仿宋_GBK" w:cs="方正仿宋_GBK"/>
          <w:sz w:val="32"/>
          <w:szCs w:val="32"/>
          <w:shd w:val="clear" w:color="auto" w:fill="FFFFFF"/>
        </w:rPr>
        <w:t>万元，与2023年度相比，减少59.75万元，下降8.0%。主要原因是工程改造项目经费减少。较年初预算数增加58.89万元，增长9.4%。主要原因是新增大门维修改造工程。</w:t>
      </w:r>
    </w:p>
    <w:p w14:paraId="74F37B23">
      <w:pPr>
        <w:keepNext w:val="0"/>
        <w:keepLines w:val="0"/>
        <w:pageBreakBefore w:val="0"/>
        <w:widowControl w:val="0"/>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bookmarkStart w:id="0" w:name="OLE_LINK1"/>
      <w:r>
        <w:rPr>
          <w:rFonts w:hint="default" w:ascii="Times New Roman" w:hAnsi="Times New Roman" w:eastAsia="方正仿宋_GBK" w:cs="方正仿宋_GBK"/>
          <w:sz w:val="32"/>
          <w:szCs w:val="32"/>
          <w:shd w:val="clear" w:color="auto" w:fill="FFFFFF"/>
        </w:rPr>
        <w:t>本年度</w:t>
      </w:r>
      <w:r>
        <w:rPr>
          <w:rFonts w:ascii="Times New Roman" w:hAnsi="Times New Roman" w:eastAsia="方正仿宋_GBK" w:cs="方正仿宋_GBK"/>
          <w:sz w:val="32"/>
          <w:szCs w:val="32"/>
          <w:shd w:val="clear" w:color="auto" w:fill="FFFFFF"/>
        </w:rPr>
        <w:t>收支平衡</w:t>
      </w:r>
      <w:bookmarkEnd w:id="0"/>
      <w:r>
        <w:rPr>
          <w:rFonts w:ascii="Times New Roman" w:hAnsi="Times New Roman" w:eastAsia="方正仿宋_GBK" w:cs="方正仿宋_GBK"/>
          <w:sz w:val="32"/>
          <w:szCs w:val="32"/>
          <w:shd w:val="clear" w:color="auto" w:fill="FFFFFF"/>
        </w:rPr>
        <w:t>。</w:t>
      </w:r>
    </w:p>
    <w:p w14:paraId="34C422C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74E9C28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560.47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81.84</w:t>
      </w:r>
      <w:r>
        <w:rPr>
          <w:rFonts w:ascii="Times New Roman" w:hAnsi="Times New Roman" w:eastAsia="方正仿宋_GBK" w:cs="方正仿宋_GBK"/>
          <w:sz w:val="32"/>
          <w:szCs w:val="32"/>
          <w:shd w:val="clear" w:color="auto" w:fill="FFFFFF"/>
        </w:rPr>
        <w:t>%，较年初预算数增加85.24万元，增长17.9%，主要原因是政策性</w:t>
      </w:r>
      <w:r>
        <w:rPr>
          <w:rFonts w:hint="eastAsia" w:ascii="Times New Roman" w:hAnsi="Times New Roman" w:eastAsia="方正仿宋_GBK" w:cs="方正仿宋_GBK"/>
          <w:sz w:val="32"/>
          <w:szCs w:val="32"/>
          <w:shd w:val="clear" w:color="auto" w:fill="FFFFFF"/>
          <w:lang w:val="en-US" w:eastAsia="zh-CN"/>
        </w:rPr>
        <w:t>调资</w:t>
      </w:r>
      <w:r>
        <w:rPr>
          <w:rFonts w:ascii="Times New Roman" w:hAnsi="Times New Roman" w:eastAsia="方正仿宋_GBK" w:cs="方正仿宋_GBK"/>
          <w:sz w:val="32"/>
          <w:szCs w:val="32"/>
          <w:shd w:val="clear" w:color="auto" w:fill="FFFFFF"/>
        </w:rPr>
        <w:t>及新增大门维修改造等工程。</w:t>
      </w:r>
    </w:p>
    <w:p w14:paraId="48DD1A2E">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62.48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9.12</w:t>
      </w:r>
      <w:r>
        <w:rPr>
          <w:rFonts w:ascii="Times New Roman" w:hAnsi="Times New Roman" w:eastAsia="方正仿宋_GBK" w:cs="方正仿宋_GBK"/>
          <w:sz w:val="32"/>
          <w:szCs w:val="32"/>
          <w:shd w:val="clear" w:color="auto" w:fill="FFFFFF"/>
        </w:rPr>
        <w:t>%，较年初预算数减少29.04万元，下降31.7%，主要原因是政策性调整。</w:t>
      </w:r>
    </w:p>
    <w:p w14:paraId="423E592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24.65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3.60</w:t>
      </w:r>
      <w:r>
        <w:rPr>
          <w:rFonts w:ascii="Times New Roman" w:hAnsi="Times New Roman" w:eastAsia="方正仿宋_GBK" w:cs="方正仿宋_GBK"/>
          <w:sz w:val="32"/>
          <w:szCs w:val="32"/>
          <w:shd w:val="clear" w:color="auto" w:fill="FFFFFF"/>
        </w:rPr>
        <w:t>%，较年初预算数增加1.21万元，增长5.2%，主要原因是人员增加。</w:t>
      </w:r>
    </w:p>
    <w:p w14:paraId="6F9FBC3F">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住房保障支出37.25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5.44</w:t>
      </w:r>
      <w:r>
        <w:rPr>
          <w:rFonts w:ascii="Times New Roman" w:hAnsi="Times New Roman" w:eastAsia="方正仿宋_GBK" w:cs="方正仿宋_GBK"/>
          <w:sz w:val="32"/>
          <w:szCs w:val="32"/>
          <w:shd w:val="clear" w:color="auto" w:fill="FFFFFF"/>
        </w:rPr>
        <w:t>%，较年初预算数增加1.48万元，增长4.1%，主要原因是人员增加。</w:t>
      </w:r>
    </w:p>
    <w:p w14:paraId="23FDDB85">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（四）一般公共预算财政拨款基本支出决算情况说明</w:t>
      </w:r>
    </w:p>
    <w:p w14:paraId="7A8E225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520.59</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460.19</w:t>
      </w:r>
      <w:r>
        <w:rPr>
          <w:rFonts w:ascii="Times New Roman" w:hAnsi="Times New Roman" w:eastAsia="方正仿宋_GBK" w:cs="方正仿宋_GBK"/>
          <w:sz w:val="32"/>
          <w:szCs w:val="32"/>
          <w:shd w:val="clear" w:color="auto" w:fill="FFFFFF"/>
        </w:rPr>
        <w:t>万元，与2023年度相比，增加62.24万元，增长15.6%，主要原因是政策性</w:t>
      </w:r>
      <w:r>
        <w:rPr>
          <w:rFonts w:hint="eastAsia" w:ascii="Times New Roman" w:hAnsi="Times New Roman" w:eastAsia="方正仿宋_GBK" w:cs="方正仿宋_GBK"/>
          <w:sz w:val="32"/>
          <w:szCs w:val="32"/>
          <w:shd w:val="clear" w:color="auto" w:fill="FFFFFF"/>
          <w:lang w:val="en-US" w:eastAsia="zh-CN"/>
        </w:rPr>
        <w:t>调资</w:t>
      </w:r>
      <w:r>
        <w:rPr>
          <w:rFonts w:ascii="Times New Roman" w:hAnsi="Times New Roman" w:eastAsia="方正仿宋_GBK" w:cs="方正仿宋_GBK"/>
          <w:sz w:val="32"/>
          <w:szCs w:val="32"/>
          <w:shd w:val="clear" w:color="auto" w:fill="FFFFFF"/>
        </w:rPr>
        <w:t>。人员经费用途主要包括基本工资、津补贴、绩效工资、机关事业单位养老保险缴费、职业年金缴费、其他社会保障缴费、住房公积金、抚恤金、生活补助、医疗费补助、医疗费、助学金、其他对个人和家庭的补助支出。公用经费</w:t>
      </w:r>
      <w:r>
        <w:rPr>
          <w:rFonts w:ascii="Times New Roman" w:hAnsi="Times New Roman" w:eastAsia="方正仿宋_GBK" w:cs="方正仿宋_GBK"/>
          <w:sz w:val="32"/>
          <w:szCs w:val="32"/>
        </w:rPr>
        <w:t>60.40</w:t>
      </w:r>
      <w:r>
        <w:rPr>
          <w:rFonts w:ascii="Times New Roman" w:hAnsi="Times New Roman" w:eastAsia="方正仿宋_GBK" w:cs="方正仿宋_GBK"/>
          <w:sz w:val="32"/>
          <w:szCs w:val="32"/>
          <w:shd w:val="clear" w:color="auto" w:fill="FFFFFF"/>
        </w:rPr>
        <w:t>万元，与2023年度相比，增加4.51万元，增长8.1%，主要原因是人员增加。公用经费用途主要包括办公费、印刷费、咨询费、水费、电费、邮电费、物业管理费、差旅费、维修（护）费、租赁费、培训费、专用材料费、劳务费、工会经费、福利费、公务用车运行维护费、其他商品与服务支出等。</w:t>
      </w:r>
    </w:p>
    <w:p w14:paraId="5C603605">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（五）政府性基金预算收支决算情况说明</w:t>
      </w:r>
    </w:p>
    <w:p w14:paraId="7D25BEE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50.00</w:t>
      </w:r>
      <w:r>
        <w:rPr>
          <w:rFonts w:ascii="Times New Roman" w:hAnsi="Times New Roman" w:eastAsia="方正仿宋_GBK" w:cs="方正仿宋_GBK"/>
          <w:sz w:val="32"/>
          <w:szCs w:val="32"/>
          <w:shd w:val="clear" w:color="auto" w:fill="FFFFFF"/>
        </w:rPr>
        <w:t>万元，与2023年度相比，增加50.00万元，增长100.0%，主要原因是新增大门维修改造工程。本年支出</w:t>
      </w:r>
      <w:r>
        <w:rPr>
          <w:rFonts w:ascii="Times New Roman" w:hAnsi="Times New Roman" w:eastAsia="方正仿宋_GBK" w:cs="方正仿宋_GBK"/>
          <w:sz w:val="32"/>
          <w:szCs w:val="32"/>
        </w:rPr>
        <w:t>50.00</w:t>
      </w:r>
      <w:r>
        <w:rPr>
          <w:rFonts w:ascii="Times New Roman" w:hAnsi="Times New Roman" w:eastAsia="方正仿宋_GBK" w:cs="方正仿宋_GBK"/>
          <w:sz w:val="32"/>
          <w:szCs w:val="32"/>
          <w:shd w:val="clear" w:color="auto" w:fill="FFFFFF"/>
        </w:rPr>
        <w:t>万元，与2023年度相比，增加50.00万元，增长100.0%，主要原因是新增大门维修改造工程。</w:t>
      </w:r>
    </w:p>
    <w:p w14:paraId="12F37351">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（六）国有资本经营预算财政拨款支出决算情况说明</w:t>
      </w:r>
    </w:p>
    <w:p w14:paraId="73B52FA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方正仿宋_GBK"/>
          <w:sz w:val="32"/>
          <w:szCs w:val="32"/>
          <w:shd w:val="clear" w:color="auto" w:fill="FFFF00"/>
        </w:rPr>
      </w:pPr>
      <w:r>
        <w:rPr>
          <w:rFonts w:ascii="Times New Roman" w:hAnsi="Times New Roman" w:eastAsia="方正仿宋_GBK" w:cs="方正仿宋_GBK"/>
          <w:sz w:val="32"/>
          <w:szCs w:val="32"/>
          <w:shd w:val="clear" w:color="auto" w:fill="FFFFFF"/>
        </w:rPr>
        <w:t>本单位2024年度无国有资本经营预算财政拨款支出。</w:t>
      </w:r>
    </w:p>
    <w:p w14:paraId="625B6E49">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三、财政拨款“三公”经费情况说明</w:t>
      </w:r>
    </w:p>
    <w:p w14:paraId="367A5E4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（一）“三公”经费支出总体情况说明</w:t>
      </w:r>
    </w:p>
    <w:p w14:paraId="526E20C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4E619AC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（二）“三公”经费分项支出情况</w:t>
      </w:r>
    </w:p>
    <w:p w14:paraId="62D2D39C">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费用支出较年初预算数无增减，较上年支出数无增减，主要原因是2024</w:t>
      </w:r>
      <w:r>
        <w:rPr>
          <w:rFonts w:hint="default" w:ascii="Times New Roman" w:hAnsi="Times New Roman" w:eastAsia="方正仿宋_GBK" w:cs="方正仿宋_GBK"/>
          <w:sz w:val="32"/>
          <w:szCs w:val="32"/>
          <w:shd w:val="clear" w:color="auto" w:fill="FFFFFF"/>
        </w:rPr>
        <w:t>年度未发生因公出国（境）费用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48786FD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万元。费用支出较年初预算数无增减，较上年支出数无增减，主要原因是本单位2024年度未发生公务车购置费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0423BA8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万元。费用支出较年初预算数无增减，较上年支出数无增减，主要原因是本单位2024年度未发生公务车运行维护费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7FF0BE8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万元。费用支出较年初预算数无增减，较上年支出数无增减，主要原因是本单位2024年度未发生公务接待费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0C62DCF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（三）“三公”经费实物量情况</w:t>
      </w:r>
    </w:p>
    <w:p w14:paraId="235E28C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4F465856">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四、其他需要说明的事项</w:t>
      </w:r>
    </w:p>
    <w:p w14:paraId="5BAAD9FA">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（一）财政拨款会议费和培训费情况说明</w:t>
      </w:r>
    </w:p>
    <w:p w14:paraId="4046D29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0000FF"/>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万元，与2023年度相比，无增减，主要原因是本单位2024年未发生会议费支出。本年度培训费支出</w:t>
      </w:r>
      <w:r>
        <w:rPr>
          <w:rFonts w:ascii="Times New Roman" w:hAnsi="Times New Roman" w:eastAsia="方正仿宋_GBK" w:cs="方正仿宋_GBK"/>
          <w:sz w:val="32"/>
          <w:szCs w:val="32"/>
        </w:rPr>
        <w:t>4.51</w:t>
      </w:r>
      <w:r>
        <w:rPr>
          <w:rFonts w:ascii="Times New Roman" w:hAnsi="Times New Roman" w:eastAsia="方正仿宋_GBK" w:cs="方正仿宋_GBK"/>
          <w:sz w:val="32"/>
          <w:szCs w:val="32"/>
          <w:shd w:val="clear" w:color="auto" w:fill="FFFFFF"/>
        </w:rPr>
        <w:t>万元，与2023年度相比，增加0.57万元，增长14.5%，主要原因是加大教师培训力度。</w:t>
      </w:r>
    </w:p>
    <w:p w14:paraId="1FDE6B1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（二）机关运行经费情况说明</w:t>
      </w:r>
    </w:p>
    <w:p w14:paraId="77B34156">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宋体"/>
        </w:rPr>
      </w:pPr>
      <w:r>
        <w:rPr>
          <w:rFonts w:ascii="Times New Roman" w:hAnsi="Times New Roman" w:eastAsia="方正仿宋_GBK" w:cs="方正仿宋_GBK"/>
          <w:sz w:val="32"/>
          <w:szCs w:val="32"/>
          <w:shd w:val="clear" w:color="auto" w:fill="FFFFFF"/>
        </w:rPr>
        <w:t>按照部门决算列报口径，我单位不在机关运行经费统计范围之内。</w:t>
      </w:r>
    </w:p>
    <w:p w14:paraId="10E425C6">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（三）国有资产占用情况说明</w:t>
      </w:r>
    </w:p>
    <w:p w14:paraId="37A3C7F6">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B761EC1">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（四）政府采购支出情况说明</w:t>
      </w:r>
    </w:p>
    <w:p w14:paraId="6B0437A4">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1.31</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1.31</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1.31万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1.31</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%。主要用于采购打印纸和空调。</w:t>
      </w:r>
    </w:p>
    <w:p w14:paraId="71C26DED">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ascii="Times New Roman" w:hAnsi="Times New Roman" w:eastAsia="方正黑体_GBK" w:cs="黑体"/>
          <w:b w:val="0"/>
          <w:sz w:val="32"/>
          <w:szCs w:val="32"/>
          <w:shd w:val="clear" w:color="auto" w:fill="FFFFFF"/>
        </w:rPr>
      </w:pPr>
      <w:r>
        <w:rPr>
          <w:rStyle w:val="11"/>
          <w:rFonts w:ascii="Times New Roman" w:hAnsi="Times New Roman" w:eastAsia="方正黑体_GBK" w:cs="黑体"/>
          <w:b w:val="0"/>
          <w:sz w:val="32"/>
          <w:szCs w:val="32"/>
          <w:shd w:val="clear" w:color="auto" w:fill="FFFFFF"/>
        </w:rPr>
        <w:t>五、2024年度预算绩效管理情况说明</w:t>
      </w:r>
    </w:p>
    <w:p w14:paraId="48584CCF">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Times New Roman" w:hAnsi="Times New Roman" w:eastAsia="方正楷体_GBK" w:cs="楷体"/>
          <w:bCs/>
          <w:sz w:val="32"/>
          <w:szCs w:val="32"/>
          <w:shd w:val="clear" w:color="auto" w:fill="FFFFFF"/>
        </w:rPr>
      </w:pPr>
      <w:r>
        <w:rPr>
          <w:rFonts w:hint="eastAsia" w:ascii="Times New Roman" w:hAnsi="Times New Roman" w:eastAsia="方正楷体_GBK" w:cs="楷体"/>
          <w:bCs/>
          <w:sz w:val="32"/>
          <w:szCs w:val="32"/>
          <w:shd w:val="clear" w:color="auto" w:fill="FFFFFF"/>
        </w:rPr>
        <w:t>（一）预算绩效管理工</w:t>
      </w:r>
      <w:r>
        <w:rPr>
          <w:rFonts w:hint="eastAsia" w:ascii="Times New Roman" w:hAnsi="Times New Roman" w:eastAsia="方正楷体_GBK"/>
          <w:bCs/>
          <w:sz w:val="32"/>
        </w:rPr>
        <w:t>作开展情况</w:t>
      </w:r>
    </w:p>
    <w:p w14:paraId="7BF4178B">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根据预算绩效管理要求，我单位组对8个二级项目开展了绩效自评，涉及财政拨款项目支出164.26万元。</w:t>
      </w:r>
    </w:p>
    <w:p w14:paraId="7AC3A223">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hint="default" w:cs="宋体"/>
          <w:sz w:val="28"/>
          <w:szCs w:val="28"/>
        </w:rPr>
      </w:pPr>
      <w:r>
        <w:rPr>
          <w:rFonts w:eastAsia="方正小标宋_GBK" w:cs="方正小标宋_GBK"/>
          <w:color w:val="000000"/>
          <w:sz w:val="28"/>
          <w:szCs w:val="28"/>
        </w:rPr>
        <w:t>重庆市袁家岗幼儿园2024年度项目支出绩效自评表</w:t>
      </w:r>
    </w:p>
    <w:tbl>
      <w:tblPr>
        <w:tblStyle w:val="9"/>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65"/>
        <w:gridCol w:w="1140"/>
        <w:gridCol w:w="705"/>
        <w:gridCol w:w="780"/>
        <w:gridCol w:w="675"/>
        <w:gridCol w:w="705"/>
        <w:gridCol w:w="915"/>
        <w:gridCol w:w="795"/>
        <w:gridCol w:w="753"/>
        <w:gridCol w:w="850"/>
      </w:tblGrid>
      <w:tr w14:paraId="48B9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09" w:type="dxa"/>
            <w:tcBorders>
              <w:top w:val="single" w:color="auto" w:sz="4" w:space="0"/>
            </w:tcBorders>
            <w:noWrap/>
            <w:vAlign w:val="center"/>
          </w:tcPr>
          <w:p w14:paraId="3047A6FE">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序号</w:t>
            </w:r>
          </w:p>
        </w:tc>
        <w:tc>
          <w:tcPr>
            <w:tcW w:w="1365" w:type="dxa"/>
            <w:tcBorders>
              <w:top w:val="single" w:color="auto" w:sz="4" w:space="0"/>
            </w:tcBorders>
            <w:noWrap/>
            <w:vAlign w:val="center"/>
          </w:tcPr>
          <w:p w14:paraId="66DA7CC0">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项目名称</w:t>
            </w:r>
          </w:p>
        </w:tc>
        <w:tc>
          <w:tcPr>
            <w:tcW w:w="1140" w:type="dxa"/>
            <w:tcBorders>
              <w:top w:val="single" w:color="auto" w:sz="4" w:space="0"/>
            </w:tcBorders>
            <w:noWrap/>
            <w:vAlign w:val="center"/>
          </w:tcPr>
          <w:p w14:paraId="39E53315">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指标名称</w:t>
            </w:r>
          </w:p>
        </w:tc>
        <w:tc>
          <w:tcPr>
            <w:tcW w:w="705" w:type="dxa"/>
            <w:tcBorders>
              <w:top w:val="single" w:color="auto" w:sz="4" w:space="0"/>
            </w:tcBorders>
            <w:noWrap/>
            <w:vAlign w:val="center"/>
          </w:tcPr>
          <w:p w14:paraId="15707829">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指标性质</w:t>
            </w:r>
          </w:p>
        </w:tc>
        <w:tc>
          <w:tcPr>
            <w:tcW w:w="780" w:type="dxa"/>
            <w:tcBorders>
              <w:top w:val="single" w:color="auto" w:sz="4" w:space="0"/>
            </w:tcBorders>
            <w:noWrap/>
            <w:vAlign w:val="center"/>
          </w:tcPr>
          <w:p w14:paraId="56A2942A">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指标值</w:t>
            </w:r>
          </w:p>
        </w:tc>
        <w:tc>
          <w:tcPr>
            <w:tcW w:w="675" w:type="dxa"/>
            <w:tcBorders>
              <w:top w:val="single" w:color="auto" w:sz="4" w:space="0"/>
            </w:tcBorders>
            <w:noWrap/>
            <w:vAlign w:val="center"/>
          </w:tcPr>
          <w:p w14:paraId="1C1110CD">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计量单位</w:t>
            </w:r>
          </w:p>
        </w:tc>
        <w:tc>
          <w:tcPr>
            <w:tcW w:w="705" w:type="dxa"/>
            <w:tcBorders>
              <w:top w:val="single" w:color="auto" w:sz="4" w:space="0"/>
            </w:tcBorders>
            <w:noWrap/>
            <w:vAlign w:val="center"/>
          </w:tcPr>
          <w:p w14:paraId="55E33C40">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指标权重</w:t>
            </w:r>
          </w:p>
        </w:tc>
        <w:tc>
          <w:tcPr>
            <w:tcW w:w="915" w:type="dxa"/>
            <w:tcBorders>
              <w:top w:val="single" w:color="auto" w:sz="4" w:space="0"/>
            </w:tcBorders>
            <w:noWrap/>
            <w:vAlign w:val="center"/>
          </w:tcPr>
          <w:p w14:paraId="718893A7">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全年完成值</w:t>
            </w:r>
          </w:p>
        </w:tc>
        <w:tc>
          <w:tcPr>
            <w:tcW w:w="795" w:type="dxa"/>
            <w:tcBorders>
              <w:top w:val="single" w:color="auto" w:sz="4" w:space="0"/>
            </w:tcBorders>
            <w:noWrap/>
            <w:vAlign w:val="center"/>
          </w:tcPr>
          <w:p w14:paraId="049FF3B2">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指标得分</w:t>
            </w:r>
          </w:p>
        </w:tc>
        <w:tc>
          <w:tcPr>
            <w:tcW w:w="753" w:type="dxa"/>
            <w:tcBorders>
              <w:top w:val="single" w:color="auto" w:sz="4" w:space="0"/>
            </w:tcBorders>
            <w:noWrap/>
            <w:vAlign w:val="center"/>
          </w:tcPr>
          <w:p w14:paraId="0D89E192">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说明</w:t>
            </w:r>
          </w:p>
        </w:tc>
        <w:tc>
          <w:tcPr>
            <w:tcW w:w="850" w:type="dxa"/>
            <w:tcBorders>
              <w:top w:val="single" w:color="auto" w:sz="4" w:space="0"/>
            </w:tcBorders>
            <w:noWrap/>
            <w:vAlign w:val="center"/>
          </w:tcPr>
          <w:p w14:paraId="7EF14B83">
            <w:pPr>
              <w:keepNext w:val="0"/>
              <w:keepLines w:val="0"/>
              <w:pageBreakBefore w:val="0"/>
              <w:kinsoku/>
              <w:overflowPunct/>
              <w:topLinePunct w:val="0"/>
              <w:autoSpaceDN/>
              <w:bidi w:val="0"/>
              <w:spacing w:beforeAutospacing="0" w:afterAutospacing="0" w:line="240" w:lineRule="auto"/>
              <w:jc w:val="center"/>
              <w:textAlignment w:val="center"/>
              <w:rPr>
                <w:rFonts w:hint="default" w:eastAsia="方正黑体_GBK" w:cs="方正黑体_GBK"/>
                <w:color w:val="000000"/>
                <w:sz w:val="22"/>
              </w:rPr>
            </w:pPr>
            <w:r>
              <w:rPr>
                <w:rFonts w:eastAsia="方正黑体_GBK" w:cs="方正黑体_GBK"/>
                <w:color w:val="000000"/>
                <w:sz w:val="22"/>
              </w:rPr>
              <w:t>自评得分</w:t>
            </w:r>
          </w:p>
        </w:tc>
      </w:tr>
      <w:tr w14:paraId="6E44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restart"/>
            <w:noWrap/>
            <w:vAlign w:val="center"/>
          </w:tcPr>
          <w:p w14:paraId="3A269409">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r>
              <w:rPr>
                <w:color w:val="000000"/>
                <w:sz w:val="22"/>
                <w:szCs w:val="22"/>
              </w:rPr>
              <w:t>1</w:t>
            </w:r>
          </w:p>
        </w:tc>
        <w:tc>
          <w:tcPr>
            <w:tcW w:w="1365" w:type="dxa"/>
            <w:vMerge w:val="restart"/>
            <w:noWrap/>
            <w:vAlign w:val="center"/>
          </w:tcPr>
          <w:p w14:paraId="17CFE2C8">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2024年学前教育家庭经济困难幼儿资助专项经费</w:t>
            </w:r>
          </w:p>
          <w:p w14:paraId="329F4D26">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72AE2432">
            <w:pPr>
              <w:keepNext w:val="0"/>
              <w:keepLines w:val="0"/>
              <w:pageBreakBefore w:val="0"/>
              <w:kinsoku/>
              <w:overflowPunct/>
              <w:topLinePunct w:val="0"/>
              <w:autoSpaceDN/>
              <w:bidi w:val="0"/>
              <w:spacing w:beforeAutospacing="0" w:afterAutospacing="0" w:line="240" w:lineRule="auto"/>
              <w:jc w:val="center"/>
              <w:rPr>
                <w:rFonts w:hint="default" w:eastAsia="方正仿宋_GBK" w:cs="宋体"/>
                <w:sz w:val="22"/>
                <w:szCs w:val="22"/>
              </w:rPr>
            </w:pPr>
            <w:r>
              <w:rPr>
                <w:rFonts w:cs="宋体"/>
                <w:sz w:val="22"/>
                <w:szCs w:val="22"/>
              </w:rPr>
              <w:t>资助学生数量</w:t>
            </w:r>
          </w:p>
        </w:tc>
        <w:tc>
          <w:tcPr>
            <w:tcW w:w="705" w:type="dxa"/>
            <w:noWrap/>
            <w:vAlign w:val="center"/>
          </w:tcPr>
          <w:p w14:paraId="18C55636">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80" w:type="dxa"/>
            <w:noWrap/>
            <w:vAlign w:val="center"/>
          </w:tcPr>
          <w:p w14:paraId="26A66263">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w:t>
            </w:r>
          </w:p>
        </w:tc>
        <w:tc>
          <w:tcPr>
            <w:tcW w:w="675" w:type="dxa"/>
            <w:noWrap/>
            <w:vAlign w:val="center"/>
          </w:tcPr>
          <w:p w14:paraId="419BB367">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人次</w:t>
            </w:r>
          </w:p>
        </w:tc>
        <w:tc>
          <w:tcPr>
            <w:tcW w:w="705" w:type="dxa"/>
            <w:noWrap/>
            <w:vAlign w:val="center"/>
          </w:tcPr>
          <w:p w14:paraId="44ABE35C">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20</w:t>
            </w:r>
          </w:p>
        </w:tc>
        <w:tc>
          <w:tcPr>
            <w:tcW w:w="915" w:type="dxa"/>
            <w:noWrap/>
            <w:vAlign w:val="center"/>
          </w:tcPr>
          <w:p w14:paraId="4C3F8B41">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w:t>
            </w:r>
          </w:p>
        </w:tc>
        <w:tc>
          <w:tcPr>
            <w:tcW w:w="795" w:type="dxa"/>
            <w:noWrap/>
            <w:vAlign w:val="center"/>
          </w:tcPr>
          <w:p w14:paraId="693A1FC3">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20</w:t>
            </w:r>
          </w:p>
        </w:tc>
        <w:tc>
          <w:tcPr>
            <w:tcW w:w="753" w:type="dxa"/>
            <w:noWrap/>
            <w:vAlign w:val="center"/>
          </w:tcPr>
          <w:p w14:paraId="2D058BB4">
            <w:pPr>
              <w:keepNext w:val="0"/>
              <w:keepLines w:val="0"/>
              <w:pageBreakBefore w:val="0"/>
              <w:kinsoku/>
              <w:overflowPunct/>
              <w:topLinePunct w:val="0"/>
              <w:autoSpaceDN/>
              <w:bidi w:val="0"/>
              <w:spacing w:beforeAutospacing="0" w:afterAutospacing="0" w:line="240" w:lineRule="auto"/>
              <w:rPr>
                <w:rFonts w:hint="default" w:eastAsia="方正仿宋_GBK" w:cs="宋体"/>
                <w:sz w:val="22"/>
                <w:szCs w:val="22"/>
              </w:rPr>
            </w:pPr>
          </w:p>
        </w:tc>
        <w:tc>
          <w:tcPr>
            <w:tcW w:w="850" w:type="dxa"/>
            <w:vMerge w:val="restart"/>
            <w:noWrap/>
            <w:vAlign w:val="center"/>
          </w:tcPr>
          <w:p w14:paraId="020EA241">
            <w:pPr>
              <w:keepNext w:val="0"/>
              <w:keepLines w:val="0"/>
              <w:pageBreakBefore w:val="0"/>
              <w:kinsoku/>
              <w:overflowPunct/>
              <w:topLinePunct w:val="0"/>
              <w:autoSpaceDN/>
              <w:bidi w:val="0"/>
              <w:spacing w:beforeAutospacing="0" w:afterAutospacing="0" w:line="240" w:lineRule="auto"/>
              <w:jc w:val="center"/>
              <w:rPr>
                <w:rFonts w:hint="default" w:cs="宋体"/>
                <w:sz w:val="22"/>
              </w:rPr>
            </w:pPr>
            <w:r>
              <w:rPr>
                <w:rFonts w:cs="宋体"/>
                <w:sz w:val="22"/>
              </w:rPr>
              <w:t>100</w:t>
            </w:r>
          </w:p>
        </w:tc>
      </w:tr>
      <w:tr w14:paraId="65AE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5F98FFF0">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5B02FE9B">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2C5E4786">
            <w:pPr>
              <w:keepNext w:val="0"/>
              <w:keepLines w:val="0"/>
              <w:pageBreakBefore w:val="0"/>
              <w:kinsoku/>
              <w:overflowPunct/>
              <w:topLinePunct w:val="0"/>
              <w:autoSpaceDN/>
              <w:bidi w:val="0"/>
              <w:spacing w:beforeAutospacing="0" w:afterAutospacing="0" w:line="240" w:lineRule="auto"/>
              <w:jc w:val="center"/>
              <w:rPr>
                <w:rFonts w:hint="default" w:eastAsia="方正仿宋_GBK" w:cs="宋体"/>
                <w:sz w:val="22"/>
                <w:szCs w:val="22"/>
              </w:rPr>
            </w:pPr>
            <w:r>
              <w:rPr>
                <w:rFonts w:cs="宋体"/>
                <w:sz w:val="22"/>
                <w:szCs w:val="22"/>
              </w:rPr>
              <w:t>资助到位时间</w:t>
            </w:r>
          </w:p>
        </w:tc>
        <w:tc>
          <w:tcPr>
            <w:tcW w:w="705" w:type="dxa"/>
            <w:noWrap/>
            <w:vAlign w:val="center"/>
          </w:tcPr>
          <w:p w14:paraId="61DB74D7">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80" w:type="dxa"/>
            <w:noWrap/>
            <w:vAlign w:val="center"/>
          </w:tcPr>
          <w:p w14:paraId="5E49B5D6">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50</w:t>
            </w:r>
          </w:p>
        </w:tc>
        <w:tc>
          <w:tcPr>
            <w:tcW w:w="675" w:type="dxa"/>
            <w:noWrap/>
            <w:vAlign w:val="center"/>
          </w:tcPr>
          <w:p w14:paraId="3E47CB26">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天</w:t>
            </w:r>
          </w:p>
        </w:tc>
        <w:tc>
          <w:tcPr>
            <w:tcW w:w="705" w:type="dxa"/>
            <w:noWrap/>
            <w:vAlign w:val="center"/>
          </w:tcPr>
          <w:p w14:paraId="289CE216">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915" w:type="dxa"/>
            <w:noWrap/>
            <w:vAlign w:val="center"/>
          </w:tcPr>
          <w:p w14:paraId="476BEC90">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50</w:t>
            </w:r>
          </w:p>
        </w:tc>
        <w:tc>
          <w:tcPr>
            <w:tcW w:w="795" w:type="dxa"/>
            <w:noWrap/>
            <w:vAlign w:val="center"/>
          </w:tcPr>
          <w:p w14:paraId="10329972">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753" w:type="dxa"/>
            <w:noWrap/>
            <w:vAlign w:val="center"/>
          </w:tcPr>
          <w:p w14:paraId="7DA8F56B">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29606AD3">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r w14:paraId="5C14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5381220D">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0CB75AE3">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392C635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资助资金及时到位率</w:t>
            </w:r>
          </w:p>
        </w:tc>
        <w:tc>
          <w:tcPr>
            <w:tcW w:w="705" w:type="dxa"/>
            <w:noWrap/>
            <w:vAlign w:val="center"/>
          </w:tcPr>
          <w:p w14:paraId="5C4B235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80" w:type="dxa"/>
            <w:noWrap/>
            <w:vAlign w:val="center"/>
          </w:tcPr>
          <w:p w14:paraId="58067BDA">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100</w:t>
            </w:r>
          </w:p>
        </w:tc>
        <w:tc>
          <w:tcPr>
            <w:tcW w:w="675" w:type="dxa"/>
            <w:noWrap/>
            <w:vAlign w:val="center"/>
          </w:tcPr>
          <w:p w14:paraId="2427607D">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05" w:type="dxa"/>
            <w:noWrap/>
            <w:vAlign w:val="center"/>
          </w:tcPr>
          <w:p w14:paraId="62A71494">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915" w:type="dxa"/>
            <w:noWrap/>
            <w:vAlign w:val="center"/>
          </w:tcPr>
          <w:p w14:paraId="0F06B4D9">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100</w:t>
            </w:r>
          </w:p>
        </w:tc>
        <w:tc>
          <w:tcPr>
            <w:tcW w:w="795" w:type="dxa"/>
            <w:noWrap/>
            <w:vAlign w:val="center"/>
          </w:tcPr>
          <w:p w14:paraId="3738284F">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753" w:type="dxa"/>
            <w:noWrap/>
            <w:vAlign w:val="center"/>
          </w:tcPr>
          <w:p w14:paraId="2448A2AB">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25ED7330">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r w14:paraId="0093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45E291B2">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5F052412">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36E91123">
            <w:pPr>
              <w:keepNext w:val="0"/>
              <w:keepLines w:val="0"/>
              <w:pageBreakBefore w:val="0"/>
              <w:kinsoku/>
              <w:overflowPunct/>
              <w:topLinePunct w:val="0"/>
              <w:autoSpaceDN/>
              <w:bidi w:val="0"/>
              <w:spacing w:beforeAutospacing="0" w:afterAutospacing="0" w:line="240" w:lineRule="auto"/>
              <w:jc w:val="center"/>
              <w:rPr>
                <w:rFonts w:hint="default" w:eastAsia="方正仿宋_GBK" w:cs="宋体"/>
                <w:sz w:val="22"/>
                <w:szCs w:val="22"/>
              </w:rPr>
            </w:pPr>
            <w:r>
              <w:rPr>
                <w:rFonts w:cs="宋体"/>
                <w:sz w:val="22"/>
                <w:szCs w:val="22"/>
              </w:rPr>
              <w:t>资助事项公示率</w:t>
            </w:r>
          </w:p>
        </w:tc>
        <w:tc>
          <w:tcPr>
            <w:tcW w:w="705" w:type="dxa"/>
            <w:noWrap/>
            <w:vAlign w:val="center"/>
          </w:tcPr>
          <w:p w14:paraId="72A074F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80" w:type="dxa"/>
            <w:noWrap/>
            <w:vAlign w:val="center"/>
          </w:tcPr>
          <w:p w14:paraId="6203E2C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100</w:t>
            </w:r>
          </w:p>
        </w:tc>
        <w:tc>
          <w:tcPr>
            <w:tcW w:w="675" w:type="dxa"/>
            <w:noWrap/>
            <w:vAlign w:val="center"/>
          </w:tcPr>
          <w:p w14:paraId="5705CE48">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w:t>
            </w:r>
          </w:p>
        </w:tc>
        <w:tc>
          <w:tcPr>
            <w:tcW w:w="705" w:type="dxa"/>
            <w:noWrap/>
            <w:vAlign w:val="center"/>
          </w:tcPr>
          <w:p w14:paraId="41A17CFC">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915" w:type="dxa"/>
            <w:noWrap/>
            <w:vAlign w:val="center"/>
          </w:tcPr>
          <w:p w14:paraId="1416A2CC">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100</w:t>
            </w:r>
          </w:p>
        </w:tc>
        <w:tc>
          <w:tcPr>
            <w:tcW w:w="795" w:type="dxa"/>
            <w:noWrap/>
            <w:vAlign w:val="center"/>
          </w:tcPr>
          <w:p w14:paraId="4EF2BA0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753" w:type="dxa"/>
            <w:noWrap/>
            <w:vAlign w:val="center"/>
          </w:tcPr>
          <w:p w14:paraId="49BFE683">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34957DD0">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r w14:paraId="563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734CA10F">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1B3A0363">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386F2CBF">
            <w:pPr>
              <w:keepNext w:val="0"/>
              <w:keepLines w:val="0"/>
              <w:pageBreakBefore w:val="0"/>
              <w:kinsoku/>
              <w:overflowPunct/>
              <w:topLinePunct w:val="0"/>
              <w:autoSpaceDN/>
              <w:bidi w:val="0"/>
              <w:spacing w:beforeAutospacing="0" w:afterAutospacing="0" w:line="240" w:lineRule="auto"/>
              <w:jc w:val="center"/>
              <w:rPr>
                <w:rFonts w:hint="default" w:eastAsia="方正仿宋_GBK" w:cs="宋体"/>
                <w:sz w:val="22"/>
                <w:szCs w:val="22"/>
              </w:rPr>
            </w:pPr>
            <w:r>
              <w:rPr>
                <w:rFonts w:cs="宋体"/>
                <w:sz w:val="22"/>
                <w:szCs w:val="22"/>
              </w:rPr>
              <w:t>促进幼儿健康成长</w:t>
            </w:r>
          </w:p>
        </w:tc>
        <w:tc>
          <w:tcPr>
            <w:tcW w:w="705" w:type="dxa"/>
            <w:noWrap/>
            <w:vAlign w:val="center"/>
          </w:tcPr>
          <w:p w14:paraId="69ECC6D3">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定性</w:t>
            </w:r>
          </w:p>
        </w:tc>
        <w:tc>
          <w:tcPr>
            <w:tcW w:w="780" w:type="dxa"/>
            <w:noWrap/>
            <w:vAlign w:val="center"/>
          </w:tcPr>
          <w:p w14:paraId="21B97158">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优良</w:t>
            </w:r>
          </w:p>
        </w:tc>
        <w:tc>
          <w:tcPr>
            <w:tcW w:w="675" w:type="dxa"/>
            <w:noWrap/>
            <w:vAlign w:val="center"/>
          </w:tcPr>
          <w:p w14:paraId="4853C2E6">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p>
        </w:tc>
        <w:tc>
          <w:tcPr>
            <w:tcW w:w="705" w:type="dxa"/>
            <w:noWrap/>
            <w:vAlign w:val="center"/>
          </w:tcPr>
          <w:p w14:paraId="0DE87F53">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915" w:type="dxa"/>
            <w:noWrap/>
            <w:vAlign w:val="center"/>
          </w:tcPr>
          <w:p w14:paraId="31279E09">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优良</w:t>
            </w:r>
          </w:p>
        </w:tc>
        <w:tc>
          <w:tcPr>
            <w:tcW w:w="795" w:type="dxa"/>
            <w:noWrap/>
            <w:vAlign w:val="center"/>
          </w:tcPr>
          <w:p w14:paraId="4C1FE7DE">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cs="宋体"/>
                <w:sz w:val="22"/>
                <w:szCs w:val="22"/>
              </w:rPr>
              <w:t>15</w:t>
            </w:r>
          </w:p>
        </w:tc>
        <w:tc>
          <w:tcPr>
            <w:tcW w:w="753" w:type="dxa"/>
            <w:noWrap/>
            <w:vAlign w:val="center"/>
          </w:tcPr>
          <w:p w14:paraId="5723BE07">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0F15AD54">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r w14:paraId="0079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0EA3D418">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0E36E725">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10546BDF">
            <w:pPr>
              <w:keepNext w:val="0"/>
              <w:keepLines w:val="0"/>
              <w:pageBreakBefore w:val="0"/>
              <w:kinsoku/>
              <w:overflowPunct/>
              <w:topLinePunct w:val="0"/>
              <w:autoSpaceDN/>
              <w:bidi w:val="0"/>
              <w:spacing w:beforeAutospacing="0" w:afterAutospacing="0" w:line="240" w:lineRule="auto"/>
              <w:jc w:val="center"/>
              <w:rPr>
                <w:rFonts w:hint="eastAsia" w:eastAsia="宋体" w:cs="宋体"/>
                <w:sz w:val="22"/>
                <w:szCs w:val="22"/>
                <w:lang w:val="en-US" w:eastAsia="zh-CN"/>
              </w:rPr>
            </w:pPr>
            <w:r>
              <w:rPr>
                <w:rFonts w:hint="eastAsia" w:cs="宋体"/>
                <w:sz w:val="22"/>
                <w:szCs w:val="22"/>
                <w:lang w:val="en-US" w:eastAsia="zh-CN"/>
              </w:rPr>
              <w:t>满意度</w:t>
            </w:r>
          </w:p>
        </w:tc>
        <w:tc>
          <w:tcPr>
            <w:tcW w:w="705" w:type="dxa"/>
            <w:noWrap/>
            <w:vAlign w:val="center"/>
          </w:tcPr>
          <w:p w14:paraId="15A938F9">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cs="宋体"/>
                <w:sz w:val="22"/>
                <w:szCs w:val="22"/>
              </w:rPr>
              <w:t>≥</w:t>
            </w:r>
          </w:p>
        </w:tc>
        <w:tc>
          <w:tcPr>
            <w:tcW w:w="780" w:type="dxa"/>
            <w:noWrap/>
            <w:vAlign w:val="center"/>
          </w:tcPr>
          <w:p w14:paraId="1AF9A124">
            <w:pPr>
              <w:keepNext w:val="0"/>
              <w:keepLines w:val="0"/>
              <w:pageBreakBefore w:val="0"/>
              <w:kinsoku/>
              <w:overflowPunct/>
              <w:topLinePunct w:val="0"/>
              <w:autoSpaceDN/>
              <w:bidi w:val="0"/>
              <w:spacing w:beforeAutospacing="0" w:afterAutospacing="0" w:line="240" w:lineRule="auto"/>
              <w:jc w:val="center"/>
              <w:rPr>
                <w:rFonts w:hint="default" w:eastAsia="宋体" w:cs="宋体"/>
                <w:sz w:val="22"/>
                <w:szCs w:val="22"/>
                <w:lang w:val="en-US" w:eastAsia="zh-CN"/>
              </w:rPr>
            </w:pPr>
            <w:r>
              <w:rPr>
                <w:rFonts w:hint="eastAsia" w:cs="宋体"/>
                <w:sz w:val="22"/>
                <w:szCs w:val="22"/>
                <w:lang w:val="en-US" w:eastAsia="zh-CN"/>
              </w:rPr>
              <w:t>95</w:t>
            </w:r>
          </w:p>
        </w:tc>
        <w:tc>
          <w:tcPr>
            <w:tcW w:w="675" w:type="dxa"/>
            <w:noWrap/>
            <w:vAlign w:val="center"/>
          </w:tcPr>
          <w:p w14:paraId="0B4CAC7D">
            <w:pPr>
              <w:keepNext w:val="0"/>
              <w:keepLines w:val="0"/>
              <w:pageBreakBefore w:val="0"/>
              <w:kinsoku/>
              <w:overflowPunct/>
              <w:topLinePunct w:val="0"/>
              <w:autoSpaceDN/>
              <w:bidi w:val="0"/>
              <w:spacing w:beforeAutospacing="0" w:afterAutospacing="0" w:line="240" w:lineRule="auto"/>
              <w:jc w:val="center"/>
              <w:rPr>
                <w:rFonts w:hint="eastAsia" w:eastAsia="宋体" w:cs="宋体"/>
                <w:sz w:val="22"/>
                <w:szCs w:val="22"/>
                <w:lang w:val="en-US" w:eastAsia="zh-CN"/>
              </w:rPr>
            </w:pPr>
            <w:r>
              <w:rPr>
                <w:rFonts w:hint="eastAsia" w:cs="宋体"/>
                <w:sz w:val="22"/>
                <w:szCs w:val="22"/>
                <w:lang w:val="en-US" w:eastAsia="zh-CN"/>
              </w:rPr>
              <w:t>%</w:t>
            </w:r>
          </w:p>
        </w:tc>
        <w:tc>
          <w:tcPr>
            <w:tcW w:w="705" w:type="dxa"/>
            <w:noWrap/>
            <w:vAlign w:val="center"/>
          </w:tcPr>
          <w:p w14:paraId="3A39E43B">
            <w:pPr>
              <w:keepNext w:val="0"/>
              <w:keepLines w:val="0"/>
              <w:pageBreakBefore w:val="0"/>
              <w:kinsoku/>
              <w:overflowPunct/>
              <w:topLinePunct w:val="0"/>
              <w:autoSpaceDN/>
              <w:bidi w:val="0"/>
              <w:spacing w:beforeAutospacing="0" w:afterAutospacing="0" w:line="240" w:lineRule="auto"/>
              <w:jc w:val="center"/>
              <w:rPr>
                <w:rFonts w:hint="default" w:eastAsia="宋体" w:cs="宋体"/>
                <w:sz w:val="22"/>
                <w:szCs w:val="22"/>
                <w:lang w:val="en-US" w:eastAsia="zh-CN"/>
              </w:rPr>
            </w:pPr>
            <w:r>
              <w:rPr>
                <w:rFonts w:hint="eastAsia" w:cs="宋体"/>
                <w:sz w:val="22"/>
                <w:szCs w:val="22"/>
                <w:lang w:val="en-US" w:eastAsia="zh-CN"/>
              </w:rPr>
              <w:t>10</w:t>
            </w:r>
          </w:p>
        </w:tc>
        <w:tc>
          <w:tcPr>
            <w:tcW w:w="915" w:type="dxa"/>
            <w:noWrap/>
            <w:vAlign w:val="center"/>
          </w:tcPr>
          <w:p w14:paraId="730B19D3">
            <w:pPr>
              <w:keepNext w:val="0"/>
              <w:keepLines w:val="0"/>
              <w:pageBreakBefore w:val="0"/>
              <w:kinsoku/>
              <w:overflowPunct/>
              <w:topLinePunct w:val="0"/>
              <w:autoSpaceDN/>
              <w:bidi w:val="0"/>
              <w:spacing w:beforeAutospacing="0" w:afterAutospacing="0" w:line="240" w:lineRule="auto"/>
              <w:jc w:val="center"/>
              <w:rPr>
                <w:rFonts w:hint="default" w:eastAsia="宋体" w:cs="宋体"/>
                <w:sz w:val="22"/>
                <w:szCs w:val="22"/>
                <w:lang w:val="en-US" w:eastAsia="zh-CN"/>
              </w:rPr>
            </w:pPr>
            <w:r>
              <w:rPr>
                <w:rFonts w:hint="eastAsia" w:cs="宋体"/>
                <w:sz w:val="22"/>
                <w:szCs w:val="22"/>
                <w:lang w:val="en-US" w:eastAsia="zh-CN"/>
              </w:rPr>
              <w:t>95</w:t>
            </w:r>
          </w:p>
        </w:tc>
        <w:tc>
          <w:tcPr>
            <w:tcW w:w="795" w:type="dxa"/>
            <w:noWrap/>
            <w:vAlign w:val="center"/>
          </w:tcPr>
          <w:p w14:paraId="4E13AAD7">
            <w:pPr>
              <w:keepNext w:val="0"/>
              <w:keepLines w:val="0"/>
              <w:pageBreakBefore w:val="0"/>
              <w:kinsoku/>
              <w:overflowPunct/>
              <w:topLinePunct w:val="0"/>
              <w:autoSpaceDN/>
              <w:bidi w:val="0"/>
              <w:spacing w:beforeAutospacing="0" w:afterAutospacing="0" w:line="240" w:lineRule="auto"/>
              <w:jc w:val="center"/>
              <w:rPr>
                <w:rFonts w:hint="default" w:eastAsia="宋体" w:cs="宋体"/>
                <w:sz w:val="22"/>
                <w:szCs w:val="22"/>
                <w:lang w:val="en-US" w:eastAsia="zh-CN"/>
              </w:rPr>
            </w:pPr>
            <w:r>
              <w:rPr>
                <w:rFonts w:hint="eastAsia" w:cs="宋体"/>
                <w:sz w:val="22"/>
                <w:szCs w:val="22"/>
                <w:lang w:val="en-US" w:eastAsia="zh-CN"/>
              </w:rPr>
              <w:t>10</w:t>
            </w:r>
          </w:p>
        </w:tc>
        <w:tc>
          <w:tcPr>
            <w:tcW w:w="753" w:type="dxa"/>
            <w:noWrap/>
            <w:vAlign w:val="center"/>
          </w:tcPr>
          <w:p w14:paraId="0DEB66EB">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353B5F39">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r w14:paraId="7C93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9" w:type="dxa"/>
            <w:vMerge w:val="continue"/>
            <w:noWrap/>
            <w:vAlign w:val="center"/>
          </w:tcPr>
          <w:p w14:paraId="385DF888">
            <w:pPr>
              <w:keepNext w:val="0"/>
              <w:keepLines w:val="0"/>
              <w:pageBreakBefore w:val="0"/>
              <w:kinsoku/>
              <w:overflowPunct/>
              <w:topLinePunct w:val="0"/>
              <w:autoSpaceDN/>
              <w:bidi w:val="0"/>
              <w:spacing w:beforeAutospacing="0" w:afterAutospacing="0" w:line="240" w:lineRule="auto"/>
              <w:jc w:val="center"/>
              <w:textAlignment w:val="center"/>
              <w:rPr>
                <w:rFonts w:hint="default"/>
                <w:color w:val="000000"/>
                <w:sz w:val="22"/>
                <w:szCs w:val="22"/>
              </w:rPr>
            </w:pPr>
          </w:p>
        </w:tc>
        <w:tc>
          <w:tcPr>
            <w:tcW w:w="1365" w:type="dxa"/>
            <w:vMerge w:val="continue"/>
            <w:noWrap/>
            <w:vAlign w:val="center"/>
          </w:tcPr>
          <w:p w14:paraId="2BBACEC3">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szCs w:val="22"/>
              </w:rPr>
            </w:pPr>
          </w:p>
        </w:tc>
        <w:tc>
          <w:tcPr>
            <w:tcW w:w="1140" w:type="dxa"/>
            <w:noWrap/>
            <w:vAlign w:val="center"/>
          </w:tcPr>
          <w:p w14:paraId="042B0EA4">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执行率</w:t>
            </w:r>
          </w:p>
        </w:tc>
        <w:tc>
          <w:tcPr>
            <w:tcW w:w="705" w:type="dxa"/>
            <w:noWrap/>
            <w:vAlign w:val="center"/>
          </w:tcPr>
          <w:p w14:paraId="22504C1B">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w:t>
            </w:r>
          </w:p>
        </w:tc>
        <w:tc>
          <w:tcPr>
            <w:tcW w:w="780" w:type="dxa"/>
            <w:noWrap/>
            <w:vAlign w:val="center"/>
          </w:tcPr>
          <w:p w14:paraId="6E56FEBB">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100</w:t>
            </w:r>
          </w:p>
        </w:tc>
        <w:tc>
          <w:tcPr>
            <w:tcW w:w="675" w:type="dxa"/>
            <w:noWrap/>
            <w:vAlign w:val="center"/>
          </w:tcPr>
          <w:p w14:paraId="118A7153">
            <w:pPr>
              <w:keepNext w:val="0"/>
              <w:keepLines w:val="0"/>
              <w:pageBreakBefore w:val="0"/>
              <w:kinsoku/>
              <w:overflowPunct/>
              <w:topLinePunct w:val="0"/>
              <w:autoSpaceDN/>
              <w:bidi w:val="0"/>
              <w:spacing w:beforeAutospacing="0" w:afterAutospacing="0" w:line="240" w:lineRule="auto"/>
              <w:jc w:val="center"/>
              <w:rPr>
                <w:rFonts w:hint="default" w:cs="宋体"/>
                <w:sz w:val="22"/>
                <w:szCs w:val="22"/>
              </w:rPr>
            </w:pPr>
            <w:r>
              <w:rPr>
                <w:rFonts w:hint="eastAsia" w:cs="宋体"/>
                <w:sz w:val="22"/>
                <w:szCs w:val="22"/>
                <w:lang w:val="en-US" w:eastAsia="zh-CN"/>
              </w:rPr>
              <w:t>%</w:t>
            </w:r>
          </w:p>
        </w:tc>
        <w:tc>
          <w:tcPr>
            <w:tcW w:w="705" w:type="dxa"/>
            <w:noWrap/>
            <w:vAlign w:val="center"/>
          </w:tcPr>
          <w:p w14:paraId="5BE8566C">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10</w:t>
            </w:r>
          </w:p>
        </w:tc>
        <w:tc>
          <w:tcPr>
            <w:tcW w:w="915" w:type="dxa"/>
            <w:noWrap/>
            <w:vAlign w:val="center"/>
          </w:tcPr>
          <w:p w14:paraId="300C0611">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100</w:t>
            </w:r>
          </w:p>
        </w:tc>
        <w:tc>
          <w:tcPr>
            <w:tcW w:w="795" w:type="dxa"/>
            <w:noWrap/>
            <w:vAlign w:val="center"/>
          </w:tcPr>
          <w:p w14:paraId="09A8DEB8">
            <w:pPr>
              <w:keepNext w:val="0"/>
              <w:keepLines w:val="0"/>
              <w:pageBreakBefore w:val="0"/>
              <w:kinsoku/>
              <w:overflowPunct/>
              <w:topLinePunct w:val="0"/>
              <w:autoSpaceDN/>
              <w:bidi w:val="0"/>
              <w:spacing w:beforeAutospacing="0" w:afterAutospacing="0" w:line="240" w:lineRule="auto"/>
              <w:jc w:val="center"/>
              <w:rPr>
                <w:rFonts w:cs="宋体"/>
                <w:sz w:val="22"/>
                <w:szCs w:val="22"/>
              </w:rPr>
            </w:pPr>
            <w:r>
              <w:rPr>
                <w:rFonts w:hint="eastAsia" w:cs="宋体"/>
                <w:sz w:val="22"/>
                <w:szCs w:val="22"/>
                <w:lang w:val="en-US" w:eastAsia="zh-CN"/>
              </w:rPr>
              <w:t>10</w:t>
            </w:r>
          </w:p>
        </w:tc>
        <w:tc>
          <w:tcPr>
            <w:tcW w:w="753" w:type="dxa"/>
            <w:noWrap/>
            <w:vAlign w:val="center"/>
          </w:tcPr>
          <w:p w14:paraId="50947E07">
            <w:pPr>
              <w:keepNext w:val="0"/>
              <w:keepLines w:val="0"/>
              <w:pageBreakBefore w:val="0"/>
              <w:kinsoku/>
              <w:overflowPunct/>
              <w:topLinePunct w:val="0"/>
              <w:autoSpaceDN/>
              <w:bidi w:val="0"/>
              <w:spacing w:beforeAutospacing="0" w:afterAutospacing="0" w:line="240" w:lineRule="auto"/>
              <w:rPr>
                <w:rFonts w:hint="default" w:cs="宋体"/>
                <w:sz w:val="22"/>
                <w:szCs w:val="22"/>
              </w:rPr>
            </w:pPr>
          </w:p>
        </w:tc>
        <w:tc>
          <w:tcPr>
            <w:tcW w:w="850" w:type="dxa"/>
            <w:vMerge w:val="continue"/>
            <w:noWrap/>
            <w:vAlign w:val="center"/>
          </w:tcPr>
          <w:p w14:paraId="7E1EE3D6">
            <w:pPr>
              <w:keepNext w:val="0"/>
              <w:keepLines w:val="0"/>
              <w:pageBreakBefore w:val="0"/>
              <w:kinsoku/>
              <w:overflowPunct/>
              <w:topLinePunct w:val="0"/>
              <w:autoSpaceDN/>
              <w:bidi w:val="0"/>
              <w:spacing w:beforeAutospacing="0" w:afterAutospacing="0" w:line="240" w:lineRule="auto"/>
              <w:jc w:val="center"/>
              <w:rPr>
                <w:rFonts w:hint="default" w:cs="宋体"/>
                <w:color w:val="000000"/>
                <w:sz w:val="22"/>
              </w:rPr>
            </w:pPr>
          </w:p>
        </w:tc>
      </w:tr>
    </w:tbl>
    <w:p w14:paraId="3C1E2F1D">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ascii="Times New Roman" w:hAnsi="Times New Roman" w:eastAsia="方正楷体_GBK"/>
          <w:bCs/>
          <w:sz w:val="32"/>
        </w:rPr>
      </w:pPr>
      <w:r>
        <w:rPr>
          <w:rFonts w:hint="eastAsia" w:ascii="Times New Roman" w:hAnsi="Times New Roman" w:eastAsia="方正楷体_GBK"/>
          <w:bCs/>
          <w:sz w:val="32"/>
        </w:rPr>
        <w:t>（二）单位重点绩效评价情况</w:t>
      </w:r>
    </w:p>
    <w:p w14:paraId="24307680">
      <w:pPr>
        <w:keepNext w:val="0"/>
        <w:keepLines w:val="0"/>
        <w:pageBreakBefore w:val="0"/>
        <w:widowControl w:val="0"/>
        <w:tabs>
          <w:tab w:val="center" w:pos="4153"/>
          <w:tab w:val="left" w:pos="7275"/>
        </w:tabs>
        <w:kinsoku/>
        <w:wordWrap/>
        <w:overflowPunct/>
        <w:topLinePunct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我单位对2024年学前教育家庭经济困难幼儿资助专项经费开展了绩效评价，涉及财政拨款项目资金2.1万元，评价得分100分，评价等次为优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ascii="Times New Roman" w:hAnsi="Times New Roman" w:eastAsia="方正仿宋_GBK" w:cs="方正仿宋_GBK"/>
          <w:sz w:val="32"/>
          <w:szCs w:val="32"/>
          <w:shd w:val="clear" w:color="auto" w:fill="FFFFFF"/>
        </w:rPr>
        <w:t>。</w:t>
      </w:r>
    </w:p>
    <w:p w14:paraId="68589D57">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ascii="Times New Roman" w:hAnsi="Times New Roman" w:eastAsia="方正楷体_GBK"/>
          <w:bCs/>
          <w:sz w:val="32"/>
        </w:rPr>
      </w:pPr>
      <w:r>
        <w:rPr>
          <w:rFonts w:hint="eastAsia" w:ascii="Times New Roman" w:hAnsi="Times New Roman" w:eastAsia="方正楷体_GBK"/>
          <w:bCs/>
          <w:sz w:val="32"/>
        </w:rPr>
        <w:t>（三）财政绩效评价情况</w:t>
      </w:r>
    </w:p>
    <w:p w14:paraId="06B90B1B">
      <w:pPr>
        <w:keepNext w:val="0"/>
        <w:keepLines w:val="0"/>
        <w:pageBreakBefore w:val="0"/>
        <w:widowControl w:val="0"/>
        <w:tabs>
          <w:tab w:val="center" w:pos="4153"/>
          <w:tab w:val="left" w:pos="7275"/>
        </w:tabs>
        <w:kinsoku/>
        <w:wordWrap/>
        <w:overflowPunct/>
        <w:topLinePunct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财政重点绩效评价由区财政局统一公开。</w:t>
      </w:r>
    </w:p>
    <w:p w14:paraId="416382D9">
      <w:pPr>
        <w:keepNext w:val="0"/>
        <w:keepLines w:val="0"/>
        <w:pageBreakBefore w:val="0"/>
        <w:widowControl w:val="0"/>
        <w:kinsoku/>
        <w:wordWrap/>
        <w:overflowPunct/>
        <w:topLinePunct w:val="0"/>
        <w:autoSpaceDN/>
        <w:bidi w:val="0"/>
        <w:spacing w:beforeAutospacing="0" w:afterAutospacing="0" w:line="600" w:lineRule="exact"/>
        <w:ind w:firstLine="640" w:firstLineChars="200"/>
        <w:jc w:val="both"/>
        <w:textAlignment w:val="auto"/>
        <w:rPr>
          <w:rFonts w:ascii="Times New Roman" w:hAnsi="Times New Roman" w:eastAsia="方正黑体_GBK" w:cs="方正仿宋_GBK"/>
          <w:b w:val="0"/>
          <w:bCs w:val="0"/>
          <w:sz w:val="32"/>
          <w:szCs w:val="32"/>
        </w:rPr>
      </w:pPr>
      <w:r>
        <w:rPr>
          <w:rStyle w:val="14"/>
          <w:rFonts w:hint="eastAsia" w:ascii="Times New Roman" w:hAnsi="Times New Roman" w:eastAsia="方正黑体_GBK" w:cs="方正仿宋_GBK"/>
          <w:b w:val="0"/>
          <w:bCs w:val="0"/>
          <w:sz w:val="32"/>
          <w:szCs w:val="32"/>
          <w:shd w:val="clear" w:color="auto" w:fill="FFFFFF"/>
        </w:rPr>
        <w:t>六、专业名词解释</w:t>
      </w:r>
    </w:p>
    <w:p w14:paraId="05E584C1">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楷体_GBK"/>
          <w:bCs/>
          <w:sz w:val="32"/>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4BFB74F1">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楷体_GBK"/>
          <w:bCs/>
          <w:sz w:val="32"/>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8023D0">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楷体_GBK"/>
          <w:b w:val="0"/>
          <w:bCs w:val="0"/>
          <w:sz w:val="32"/>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35A4A759">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sz w:val="32"/>
          <w:szCs w:val="32"/>
          <w:shd w:val="clear" w:color="auto" w:fill="FFFFFF"/>
        </w:rPr>
        <w:t>（</w:t>
      </w:r>
      <w:r>
        <w:rPr>
          <w:rFonts w:hint="eastAsia" w:ascii="Times New Roman" w:hAnsi="Times New Roman" w:eastAsia="方正楷体_GBK"/>
          <w:bCs/>
          <w:sz w:val="32"/>
          <w:szCs w:val="32"/>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FC3638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98C7B34">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6A62BEE2">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A5678A9">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4660214D">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887294">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F8B214A">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51FB4457">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38389C">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044EB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0FF281BF">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BCC6E49">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12A5FF25">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Style w:val="11"/>
          <w:rFonts w:hint="eastAsia" w:ascii="Times New Roman" w:hAnsi="Times New Roman" w:eastAsia="方正楷体_GBK" w:cs="楷体"/>
          <w:b w:val="0"/>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3DE91564">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七、决算公开联系方式及信息反馈渠道</w:t>
      </w:r>
    </w:p>
    <w:p w14:paraId="5AEC50E1">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本单位决算公开信息反馈和联系方式：023-68641918</w:t>
      </w:r>
    </w:p>
    <w:p w14:paraId="547EED7E">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p>
    <w:p w14:paraId="5225B726">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48CF54D8">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154D7EF6">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0434675C">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64867D09">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26EBE6A2">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2F3BD03C">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126378D4">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50B701B3">
      <w:pPr>
        <w:pStyle w:val="12"/>
        <w:keepNext w:val="0"/>
        <w:keepLines w:val="0"/>
        <w:pageBreakBefore w:val="0"/>
        <w:widowControl/>
        <w:kinsoku/>
        <w:wordWrap/>
        <w:overflowPunct/>
        <w:topLinePunct w:val="0"/>
        <w:autoSpaceDE w:val="0"/>
        <w:autoSpaceDN/>
        <w:bidi w:val="0"/>
        <w:spacing w:beforeAutospacing="0" w:afterAutospacing="0" w:line="600" w:lineRule="exact"/>
        <w:ind w:firstLine="1600" w:firstLineChars="500"/>
        <w:jc w:val="both"/>
        <w:textAlignment w:val="auto"/>
        <w:rPr>
          <w:rStyle w:val="11"/>
          <w:rFonts w:ascii="Times New Roman" w:hAnsi="Times New Roman"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shd w:val="clear" w:color="auto" w:fill="FFFFFF"/>
        </w:rPr>
        <w:t>9.机构运行信息表</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CEFE2F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3AE511">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收入支出决算总表</w:t>
            </w:r>
          </w:p>
        </w:tc>
      </w:tr>
      <w:tr w14:paraId="4B3A599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7BE812F">
            <w:pPr>
              <w:keepNext w:val="0"/>
              <w:keepLines w:val="0"/>
              <w:pageBreakBefore w:val="0"/>
              <w:kinsoku/>
              <w:overflowPunct/>
              <w:topLinePunct w:val="0"/>
              <w:autoSpaceDN/>
              <w:bidi w:val="0"/>
              <w:spacing w:beforeAutospacing="0" w:afterAutospacing="0" w:line="240" w:lineRule="auto"/>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75FFFE2">
            <w:pPr>
              <w:keepNext w:val="0"/>
              <w:keepLines w:val="0"/>
              <w:pageBreakBefore w:val="0"/>
              <w:kinsoku/>
              <w:overflowPunct/>
              <w:topLinePunct w:val="0"/>
              <w:autoSpaceDN/>
              <w:bidi w:val="0"/>
              <w:spacing w:beforeAutospacing="0" w:afterAutospacing="0" w:line="240" w:lineRule="auto"/>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CDA2E44">
            <w:pPr>
              <w:keepNext w:val="0"/>
              <w:keepLines w:val="0"/>
              <w:pageBreakBefore w:val="0"/>
              <w:kinsoku/>
              <w:overflowPunct/>
              <w:topLinePunct w:val="0"/>
              <w:autoSpaceDN/>
              <w:bidi w:val="0"/>
              <w:spacing w:beforeAutospacing="0" w:afterAutospacing="0" w:line="240" w:lineRule="auto"/>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23D6828">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A6ABF9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08AC273">
            <w:pPr>
              <w:keepNext w:val="0"/>
              <w:keepLines w:val="0"/>
              <w:pageBreakBefore w:val="0"/>
              <w:kinsoku/>
              <w:overflowPunct/>
              <w:topLinePunct w:val="0"/>
              <w:autoSpaceDN/>
              <w:bidi w:val="0"/>
              <w:spacing w:beforeAutospacing="0" w:afterAutospacing="0" w:line="240" w:lineRule="auto"/>
              <w:rPr>
                <w:rFonts w:hint="default" w:ascii="Arial" w:hAnsi="Arial" w:cs="Arial"/>
                <w:color w:val="000000"/>
                <w:sz w:val="22"/>
                <w:szCs w:val="22"/>
              </w:rPr>
            </w:pPr>
            <w:r>
              <w:rPr>
                <w:rFonts w:cs="宋体"/>
                <w:sz w:val="20"/>
                <w:szCs w:val="20"/>
              </w:rPr>
              <w:t>单位：</w:t>
            </w:r>
            <w:r>
              <w:rPr>
                <w:sz w:val="20"/>
              </w:rPr>
              <w:t>重庆市袁家岗幼儿园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E1E5E58">
            <w:pPr>
              <w:keepNext w:val="0"/>
              <w:keepLines w:val="0"/>
              <w:pageBreakBefore w:val="0"/>
              <w:kinsoku/>
              <w:overflowPunct/>
              <w:topLinePunct w:val="0"/>
              <w:autoSpaceDN/>
              <w:bidi w:val="0"/>
              <w:spacing w:beforeAutospacing="0" w:afterAutospacing="0" w:line="240" w:lineRule="auto"/>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DD19D3">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5F0AB1">
        <w:tblPrEx>
          <w:tblCellMar>
            <w:top w:w="0" w:type="dxa"/>
            <w:left w:w="0" w:type="dxa"/>
            <w:bottom w:w="0" w:type="dxa"/>
            <w:right w:w="0" w:type="dxa"/>
          </w:tblCellMar>
        </w:tblPrEx>
        <w:trPr>
          <w:trHeight w:val="238"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202C">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BB891">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支出</w:t>
            </w:r>
          </w:p>
        </w:tc>
      </w:tr>
      <w:tr w14:paraId="317897C4">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4E24">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7BA1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AA4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DF78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决算数</w:t>
            </w:r>
          </w:p>
        </w:tc>
      </w:tr>
      <w:tr w14:paraId="7862A207">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1AA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DDA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684.85</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C4D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B18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2AAEDDA1">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1C90">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897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50.00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E35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BEE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201C0742">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089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49B0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174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E94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314C536B">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6BC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14A3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2A00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5AF1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19BECB43">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5EB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A57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187.86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C11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21A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748.33</w:t>
            </w:r>
          </w:p>
        </w:tc>
      </w:tr>
      <w:tr w14:paraId="188FBDCC">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17B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98B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B93F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3B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0E92A7B5">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DE7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8AA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1C1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937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3F67CF5B">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240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C92A06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131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C2E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62.48</w:t>
            </w:r>
          </w:p>
        </w:tc>
      </w:tr>
      <w:tr w14:paraId="10940272">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DBB5">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AF76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A23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840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24.65</w:t>
            </w:r>
          </w:p>
        </w:tc>
      </w:tr>
      <w:tr w14:paraId="2C938AD6">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9206">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38C9D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00A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2F44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3A0308FD">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1BDD">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A56F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8EB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B86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50.00</w:t>
            </w:r>
          </w:p>
        </w:tc>
      </w:tr>
      <w:tr w14:paraId="0BBB2EE4">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969C">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9F8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349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E41A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21A326F7">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54FB">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FA9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E48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FED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7CAB2D74">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FD55">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21A4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B82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4288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7E2C1F7B">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D808">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C12F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CF2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77D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55011C0D">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FC54">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114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4D90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1BD7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2FFF72EA">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DD35">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F3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44F5">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8AE4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5F84881F">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BCA7">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338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18D2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DA8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6B70E6FD">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33F8">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CB32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2F64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80DE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37.25</w:t>
            </w:r>
          </w:p>
        </w:tc>
      </w:tr>
      <w:tr w14:paraId="648E54E3">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169F">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B66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61C2">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4C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79D3A6F5">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9970">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2F8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CCC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9FC3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64CE4F1B">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B57B">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47F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C99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6382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0C2866EF">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7C7F">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49C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08BC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560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6EACCC03">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A5BB">
            <w:pPr>
              <w:keepNext w:val="0"/>
              <w:keepLines w:val="0"/>
              <w:pageBreakBefore w:val="0"/>
              <w:kinsoku/>
              <w:overflowPunct/>
              <w:topLinePunct w:val="0"/>
              <w:autoSpaceDN/>
              <w:bidi w:val="0"/>
              <w:spacing w:beforeAutospacing="0" w:afterAutospacing="0" w:line="240" w:lineRule="auto"/>
              <w:jc w:val="center"/>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9508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7CE8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2F5D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0E62A6ED">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9F18">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6CD4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CEB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3310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4A1C8693">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1FAA">
            <w:pPr>
              <w:keepNext w:val="0"/>
              <w:keepLines w:val="0"/>
              <w:pageBreakBefore w:val="0"/>
              <w:kinsoku/>
              <w:overflowPunct/>
              <w:topLinePunct w:val="0"/>
              <w:autoSpaceDN/>
              <w:bidi w:val="0"/>
              <w:spacing w:beforeAutospacing="0" w:afterAutospacing="0" w:line="240" w:lineRule="auto"/>
              <w:rPr>
                <w:rFonts w:hint="default" w:cs="宋体"/>
                <w:b/>
                <w:bCs/>
                <w:color w:val="000000"/>
                <w:sz w:val="15"/>
                <w:szCs w:val="15"/>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F0DF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764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997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4FCAE7A9">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3D6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bCs/>
                <w:color w:val="000000"/>
                <w:sz w:val="15"/>
                <w:szCs w:val="15"/>
              </w:rPr>
            </w:pPr>
            <w:r>
              <w:rPr>
                <w:rFonts w:cs="宋体"/>
                <w:b/>
                <w:bCs/>
                <w:color w:val="000000"/>
                <w:sz w:val="15"/>
                <w:szCs w:val="15"/>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FC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922.71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4A41">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bCs/>
                <w:color w:val="000000"/>
                <w:sz w:val="15"/>
                <w:szCs w:val="15"/>
              </w:rPr>
            </w:pPr>
            <w:r>
              <w:rPr>
                <w:rFonts w:cs="宋体"/>
                <w:b/>
                <w:bCs/>
                <w:color w:val="000000"/>
                <w:sz w:val="15"/>
                <w:szCs w:val="15"/>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4B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922.71</w:t>
            </w:r>
          </w:p>
        </w:tc>
      </w:tr>
      <w:tr w14:paraId="6273DEFC">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59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77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42D1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4A26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741CB99D">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C80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192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8C4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5"/>
                <w:szCs w:val="15"/>
              </w:rPr>
            </w:pPr>
            <w:r>
              <w:rPr>
                <w:rFonts w:cs="宋体"/>
                <w:b/>
                <w:bCs/>
                <w:color w:val="000000"/>
                <w:sz w:val="15"/>
                <w:szCs w:val="15"/>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54359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p>
        </w:tc>
      </w:tr>
      <w:tr w14:paraId="05C4873C">
        <w:tblPrEx>
          <w:tblCellMar>
            <w:top w:w="0" w:type="dxa"/>
            <w:left w:w="0" w:type="dxa"/>
            <w:bottom w:w="0" w:type="dxa"/>
            <w:right w:w="0" w:type="dxa"/>
          </w:tblCellMar>
        </w:tblPrEx>
        <w:trPr>
          <w:trHeight w:val="238"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700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E6A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922.71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503C94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5"/>
                <w:szCs w:val="15"/>
              </w:rPr>
            </w:pPr>
            <w:r>
              <w:rPr>
                <w:rFonts w:cs="宋体"/>
                <w:b/>
                <w:color w:val="000000"/>
                <w:sz w:val="15"/>
                <w:szCs w:val="15"/>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A9DA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5"/>
                <w:szCs w:val="15"/>
              </w:rPr>
            </w:pPr>
            <w:r>
              <w:rPr>
                <w:rFonts w:hint="default" w:ascii="Times New Roman" w:hAnsi="Times New Roman"/>
                <w:color w:val="000000"/>
                <w:sz w:val="15"/>
                <w:szCs w:val="15"/>
              </w:rPr>
              <w:t>922.71</w:t>
            </w:r>
          </w:p>
        </w:tc>
      </w:tr>
    </w:tbl>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A4D0C2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464818C">
            <w:pPr>
              <w:keepNext w:val="0"/>
              <w:keepLines w:val="0"/>
              <w:pageBreakBefore w:val="0"/>
              <w:kinsoku/>
              <w:overflowPunct/>
              <w:topLinePunct w:val="0"/>
              <w:autoSpaceDN/>
              <w:bidi w:val="0"/>
              <w:spacing w:beforeAutospacing="0" w:afterAutospacing="0" w:line="600" w:lineRule="exact"/>
              <w:jc w:val="both"/>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14:paraId="48BA658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32"/>
                <w:szCs w:val="32"/>
              </w:rPr>
            </w:pPr>
            <w:r>
              <w:rPr>
                <w:rFonts w:cs="宋体"/>
                <w:b/>
                <w:color w:val="000000"/>
                <w:sz w:val="32"/>
                <w:szCs w:val="32"/>
              </w:rPr>
              <w:t>收入决算表</w:t>
            </w:r>
          </w:p>
        </w:tc>
      </w:tr>
      <w:tr w14:paraId="5E0A4A7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9CFC92F">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r>
              <w:rPr>
                <w:rFonts w:cs="宋体"/>
                <w:sz w:val="20"/>
                <w:szCs w:val="20"/>
              </w:rPr>
              <w:t>单位：</w:t>
            </w:r>
            <w:r>
              <w:rPr>
                <w:sz w:val="20"/>
              </w:rPr>
              <w:t>重庆市袁家岗幼儿园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101A71B5">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A5C258">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C8A7627">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DE91DA6">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3F107DE">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BBB7679">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F7C5C73">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019A43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1E12089">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7732EB1">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490358">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85DE77B">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0DACEE">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2DCC47F">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576AE9">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8154CC7">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2CC0C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A5A7DD4">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C58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C8F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EE5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CD78C">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7CF0">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995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20D8">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其他收入</w:t>
            </w:r>
          </w:p>
        </w:tc>
      </w:tr>
      <w:tr w14:paraId="22CAE73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CE6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A6EBAD">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F6AA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07FF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C5B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E380">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47C5">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94D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7F6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9C6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17B1711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0D9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DD537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ED4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0E5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689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D79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37E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F575">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75B0">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93B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720F46C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E15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0E895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AE4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B310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0021">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6FF0">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621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3FD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63B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37D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190690C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1AA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2DBB1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68A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CEB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02D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1B4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332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E19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102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5C30">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65F269FA">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FFB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644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922.71</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CC9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734.85</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8BD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943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187.86</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D46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187.86</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994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436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5A0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A24896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EFA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301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499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C3B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DA0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1FD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187.86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5FA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75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BC4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B4E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1B419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62E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DF0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4C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04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A7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285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187.86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058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BCD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61A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6BD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D1587B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797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937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7C3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F0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B55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DC6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5E6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6B0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B30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9CE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059DF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0E2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D28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2EB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C93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CF7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61C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534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619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1A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ED5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6745E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014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4EE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8D7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CD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E97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18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3C5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135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15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BE7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66D71BF">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E61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897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1F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FCB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797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0F9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8BA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9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190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68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1CEB8DF">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ECB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B52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376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8D8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874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648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63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B08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781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342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CF69C1">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C90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AC5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341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E14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C7D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F6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4DD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495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A4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646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6EFE1A">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1FE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31E3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974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B90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91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2D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55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FDB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8CE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F91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59FF74">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241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EF6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CA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056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197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FFF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837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AB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E46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DFD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22A4C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26B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F01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18B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51C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359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A9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0BB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247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AAE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291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781B03">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A3A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42C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A14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CA4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DD7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8E0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DF9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91B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CCE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78F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9137ED">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943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9B1A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B53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12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0E1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550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1DB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5FE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DEE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335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1F9C9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D2E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CA1F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98B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3C5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4E1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6E5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C26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C69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0A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924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13BF2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337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23A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667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BBC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4AF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23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1D9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8F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E8B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AF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D48C7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E54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432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C38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B20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3D5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F9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03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9C2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6E5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425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5B608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B41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145D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2C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EC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13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86C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1B7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F6B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ECE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0E3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0F51C4">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39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05A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ED1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BE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5BE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420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853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F66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3B5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FE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0FB0FD">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CB4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5ED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9E2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62B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A3B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2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A0E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4A1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62E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0B2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ED81C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367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FC5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3A9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9A5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34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1F6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CF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C28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01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960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223B547">
      <w:pPr>
        <w:keepNext w:val="0"/>
        <w:keepLines w:val="0"/>
        <w:pageBreakBefore w:val="0"/>
        <w:kinsoku/>
        <w:overflowPunct/>
        <w:topLinePunct w:val="0"/>
        <w:autoSpaceDN/>
        <w:bidi w:val="0"/>
        <w:spacing w:beforeAutospacing="0" w:afterAutospacing="0" w:line="6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1678"/>
        <w:gridCol w:w="1521"/>
        <w:gridCol w:w="405"/>
        <w:gridCol w:w="1839"/>
        <w:gridCol w:w="935"/>
        <w:gridCol w:w="827"/>
        <w:gridCol w:w="867"/>
        <w:gridCol w:w="754"/>
        <w:gridCol w:w="940"/>
        <w:gridCol w:w="617"/>
        <w:gridCol w:w="1077"/>
        <w:gridCol w:w="615"/>
        <w:gridCol w:w="1314"/>
        <w:gridCol w:w="644"/>
      </w:tblGrid>
      <w:tr w14:paraId="70E55559">
        <w:tblPrEx>
          <w:tblCellMar>
            <w:top w:w="0" w:type="dxa"/>
            <w:left w:w="0" w:type="dxa"/>
            <w:bottom w:w="0" w:type="dxa"/>
            <w:right w:w="0" w:type="dxa"/>
          </w:tblCellMar>
        </w:tblPrEx>
        <w:trPr>
          <w:trHeight w:val="654" w:hRule="atLeast"/>
        </w:trPr>
        <w:tc>
          <w:tcPr>
            <w:tcW w:w="5000" w:type="pct"/>
            <w:gridSpan w:val="15"/>
            <w:tcBorders>
              <w:top w:val="nil"/>
              <w:left w:val="nil"/>
              <w:bottom w:val="nil"/>
              <w:right w:val="nil"/>
            </w:tcBorders>
            <w:shd w:val="clear" w:color="auto" w:fill="auto"/>
            <w:noWrap/>
            <w:tcMar>
              <w:top w:w="15" w:type="dxa"/>
              <w:left w:w="15" w:type="dxa"/>
              <w:right w:w="15" w:type="dxa"/>
            </w:tcMar>
            <w:vAlign w:val="bottom"/>
          </w:tcPr>
          <w:p w14:paraId="71156C04">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支出决算表</w:t>
            </w:r>
          </w:p>
        </w:tc>
      </w:tr>
      <w:tr w14:paraId="78E8FBCE">
        <w:tblPrEx>
          <w:tblCellMar>
            <w:top w:w="0" w:type="dxa"/>
            <w:left w:w="0" w:type="dxa"/>
            <w:bottom w:w="0" w:type="dxa"/>
            <w:right w:w="0" w:type="dxa"/>
          </w:tblCellMar>
        </w:tblPrEx>
        <w:trPr>
          <w:trHeight w:val="342" w:hRule="atLeast"/>
        </w:trPr>
        <w:tc>
          <w:tcPr>
            <w:tcW w:w="2196" w:type="pct"/>
            <w:gridSpan w:val="5"/>
            <w:vMerge w:val="restart"/>
            <w:tcBorders>
              <w:top w:val="nil"/>
              <w:left w:val="nil"/>
              <w:right w:val="nil"/>
            </w:tcBorders>
            <w:shd w:val="clear" w:color="auto" w:fill="auto"/>
            <w:noWrap/>
            <w:tcMar>
              <w:top w:w="15" w:type="dxa"/>
              <w:left w:w="15" w:type="dxa"/>
              <w:right w:w="15" w:type="dxa"/>
            </w:tcMar>
            <w:vAlign w:val="bottom"/>
          </w:tcPr>
          <w:p w14:paraId="7869FC39">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重庆市袁家岗幼儿园 </w:t>
            </w:r>
          </w:p>
        </w:tc>
        <w:tc>
          <w:tcPr>
            <w:tcW w:w="574" w:type="pct"/>
            <w:gridSpan w:val="2"/>
            <w:tcBorders>
              <w:top w:val="nil"/>
              <w:left w:val="nil"/>
              <w:bottom w:val="nil"/>
              <w:right w:val="nil"/>
            </w:tcBorders>
            <w:shd w:val="clear" w:color="auto" w:fill="auto"/>
            <w:noWrap/>
            <w:tcMar>
              <w:top w:w="15" w:type="dxa"/>
              <w:left w:w="15" w:type="dxa"/>
              <w:right w:w="15" w:type="dxa"/>
            </w:tcMar>
            <w:vAlign w:val="bottom"/>
          </w:tcPr>
          <w:p w14:paraId="3B06C3AC">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28" w:type="pct"/>
            <w:gridSpan w:val="2"/>
            <w:tcBorders>
              <w:top w:val="nil"/>
              <w:left w:val="nil"/>
              <w:bottom w:val="nil"/>
              <w:right w:val="nil"/>
            </w:tcBorders>
            <w:shd w:val="clear" w:color="auto" w:fill="auto"/>
            <w:noWrap/>
            <w:tcMar>
              <w:top w:w="15" w:type="dxa"/>
              <w:left w:w="15" w:type="dxa"/>
              <w:right w:w="15" w:type="dxa"/>
            </w:tcMar>
            <w:vAlign w:val="bottom"/>
          </w:tcPr>
          <w:p w14:paraId="4E438C74">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08" w:type="pct"/>
            <w:gridSpan w:val="2"/>
            <w:tcBorders>
              <w:top w:val="nil"/>
              <w:left w:val="nil"/>
              <w:bottom w:val="nil"/>
              <w:right w:val="nil"/>
            </w:tcBorders>
            <w:shd w:val="clear" w:color="auto" w:fill="auto"/>
            <w:noWrap/>
            <w:tcMar>
              <w:top w:w="15" w:type="dxa"/>
              <w:left w:w="15" w:type="dxa"/>
              <w:right w:w="15" w:type="dxa"/>
            </w:tcMar>
            <w:vAlign w:val="bottom"/>
          </w:tcPr>
          <w:p w14:paraId="59A40BB4">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79C1AE5A">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638" w:type="pct"/>
            <w:gridSpan w:val="2"/>
            <w:tcBorders>
              <w:top w:val="nil"/>
              <w:left w:val="nil"/>
              <w:bottom w:val="nil"/>
              <w:right w:val="nil"/>
            </w:tcBorders>
            <w:shd w:val="clear" w:color="auto" w:fill="auto"/>
            <w:noWrap/>
            <w:tcMar>
              <w:top w:w="15" w:type="dxa"/>
              <w:left w:w="15" w:type="dxa"/>
              <w:right w:w="15" w:type="dxa"/>
            </w:tcMar>
            <w:vAlign w:val="bottom"/>
          </w:tcPr>
          <w:p w14:paraId="530D18D8">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9B516B2">
        <w:tblPrEx>
          <w:tblCellMar>
            <w:top w:w="0" w:type="dxa"/>
            <w:left w:w="0" w:type="dxa"/>
            <w:bottom w:w="0" w:type="dxa"/>
            <w:right w:w="0" w:type="dxa"/>
          </w:tblCellMar>
        </w:tblPrEx>
        <w:trPr>
          <w:trHeight w:val="342" w:hRule="atLeast"/>
        </w:trPr>
        <w:tc>
          <w:tcPr>
            <w:tcW w:w="2196" w:type="pct"/>
            <w:gridSpan w:val="5"/>
            <w:vMerge w:val="continue"/>
            <w:tcBorders>
              <w:left w:val="nil"/>
              <w:bottom w:val="nil"/>
              <w:right w:val="nil"/>
            </w:tcBorders>
            <w:shd w:val="clear" w:color="auto" w:fill="auto"/>
            <w:noWrap/>
            <w:tcMar>
              <w:top w:w="15" w:type="dxa"/>
              <w:left w:w="15" w:type="dxa"/>
              <w:right w:w="15" w:type="dxa"/>
            </w:tcMar>
            <w:vAlign w:val="bottom"/>
          </w:tcPr>
          <w:p w14:paraId="06569058">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74" w:type="pct"/>
            <w:gridSpan w:val="2"/>
            <w:tcBorders>
              <w:top w:val="nil"/>
              <w:left w:val="nil"/>
              <w:bottom w:val="nil"/>
              <w:right w:val="nil"/>
            </w:tcBorders>
            <w:shd w:val="clear" w:color="auto" w:fill="auto"/>
            <w:noWrap/>
            <w:tcMar>
              <w:top w:w="15" w:type="dxa"/>
              <w:left w:w="15" w:type="dxa"/>
              <w:right w:w="15" w:type="dxa"/>
            </w:tcMar>
            <w:vAlign w:val="bottom"/>
          </w:tcPr>
          <w:p w14:paraId="797A4808">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28" w:type="pct"/>
            <w:gridSpan w:val="2"/>
            <w:tcBorders>
              <w:top w:val="nil"/>
              <w:left w:val="nil"/>
              <w:bottom w:val="nil"/>
              <w:right w:val="nil"/>
            </w:tcBorders>
            <w:shd w:val="clear" w:color="auto" w:fill="auto"/>
            <w:noWrap/>
            <w:tcMar>
              <w:top w:w="15" w:type="dxa"/>
              <w:left w:w="15" w:type="dxa"/>
              <w:right w:w="15" w:type="dxa"/>
            </w:tcMar>
            <w:vAlign w:val="bottom"/>
          </w:tcPr>
          <w:p w14:paraId="10B0554E">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08" w:type="pct"/>
            <w:gridSpan w:val="2"/>
            <w:tcBorders>
              <w:top w:val="nil"/>
              <w:left w:val="nil"/>
              <w:bottom w:val="nil"/>
              <w:right w:val="nil"/>
            </w:tcBorders>
            <w:shd w:val="clear" w:color="auto" w:fill="auto"/>
            <w:noWrap/>
            <w:tcMar>
              <w:top w:w="15" w:type="dxa"/>
              <w:left w:w="15" w:type="dxa"/>
              <w:right w:w="15" w:type="dxa"/>
            </w:tcMar>
            <w:vAlign w:val="bottom"/>
          </w:tcPr>
          <w:p w14:paraId="75A9CFA6">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0CFB75CC">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638" w:type="pct"/>
            <w:gridSpan w:val="2"/>
            <w:tcBorders>
              <w:top w:val="nil"/>
              <w:left w:val="nil"/>
              <w:bottom w:val="nil"/>
              <w:right w:val="nil"/>
            </w:tcBorders>
            <w:shd w:val="clear" w:color="auto" w:fill="auto"/>
            <w:noWrap/>
            <w:tcMar>
              <w:top w:w="15" w:type="dxa"/>
              <w:left w:w="15" w:type="dxa"/>
              <w:right w:w="15" w:type="dxa"/>
            </w:tcMar>
            <w:vAlign w:val="bottom"/>
          </w:tcPr>
          <w:p w14:paraId="37458668">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8F8154">
        <w:tblPrEx>
          <w:tblCellMar>
            <w:top w:w="0" w:type="dxa"/>
            <w:left w:w="0" w:type="dxa"/>
            <w:bottom w:w="0" w:type="dxa"/>
            <w:right w:w="0" w:type="dxa"/>
          </w:tblCellMar>
        </w:tblPrEx>
        <w:trPr>
          <w:trHeight w:val="362" w:hRule="atLeast"/>
        </w:trPr>
        <w:tc>
          <w:tcPr>
            <w:tcW w:w="159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BF08C">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8CA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本年支出合计</w:t>
            </w:r>
          </w:p>
        </w:tc>
        <w:tc>
          <w:tcPr>
            <w:tcW w:w="5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5AFE">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基本支出</w:t>
            </w:r>
          </w:p>
        </w:tc>
        <w:tc>
          <w:tcPr>
            <w:tcW w:w="5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AA4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项目支出</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781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上缴上级支出</w:t>
            </w:r>
          </w:p>
        </w:tc>
        <w:tc>
          <w:tcPr>
            <w:tcW w:w="5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3EF8">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经营支出</w:t>
            </w:r>
          </w:p>
        </w:tc>
        <w:tc>
          <w:tcPr>
            <w:tcW w:w="6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191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对附属单位补助支出</w:t>
            </w:r>
          </w:p>
        </w:tc>
      </w:tr>
      <w:tr w14:paraId="5BB902E9">
        <w:tblPrEx>
          <w:tblCellMar>
            <w:top w:w="0" w:type="dxa"/>
            <w:left w:w="0" w:type="dxa"/>
            <w:bottom w:w="0" w:type="dxa"/>
            <w:right w:w="0" w:type="dxa"/>
          </w:tblCellMar>
        </w:tblPrEx>
        <w:trPr>
          <w:trHeight w:val="338"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9B41">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gridSpan w:val="3"/>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D5B72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7AE2">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B53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1061">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A330">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57E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50D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5A56A371">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3895">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76"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1DA74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340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7F3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BED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F5D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66EE">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5B98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3DFCF55C">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702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76"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09B01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F05F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E85E">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874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4974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CF2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9A92">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7C869F4E">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F215">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76" w:type="pct"/>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730B2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D93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E5D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476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6FC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EBE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6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E5B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234F6550">
        <w:tblPrEx>
          <w:tblCellMar>
            <w:top w:w="0" w:type="dxa"/>
            <w:left w:w="0" w:type="dxa"/>
            <w:bottom w:w="0" w:type="dxa"/>
            <w:right w:w="0" w:type="dxa"/>
          </w:tblCellMar>
        </w:tblPrEx>
        <w:trPr>
          <w:trHeight w:val="283" w:hRule="exact"/>
        </w:trPr>
        <w:tc>
          <w:tcPr>
            <w:tcW w:w="159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0065">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564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922.71</w:t>
            </w:r>
          </w:p>
        </w:tc>
        <w:tc>
          <w:tcPr>
            <w:tcW w:w="57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F21C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520.59</w:t>
            </w:r>
          </w:p>
        </w:tc>
        <w:tc>
          <w:tcPr>
            <w:tcW w:w="52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519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402.12</w:t>
            </w:r>
          </w:p>
        </w:tc>
        <w:tc>
          <w:tcPr>
            <w:tcW w:w="50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E75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C20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748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7B47DB4">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49E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977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314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748.33</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DB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396.21</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237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352.12</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EC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931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EAF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6DE7652">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F3F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20502</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15A4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0C2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748.33</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1FF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396.21</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C41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352.12</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EF0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66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EA5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579883A">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7F7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2050201</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610B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33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748.33</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6F1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396.21</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81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352.12</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FE6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6AB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DB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CD957F">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22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C05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966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B92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0AB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0F7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32E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EF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401CAAD">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BDA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20805</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FDD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82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1E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62.48</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1C8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91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6E9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522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62D06E">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E10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2080505</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904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0BE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E8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90D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1C4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B1F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E9F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F95107">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987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2080506</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2412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10F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DA4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A11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E51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EE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2F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44CD8A">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CC3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2080599</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30B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AE6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9D1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14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4A5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54F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C8C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EA6FF68">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957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154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9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825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E0A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DA6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10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4DC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627111">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1E9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21011</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107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803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D8B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61C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17D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BC2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80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0C0F82">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72A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2101102</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38F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0B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163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709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F8D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23E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E0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031DC6">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8F1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2101199</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942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EC9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EDE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9D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2C5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A01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211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588210">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E6E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212</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F2D3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B18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6C9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24E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C6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B08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69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AB57889">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614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21208</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9FC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9D9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426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8DA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95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DCE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FBB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DA9E5F">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C37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2120803</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F82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6FF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878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441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23.23</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612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84B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859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C44B1A">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AAE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2120899</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75EC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944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24A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368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431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786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F9B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A9E05D">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6CA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040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A7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1AD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B77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36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833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B0A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138C2A2">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7F1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22102</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AE6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D6C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F86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37.25</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809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108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424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508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5EAF46">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185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2210201</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E34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996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B3A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35.08</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1E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32C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762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67D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21C850">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C87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2210203</w:t>
            </w:r>
          </w:p>
        </w:tc>
        <w:tc>
          <w:tcPr>
            <w:tcW w:w="1176"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E3AB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C8C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B51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CC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33D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DC0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C2F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EE7FA1">
        <w:tblPrEx>
          <w:tblCellMar>
            <w:top w:w="0" w:type="dxa"/>
            <w:left w:w="0" w:type="dxa"/>
            <w:bottom w:w="0" w:type="dxa"/>
            <w:right w:w="0" w:type="dxa"/>
          </w:tblCellMar>
        </w:tblPrEx>
        <w:trPr>
          <w:gridAfter w:val="1"/>
          <w:wAfter w:w="210" w:type="pct"/>
          <w:trHeight w:val="90" w:hRule="atLeast"/>
        </w:trPr>
        <w:tc>
          <w:tcPr>
            <w:tcW w:w="4789" w:type="pct"/>
            <w:gridSpan w:val="14"/>
            <w:tcBorders>
              <w:top w:val="nil"/>
              <w:left w:val="nil"/>
              <w:bottom w:val="nil"/>
              <w:right w:val="nil"/>
            </w:tcBorders>
            <w:shd w:val="clear" w:color="auto" w:fill="auto"/>
            <w:noWrap/>
            <w:tcMar>
              <w:top w:w="15" w:type="dxa"/>
              <w:left w:w="15" w:type="dxa"/>
              <w:right w:w="15" w:type="dxa"/>
            </w:tcMar>
            <w:vAlign w:val="bottom"/>
          </w:tcPr>
          <w:p w14:paraId="1257DE2F">
            <w:pPr>
              <w:keepNext w:val="0"/>
              <w:keepLines w:val="0"/>
              <w:pageBreakBefore w:val="0"/>
              <w:kinsoku/>
              <w:overflowPunct/>
              <w:topLinePunct w:val="0"/>
              <w:autoSpaceDN/>
              <w:bidi w:val="0"/>
              <w:spacing w:beforeAutospacing="0" w:afterAutospacing="0" w:line="600" w:lineRule="exact"/>
              <w:rPr>
                <w:rFonts w:hint="default" w:cs="宋体"/>
                <w:b/>
                <w:color w:val="000000"/>
                <w:sz w:val="32"/>
                <w:szCs w:val="32"/>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b/>
                <w:color w:val="000000"/>
                <w:sz w:val="32"/>
                <w:szCs w:val="32"/>
              </w:rPr>
              <w:t>财政拨款收入支出决算总表</w:t>
            </w:r>
          </w:p>
        </w:tc>
      </w:tr>
      <w:tr w14:paraId="0A2A4EEA">
        <w:tblPrEx>
          <w:tblCellMar>
            <w:top w:w="0" w:type="dxa"/>
            <w:left w:w="0" w:type="dxa"/>
            <w:bottom w:w="0" w:type="dxa"/>
            <w:right w:w="0" w:type="dxa"/>
          </w:tblCellMar>
        </w:tblPrEx>
        <w:trPr>
          <w:gridAfter w:val="1"/>
          <w:wAfter w:w="210" w:type="pct"/>
          <w:trHeight w:val="90" w:hRule="atLeast"/>
        </w:trPr>
        <w:tc>
          <w:tcPr>
            <w:tcW w:w="2501" w:type="pct"/>
            <w:gridSpan w:val="6"/>
            <w:vMerge w:val="restart"/>
            <w:tcBorders>
              <w:top w:val="nil"/>
              <w:left w:val="nil"/>
              <w:right w:val="nil"/>
            </w:tcBorders>
            <w:shd w:val="clear" w:color="auto" w:fill="auto"/>
            <w:noWrap/>
            <w:tcMar>
              <w:top w:w="15" w:type="dxa"/>
              <w:left w:w="15" w:type="dxa"/>
              <w:right w:w="15" w:type="dxa"/>
            </w:tcMar>
            <w:vAlign w:val="bottom"/>
          </w:tcPr>
          <w:p w14:paraId="38F9F57D">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重庆市袁家岗幼儿园</w:t>
            </w: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60222EC9">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41C95AB3">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78254766">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629" w:type="pct"/>
            <w:gridSpan w:val="2"/>
            <w:tcBorders>
              <w:top w:val="nil"/>
              <w:left w:val="nil"/>
              <w:bottom w:val="nil"/>
              <w:right w:val="nil"/>
            </w:tcBorders>
            <w:shd w:val="clear" w:color="auto" w:fill="auto"/>
            <w:noWrap/>
            <w:tcMar>
              <w:top w:w="15" w:type="dxa"/>
              <w:left w:w="15" w:type="dxa"/>
              <w:right w:w="15" w:type="dxa"/>
            </w:tcMar>
            <w:vAlign w:val="bottom"/>
          </w:tcPr>
          <w:p w14:paraId="57955E98">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846543A">
        <w:tblPrEx>
          <w:tblCellMar>
            <w:top w:w="0" w:type="dxa"/>
            <w:left w:w="0" w:type="dxa"/>
            <w:bottom w:w="0" w:type="dxa"/>
            <w:right w:w="0" w:type="dxa"/>
          </w:tblCellMar>
        </w:tblPrEx>
        <w:trPr>
          <w:gridAfter w:val="1"/>
          <w:wAfter w:w="210" w:type="pct"/>
          <w:trHeight w:val="90" w:hRule="atLeast"/>
        </w:trPr>
        <w:tc>
          <w:tcPr>
            <w:tcW w:w="2501" w:type="pct"/>
            <w:gridSpan w:val="6"/>
            <w:vMerge w:val="continue"/>
            <w:tcBorders>
              <w:left w:val="nil"/>
              <w:bottom w:val="nil"/>
              <w:right w:val="nil"/>
            </w:tcBorders>
            <w:shd w:val="clear" w:color="auto" w:fill="auto"/>
            <w:noWrap/>
            <w:tcMar>
              <w:top w:w="15" w:type="dxa"/>
              <w:left w:w="15" w:type="dxa"/>
              <w:right w:w="15" w:type="dxa"/>
            </w:tcMar>
            <w:vAlign w:val="bottom"/>
          </w:tcPr>
          <w:p w14:paraId="5D6FE596">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6E86E35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1C4C37D9">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14:paraId="58752C8C">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629" w:type="pct"/>
            <w:gridSpan w:val="2"/>
            <w:tcBorders>
              <w:top w:val="nil"/>
              <w:left w:val="nil"/>
              <w:bottom w:val="nil"/>
              <w:right w:val="nil"/>
            </w:tcBorders>
            <w:shd w:val="clear" w:color="auto" w:fill="auto"/>
            <w:noWrap/>
            <w:tcMar>
              <w:top w:w="15" w:type="dxa"/>
              <w:left w:w="15" w:type="dxa"/>
              <w:right w:w="15" w:type="dxa"/>
            </w:tcMar>
            <w:vAlign w:val="bottom"/>
          </w:tcPr>
          <w:p w14:paraId="7E5F19CD">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076DAF">
        <w:tblPrEx>
          <w:tblCellMar>
            <w:top w:w="0" w:type="dxa"/>
            <w:left w:w="0" w:type="dxa"/>
            <w:bottom w:w="0" w:type="dxa"/>
            <w:right w:w="0" w:type="dxa"/>
          </w:tblCellMar>
        </w:tblPrEx>
        <w:trPr>
          <w:gridAfter w:val="1"/>
          <w:wAfter w:w="210" w:type="pct"/>
          <w:trHeight w:val="90" w:hRule="atLeast"/>
        </w:trPr>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411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收     入</w:t>
            </w:r>
          </w:p>
        </w:tc>
        <w:tc>
          <w:tcPr>
            <w:tcW w:w="3325"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06E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支     出</w:t>
            </w:r>
          </w:p>
        </w:tc>
      </w:tr>
      <w:tr w14:paraId="729E6D01">
        <w:tblPrEx>
          <w:tblCellMar>
            <w:top w:w="0" w:type="dxa"/>
            <w:left w:w="0" w:type="dxa"/>
            <w:bottom w:w="0" w:type="dxa"/>
            <w:right w:w="0" w:type="dxa"/>
          </w:tblCellMar>
        </w:tblPrEx>
        <w:trPr>
          <w:gridAfter w:val="1"/>
          <w:wAfter w:w="210" w:type="pct"/>
          <w:trHeight w:val="90" w:hRule="atLeast"/>
        </w:trPr>
        <w:tc>
          <w:tcPr>
            <w:tcW w:w="9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440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项目</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AF34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决算数</w:t>
            </w:r>
          </w:p>
        </w:tc>
        <w:tc>
          <w:tcPr>
            <w:tcW w:w="1037"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61241">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功能分类科目</w:t>
            </w:r>
          </w:p>
        </w:tc>
        <w:tc>
          <w:tcPr>
            <w:tcW w:w="2287" w:type="pct"/>
            <w:gridSpan w:val="8"/>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14EB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决算数</w:t>
            </w:r>
          </w:p>
        </w:tc>
      </w:tr>
      <w:tr w14:paraId="6BE692F7">
        <w:tblPrEx>
          <w:tblCellMar>
            <w:top w:w="0" w:type="dxa"/>
            <w:left w:w="0" w:type="dxa"/>
            <w:bottom w:w="0" w:type="dxa"/>
            <w:right w:w="0" w:type="dxa"/>
          </w:tblCellMar>
        </w:tblPrEx>
        <w:trPr>
          <w:gridAfter w:val="1"/>
          <w:wAfter w:w="210" w:type="pct"/>
          <w:trHeight w:val="90" w:hRule="atLeast"/>
        </w:trPr>
        <w:tc>
          <w:tcPr>
            <w:tcW w:w="9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7DF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5FE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1037"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2151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3CEC">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小计</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6EE5">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一般公共预算财政拨款</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7CA8">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政府性基金预算财政拨款</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74A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国有资本经营预算财政拨款</w:t>
            </w:r>
          </w:p>
        </w:tc>
      </w:tr>
      <w:tr w14:paraId="625B970F">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794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一、一般公共预算财政拨款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42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684.85</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7720">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一、一般公共服务支出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73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E9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769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BB6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D55C361">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5D6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二、政府性基金预算财政拨款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24A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01D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二、外交支出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679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212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FEC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0D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49CB1E22">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EA1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三、国有资本经营预算财政拨款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E95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DF7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三、国防支出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4A4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714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F52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FE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666F71C">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D52">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AA45D">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983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四、公共安全支出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842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2F4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F03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277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4D799BD7">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70D5">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D0E26">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CD8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五、教育支出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5C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560.47</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35C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560.47</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93D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33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50D5B23">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2964">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A8991">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6E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六、科学技术支出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F90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279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3C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5BF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512A225">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D40">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43DCC">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037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七、文化旅游体育与传媒支出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6F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FB6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535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7CB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76146B75">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70EB">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C207E">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EE2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八、社会保障和就业支出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4A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62.48</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AC4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62.48</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7BB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B99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305A85F">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545F">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5AAA6">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223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九、卫生健康支出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770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A7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633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1AB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044A3B1">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B189">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2DF4">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B95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十、节能环保支出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347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EBB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F4A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5EF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2A5B1D8">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163B">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4D53">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444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十一、城乡社区支出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E00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63C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4D7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0C1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9A302ED">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346C">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02AC">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EC9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十二、农林水支出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67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A7F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4DE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BAD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5B31E27">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0837">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D686">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E46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十三、交通运输支出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3AB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16D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B4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F03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276891FF">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4659">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67F5">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A8F5">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十四、资源勘探工业信息等支出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6EC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D1A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49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5F7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74CDF93">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E7B5">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119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90C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十五、商业服务业等支出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2F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C69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F2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164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2352E2A">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952D">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F15">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83E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十六、金融支出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C4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B65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EEA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B5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7225A501">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57B6">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2ECC">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883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十七、援助其他地区支出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A76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90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4CB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D2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9CB02EE">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7BA0">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701B">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5A2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十八、自然资源海洋气象等支出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C61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A9E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9BF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2BE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2ACC36DB">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7098">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0543">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505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十九、住房保障支出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4DE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672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770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B5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4E274763">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E315">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9742">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E772">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二十、粮油物资储备支出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7EF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040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E8F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2E3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A946F2B">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B0AA">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8CB3">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499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二十一、国有资本经营预算支出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031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630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0C1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5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4839F866">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B38F">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FB5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E30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二十二、灾害防治及应急管理支出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F8F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B2E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11F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F9C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8D9D980">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95F4">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6468">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B84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二十三、其他支出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281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EE3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CA5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BB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6C96601">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D47DB3">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7119">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8A1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二十四、债务还本支出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D2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D7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6A6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AA7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19B8EEB">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E3F32">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0363">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06E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二十五、债务付息支出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BA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6A5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932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D67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4807792">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A8790">
            <w:pPr>
              <w:keepNext w:val="0"/>
              <w:keepLines w:val="0"/>
              <w:pageBreakBefore w:val="0"/>
              <w:kinsoku/>
              <w:overflowPunct/>
              <w:topLinePunct w:val="0"/>
              <w:autoSpaceDN/>
              <w:bidi w:val="0"/>
              <w:spacing w:beforeAutospacing="0" w:afterAutospacing="0" w:line="240" w:lineRule="auto"/>
              <w:rPr>
                <w:rFonts w:hint="default" w:cs="宋体"/>
                <w:b/>
                <w:bCs/>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76BD">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712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二十六、抗疫特别国债安排的支出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C6E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8A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2E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19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754B4F01">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082D">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bCs/>
                <w:color w:val="000000"/>
                <w:sz w:val="18"/>
                <w:szCs w:val="18"/>
              </w:rPr>
            </w:pPr>
            <w:r>
              <w:rPr>
                <w:rFonts w:cs="宋体"/>
                <w:b/>
                <w:bCs/>
                <w:color w:val="000000"/>
                <w:sz w:val="18"/>
                <w:szCs w:val="18"/>
              </w:rPr>
              <w:t>本年收入合计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09A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734.85</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6C5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bCs/>
                <w:color w:val="000000"/>
                <w:sz w:val="18"/>
                <w:szCs w:val="18"/>
              </w:rPr>
            </w:pPr>
            <w:r>
              <w:rPr>
                <w:rFonts w:cs="宋体"/>
                <w:b/>
                <w:bCs/>
                <w:color w:val="000000"/>
                <w:sz w:val="18"/>
                <w:szCs w:val="18"/>
              </w:rPr>
              <w:t>本年支出合计</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DB7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734.85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48B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684.85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7CA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7F9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2CCD5DF">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CFC2">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年初财政拨款结转和结余</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90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786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年末财政拨款结转和结余</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B19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E4F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634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E87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3A83792">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30E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9ED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F05FF">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04D12">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7D35B">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C30F0">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CCC8D">
            <w:pPr>
              <w:keepNext w:val="0"/>
              <w:keepLines w:val="0"/>
              <w:pageBreakBefore w:val="0"/>
              <w:kinsoku/>
              <w:overflowPunct/>
              <w:topLinePunct w:val="0"/>
              <w:autoSpaceDN/>
              <w:bidi w:val="0"/>
              <w:spacing w:beforeAutospacing="0" w:afterAutospacing="0" w:line="240" w:lineRule="auto"/>
              <w:rPr>
                <w:rFonts w:hint="default" w:ascii="Times New Roman" w:hAnsi="Times New Roman"/>
                <w:color w:val="000000"/>
                <w:sz w:val="18"/>
                <w:szCs w:val="18"/>
              </w:rPr>
            </w:pPr>
          </w:p>
        </w:tc>
      </w:tr>
      <w:tr w14:paraId="7AD76C26">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54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5EA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666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7419">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DD86">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D9AB">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4B03">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r>
      <w:tr w14:paraId="43418213">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A73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979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AE6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1D5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8E7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B128">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0594">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r>
      <w:tr w14:paraId="0EF31BC9">
        <w:tblPrEx>
          <w:tblCellMar>
            <w:top w:w="0" w:type="dxa"/>
            <w:left w:w="0" w:type="dxa"/>
            <w:bottom w:w="0" w:type="dxa"/>
            <w:right w:w="0" w:type="dxa"/>
          </w:tblCellMar>
        </w:tblPrEx>
        <w:trPr>
          <w:gridAfter w:val="1"/>
          <w:wAfter w:w="210" w:type="pct"/>
          <w:trHeight w:val="90"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373C">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总计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E2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734.85</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7AF0">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总计</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EC5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734.85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DAF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684.85</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23F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p>
        </w:tc>
        <w:tc>
          <w:tcPr>
            <w:tcW w:w="6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DF6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bl>
    <w:p w14:paraId="03F994F9">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DA12B2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F6C3C23">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6B7141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B2E2C4C">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重庆市袁家岗幼儿园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AE74DBC">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F34EA5D">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A3DE2C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F8CE10">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E74FA0">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A12B13F">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6DD62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FE9D">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4594B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本年支出</w:t>
            </w:r>
          </w:p>
        </w:tc>
      </w:tr>
      <w:tr w14:paraId="79036D3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C585">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911A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5205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68696">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299A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项目支出</w:t>
            </w:r>
          </w:p>
        </w:tc>
      </w:tr>
      <w:tr w14:paraId="30CAEA5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53C2">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4676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F1B51">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D4D5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237C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68602FD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3F2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7167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1D58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E241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29B4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5D6303E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D282">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AD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69A7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AB9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164.26</w:t>
            </w:r>
          </w:p>
        </w:tc>
      </w:tr>
      <w:tr w14:paraId="173CF3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018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652D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8ED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B4B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3842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164.26</w:t>
            </w:r>
          </w:p>
        </w:tc>
      </w:tr>
      <w:tr w14:paraId="46322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162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EFF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616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FFC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15C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164.26</w:t>
            </w:r>
          </w:p>
        </w:tc>
      </w:tr>
      <w:tr w14:paraId="412EF4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22A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5B86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CF2D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CC05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B53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164.26</w:t>
            </w:r>
          </w:p>
        </w:tc>
      </w:tr>
      <w:tr w14:paraId="6551FC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0D5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9A3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70E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9B2A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BAD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CD82E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14A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716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704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41D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ADE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99396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F04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8DB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C10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46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B13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5C01A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86F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D93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74A9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459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88A5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187DF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8FC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70B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9D6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303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FEF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1B88C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503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46E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65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2BC4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1F1D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8AE87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973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753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106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FF3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F06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69885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CDE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94FA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13F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59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95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D0694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0B8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1E9E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331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D6A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279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DF2E9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6F0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3EB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825E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E53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4C9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866C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ECD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315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0A6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602D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A74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9928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164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749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D12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F75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76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81B27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D81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AFC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7E15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87D6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08D7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0522CEB">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42C61EA9">
      <w:pPr>
        <w:keepNext w:val="0"/>
        <w:keepLines w:val="0"/>
        <w:pageBreakBefore w:val="0"/>
        <w:kinsoku/>
        <w:overflowPunct/>
        <w:topLinePunct w:val="0"/>
        <w:autoSpaceDN/>
        <w:bidi w:val="0"/>
        <w:spacing w:beforeAutospacing="0" w:afterAutospacing="0" w:line="600" w:lineRule="exact"/>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B1FC43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1F374F3">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B11D38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50D9029">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重庆市袁家岗幼儿园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59E59E">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3DBC218">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AD582F">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F4345C">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1B44B7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5D811AA">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06F006">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1279D48">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FA5326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D95854C">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83A7F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822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7A2A6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公用经费</w:t>
            </w:r>
          </w:p>
        </w:tc>
      </w:tr>
      <w:tr w14:paraId="07DF85B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6AD8E">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3644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8ECB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F6D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7D1EE">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C89E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014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0E5C8">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A7D8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金额</w:t>
            </w:r>
          </w:p>
        </w:tc>
      </w:tr>
      <w:tr w14:paraId="6F0C852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271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EC58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D2B5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8031">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653E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0922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891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EAD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5B1E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18"/>
                <w:szCs w:val="18"/>
              </w:rPr>
            </w:pPr>
          </w:p>
        </w:tc>
      </w:tr>
      <w:tr w14:paraId="6763C0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9E8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12D3">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E5A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968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3488">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8794">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88B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F45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B98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r>
      <w:tr w14:paraId="5C93A8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FBE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A1E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79D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A82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A7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F5A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94C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121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20BB">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41B74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F9F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928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0D6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992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6D2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4CA0">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47C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2EB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4779">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p>
        </w:tc>
      </w:tr>
      <w:tr w14:paraId="4EEE94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CF0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035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740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DC6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B98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DC0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58E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505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C3F6">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1A73A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6C1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580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714E">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EBD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F80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96C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962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B92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BD4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0D5F9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5D9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A24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3461">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B03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1AB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C569">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0E3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C93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CAD6">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9BE5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E3D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7C4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E6B7">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A41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A38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E387">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443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859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155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3AA79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38E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7E4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0FB1">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828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061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36F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2B6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80F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11E9">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D6028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DFF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3CA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521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0C5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839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2244">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1B5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265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6199">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A5BF1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152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B90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BA7F">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5F2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A72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812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AF7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E89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974F">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78F49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7EE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737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9D33">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DCB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229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0864">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841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CA0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024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13409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5E4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CBF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401B">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068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FEC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826F">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A22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3EE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431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F103A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D55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689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A85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DB6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A0B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227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F0A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582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8A2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7C81C7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870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255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4E1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03E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731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DD02">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2A2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D3D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409E">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787D6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34F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BE6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4252">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7C7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C20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994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61DF">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84E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A20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674AA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2E3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DF0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DFD3">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FFF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1C4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43B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26B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A7B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70EF">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11C62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DA2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660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67D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42F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5AF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062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2AF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E38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503E">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9976B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EBC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1ED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DA01">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9EE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BCA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D33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B43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9F0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2CDB">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2C7D8C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AC2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9A3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1B1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8C6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013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A79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7A9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B03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3A86">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7A666E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E45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666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1900">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1B7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B95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8EC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385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CB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E213">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70C86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FE0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242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2094">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CC6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C284">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9689">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6DB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D8E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2550">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143B71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9DE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9CB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B62D">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60F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D7A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EDDF">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E84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78F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31B6">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03873D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8677">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B25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DEE5">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8C5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D41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22A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D22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B54E">
            <w:pPr>
              <w:keepNext w:val="0"/>
              <w:keepLines w:val="0"/>
              <w:pageBreakBefore w:val="0"/>
              <w:kinsoku/>
              <w:overflowPunct/>
              <w:topLinePunct w:val="0"/>
              <w:autoSpaceDN/>
              <w:bidi w:val="0"/>
              <w:spacing w:beforeAutospacing="0" w:afterAutospacing="0" w:line="240" w:lineRule="auto"/>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A8F8">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DAE1D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63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18C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950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12B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B47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DE70">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345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478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C19B">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F44C0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135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781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4A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F2B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607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970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A9B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46A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6FB7">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3C56CA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A2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65C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786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D70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6315">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9F8E">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77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0F9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7421">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81B70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427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C39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0CB2">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F1B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DC79">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9276">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D1C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D87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01EC">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2C6A9C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EB3B">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F857">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0C09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8493">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96A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8AD2">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004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61ED">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4AC1">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4291EC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C250">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CBB7">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F3D0B">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6B8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09A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FCE4">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1A2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6C2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B3A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5A939F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57D2">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0705">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E1911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3AC2">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79F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148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A2A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833B">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E07E">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r>
      <w:tr w14:paraId="648170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44D1">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BE8C">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0A22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3F2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8AC6">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D3B0">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1ECB">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E8E2">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6A18">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r>
      <w:tr w14:paraId="732B71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CDDB">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27D3">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5AEC2">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B4D8">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10F1">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37B3">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5C5F">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8B77">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FE51">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r>
      <w:tr w14:paraId="6309998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78D5">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E664">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01AFB">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1C3E">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15EC">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393A">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CF25">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F406">
            <w:pPr>
              <w:keepNext w:val="0"/>
              <w:keepLines w:val="0"/>
              <w:pageBreakBefore w:val="0"/>
              <w:kinsoku/>
              <w:overflowPunct/>
              <w:topLinePunct w:val="0"/>
              <w:autoSpaceDN/>
              <w:bidi w:val="0"/>
              <w:spacing w:beforeAutospacing="0" w:afterAutospacing="0" w:line="240" w:lineRule="auto"/>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B764">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olor w:val="000000"/>
                <w:sz w:val="18"/>
                <w:szCs w:val="18"/>
              </w:rPr>
            </w:pPr>
          </w:p>
        </w:tc>
      </w:tr>
      <w:tr w14:paraId="386C2CB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744C">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5434D">
            <w:pPr>
              <w:keepNext w:val="0"/>
              <w:keepLines w:val="0"/>
              <w:pageBreakBefore w:val="0"/>
              <w:kinsoku/>
              <w:overflowPunct/>
              <w:topLinePunct w:val="0"/>
              <w:autoSpaceDN/>
              <w:bidi w:val="0"/>
              <w:spacing w:beforeAutospacing="0" w:afterAutospacing="0" w:line="240" w:lineRule="auto"/>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460.19</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4AEA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9923">
            <w:pPr>
              <w:keepNext w:val="0"/>
              <w:keepLines w:val="0"/>
              <w:pageBreakBefore w:val="0"/>
              <w:kinsoku/>
              <w:overflowPunct/>
              <w:topLinePunct w:val="0"/>
              <w:autoSpaceDN/>
              <w:bidi w:val="0"/>
              <w:spacing w:beforeAutospacing="0" w:afterAutospacing="0" w:line="240" w:lineRule="auto"/>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60.40</w:t>
            </w:r>
          </w:p>
        </w:tc>
      </w:tr>
    </w:tbl>
    <w:p w14:paraId="02054CC4">
      <w:pPr>
        <w:keepNext w:val="0"/>
        <w:keepLines w:val="0"/>
        <w:pageBreakBefore w:val="0"/>
        <w:kinsoku/>
        <w:overflowPunct/>
        <w:topLinePunct w:val="0"/>
        <w:autoSpaceDN/>
        <w:bidi w:val="0"/>
        <w:spacing w:beforeAutospacing="0" w:afterAutospacing="0" w:line="600" w:lineRule="exact"/>
        <w:rPr>
          <w:rFonts w:cs="宋体"/>
          <w:sz w:val="21"/>
          <w:szCs w:val="21"/>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062F638E">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8FFC41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BF7CF3F">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68840B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F4AD95C">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重庆市袁家岗幼儿园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0B45E5EE">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CBD769">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9F54C5">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63C455">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6AAAF84">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862FC5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9FB7BB3">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AC7787">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7220E3">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F3BD38">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B7824B">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D539E3">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6715B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C33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408F2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9454">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2892BE">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5E8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年末结转和结余</w:t>
            </w:r>
          </w:p>
        </w:tc>
      </w:tr>
      <w:tr w14:paraId="372F054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7DDA">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F0FE">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14F81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863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CCC0">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5B220">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1AE52">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B23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1932491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DFC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30D5">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EFE18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30A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B025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0D37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2944E">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BEEE">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6B1D5AA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8911">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7FA03">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D66B6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FCA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CCC5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26EC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A768C">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E31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7E35062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09B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02F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47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4F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72F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9FC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D33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0BAA65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8C7C">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49751">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031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9E78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6ED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B38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9E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03B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A5FBCE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FB27">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20E3">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664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69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495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C7D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258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4097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0A38CA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6779">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6956">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729C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1C9C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23.23</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3E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23.23</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A0E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96F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23.23</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30C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97F20B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DB99">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2B42">
            <w:pPr>
              <w:keepNext w:val="0"/>
              <w:keepLines w:val="0"/>
              <w:pageBreakBefore w:val="0"/>
              <w:kinsoku/>
              <w:overflowPunct/>
              <w:topLinePunct w:val="0"/>
              <w:autoSpaceDN/>
              <w:bidi w:val="0"/>
              <w:spacing w:beforeAutospacing="0" w:afterAutospacing="0" w:line="240" w:lineRule="auto"/>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1FE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E82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DC2D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4D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9A9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661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98AAABF">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2FEF4E">
      <w:pPr>
        <w:keepNext w:val="0"/>
        <w:keepLines w:val="0"/>
        <w:pageBreakBefore w:val="0"/>
        <w:kinsoku/>
        <w:overflowPunct/>
        <w:topLinePunct w:val="0"/>
        <w:autoSpaceDN/>
        <w:bidi w:val="0"/>
        <w:spacing w:beforeAutospacing="0" w:afterAutospacing="0" w:line="600" w:lineRule="exact"/>
        <w:rPr>
          <w:rFonts w:cs="宋体"/>
          <w:sz w:val="21"/>
          <w:szCs w:val="21"/>
        </w:rPr>
      </w:pPr>
      <w:r>
        <w:rPr>
          <w:rFonts w:cs="宋体"/>
          <w:sz w:val="21"/>
          <w:szCs w:val="21"/>
        </w:rPr>
        <w:br w:type="page"/>
      </w:r>
    </w:p>
    <w:p w14:paraId="48956AF3">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0D0B2D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86395B3">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0F5256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959EB43">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重庆市袁家岗幼儿园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A67F2CB">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06D4C5E">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1E1625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B6DBB1D">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825BE1">
            <w:pPr>
              <w:keepNext w:val="0"/>
              <w:keepLines w:val="0"/>
              <w:pageBreakBefore w:val="0"/>
              <w:kinsoku/>
              <w:overflowPunct/>
              <w:topLinePunct w:val="0"/>
              <w:autoSpaceDN/>
              <w:bidi w:val="0"/>
              <w:spacing w:beforeAutospacing="0" w:afterAutospacing="0" w:line="240" w:lineRule="auto"/>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D2AC386">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C2B41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7C36E">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B0AF7A">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sz w:val="20"/>
                <w:szCs w:val="20"/>
              </w:rPr>
            </w:pPr>
            <w:r>
              <w:rPr>
                <w:rFonts w:cs="宋体"/>
                <w:b/>
                <w:color w:val="000000"/>
                <w:sz w:val="20"/>
                <w:szCs w:val="20"/>
              </w:rPr>
              <w:t>本年支出</w:t>
            </w:r>
          </w:p>
        </w:tc>
      </w:tr>
      <w:tr w14:paraId="7872363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5692">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4ACC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DFD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8A5C8">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CFDFB">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项目支出</w:t>
            </w:r>
          </w:p>
        </w:tc>
      </w:tr>
      <w:tr w14:paraId="1945E3B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BD5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A64D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AACA">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83EC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FB2DF">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058BA36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1EC7">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F6C64">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6E69">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F6A10">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55BE8">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4124262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C8A6">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CA81E">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BA4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F21AB">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6272D">
            <w:pPr>
              <w:keepNext w:val="0"/>
              <w:keepLines w:val="0"/>
              <w:pageBreakBefore w:val="0"/>
              <w:kinsoku/>
              <w:overflowPunct/>
              <w:topLinePunct w:val="0"/>
              <w:autoSpaceDN/>
              <w:bidi w:val="0"/>
              <w:spacing w:beforeAutospacing="0" w:afterAutospacing="0" w:line="240" w:lineRule="auto"/>
              <w:jc w:val="center"/>
              <w:rPr>
                <w:rFonts w:hint="default" w:cs="宋体"/>
                <w:b/>
                <w:color w:val="000000"/>
                <w:sz w:val="20"/>
                <w:szCs w:val="20"/>
              </w:rPr>
            </w:pPr>
          </w:p>
        </w:tc>
      </w:tr>
      <w:tr w14:paraId="66EBF8D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BCC3">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C42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3D6E">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14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83DBB7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F77A">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A87A0">
            <w:pPr>
              <w:keepNext w:val="0"/>
              <w:keepLines w:val="0"/>
              <w:pageBreakBefore w:val="0"/>
              <w:kinsoku/>
              <w:overflowPunct/>
              <w:topLinePunct w:val="0"/>
              <w:autoSpaceDN/>
              <w:bidi w:val="0"/>
              <w:spacing w:beforeAutospacing="0" w:afterAutospacing="0" w:line="240" w:lineRule="auto"/>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C67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BE11">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B63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D408A1">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4A46DB8">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hint="default" w:cs="宋体"/>
          <w:sz w:val="21"/>
          <w:szCs w:val="21"/>
        </w:rPr>
        <w:br w:type="page"/>
      </w:r>
    </w:p>
    <w:tbl>
      <w:tblPr>
        <w:tblStyle w:val="9"/>
        <w:tblW w:w="4836" w:type="pct"/>
        <w:tblInd w:w="0" w:type="dxa"/>
        <w:tblLayout w:type="fixed"/>
        <w:tblCellMar>
          <w:top w:w="0" w:type="dxa"/>
          <w:left w:w="170" w:type="dxa"/>
          <w:bottom w:w="0" w:type="dxa"/>
          <w:right w:w="170" w:type="dxa"/>
        </w:tblCellMar>
      </w:tblPr>
      <w:tblGrid>
        <w:gridCol w:w="3330"/>
        <w:gridCol w:w="2532"/>
        <w:gridCol w:w="2488"/>
        <w:gridCol w:w="3846"/>
        <w:gridCol w:w="2624"/>
      </w:tblGrid>
      <w:tr w14:paraId="19D059A3">
        <w:tblPrEx>
          <w:tblCellMar>
            <w:top w:w="0" w:type="dxa"/>
            <w:left w:w="170" w:type="dxa"/>
            <w:bottom w:w="0" w:type="dxa"/>
            <w:right w:w="170" w:type="dxa"/>
          </w:tblCellMar>
        </w:tblPrEx>
        <w:trPr>
          <w:trHeight w:val="889" w:hRule="atLeast"/>
        </w:trPr>
        <w:tc>
          <w:tcPr>
            <w:tcW w:w="5000" w:type="pct"/>
            <w:gridSpan w:val="5"/>
            <w:shd w:val="clear" w:color="auto" w:fill="auto"/>
            <w:noWrap/>
            <w:tcMar>
              <w:top w:w="15" w:type="dxa"/>
              <w:left w:w="15" w:type="dxa"/>
              <w:right w:w="15" w:type="dxa"/>
            </w:tcMar>
            <w:vAlign w:val="bottom"/>
          </w:tcPr>
          <w:p w14:paraId="55E65617">
            <w:pPr>
              <w:keepNext w:val="0"/>
              <w:keepLines w:val="0"/>
              <w:pageBreakBefore w:val="0"/>
              <w:kinsoku/>
              <w:overflowPunct/>
              <w:topLinePunct w:val="0"/>
              <w:autoSpaceDN/>
              <w:bidi w:val="0"/>
              <w:spacing w:beforeAutospacing="0" w:afterAutospacing="0" w:line="240" w:lineRule="auto"/>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9A2D6E8">
        <w:tblPrEx>
          <w:tblCellMar>
            <w:top w:w="0" w:type="dxa"/>
            <w:left w:w="170" w:type="dxa"/>
            <w:bottom w:w="0" w:type="dxa"/>
            <w:right w:w="170" w:type="dxa"/>
          </w:tblCellMar>
        </w:tblPrEx>
        <w:trPr>
          <w:trHeight w:val="464" w:hRule="atLeast"/>
        </w:trPr>
        <w:tc>
          <w:tcPr>
            <w:tcW w:w="1123" w:type="pct"/>
            <w:shd w:val="clear" w:color="auto" w:fill="auto"/>
            <w:noWrap/>
            <w:tcMar>
              <w:top w:w="15" w:type="dxa"/>
              <w:left w:w="15" w:type="dxa"/>
              <w:right w:w="15" w:type="dxa"/>
            </w:tcMar>
            <w:vAlign w:val="bottom"/>
          </w:tcPr>
          <w:p w14:paraId="646B5F6B">
            <w:pPr>
              <w:keepNext w:val="0"/>
              <w:keepLines w:val="0"/>
              <w:pageBreakBefore w:val="0"/>
              <w:kinsoku/>
              <w:overflowPunct/>
              <w:topLinePunct w:val="0"/>
              <w:autoSpaceDN/>
              <w:bidi w:val="0"/>
              <w:spacing w:beforeAutospacing="0" w:afterAutospacing="0" w:line="240" w:lineRule="auto"/>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961F68">
            <w:pPr>
              <w:keepNext w:val="0"/>
              <w:keepLines w:val="0"/>
              <w:pageBreakBefore w:val="0"/>
              <w:kinsoku/>
              <w:overflowPunct/>
              <w:topLinePunct w:val="0"/>
              <w:autoSpaceDN/>
              <w:bidi w:val="0"/>
              <w:spacing w:beforeAutospacing="0" w:afterAutospacing="0" w:line="240" w:lineRule="auto"/>
              <w:jc w:val="center"/>
              <w:rPr>
                <w:rFonts w:hint="default" w:cs="宋体"/>
                <w:color w:val="000000"/>
                <w:kern w:val="2"/>
                <w:sz w:val="20"/>
                <w:szCs w:val="20"/>
              </w:rPr>
            </w:pPr>
          </w:p>
        </w:tc>
        <w:tc>
          <w:tcPr>
            <w:tcW w:w="839" w:type="pct"/>
            <w:shd w:val="clear" w:color="auto" w:fill="auto"/>
            <w:noWrap/>
            <w:tcMar>
              <w:top w:w="15" w:type="dxa"/>
              <w:left w:w="15" w:type="dxa"/>
              <w:right w:w="15" w:type="dxa"/>
            </w:tcMar>
            <w:vAlign w:val="bottom"/>
          </w:tcPr>
          <w:p w14:paraId="32D6BA00">
            <w:pPr>
              <w:keepNext w:val="0"/>
              <w:keepLines w:val="0"/>
              <w:pageBreakBefore w:val="0"/>
              <w:kinsoku/>
              <w:overflowPunct/>
              <w:topLinePunct w:val="0"/>
              <w:autoSpaceDN/>
              <w:bidi w:val="0"/>
              <w:spacing w:beforeAutospacing="0" w:afterAutospacing="0" w:line="240" w:lineRule="auto"/>
              <w:jc w:val="right"/>
              <w:rPr>
                <w:rFonts w:hint="default" w:cs="宋体"/>
                <w:color w:val="000000"/>
                <w:kern w:val="2"/>
                <w:sz w:val="20"/>
                <w:szCs w:val="20"/>
              </w:rPr>
            </w:pPr>
          </w:p>
        </w:tc>
        <w:tc>
          <w:tcPr>
            <w:tcW w:w="1297" w:type="pct"/>
            <w:shd w:val="clear" w:color="auto" w:fill="auto"/>
            <w:noWrap/>
            <w:tcMar>
              <w:top w:w="15" w:type="dxa"/>
              <w:left w:w="15" w:type="dxa"/>
              <w:right w:w="15" w:type="dxa"/>
            </w:tcMar>
            <w:vAlign w:val="bottom"/>
          </w:tcPr>
          <w:p w14:paraId="3EE69437">
            <w:pPr>
              <w:keepNext w:val="0"/>
              <w:keepLines w:val="0"/>
              <w:pageBreakBefore w:val="0"/>
              <w:kinsoku/>
              <w:overflowPunct/>
              <w:topLinePunct w:val="0"/>
              <w:autoSpaceDN/>
              <w:bidi w:val="0"/>
              <w:spacing w:beforeAutospacing="0" w:afterAutospacing="0" w:line="240" w:lineRule="auto"/>
              <w:rPr>
                <w:rFonts w:hint="default" w:cs="宋体"/>
                <w:color w:val="000000"/>
                <w:kern w:val="2"/>
                <w:sz w:val="20"/>
                <w:szCs w:val="20"/>
              </w:rPr>
            </w:pPr>
          </w:p>
        </w:tc>
        <w:tc>
          <w:tcPr>
            <w:tcW w:w="885" w:type="pct"/>
            <w:shd w:val="clear" w:color="auto" w:fill="auto"/>
            <w:noWrap/>
            <w:tcMar>
              <w:top w:w="15" w:type="dxa"/>
              <w:left w:w="15" w:type="dxa"/>
              <w:right w:w="15" w:type="dxa"/>
            </w:tcMar>
            <w:vAlign w:val="bottom"/>
          </w:tcPr>
          <w:p w14:paraId="41814CC2">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D41297">
        <w:tblPrEx>
          <w:tblCellMar>
            <w:top w:w="0" w:type="dxa"/>
            <w:left w:w="170" w:type="dxa"/>
            <w:bottom w:w="0" w:type="dxa"/>
            <w:right w:w="170" w:type="dxa"/>
          </w:tblCellMar>
        </w:tblPrEx>
        <w:trPr>
          <w:trHeight w:val="464" w:hRule="atLeast"/>
        </w:trPr>
        <w:tc>
          <w:tcPr>
            <w:tcW w:w="197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691A365">
            <w:pPr>
              <w:keepNext w:val="0"/>
              <w:keepLines w:val="0"/>
              <w:pageBreakBefore w:val="0"/>
              <w:kinsoku/>
              <w:overflowPunct/>
              <w:topLinePunct w:val="0"/>
              <w:autoSpaceDN/>
              <w:bidi w:val="0"/>
              <w:spacing w:beforeAutospacing="0" w:afterAutospacing="0" w:line="240" w:lineRule="auto"/>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重庆市袁家岗幼儿园</w:t>
            </w:r>
          </w:p>
        </w:tc>
        <w:tc>
          <w:tcPr>
            <w:tcW w:w="839" w:type="pct"/>
            <w:tcBorders>
              <w:top w:val="nil"/>
              <w:left w:val="nil"/>
              <w:bottom w:val="single" w:color="auto" w:sz="4" w:space="0"/>
              <w:right w:val="nil"/>
            </w:tcBorders>
            <w:shd w:val="clear" w:color="auto" w:fill="auto"/>
            <w:noWrap/>
            <w:tcMar>
              <w:top w:w="15" w:type="dxa"/>
              <w:left w:w="15" w:type="dxa"/>
              <w:right w:w="15" w:type="dxa"/>
            </w:tcMar>
            <w:vAlign w:val="bottom"/>
          </w:tcPr>
          <w:p w14:paraId="239D869E">
            <w:pPr>
              <w:keepNext w:val="0"/>
              <w:keepLines w:val="0"/>
              <w:pageBreakBefore w:val="0"/>
              <w:kinsoku/>
              <w:overflowPunct/>
              <w:topLinePunct w:val="0"/>
              <w:autoSpaceDN/>
              <w:bidi w:val="0"/>
              <w:spacing w:beforeAutospacing="0" w:afterAutospacing="0" w:line="240" w:lineRule="auto"/>
              <w:jc w:val="right"/>
              <w:rPr>
                <w:rFonts w:hint="default" w:cs="宋体"/>
                <w:color w:val="000000"/>
                <w:kern w:val="2"/>
                <w:sz w:val="20"/>
                <w:szCs w:val="20"/>
              </w:rPr>
            </w:pPr>
          </w:p>
        </w:tc>
        <w:tc>
          <w:tcPr>
            <w:tcW w:w="1297" w:type="pct"/>
            <w:tcBorders>
              <w:top w:val="nil"/>
              <w:left w:val="nil"/>
              <w:bottom w:val="single" w:color="auto" w:sz="4" w:space="0"/>
              <w:right w:val="nil"/>
            </w:tcBorders>
            <w:shd w:val="clear" w:color="auto" w:fill="auto"/>
            <w:noWrap/>
            <w:tcMar>
              <w:top w:w="15" w:type="dxa"/>
              <w:left w:w="15" w:type="dxa"/>
              <w:right w:w="15" w:type="dxa"/>
            </w:tcMar>
            <w:vAlign w:val="bottom"/>
          </w:tcPr>
          <w:p w14:paraId="355244D3">
            <w:pPr>
              <w:keepNext w:val="0"/>
              <w:keepLines w:val="0"/>
              <w:pageBreakBefore w:val="0"/>
              <w:kinsoku/>
              <w:overflowPunct/>
              <w:topLinePunct w:val="0"/>
              <w:autoSpaceDN/>
              <w:bidi w:val="0"/>
              <w:spacing w:beforeAutospacing="0" w:afterAutospacing="0" w:line="240" w:lineRule="auto"/>
              <w:rPr>
                <w:rFonts w:hint="default" w:cs="宋体"/>
                <w:color w:val="000000"/>
                <w:kern w:val="2"/>
                <w:sz w:val="20"/>
                <w:szCs w:val="20"/>
              </w:rPr>
            </w:pPr>
          </w:p>
        </w:tc>
        <w:tc>
          <w:tcPr>
            <w:tcW w:w="885" w:type="pct"/>
            <w:tcBorders>
              <w:top w:val="nil"/>
              <w:left w:val="nil"/>
              <w:bottom w:val="single" w:color="auto" w:sz="4" w:space="0"/>
              <w:right w:val="nil"/>
            </w:tcBorders>
            <w:shd w:val="clear" w:color="auto" w:fill="auto"/>
            <w:noWrap/>
            <w:tcMar>
              <w:top w:w="15" w:type="dxa"/>
              <w:left w:w="15" w:type="dxa"/>
              <w:right w:w="15" w:type="dxa"/>
            </w:tcMar>
            <w:vAlign w:val="bottom"/>
          </w:tcPr>
          <w:p w14:paraId="207D0BB5">
            <w:pPr>
              <w:keepNext w:val="0"/>
              <w:keepLines w:val="0"/>
              <w:pageBreakBefore w:val="0"/>
              <w:kinsoku/>
              <w:overflowPunct/>
              <w:topLinePunct w:val="0"/>
              <w:autoSpaceDN/>
              <w:bidi w:val="0"/>
              <w:spacing w:beforeAutospacing="0" w:afterAutospacing="0" w:line="240" w:lineRule="auto"/>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5186E2B">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682E7">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5AF29">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kern w:val="2"/>
                <w:sz w:val="16"/>
                <w:szCs w:val="16"/>
              </w:rPr>
            </w:pPr>
            <w:r>
              <w:rPr>
                <w:rFonts w:cs="宋体"/>
                <w:b/>
                <w:color w:val="000000"/>
                <w:kern w:val="2"/>
                <w:sz w:val="16"/>
                <w:szCs w:val="16"/>
              </w:rPr>
              <w:t>预算数</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AD394">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kern w:val="2"/>
                <w:sz w:val="16"/>
                <w:szCs w:val="16"/>
              </w:rPr>
            </w:pPr>
            <w:r>
              <w:rPr>
                <w:rFonts w:cs="宋体"/>
                <w:b/>
                <w:color w:val="000000"/>
                <w:kern w:val="2"/>
                <w:sz w:val="16"/>
                <w:szCs w:val="16"/>
              </w:rPr>
              <w:t>决算数</w:t>
            </w: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7A0BC">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kern w:val="2"/>
                <w:sz w:val="16"/>
                <w:szCs w:val="16"/>
              </w:rPr>
            </w:pPr>
            <w:r>
              <w:rPr>
                <w:rFonts w:cs="宋体"/>
                <w:b/>
                <w:color w:val="000000"/>
                <w:kern w:val="2"/>
                <w:sz w:val="16"/>
                <w:szCs w:val="16"/>
              </w:rPr>
              <w:t>项  目</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111DF">
            <w:pPr>
              <w:keepNext w:val="0"/>
              <w:keepLines w:val="0"/>
              <w:pageBreakBefore w:val="0"/>
              <w:kinsoku/>
              <w:overflowPunct/>
              <w:topLinePunct w:val="0"/>
              <w:autoSpaceDN/>
              <w:bidi w:val="0"/>
              <w:spacing w:beforeAutospacing="0" w:afterAutospacing="0" w:line="240" w:lineRule="auto"/>
              <w:jc w:val="center"/>
              <w:textAlignment w:val="center"/>
              <w:rPr>
                <w:rFonts w:hint="default" w:cs="宋体"/>
                <w:b/>
                <w:color w:val="000000"/>
                <w:kern w:val="2"/>
                <w:sz w:val="16"/>
                <w:szCs w:val="16"/>
              </w:rPr>
            </w:pPr>
            <w:r>
              <w:rPr>
                <w:rFonts w:cs="宋体"/>
                <w:b/>
                <w:color w:val="000000"/>
                <w:kern w:val="2"/>
                <w:sz w:val="16"/>
                <w:szCs w:val="16"/>
              </w:rPr>
              <w:t>决算数</w:t>
            </w:r>
          </w:p>
        </w:tc>
      </w:tr>
      <w:tr w14:paraId="36A864E2">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130EC">
            <w:pPr>
              <w:keepNext w:val="0"/>
              <w:keepLines w:val="0"/>
              <w:pageBreakBefore w:val="0"/>
              <w:kinsoku/>
              <w:overflowPunct/>
              <w:topLinePunct w:val="0"/>
              <w:autoSpaceDN/>
              <w:bidi w:val="0"/>
              <w:spacing w:beforeAutospacing="0" w:afterAutospacing="0" w:line="240" w:lineRule="auto"/>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5F011">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71021">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A18B5">
            <w:pPr>
              <w:keepNext w:val="0"/>
              <w:keepLines w:val="0"/>
              <w:pageBreakBefore w:val="0"/>
              <w:kinsoku/>
              <w:overflowPunct/>
              <w:topLinePunct w:val="0"/>
              <w:autoSpaceDN/>
              <w:bidi w:val="0"/>
              <w:spacing w:beforeAutospacing="0" w:afterAutospacing="0" w:line="240" w:lineRule="auto"/>
              <w:textAlignment w:val="center"/>
              <w:rPr>
                <w:rFonts w:hint="default" w:cs="宋体"/>
                <w:b/>
                <w:color w:val="000000"/>
                <w:kern w:val="2"/>
                <w:sz w:val="16"/>
                <w:szCs w:val="16"/>
              </w:rPr>
            </w:pPr>
            <w:r>
              <w:rPr>
                <w:rFonts w:cs="宋体"/>
                <w:b/>
                <w:color w:val="000000"/>
                <w:kern w:val="2"/>
                <w:sz w:val="16"/>
                <w:szCs w:val="16"/>
              </w:rPr>
              <w:t>五、机关运行经费</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2BE97">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754352F1">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063B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1A980">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9C89B">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E7FA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0CBC7">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1EECB893">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B294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262A2">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E49A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D29B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2F56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05096640">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7E6F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EC159">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6BDCE">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2ADF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六、资产信息</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30682">
            <w:pPr>
              <w:keepNext w:val="0"/>
              <w:keepLines w:val="0"/>
              <w:pageBreakBefore w:val="0"/>
              <w:kinsoku/>
              <w:overflowPunct/>
              <w:topLinePunct w:val="0"/>
              <w:autoSpaceDN/>
              <w:bidi w:val="0"/>
              <w:spacing w:beforeAutospacing="0" w:afterAutospacing="0" w:line="240" w:lineRule="auto"/>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1AD8313">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C0F9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4AAE3">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143BC0">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AC70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409BA">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6839CA10">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0B7F4">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BC7F5">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4AA4E">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9C5F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0E6AB">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4D0057C2">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651B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AB4B2">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6192F">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FDFA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F20F2">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26D646DC">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1276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2FA14">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96A54">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2CA3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29AE9">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4963355A">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4BD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27AA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2F38D">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26CF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5847A">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20C5863E">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0DD9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DBDF">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1E859">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F3CD0">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010B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0AA34753">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A3245">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9C0C">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319B2">
            <w:pPr>
              <w:keepNext w:val="0"/>
              <w:keepLines w:val="0"/>
              <w:pageBreakBefore w:val="0"/>
              <w:kinsoku/>
              <w:overflowPunct/>
              <w:topLinePunct w:val="0"/>
              <w:autoSpaceDN/>
              <w:bidi w:val="0"/>
              <w:spacing w:beforeAutospacing="0" w:afterAutospacing="0" w:line="240" w:lineRule="auto"/>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F585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9161E">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2CA137C8">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6329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257BD">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1D622">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49DB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5D463">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2D6B021E">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14952">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285B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D9793">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102F2">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24225">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35D15C98">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BB40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53AD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081C8">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BA32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01034">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19875D2D">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B1C2D">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0990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3C9B5">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C133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1A954">
            <w:pPr>
              <w:keepNext w:val="0"/>
              <w:keepLines w:val="0"/>
              <w:pageBreakBefore w:val="0"/>
              <w:kinsoku/>
              <w:overflowPunct/>
              <w:topLinePunct w:val="0"/>
              <w:autoSpaceDN/>
              <w:bidi w:val="0"/>
              <w:spacing w:beforeAutospacing="0" w:afterAutospacing="0" w:line="240" w:lineRule="auto"/>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4F1A778">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66B8F">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A0882">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4C32E">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A878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01ADD">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p>
        </w:tc>
      </w:tr>
      <w:tr w14:paraId="5A0D973B">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8407E">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C74E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001C5">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CF2F9">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72C67">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p>
        </w:tc>
      </w:tr>
      <w:tr w14:paraId="41AC6868">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BAAE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83F9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B13F5">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4FC8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14E74">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357151F4">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268C6">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DB1D1">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5FEB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AD497">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06987">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p>
        </w:tc>
      </w:tr>
      <w:tr w14:paraId="370A4F37">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9A37C">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5BA13">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8EBA4">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29F2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B7EDB">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p>
        </w:tc>
      </w:tr>
      <w:tr w14:paraId="6BED88A6">
        <w:tblPrEx>
          <w:tblCellMar>
            <w:top w:w="0" w:type="dxa"/>
            <w:left w:w="170" w:type="dxa"/>
            <w:bottom w:w="0" w:type="dxa"/>
            <w:right w:w="170" w:type="dxa"/>
          </w:tblCellMar>
        </w:tblPrEx>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6397A">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154AC">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5AD6B">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362B">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EF608">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p>
        </w:tc>
      </w:tr>
      <w:tr w14:paraId="79A9464A">
        <w:trPr>
          <w:trHeight w:val="517"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052C1">
            <w:pPr>
              <w:keepNext w:val="0"/>
              <w:keepLines w:val="0"/>
              <w:pageBreakBefore w:val="0"/>
              <w:kinsoku/>
              <w:overflowPunct/>
              <w:topLinePunct w:val="0"/>
              <w:autoSpaceDN/>
              <w:bidi w:val="0"/>
              <w:spacing w:beforeAutospacing="0" w:afterAutospacing="0" w:line="240" w:lineRule="auto"/>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A57FD">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B745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68AAD">
            <w:pPr>
              <w:keepNext w:val="0"/>
              <w:keepLines w:val="0"/>
              <w:pageBreakBefore w:val="0"/>
              <w:kinsoku/>
              <w:overflowPunct/>
              <w:topLinePunct w:val="0"/>
              <w:autoSpaceDN/>
              <w:bidi w:val="0"/>
              <w:spacing w:beforeAutospacing="0" w:afterAutospacing="0" w:line="240" w:lineRule="auto"/>
              <w:rPr>
                <w:rFonts w:hint="default" w:cs="宋体"/>
                <w:color w:val="000000"/>
                <w:kern w:val="2"/>
                <w:sz w:val="16"/>
                <w:szCs w:val="16"/>
              </w:rPr>
            </w:pP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9C4ED">
            <w:pPr>
              <w:keepNext w:val="0"/>
              <w:keepLines w:val="0"/>
              <w:pageBreakBefore w:val="0"/>
              <w:kinsoku/>
              <w:overflowPunct/>
              <w:topLinePunct w:val="0"/>
              <w:autoSpaceDN/>
              <w:bidi w:val="0"/>
              <w:spacing w:beforeAutospacing="0" w:afterAutospacing="0" w:line="240" w:lineRule="auto"/>
              <w:jc w:val="right"/>
              <w:rPr>
                <w:rFonts w:hint="default" w:cs="宋体"/>
                <w:color w:val="000000"/>
                <w:kern w:val="2"/>
                <w:sz w:val="16"/>
                <w:szCs w:val="16"/>
              </w:rPr>
            </w:pPr>
          </w:p>
        </w:tc>
      </w:tr>
      <w:tr w14:paraId="347A37B9">
        <w:tblPrEx>
          <w:tblCellMar>
            <w:top w:w="0" w:type="dxa"/>
            <w:left w:w="170" w:type="dxa"/>
            <w:bottom w:w="0" w:type="dxa"/>
            <w:right w:w="170" w:type="dxa"/>
          </w:tblCellMar>
        </w:tblPrEx>
        <w:trPr>
          <w:trHeight w:val="61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FE77">
            <w:pPr>
              <w:keepNext w:val="0"/>
              <w:keepLines w:val="0"/>
              <w:pageBreakBefore w:val="0"/>
              <w:kinsoku/>
              <w:overflowPunct/>
              <w:topLinePunct w:val="0"/>
              <w:autoSpaceDN/>
              <w:bidi w:val="0"/>
              <w:spacing w:beforeAutospacing="0" w:afterAutospacing="0" w:line="240" w:lineRule="auto"/>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8D78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BBDE20">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4.51</w:t>
            </w: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E051B">
            <w:pPr>
              <w:keepNext w:val="0"/>
              <w:keepLines w:val="0"/>
              <w:pageBreakBefore w:val="0"/>
              <w:kinsoku/>
              <w:overflowPunct/>
              <w:topLinePunct w:val="0"/>
              <w:autoSpaceDN/>
              <w:bidi w:val="0"/>
              <w:spacing w:beforeAutospacing="0" w:afterAutospacing="0" w:line="240" w:lineRule="auto"/>
              <w:rPr>
                <w:rFonts w:hint="default" w:cs="宋体"/>
                <w:color w:val="000000"/>
                <w:kern w:val="2"/>
                <w:sz w:val="16"/>
                <w:szCs w:val="16"/>
              </w:rPr>
            </w:pP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F41AC">
            <w:pPr>
              <w:keepNext w:val="0"/>
              <w:keepLines w:val="0"/>
              <w:pageBreakBefore w:val="0"/>
              <w:kinsoku/>
              <w:overflowPunct/>
              <w:topLinePunct w:val="0"/>
              <w:autoSpaceDN/>
              <w:bidi w:val="0"/>
              <w:spacing w:beforeAutospacing="0" w:afterAutospacing="0" w:line="240" w:lineRule="auto"/>
              <w:jc w:val="right"/>
              <w:rPr>
                <w:rFonts w:hint="default" w:cs="宋体"/>
                <w:color w:val="000000"/>
                <w:kern w:val="2"/>
                <w:sz w:val="16"/>
                <w:szCs w:val="16"/>
              </w:rPr>
            </w:pPr>
          </w:p>
        </w:tc>
      </w:tr>
      <w:tr w14:paraId="2435D439">
        <w:tblPrEx>
          <w:tblCellMar>
            <w:top w:w="0" w:type="dxa"/>
            <w:left w:w="170" w:type="dxa"/>
            <w:bottom w:w="0" w:type="dxa"/>
            <w:right w:w="170" w:type="dxa"/>
          </w:tblCellMar>
        </w:tblPrEx>
        <w:trPr>
          <w:trHeight w:val="663"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14461">
            <w:pPr>
              <w:keepNext w:val="0"/>
              <w:keepLines w:val="0"/>
              <w:pageBreakBefore w:val="0"/>
              <w:kinsoku/>
              <w:overflowPunct/>
              <w:topLinePunct w:val="0"/>
              <w:autoSpaceDN/>
              <w:bidi w:val="0"/>
              <w:spacing w:beforeAutospacing="0" w:afterAutospacing="0" w:line="240" w:lineRule="auto"/>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96F7C">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BDA61">
            <w:pPr>
              <w:keepNext w:val="0"/>
              <w:keepLines w:val="0"/>
              <w:pageBreakBefore w:val="0"/>
              <w:kinsoku/>
              <w:overflowPunct/>
              <w:topLinePunct w:val="0"/>
              <w:autoSpaceDN/>
              <w:bidi w:val="0"/>
              <w:spacing w:beforeAutospacing="0" w:afterAutospacing="0" w:line="240" w:lineRule="auto"/>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2.94</w:t>
            </w:r>
          </w:p>
        </w:tc>
        <w:tc>
          <w:tcPr>
            <w:tcW w:w="12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950B3">
            <w:pPr>
              <w:keepNext w:val="0"/>
              <w:keepLines w:val="0"/>
              <w:pageBreakBefore w:val="0"/>
              <w:kinsoku/>
              <w:overflowPunct/>
              <w:topLinePunct w:val="0"/>
              <w:autoSpaceDN/>
              <w:bidi w:val="0"/>
              <w:spacing w:beforeAutospacing="0" w:afterAutospacing="0" w:line="240" w:lineRule="auto"/>
              <w:rPr>
                <w:rFonts w:hint="default" w:cs="宋体"/>
                <w:color w:val="000000"/>
                <w:sz w:val="16"/>
                <w:szCs w:val="16"/>
              </w:rPr>
            </w:pPr>
          </w:p>
        </w:tc>
        <w:tc>
          <w:tcPr>
            <w:tcW w:w="88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05726">
            <w:pPr>
              <w:keepNext w:val="0"/>
              <w:keepLines w:val="0"/>
              <w:pageBreakBefore w:val="0"/>
              <w:kinsoku/>
              <w:overflowPunct/>
              <w:topLinePunct w:val="0"/>
              <w:autoSpaceDN/>
              <w:bidi w:val="0"/>
              <w:spacing w:beforeAutospacing="0" w:afterAutospacing="0" w:line="240" w:lineRule="auto"/>
              <w:jc w:val="right"/>
              <w:rPr>
                <w:rFonts w:hint="default" w:cs="宋体"/>
                <w:color w:val="000000"/>
                <w:sz w:val="16"/>
                <w:szCs w:val="16"/>
              </w:rPr>
            </w:pPr>
          </w:p>
        </w:tc>
      </w:tr>
    </w:tbl>
    <w:p w14:paraId="3B287F06">
      <w:pPr>
        <w:keepNext w:val="0"/>
        <w:keepLines w:val="0"/>
        <w:pageBreakBefore w:val="0"/>
        <w:kinsoku/>
        <w:overflowPunct/>
        <w:topLinePunct w:val="0"/>
        <w:autoSpaceDN/>
        <w:bidi w:val="0"/>
        <w:spacing w:beforeAutospacing="0" w:afterAutospacing="0" w:line="600" w:lineRule="exact"/>
        <w:rPr>
          <w:rFonts w:hint="default"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0690">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3E4ED426">
                <w:pPr>
                  <w:pStyle w:val="4"/>
                  <w:rPr>
                    <w:rFonts w:hint="default"/>
                  </w:rPr>
                </w:pPr>
                <w:r>
                  <w:fldChar w:fldCharType="begin"/>
                </w:r>
                <w:r>
                  <w:instrText xml:space="preserve"> PAGE  \* MERGEFORMAT </w:instrText>
                </w:r>
                <w:r>
                  <w:fldChar w:fldCharType="separate"/>
                </w:r>
                <w:r>
                  <w:rPr>
                    <w:rFonts w:hint="default"/>
                  </w:rPr>
                  <w:t>- 11 -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3D1B">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CAB5D90">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13 -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8A18195">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6C4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3NWQ5N2E5NjA3YzkyMGY1MmY5OGZhMWY0ZWIxZTQifQ=="/>
  </w:docVars>
  <w:rsids>
    <w:rsidRoot w:val="00B03CCD"/>
    <w:rsid w:val="000B54D6"/>
    <w:rsid w:val="000D7BCC"/>
    <w:rsid w:val="00392290"/>
    <w:rsid w:val="00550ABE"/>
    <w:rsid w:val="007B419D"/>
    <w:rsid w:val="00941F91"/>
    <w:rsid w:val="009B67B8"/>
    <w:rsid w:val="00A4248B"/>
    <w:rsid w:val="00B03CCD"/>
    <w:rsid w:val="00B35316"/>
    <w:rsid w:val="00BB0C99"/>
    <w:rsid w:val="00C31DD2"/>
    <w:rsid w:val="00C40CE7"/>
    <w:rsid w:val="00E869E0"/>
    <w:rsid w:val="00F176A2"/>
    <w:rsid w:val="00F912E1"/>
    <w:rsid w:val="01474EBF"/>
    <w:rsid w:val="019020B1"/>
    <w:rsid w:val="01F3521E"/>
    <w:rsid w:val="02056D00"/>
    <w:rsid w:val="03324338"/>
    <w:rsid w:val="03A52548"/>
    <w:rsid w:val="03DD1CE2"/>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FD4BD5"/>
    <w:rsid w:val="092211F1"/>
    <w:rsid w:val="098305D0"/>
    <w:rsid w:val="09B72B6E"/>
    <w:rsid w:val="09FC7C07"/>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045B75"/>
    <w:rsid w:val="100920B1"/>
    <w:rsid w:val="103645A3"/>
    <w:rsid w:val="107B59E5"/>
    <w:rsid w:val="10AA219D"/>
    <w:rsid w:val="11003CB0"/>
    <w:rsid w:val="11124E18"/>
    <w:rsid w:val="111445C7"/>
    <w:rsid w:val="1158083A"/>
    <w:rsid w:val="11F03528"/>
    <w:rsid w:val="12771554"/>
    <w:rsid w:val="129973FF"/>
    <w:rsid w:val="12A469EC"/>
    <w:rsid w:val="12C921C4"/>
    <w:rsid w:val="12DA353E"/>
    <w:rsid w:val="132C67E2"/>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984673"/>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111FD1"/>
    <w:rsid w:val="21556F04"/>
    <w:rsid w:val="216838F8"/>
    <w:rsid w:val="22403BD3"/>
    <w:rsid w:val="24AF1021"/>
    <w:rsid w:val="24B92327"/>
    <w:rsid w:val="24D3717D"/>
    <w:rsid w:val="2533755C"/>
    <w:rsid w:val="26396DF4"/>
    <w:rsid w:val="266B763B"/>
    <w:rsid w:val="27167136"/>
    <w:rsid w:val="276460F3"/>
    <w:rsid w:val="27B23302"/>
    <w:rsid w:val="27D424D7"/>
    <w:rsid w:val="285722C3"/>
    <w:rsid w:val="28DC1FF8"/>
    <w:rsid w:val="28DD431A"/>
    <w:rsid w:val="29310A5F"/>
    <w:rsid w:val="29C37A35"/>
    <w:rsid w:val="2A076083"/>
    <w:rsid w:val="2A306CA5"/>
    <w:rsid w:val="2A73162E"/>
    <w:rsid w:val="2AF81A58"/>
    <w:rsid w:val="2AFA2E94"/>
    <w:rsid w:val="2B167953"/>
    <w:rsid w:val="2B200583"/>
    <w:rsid w:val="2B4104F9"/>
    <w:rsid w:val="2B8209DE"/>
    <w:rsid w:val="2C6762A3"/>
    <w:rsid w:val="2D5F4C37"/>
    <w:rsid w:val="2D8D7A26"/>
    <w:rsid w:val="2FE029D7"/>
    <w:rsid w:val="2FF06E00"/>
    <w:rsid w:val="30450A8C"/>
    <w:rsid w:val="31260631"/>
    <w:rsid w:val="315F0B22"/>
    <w:rsid w:val="31BE24D6"/>
    <w:rsid w:val="31D84415"/>
    <w:rsid w:val="32285F6F"/>
    <w:rsid w:val="32770556"/>
    <w:rsid w:val="329C0913"/>
    <w:rsid w:val="32B11F30"/>
    <w:rsid w:val="3337290D"/>
    <w:rsid w:val="334B0167"/>
    <w:rsid w:val="33B2468A"/>
    <w:rsid w:val="35076329"/>
    <w:rsid w:val="352930DB"/>
    <w:rsid w:val="35573069"/>
    <w:rsid w:val="358C217E"/>
    <w:rsid w:val="359E7284"/>
    <w:rsid w:val="359F188C"/>
    <w:rsid w:val="36C9128A"/>
    <w:rsid w:val="37841E99"/>
    <w:rsid w:val="379C594F"/>
    <w:rsid w:val="37BF1123"/>
    <w:rsid w:val="37C85E36"/>
    <w:rsid w:val="38BC1135"/>
    <w:rsid w:val="38BE4696"/>
    <w:rsid w:val="39B23CED"/>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A77A46"/>
    <w:rsid w:val="411B6CE5"/>
    <w:rsid w:val="412070D7"/>
    <w:rsid w:val="41314E40"/>
    <w:rsid w:val="415C674B"/>
    <w:rsid w:val="426C1EA8"/>
    <w:rsid w:val="42E86A87"/>
    <w:rsid w:val="43136432"/>
    <w:rsid w:val="432E004C"/>
    <w:rsid w:val="443A3B12"/>
    <w:rsid w:val="44487B36"/>
    <w:rsid w:val="44AF0147"/>
    <w:rsid w:val="44EF6BE8"/>
    <w:rsid w:val="45A30364"/>
    <w:rsid w:val="465B470D"/>
    <w:rsid w:val="469D6AD4"/>
    <w:rsid w:val="47674801"/>
    <w:rsid w:val="47BE6D02"/>
    <w:rsid w:val="48225EF7"/>
    <w:rsid w:val="48A36D47"/>
    <w:rsid w:val="495C4A24"/>
    <w:rsid w:val="49A21DF3"/>
    <w:rsid w:val="49C811E4"/>
    <w:rsid w:val="4A216E30"/>
    <w:rsid w:val="4AA16598"/>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AD3EC7"/>
    <w:rsid w:val="51760217"/>
    <w:rsid w:val="51E36677"/>
    <w:rsid w:val="51F01F7D"/>
    <w:rsid w:val="522F6E0C"/>
    <w:rsid w:val="52463BA1"/>
    <w:rsid w:val="529F078E"/>
    <w:rsid w:val="53990623"/>
    <w:rsid w:val="53C0244D"/>
    <w:rsid w:val="53D233B6"/>
    <w:rsid w:val="53DD4D4E"/>
    <w:rsid w:val="53E578CE"/>
    <w:rsid w:val="53EA10F5"/>
    <w:rsid w:val="541768A0"/>
    <w:rsid w:val="543B029D"/>
    <w:rsid w:val="54977029"/>
    <w:rsid w:val="550949DE"/>
    <w:rsid w:val="554E5773"/>
    <w:rsid w:val="555A3CBC"/>
    <w:rsid w:val="55EF4EA6"/>
    <w:rsid w:val="56530F5D"/>
    <w:rsid w:val="56EE372E"/>
    <w:rsid w:val="570D735E"/>
    <w:rsid w:val="5842572D"/>
    <w:rsid w:val="598A28E2"/>
    <w:rsid w:val="5A6279C1"/>
    <w:rsid w:val="5AD563E4"/>
    <w:rsid w:val="5BBA0393"/>
    <w:rsid w:val="5C1336B7"/>
    <w:rsid w:val="5C263CE4"/>
    <w:rsid w:val="5C5D2777"/>
    <w:rsid w:val="5C722D7F"/>
    <w:rsid w:val="5D290C69"/>
    <w:rsid w:val="5DC17CC6"/>
    <w:rsid w:val="5EB5704D"/>
    <w:rsid w:val="5EFA176D"/>
    <w:rsid w:val="5F0247F9"/>
    <w:rsid w:val="5F2D4A41"/>
    <w:rsid w:val="601C34ED"/>
    <w:rsid w:val="60A511FB"/>
    <w:rsid w:val="61025A59"/>
    <w:rsid w:val="613D5BBC"/>
    <w:rsid w:val="61536C39"/>
    <w:rsid w:val="616D60F9"/>
    <w:rsid w:val="62944DD7"/>
    <w:rsid w:val="629F08EF"/>
    <w:rsid w:val="62F51622"/>
    <w:rsid w:val="634265E1"/>
    <w:rsid w:val="63497036"/>
    <w:rsid w:val="63A126F3"/>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17FC1"/>
    <w:rsid w:val="6C560CAE"/>
    <w:rsid w:val="6CD15296"/>
    <w:rsid w:val="6D903FF5"/>
    <w:rsid w:val="6DA955B8"/>
    <w:rsid w:val="6DE346AB"/>
    <w:rsid w:val="6F607C2A"/>
    <w:rsid w:val="6FEF53BB"/>
    <w:rsid w:val="6FFB2E76"/>
    <w:rsid w:val="70AB70D6"/>
    <w:rsid w:val="70DE5507"/>
    <w:rsid w:val="71C34D91"/>
    <w:rsid w:val="71ED38AA"/>
    <w:rsid w:val="7205552A"/>
    <w:rsid w:val="723F3B65"/>
    <w:rsid w:val="72604E08"/>
    <w:rsid w:val="72DB435C"/>
    <w:rsid w:val="734D536E"/>
    <w:rsid w:val="738549F4"/>
    <w:rsid w:val="74177616"/>
    <w:rsid w:val="744120B0"/>
    <w:rsid w:val="74ED1B1B"/>
    <w:rsid w:val="750837F0"/>
    <w:rsid w:val="762A73EF"/>
    <w:rsid w:val="7631412E"/>
    <w:rsid w:val="764F62AB"/>
    <w:rsid w:val="765C45EC"/>
    <w:rsid w:val="768A7619"/>
    <w:rsid w:val="7714640F"/>
    <w:rsid w:val="77EA362A"/>
    <w:rsid w:val="77F35CA4"/>
    <w:rsid w:val="780E2ADE"/>
    <w:rsid w:val="7875383E"/>
    <w:rsid w:val="794754C5"/>
    <w:rsid w:val="796D60A4"/>
    <w:rsid w:val="79850272"/>
    <w:rsid w:val="79A031D5"/>
    <w:rsid w:val="79A52681"/>
    <w:rsid w:val="7A1525F7"/>
    <w:rsid w:val="7A3E6CB6"/>
    <w:rsid w:val="7A99799F"/>
    <w:rsid w:val="7AAB4252"/>
    <w:rsid w:val="7B420052"/>
    <w:rsid w:val="7B7D43A1"/>
    <w:rsid w:val="7BBC5D27"/>
    <w:rsid w:val="7BD06A28"/>
    <w:rsid w:val="7C0C5586"/>
    <w:rsid w:val="7C0F16A0"/>
    <w:rsid w:val="7C1E4CD7"/>
    <w:rsid w:val="7C3A7C0B"/>
    <w:rsid w:val="7C5248E4"/>
    <w:rsid w:val="7C566698"/>
    <w:rsid w:val="7CE56AF6"/>
    <w:rsid w:val="7CF02E5B"/>
    <w:rsid w:val="7D213FB2"/>
    <w:rsid w:val="7D9615AC"/>
    <w:rsid w:val="7EFE38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rPr>
      <w:rFonts w:cs="宋体"/>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23</Pages>
  <Words>5108</Words>
  <Characters>5696</Characters>
  <Lines>99</Lines>
  <Paragraphs>27</Paragraphs>
  <TotalTime>0</TotalTime>
  <ScaleCrop>false</ScaleCrop>
  <LinksUpToDate>false</LinksUpToDate>
  <CharactersWithSpaces>5702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2025-10-28T06:19:07Z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FDA93E378CB64C978E3D013B5408BFD5_13</vt:lpwstr>
  </property>
  <property fmtid="{D5CDD505-2E9C-101B-9397-08002B2CF9AE}" pid="4" name="KSOTemplateDocerSaveRecord">
    <vt:lpwstr>eyJoZGlkIjoiN2UyNTY2ZDdmOGI5YjY1MjZlNTUwODNmM2RlZWNkZGQiLCJ1c2VySWQiOiIzNTYzMjQyNDAifQ==</vt:lpwstr>
  </property>
</Properties>
</file>