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8F366">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outlineLvl w:val="0"/>
        <w:rPr>
          <w:rFonts w:hint="default" w:ascii="Times New Roman" w:hAnsi="Times New Roman" w:eastAsia="方正小标宋_GBK" w:cs="Times New Roman"/>
          <w:spacing w:val="9"/>
          <w:sz w:val="44"/>
          <w:szCs w:val="44"/>
        </w:rPr>
      </w:pPr>
      <w:r>
        <w:rPr>
          <w:rFonts w:hint="default" w:ascii="Times New Roman" w:hAnsi="Times New Roman" w:eastAsia="方正小标宋_GBK" w:cs="Times New Roman"/>
          <w:spacing w:val="9"/>
          <w:sz w:val="44"/>
          <w:szCs w:val="44"/>
        </w:rPr>
        <w:t>重庆市九龙坡区晋渝森林小学校</w:t>
      </w:r>
    </w:p>
    <w:p w14:paraId="5AE86B77">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2024</w:t>
      </w:r>
      <w:r>
        <w:rPr>
          <w:rFonts w:hint="default" w:ascii="Times New Roman" w:hAnsi="Times New Roman" w:eastAsia="方正小标宋_GBK" w:cs="Times New Roman"/>
          <w:spacing w:val="7"/>
          <w:sz w:val="44"/>
          <w:szCs w:val="44"/>
          <w:lang w:val="en-US" w:eastAsia="zh-CN"/>
        </w:rPr>
        <w:t>年度单位决算情况说明</w:t>
      </w:r>
    </w:p>
    <w:p w14:paraId="774B22A7">
      <w:pPr>
        <w:adjustRightInd w:val="0"/>
        <w:snapToGrid w:val="0"/>
        <w:spacing w:line="600" w:lineRule="exact"/>
        <w:rPr>
          <w:rFonts w:hint="default" w:ascii="Times New Roman" w:hAnsi="Times New Roman" w:eastAsia="方正小标宋_GBK" w:cs="Times New Roman"/>
          <w:sz w:val="20"/>
        </w:rPr>
      </w:pPr>
    </w:p>
    <w:p w14:paraId="1928BAAC">
      <w:pPr>
        <w:spacing w:line="600" w:lineRule="exact"/>
        <w:ind w:firstLine="640" w:firstLineChars="200"/>
        <w:rPr>
          <w:rFonts w:hint="default" w:ascii="Times New Roman" w:hAnsi="Times New Roman" w:eastAsia="方正黑体_GBK" w:cs="Times New Roman"/>
          <w:b/>
          <w:kern w:val="0"/>
          <w:szCs w:val="32"/>
        </w:rPr>
      </w:pPr>
      <w:r>
        <w:rPr>
          <w:rFonts w:hint="default" w:ascii="Times New Roman" w:hAnsi="Times New Roman" w:eastAsia="方正黑体_GBK" w:cs="Times New Roman"/>
          <w:bCs/>
          <w:kern w:val="0"/>
        </w:rPr>
        <w:t>一、</w:t>
      </w:r>
      <w:r>
        <w:rPr>
          <w:rFonts w:hint="default" w:ascii="Times New Roman" w:hAnsi="Times New Roman" w:eastAsia="方正黑体_GBK" w:cs="Times New Roman"/>
          <w:bCs/>
          <w:kern w:val="0"/>
          <w:lang w:val="en-US" w:eastAsia="zh-CN"/>
        </w:rPr>
        <w:t>单位</w:t>
      </w:r>
      <w:r>
        <w:rPr>
          <w:rFonts w:hint="default" w:ascii="Times New Roman" w:hAnsi="Times New Roman" w:eastAsia="方正黑体_GBK" w:cs="Times New Roman"/>
          <w:bCs/>
          <w:kern w:val="0"/>
        </w:rPr>
        <w:t>基本情况</w:t>
      </w:r>
    </w:p>
    <w:p w14:paraId="6838ACBE">
      <w:pPr>
        <w:adjustRightInd w:val="0"/>
        <w:snapToGrid w:val="0"/>
        <w:spacing w:line="600" w:lineRule="exact"/>
        <w:ind w:left="1280" w:leftChars="200" w:hanging="640" w:hangingChars="200"/>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（一）职能职责</w:t>
      </w:r>
    </w:p>
    <w:p w14:paraId="61CF4D5E">
      <w:pPr>
        <w:spacing w:line="600"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实施普通小学义务教育，促进学生全面发展。开展教育教学工作；开展学校德育工作；开展学校体育、卫生、艺术工作；负责学校行政管理工作；开展对外交流工作；维护校园安全，提供后勤保障服务；按政策规定开展学前教育。</w:t>
      </w:r>
    </w:p>
    <w:p w14:paraId="740D4B7B">
      <w:pPr>
        <w:spacing w:line="600" w:lineRule="exact"/>
        <w:ind w:firstLine="640" w:firstLineChars="200"/>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（二）机构设置</w:t>
      </w:r>
    </w:p>
    <w:p w14:paraId="4C6DF7BF">
      <w:pPr>
        <w:spacing w:line="600" w:lineRule="exact"/>
        <w:ind w:firstLine="640" w:firstLineChars="200"/>
        <w:rPr>
          <w:rFonts w:hint="default" w:ascii="Times New Roman" w:hAnsi="Times New Roman" w:eastAsia="方正仿宋_GBK" w:cs="Times New Roman"/>
          <w:kern w:val="0"/>
          <w:szCs w:val="32"/>
          <w:lang w:val="en-US" w:eastAsia="zh-CN"/>
        </w:rPr>
      </w:pPr>
      <w:r>
        <w:rPr>
          <w:rFonts w:hint="default" w:ascii="Times New Roman" w:hAnsi="Times New Roman" w:cs="Times New Roman"/>
          <w:kern w:val="0"/>
          <w:szCs w:val="32"/>
        </w:rPr>
        <w:t>重庆市九龙坡区晋渝森林小学校是财政全额拨款的事业单位，内设机构有党政办公室、德育处、教导处、教科室、综合服务处等部门</w:t>
      </w:r>
      <w:r>
        <w:rPr>
          <w:rFonts w:hint="default" w:ascii="Times New Roman" w:hAnsi="Times New Roman" w:cs="Times New Roman"/>
          <w:kern w:val="0"/>
          <w:szCs w:val="32"/>
          <w:lang w:eastAsia="zh-CN"/>
        </w:rPr>
        <w:t>。</w:t>
      </w:r>
    </w:p>
    <w:p w14:paraId="7B247451">
      <w:pPr>
        <w:spacing w:line="600" w:lineRule="exact"/>
        <w:ind w:firstLine="640" w:firstLineChars="200"/>
        <w:rPr>
          <w:rFonts w:hint="default" w:ascii="Times New Roman" w:hAnsi="Times New Roman" w:eastAsia="方正黑体_GBK" w:cs="Times New Roman"/>
          <w:b/>
          <w:kern w:val="0"/>
          <w:szCs w:val="32"/>
        </w:rPr>
      </w:pPr>
      <w:r>
        <w:rPr>
          <w:rFonts w:hint="default" w:ascii="Times New Roman" w:hAnsi="Times New Roman" w:eastAsia="方正黑体_GBK" w:cs="Times New Roman"/>
          <w:bCs/>
          <w:kern w:val="0"/>
        </w:rPr>
        <w:t>二、部门决算情况说明</w:t>
      </w:r>
    </w:p>
    <w:p w14:paraId="2A576AF7">
      <w:pPr>
        <w:spacing w:line="600" w:lineRule="exact"/>
        <w:ind w:firstLine="640" w:firstLineChars="200"/>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（一）收入支出决算总体情况说明</w:t>
      </w:r>
    </w:p>
    <w:p w14:paraId="26EAD879">
      <w:pPr>
        <w:spacing w:line="600" w:lineRule="exact"/>
        <w:ind w:firstLine="630" w:firstLineChars="196"/>
        <w:rPr>
          <w:rFonts w:hint="default" w:ascii="Times New Roman" w:hAnsi="Times New Roman" w:cs="Times New Roman"/>
          <w:kern w:val="0"/>
          <w:szCs w:val="32"/>
        </w:rPr>
      </w:pPr>
      <w:r>
        <w:rPr>
          <w:rFonts w:hint="default" w:ascii="Times New Roman" w:hAnsi="Times New Roman" w:cs="Times New Roman"/>
          <w:b/>
          <w:bCs/>
          <w:kern w:val="0"/>
        </w:rPr>
        <w:t>1.总体情况</w:t>
      </w:r>
      <w:r>
        <w:rPr>
          <w:rFonts w:hint="default" w:ascii="Times New Roman" w:hAnsi="Times New Roman" w:cs="Times New Roman"/>
          <w:kern w:val="0"/>
          <w:szCs w:val="32"/>
        </w:rPr>
        <w:t>。2024年度收入总计1822.25万元，支出总计1822.25万元。收、支与2023年度相比，增加1069.32万元，增长142.0%，主要原因是2024年我校购买幼儿园及我校每年新增学生较多、新增教职工较多，学校正处于发展中，学校的基础设施设备和办学条件方面的投入持续大幅增加，因此收支增长幅度较大。</w:t>
      </w:r>
    </w:p>
    <w:p w14:paraId="03FE7E7C">
      <w:pPr>
        <w:spacing w:line="600" w:lineRule="exact"/>
        <w:ind w:firstLine="630" w:firstLineChars="196"/>
        <w:rPr>
          <w:rFonts w:hint="default" w:ascii="Times New Roman" w:hAnsi="Times New Roman" w:cs="Times New Roman"/>
          <w:kern w:val="0"/>
          <w:szCs w:val="32"/>
        </w:rPr>
      </w:pPr>
      <w:r>
        <w:rPr>
          <w:rFonts w:hint="default" w:ascii="Times New Roman" w:hAnsi="Times New Roman" w:cs="Times New Roman"/>
          <w:b/>
          <w:bCs/>
          <w:kern w:val="0"/>
        </w:rPr>
        <w:t>2.收入情况。</w:t>
      </w:r>
      <w:r>
        <w:rPr>
          <w:rFonts w:hint="default" w:ascii="Times New Roman" w:hAnsi="Times New Roman" w:cs="Times New Roman"/>
          <w:kern w:val="0"/>
          <w:szCs w:val="32"/>
        </w:rPr>
        <w:t>2024年度收入合计1822.25万元，与2023年度相比，增加1069.32万元，增长142.0%，主要原因是2024年我校购买幼儿园及我校每年新增学生较多、新增教职工较多，学校正处于发展中，学校的基础设施设备和办学条件方面的投入持续大幅增加，因此收入增长幅度较大</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 xml:space="preserve">其中：财政拨款收入1803.25万元，占98.96%；事业收入19.00万元，占1.04%。 </w:t>
      </w:r>
    </w:p>
    <w:p w14:paraId="55CDA0D4">
      <w:pPr>
        <w:spacing w:line="600" w:lineRule="exact"/>
        <w:ind w:firstLine="630" w:firstLineChars="196"/>
        <w:rPr>
          <w:rFonts w:hint="default" w:ascii="Times New Roman" w:hAnsi="Times New Roman" w:eastAsia="方正仿宋_GBK" w:cs="Times New Roman"/>
          <w:kern w:val="0"/>
          <w:szCs w:val="32"/>
          <w:lang w:eastAsia="zh-CN"/>
        </w:rPr>
      </w:pPr>
      <w:r>
        <w:rPr>
          <w:rFonts w:hint="default" w:ascii="Times New Roman" w:hAnsi="Times New Roman" w:cs="Times New Roman"/>
          <w:b/>
          <w:bCs/>
          <w:kern w:val="0"/>
        </w:rPr>
        <w:t>3.支出情况。</w:t>
      </w:r>
      <w:r>
        <w:rPr>
          <w:rFonts w:hint="default" w:ascii="Times New Roman" w:hAnsi="Times New Roman" w:cs="Times New Roman"/>
          <w:kern w:val="0"/>
          <w:szCs w:val="32"/>
        </w:rPr>
        <w:t>2024年度支出合计1822.25万元，与2023年度相比，增加1069.32万元，增长142.0%，主要原因是2024年我校购买幼儿园及我校每年新增学生较多、新增教职工较多，学校正处于发展中，学校的基础设施设备和办学条件方面的投入持续大幅增加，因此支出增长幅度较大。其中：基本支出581.60万元，占31.92%；项目支出1240.65万元，占68.08%</w:t>
      </w:r>
      <w:r>
        <w:rPr>
          <w:rFonts w:hint="default" w:ascii="Times New Roman" w:hAnsi="Times New Roman" w:cs="Times New Roman"/>
          <w:kern w:val="0"/>
          <w:szCs w:val="32"/>
          <w:lang w:eastAsia="zh-CN"/>
        </w:rPr>
        <w:t>。</w:t>
      </w:r>
    </w:p>
    <w:p w14:paraId="0D3A9378">
      <w:pPr>
        <w:spacing w:line="600" w:lineRule="exact"/>
        <w:ind w:firstLine="630" w:firstLineChars="196"/>
        <w:rPr>
          <w:rFonts w:hint="default" w:ascii="Times New Roman" w:hAnsi="Times New Roman" w:cs="Times New Roman"/>
          <w:kern w:val="0"/>
          <w:szCs w:val="32"/>
        </w:rPr>
      </w:pPr>
      <w:r>
        <w:rPr>
          <w:rFonts w:hint="default" w:ascii="Times New Roman" w:hAnsi="Times New Roman" w:cs="Times New Roman"/>
          <w:b/>
          <w:bCs/>
          <w:kern w:val="0"/>
        </w:rPr>
        <w:t>4.结转结余情况。</w:t>
      </w:r>
      <w:r>
        <w:rPr>
          <w:rFonts w:hint="default" w:ascii="Times New Roman" w:hAnsi="Times New Roman" w:cs="Times New Roman"/>
          <w:kern w:val="0"/>
          <w:szCs w:val="32"/>
        </w:rPr>
        <w:t>2024年度年末结转和结余0.00万元，与2023年度相比，无增减，主要原因是收支平衡。</w:t>
      </w:r>
    </w:p>
    <w:p w14:paraId="1E3EBB67">
      <w:pPr>
        <w:spacing w:line="600" w:lineRule="exact"/>
        <w:ind w:firstLine="640" w:firstLineChars="200"/>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（二）财政拨款收入支出决算总体情况说明</w:t>
      </w:r>
    </w:p>
    <w:p w14:paraId="775BB420">
      <w:pPr>
        <w:spacing w:line="600"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2024年度财政拨款收、支总计1803.25万元。与2023年相比，财政拨款收、支总计各增加1050.32万元，增长139.5%。主要原因是2024年我校购买幼儿园及我校每年新增学生较多、新增教职工较多，学校正处于发展中，学校的基础设施设备和办学条件方面的投入持续大幅增加，因此收支增长幅度较大。</w:t>
      </w:r>
    </w:p>
    <w:p w14:paraId="33B5FA8B">
      <w:pPr>
        <w:spacing w:line="600" w:lineRule="exact"/>
        <w:ind w:firstLine="640" w:firstLineChars="200"/>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（三）一般公共预算财政拨款支出决算情况说明</w:t>
      </w:r>
    </w:p>
    <w:p w14:paraId="08B24660">
      <w:pPr>
        <w:spacing w:line="600" w:lineRule="exact"/>
        <w:ind w:firstLine="630" w:firstLineChars="196"/>
        <w:rPr>
          <w:rFonts w:hint="default" w:ascii="Times New Roman" w:hAnsi="Times New Roman" w:cs="Times New Roman"/>
          <w:kern w:val="0"/>
          <w:szCs w:val="32"/>
        </w:rPr>
      </w:pPr>
      <w:r>
        <w:rPr>
          <w:rFonts w:hint="default" w:ascii="Times New Roman" w:hAnsi="Times New Roman" w:cs="Times New Roman"/>
          <w:b/>
          <w:bCs/>
          <w:kern w:val="0"/>
        </w:rPr>
        <w:t>1.收入情况。</w:t>
      </w:r>
      <w:r>
        <w:rPr>
          <w:rFonts w:hint="default" w:ascii="Times New Roman" w:hAnsi="Times New Roman" w:cs="Times New Roman"/>
          <w:kern w:val="0"/>
          <w:szCs w:val="32"/>
        </w:rPr>
        <w:t>2024年度一般公共预算财政拨款收入1803.25万元，与2023年度相比，增加1050.32万元，增长139.5%。主要原因是2024年我校购买幼儿园及我校每年新增学生较多、新增教职工较多，学校正处于发展中，学校的基础设施设备和办学条件方面的投入持续大幅增加，因此收入增长幅度较大。较年初预算数增加1014.33万元，增长128.6%。主要原因是2024年我校购买幼儿园及我校每年新增学生较多、新增教职工较多，学校正处于发展中，学校的基础设施设备和办学条件方面的投入持续大幅增加，因此收入增长幅度较大。此外，年初财政拨款结转和结余0.00万元。</w:t>
      </w:r>
    </w:p>
    <w:p w14:paraId="62E685AF">
      <w:pPr>
        <w:spacing w:line="600" w:lineRule="exact"/>
        <w:ind w:firstLine="630" w:firstLineChars="196"/>
        <w:rPr>
          <w:rFonts w:hint="default" w:ascii="Times New Roman" w:hAnsi="Times New Roman" w:cs="Times New Roman"/>
          <w:kern w:val="0"/>
          <w:szCs w:val="32"/>
        </w:rPr>
      </w:pPr>
      <w:r>
        <w:rPr>
          <w:rFonts w:hint="default" w:ascii="Times New Roman" w:hAnsi="Times New Roman" w:cs="Times New Roman"/>
          <w:b/>
          <w:bCs/>
          <w:kern w:val="0"/>
        </w:rPr>
        <w:t>2.支出情况。</w:t>
      </w:r>
      <w:r>
        <w:rPr>
          <w:rFonts w:hint="default" w:ascii="Times New Roman" w:hAnsi="Times New Roman" w:cs="Times New Roman"/>
          <w:kern w:val="0"/>
          <w:szCs w:val="32"/>
        </w:rPr>
        <w:t>2024年度一般公共预算财政拨款支出1803.25万元，与2023年度相比，增加1050.32万元，增长139.5%。主要原因是2024年我校购买幼儿园及我校每年新增学生较多、新增教职工较多，学校正处于发展中，学校的基础设施设备和办学条件方面的投入持续大幅增加，因此支出增长幅度较大。较年初预算数增加1014.33万元，增长128.6%。主要原因是2024年我校购买幼儿园及我校每年新增学生较多、新增教职工较多，学校正处于发展中，学校的基础设施设备和办学条件方面的投入持续大幅增加，因此支出增长幅度较大。</w:t>
      </w:r>
    </w:p>
    <w:p w14:paraId="26D1DE81">
      <w:pPr>
        <w:spacing w:line="600" w:lineRule="exact"/>
        <w:ind w:firstLine="630" w:firstLineChars="196"/>
        <w:rPr>
          <w:rFonts w:hint="default" w:ascii="Times New Roman" w:hAnsi="Times New Roman" w:cs="Times New Roman"/>
          <w:kern w:val="0"/>
          <w:szCs w:val="32"/>
        </w:rPr>
      </w:pPr>
      <w:r>
        <w:rPr>
          <w:rFonts w:hint="default" w:ascii="Times New Roman" w:hAnsi="Times New Roman" w:cs="Times New Roman"/>
          <w:b/>
          <w:bCs/>
          <w:kern w:val="0"/>
        </w:rPr>
        <w:t>3.结转结余情况。</w:t>
      </w:r>
      <w:r>
        <w:rPr>
          <w:rFonts w:hint="default" w:ascii="Times New Roman" w:hAnsi="Times New Roman" w:cs="Times New Roman"/>
          <w:kern w:val="0"/>
          <w:szCs w:val="32"/>
        </w:rPr>
        <w:t>2024年度年末一般公共预算财政拨款结转和结余0.00万元，与2023年度相比无增减，主要原因是收支平衡。</w:t>
      </w:r>
    </w:p>
    <w:p w14:paraId="456C8B31">
      <w:pPr>
        <w:spacing w:line="600" w:lineRule="exact"/>
        <w:ind w:firstLine="630" w:firstLineChars="196"/>
        <w:rPr>
          <w:rFonts w:hint="default" w:ascii="Times New Roman" w:hAnsi="Times New Roman" w:cs="Times New Roman"/>
          <w:kern w:val="0"/>
          <w:szCs w:val="32"/>
        </w:rPr>
      </w:pPr>
      <w:r>
        <w:rPr>
          <w:rFonts w:hint="default" w:ascii="Times New Roman" w:hAnsi="Times New Roman" w:cs="Times New Roman"/>
          <w:b/>
          <w:bCs/>
          <w:kern w:val="0"/>
        </w:rPr>
        <w:t>4.比较情况</w:t>
      </w:r>
      <w:r>
        <w:rPr>
          <w:rFonts w:hint="default" w:ascii="Times New Roman" w:hAnsi="Times New Roman" w:cs="Times New Roman"/>
          <w:kern w:val="0"/>
          <w:szCs w:val="32"/>
        </w:rPr>
        <w:t>。本单位2024年度一般公共预算财政拨款支出主要用于以下几个方面：</w:t>
      </w:r>
    </w:p>
    <w:p w14:paraId="5274FF86">
      <w:pPr>
        <w:spacing w:line="600" w:lineRule="exact"/>
        <w:ind w:firstLine="627" w:firstLineChars="196"/>
        <w:rPr>
          <w:rFonts w:hint="default" w:ascii="Times New Roman" w:hAnsi="Times New Roman" w:cs="Times New Roman"/>
          <w:kern w:val="0"/>
          <w:szCs w:val="32"/>
        </w:rPr>
      </w:pPr>
      <w:r>
        <w:rPr>
          <w:rFonts w:hint="default" w:ascii="Times New Roman" w:hAnsi="Times New Roman" w:cs="Times New Roman"/>
          <w:kern w:val="0"/>
          <w:szCs w:val="32"/>
        </w:rPr>
        <w:t>（1）教育支出1668.39万元，占92.52%，较年初预算数增加989.66万元，增长145.8%，主要原因是2024年回购幼儿园及学生人数增加。</w:t>
      </w:r>
    </w:p>
    <w:p w14:paraId="14057CD8">
      <w:pPr>
        <w:spacing w:line="600" w:lineRule="exact"/>
        <w:ind w:firstLine="627" w:firstLineChars="196"/>
        <w:rPr>
          <w:rFonts w:hint="default" w:ascii="Times New Roman" w:hAnsi="Times New Roman" w:cs="Times New Roman"/>
          <w:kern w:val="0"/>
          <w:szCs w:val="32"/>
        </w:rPr>
      </w:pPr>
      <w:r>
        <w:rPr>
          <w:rFonts w:hint="default" w:ascii="Times New Roman" w:hAnsi="Times New Roman" w:cs="Times New Roman"/>
          <w:kern w:val="0"/>
          <w:szCs w:val="32"/>
        </w:rPr>
        <w:t>（2）社会保障与就业支出66.41万元，占3.68%，较年初预算数增加22.79万元，增长52.3%，主要原因是社保基数调整及人员增加。</w:t>
      </w:r>
    </w:p>
    <w:p w14:paraId="27C71BFF">
      <w:pPr>
        <w:spacing w:line="600" w:lineRule="exact"/>
        <w:ind w:firstLine="627" w:firstLineChars="196"/>
        <w:rPr>
          <w:rFonts w:hint="default" w:ascii="Times New Roman" w:hAnsi="Times New Roman" w:cs="Times New Roman"/>
          <w:kern w:val="0"/>
          <w:szCs w:val="32"/>
        </w:rPr>
      </w:pPr>
      <w:r>
        <w:rPr>
          <w:rFonts w:hint="default" w:ascii="Times New Roman" w:hAnsi="Times New Roman" w:cs="Times New Roman"/>
          <w:kern w:val="0"/>
          <w:szCs w:val="32"/>
        </w:rPr>
        <w:t>（3）卫生健康支出22.82万元，占1.27%，较年初预算数增加0.49万元，增长2.2%，主要原因是社保基数调整及人员增加。</w:t>
      </w:r>
    </w:p>
    <w:p w14:paraId="43C6B9F1">
      <w:pPr>
        <w:spacing w:line="600" w:lineRule="exact"/>
        <w:ind w:firstLine="627" w:firstLineChars="196"/>
        <w:rPr>
          <w:rFonts w:hint="default" w:ascii="Times New Roman" w:hAnsi="Times New Roman" w:cs="Times New Roman"/>
          <w:kern w:val="0"/>
          <w:szCs w:val="32"/>
        </w:rPr>
      </w:pPr>
      <w:r>
        <w:rPr>
          <w:rFonts w:hint="default" w:ascii="Times New Roman" w:hAnsi="Times New Roman" w:cs="Times New Roman"/>
          <w:kern w:val="0"/>
          <w:szCs w:val="32"/>
        </w:rPr>
        <w:t>（4）住房保障支出45.64万元，占2.53%，较年初预算数增加1.40万元，增长3.2%，主要原因是公积金基数调整及人员增加。</w:t>
      </w:r>
    </w:p>
    <w:p w14:paraId="7F906AF3">
      <w:pPr>
        <w:spacing w:line="600" w:lineRule="exact"/>
        <w:ind w:firstLine="640" w:firstLineChars="200"/>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（四）一般公共预算财政拨款基本支出决算情况说明</w:t>
      </w:r>
    </w:p>
    <w:p w14:paraId="4867C77A">
      <w:pPr>
        <w:spacing w:line="600"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2024年度一般公共财政拨款基本支出581.60万元。其中：人员经费464.01万元，与2023年度相比，增加90.59万元，增长24.3%，主要原因是2024年社保缴费基数调整及人员增加。人员经费用途主要包括基本工资、津贴补贴 、绩效工资、社会保障缴费、其他工资福利支出。公用经费117.59万元，与2023年度相比，增加33.18万元，增长39.3%，主要原因是学生人数增加。公用经费用途主要包括办公费、印刷费、咨询费、水费、电费 、邮电费、物业管理费、差旅费、维修（护）费、培训费、专用材料费、劳务费、工会经费、其他商品和服务支出。</w:t>
      </w:r>
    </w:p>
    <w:p w14:paraId="4935CD8D">
      <w:pPr>
        <w:spacing w:line="600" w:lineRule="exact"/>
        <w:ind w:firstLine="640" w:firstLineChars="200"/>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（五）政府性基金预算收支决算情况说明</w:t>
      </w:r>
    </w:p>
    <w:p w14:paraId="35FEB1C3">
      <w:pPr>
        <w:spacing w:line="600"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本单位2024年度无政府性基金预算财政拨款收支。</w:t>
      </w:r>
    </w:p>
    <w:p w14:paraId="2481EC4E">
      <w:pPr>
        <w:spacing w:line="600" w:lineRule="exact"/>
        <w:ind w:firstLine="640" w:firstLineChars="200"/>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（六）国有资本经营预算财政拨款支出决算情况说明</w:t>
      </w:r>
    </w:p>
    <w:p w14:paraId="668B561A">
      <w:pPr>
        <w:spacing w:line="600"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本单位2024年度无国有资本经营预算财政拨款支出。</w:t>
      </w:r>
    </w:p>
    <w:p w14:paraId="70444DE8">
      <w:pPr>
        <w:spacing w:line="600" w:lineRule="exact"/>
        <w:ind w:firstLine="640" w:firstLineChars="200"/>
        <w:rPr>
          <w:rFonts w:hint="default" w:ascii="Times New Roman" w:hAnsi="Times New Roman" w:eastAsia="方正黑体_GBK" w:cs="Times New Roman"/>
          <w:b/>
          <w:kern w:val="0"/>
          <w:szCs w:val="32"/>
        </w:rPr>
      </w:pPr>
      <w:r>
        <w:rPr>
          <w:rFonts w:hint="default" w:ascii="Times New Roman" w:hAnsi="Times New Roman" w:eastAsia="方正黑体_GBK" w:cs="Times New Roman"/>
          <w:bCs/>
          <w:kern w:val="0"/>
        </w:rPr>
        <w:t>三、</w:t>
      </w:r>
      <w:r>
        <w:rPr>
          <w:rFonts w:hint="eastAsia" w:eastAsia="方正黑体_GBK" w:cs="Times New Roman"/>
          <w:bCs/>
          <w:kern w:val="0"/>
          <w:lang w:eastAsia="zh-CN"/>
        </w:rPr>
        <w:t>“</w:t>
      </w:r>
      <w:r>
        <w:rPr>
          <w:rFonts w:hint="default" w:ascii="Times New Roman" w:hAnsi="Times New Roman" w:eastAsia="方正黑体_GBK" w:cs="Times New Roman"/>
          <w:bCs/>
          <w:kern w:val="0"/>
        </w:rPr>
        <w:t>三公</w:t>
      </w:r>
      <w:r>
        <w:rPr>
          <w:rFonts w:hint="eastAsia" w:eastAsia="方正黑体_GBK" w:cs="Times New Roman"/>
          <w:bCs/>
          <w:kern w:val="0"/>
          <w:lang w:eastAsia="zh-CN"/>
        </w:rPr>
        <w:t>”</w:t>
      </w:r>
      <w:r>
        <w:rPr>
          <w:rFonts w:hint="default" w:ascii="Times New Roman" w:hAnsi="Times New Roman" w:eastAsia="方正黑体_GBK" w:cs="Times New Roman"/>
          <w:bCs/>
          <w:kern w:val="0"/>
        </w:rPr>
        <w:t>经费情况说明</w:t>
      </w:r>
    </w:p>
    <w:p w14:paraId="2958165E">
      <w:pPr>
        <w:spacing w:line="600" w:lineRule="exact"/>
        <w:ind w:firstLine="640" w:firstLineChars="200"/>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（一）</w:t>
      </w:r>
      <w:r>
        <w:rPr>
          <w:rFonts w:hint="eastAsia" w:eastAsia="方正楷体_GBK" w:cs="Times New Roman"/>
          <w:bCs/>
          <w:kern w:val="0"/>
          <w:lang w:eastAsia="zh-CN"/>
        </w:rPr>
        <w:t>“</w:t>
      </w:r>
      <w:r>
        <w:rPr>
          <w:rFonts w:hint="default" w:ascii="Times New Roman" w:hAnsi="Times New Roman" w:eastAsia="方正楷体_GBK" w:cs="Times New Roman"/>
          <w:bCs/>
          <w:kern w:val="0"/>
        </w:rPr>
        <w:t>三公</w:t>
      </w:r>
      <w:r>
        <w:rPr>
          <w:rFonts w:hint="eastAsia" w:eastAsia="方正楷体_GBK" w:cs="Times New Roman"/>
          <w:bCs/>
          <w:kern w:val="0"/>
          <w:lang w:eastAsia="zh-CN"/>
        </w:rPr>
        <w:t>”</w:t>
      </w:r>
      <w:r>
        <w:rPr>
          <w:rFonts w:hint="default" w:ascii="Times New Roman" w:hAnsi="Times New Roman" w:eastAsia="方正楷体_GBK" w:cs="Times New Roman"/>
          <w:bCs/>
          <w:kern w:val="0"/>
        </w:rPr>
        <w:t>经费支出总体情况说明</w:t>
      </w:r>
    </w:p>
    <w:p w14:paraId="7E7D6B39">
      <w:pPr>
        <w:spacing w:line="600"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2024年度</w:t>
      </w:r>
      <w:r>
        <w:rPr>
          <w:rFonts w:hint="eastAsia" w:cs="Times New Roman"/>
          <w:kern w:val="0"/>
          <w:szCs w:val="32"/>
          <w:lang w:eastAsia="zh-CN"/>
        </w:rPr>
        <w:t>“</w:t>
      </w:r>
      <w:r>
        <w:rPr>
          <w:rFonts w:hint="default" w:ascii="Times New Roman" w:hAnsi="Times New Roman" w:cs="Times New Roman"/>
          <w:kern w:val="0"/>
          <w:szCs w:val="32"/>
        </w:rPr>
        <w:t xml:space="preserve"> 三公 </w:t>
      </w:r>
      <w:r>
        <w:rPr>
          <w:rFonts w:hint="eastAsia" w:cs="Times New Roman"/>
          <w:kern w:val="0"/>
          <w:szCs w:val="32"/>
          <w:lang w:eastAsia="zh-CN"/>
        </w:rPr>
        <w:t>”</w:t>
      </w:r>
      <w:r>
        <w:rPr>
          <w:rFonts w:hint="default" w:ascii="Times New Roman" w:hAnsi="Times New Roman" w:cs="Times New Roman"/>
          <w:kern w:val="0"/>
          <w:szCs w:val="32"/>
        </w:rPr>
        <w:t>经费支出共计0.00 万元，较年初预算数无增减，较上年支出数无增减。本单位 2024年度未发生</w:t>
      </w:r>
      <w:r>
        <w:rPr>
          <w:rFonts w:hint="eastAsia" w:cs="Times New Roman"/>
          <w:kern w:val="0"/>
          <w:szCs w:val="32"/>
          <w:lang w:eastAsia="zh-CN"/>
        </w:rPr>
        <w:t>“</w:t>
      </w:r>
      <w:r>
        <w:rPr>
          <w:rFonts w:hint="default" w:ascii="Times New Roman" w:hAnsi="Times New Roman" w:cs="Times New Roman"/>
          <w:kern w:val="0"/>
          <w:szCs w:val="32"/>
        </w:rPr>
        <w:t xml:space="preserve"> 三公 </w:t>
      </w:r>
      <w:r>
        <w:rPr>
          <w:rFonts w:hint="eastAsia" w:cs="Times New Roman"/>
          <w:kern w:val="0"/>
          <w:szCs w:val="32"/>
          <w:lang w:eastAsia="zh-CN"/>
        </w:rPr>
        <w:t>”</w:t>
      </w:r>
      <w:r>
        <w:rPr>
          <w:rFonts w:hint="default" w:ascii="Times New Roman" w:hAnsi="Times New Roman" w:cs="Times New Roman"/>
          <w:kern w:val="0"/>
          <w:szCs w:val="32"/>
        </w:rPr>
        <w:t>经费支出。</w:t>
      </w:r>
    </w:p>
    <w:p w14:paraId="3301DE78">
      <w:pPr>
        <w:spacing w:line="600" w:lineRule="exact"/>
        <w:ind w:firstLine="640" w:firstLineChars="200"/>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（二）</w:t>
      </w:r>
      <w:r>
        <w:rPr>
          <w:rFonts w:hint="eastAsia" w:eastAsia="方正楷体_GBK" w:cs="Times New Roman"/>
          <w:bCs/>
          <w:kern w:val="0"/>
          <w:lang w:eastAsia="zh-CN"/>
        </w:rPr>
        <w:t>“</w:t>
      </w:r>
      <w:r>
        <w:rPr>
          <w:rFonts w:hint="default" w:ascii="Times New Roman" w:hAnsi="Times New Roman" w:eastAsia="方正楷体_GBK" w:cs="Times New Roman"/>
          <w:bCs/>
          <w:kern w:val="0"/>
        </w:rPr>
        <w:t>三公</w:t>
      </w:r>
      <w:r>
        <w:rPr>
          <w:rFonts w:hint="eastAsia" w:eastAsia="方正楷体_GBK" w:cs="Times New Roman"/>
          <w:bCs/>
          <w:kern w:val="0"/>
          <w:lang w:eastAsia="zh-CN"/>
        </w:rPr>
        <w:t>”</w:t>
      </w:r>
      <w:r>
        <w:rPr>
          <w:rFonts w:hint="default" w:ascii="Times New Roman" w:hAnsi="Times New Roman" w:eastAsia="方正楷体_GBK" w:cs="Times New Roman"/>
          <w:bCs/>
          <w:kern w:val="0"/>
        </w:rPr>
        <w:t>经费分项支出情况</w:t>
      </w:r>
    </w:p>
    <w:p w14:paraId="2B4B690F">
      <w:pPr>
        <w:spacing w:line="600"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2024年度本单位因公出国（境）费用0.00万元。费用支出较年初预算数无增减，较上年支出数无增减。本单位2024年度 未发生因公出国（境）支出</w:t>
      </w:r>
      <w:r>
        <w:rPr>
          <w:rFonts w:hint="eastAsia" w:cs="Times New Roman"/>
          <w:kern w:val="0"/>
          <w:szCs w:val="32"/>
          <w:lang w:eastAsia="zh-CN"/>
        </w:rPr>
        <w:t>，</w:t>
      </w:r>
      <w:r>
        <w:rPr>
          <w:rFonts w:hint="default" w:ascii="Times New Roman" w:hAnsi="Times New Roman" w:eastAsia="方正仿宋_GBK" w:cs="Times New Roman"/>
          <w:color w:val="auto"/>
          <w:sz w:val="32"/>
          <w:szCs w:val="32"/>
          <w:shd w:val="clear" w:color="auto" w:fill="FFFFFF"/>
          <w:lang w:val="en-US" w:eastAsia="zh-CN"/>
        </w:rPr>
        <w:t>与上年</w:t>
      </w:r>
      <w:r>
        <w:rPr>
          <w:rFonts w:hint="eastAsia" w:cs="Times New Roman"/>
          <w:color w:val="auto"/>
          <w:sz w:val="32"/>
          <w:szCs w:val="32"/>
          <w:shd w:val="clear" w:color="auto" w:fill="FFFFFF"/>
          <w:lang w:val="en-US" w:eastAsia="zh-CN"/>
        </w:rPr>
        <w:t>决算数</w:t>
      </w:r>
      <w:r>
        <w:rPr>
          <w:rFonts w:hint="default" w:ascii="Times New Roman" w:hAnsi="Times New Roman" w:eastAsia="方正仿宋_GBK" w:cs="Times New Roman"/>
          <w:color w:val="auto"/>
          <w:sz w:val="32"/>
          <w:szCs w:val="32"/>
          <w:shd w:val="clear" w:color="auto" w:fill="FFFFFF"/>
          <w:lang w:val="en-US" w:eastAsia="zh-CN"/>
        </w:rPr>
        <w:t>持平</w:t>
      </w:r>
      <w:r>
        <w:rPr>
          <w:rFonts w:hint="default" w:ascii="Times New Roman" w:hAnsi="Times New Roman" w:cs="Times New Roman"/>
          <w:kern w:val="0"/>
          <w:szCs w:val="32"/>
        </w:rPr>
        <w:t>。</w:t>
      </w:r>
    </w:p>
    <w:p w14:paraId="2750F370">
      <w:pPr>
        <w:spacing w:line="600"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公务车购置费0.00万元。费用支出较年初预算数无增减，较上年支出数无增减。本单位2024年度未发生公务车购置支出</w:t>
      </w:r>
      <w:r>
        <w:rPr>
          <w:rFonts w:hint="eastAsia" w:cs="Times New Roman"/>
          <w:kern w:val="0"/>
          <w:szCs w:val="32"/>
          <w:lang w:eastAsia="zh-CN"/>
        </w:rPr>
        <w:t>，</w:t>
      </w:r>
      <w:r>
        <w:rPr>
          <w:rFonts w:hint="default" w:ascii="Times New Roman" w:hAnsi="Times New Roman" w:eastAsia="方正仿宋_GBK" w:cs="Times New Roman"/>
          <w:color w:val="auto"/>
          <w:sz w:val="32"/>
          <w:szCs w:val="32"/>
          <w:shd w:val="clear" w:color="auto" w:fill="FFFFFF"/>
          <w:lang w:val="en-US" w:eastAsia="zh-CN"/>
        </w:rPr>
        <w:t>与上年</w:t>
      </w:r>
      <w:r>
        <w:rPr>
          <w:rFonts w:hint="eastAsia" w:cs="Times New Roman"/>
          <w:color w:val="auto"/>
          <w:sz w:val="32"/>
          <w:szCs w:val="32"/>
          <w:shd w:val="clear" w:color="auto" w:fill="FFFFFF"/>
          <w:lang w:val="en-US" w:eastAsia="zh-CN"/>
        </w:rPr>
        <w:t>决算数</w:t>
      </w:r>
      <w:r>
        <w:rPr>
          <w:rFonts w:hint="default" w:ascii="Times New Roman" w:hAnsi="Times New Roman" w:eastAsia="方正仿宋_GBK" w:cs="Times New Roman"/>
          <w:color w:val="auto"/>
          <w:sz w:val="32"/>
          <w:szCs w:val="32"/>
          <w:shd w:val="clear" w:color="auto" w:fill="FFFFFF"/>
          <w:lang w:val="en-US" w:eastAsia="zh-CN"/>
        </w:rPr>
        <w:t>持平</w:t>
      </w:r>
      <w:r>
        <w:rPr>
          <w:rFonts w:hint="default" w:ascii="Times New Roman" w:hAnsi="Times New Roman" w:cs="Times New Roman"/>
          <w:kern w:val="0"/>
          <w:szCs w:val="32"/>
        </w:rPr>
        <w:t>。</w:t>
      </w:r>
    </w:p>
    <w:p w14:paraId="2D31B63F">
      <w:pPr>
        <w:spacing w:line="600"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公务车运行维护费0.00万元。费用支出较年初预算数无增 减，较上年支出数无增减。本单位2024年度未发生公务车运行 维护支出</w:t>
      </w:r>
      <w:r>
        <w:rPr>
          <w:rFonts w:hint="eastAsia" w:cs="Times New Roman"/>
          <w:kern w:val="0"/>
          <w:szCs w:val="32"/>
          <w:lang w:eastAsia="zh-CN"/>
        </w:rPr>
        <w:t>，</w:t>
      </w:r>
      <w:r>
        <w:rPr>
          <w:rFonts w:hint="default" w:ascii="Times New Roman" w:hAnsi="Times New Roman" w:eastAsia="方正仿宋_GBK" w:cs="Times New Roman"/>
          <w:color w:val="auto"/>
          <w:sz w:val="32"/>
          <w:szCs w:val="32"/>
          <w:shd w:val="clear" w:color="auto" w:fill="FFFFFF"/>
          <w:lang w:val="en-US" w:eastAsia="zh-CN"/>
        </w:rPr>
        <w:t>与上年</w:t>
      </w:r>
      <w:r>
        <w:rPr>
          <w:rFonts w:hint="eastAsia" w:cs="Times New Roman"/>
          <w:color w:val="auto"/>
          <w:sz w:val="32"/>
          <w:szCs w:val="32"/>
          <w:shd w:val="clear" w:color="auto" w:fill="FFFFFF"/>
          <w:lang w:val="en-US" w:eastAsia="zh-CN"/>
        </w:rPr>
        <w:t>决算数</w:t>
      </w:r>
      <w:r>
        <w:rPr>
          <w:rFonts w:hint="default" w:ascii="Times New Roman" w:hAnsi="Times New Roman" w:eastAsia="方正仿宋_GBK" w:cs="Times New Roman"/>
          <w:color w:val="auto"/>
          <w:sz w:val="32"/>
          <w:szCs w:val="32"/>
          <w:shd w:val="clear" w:color="auto" w:fill="FFFFFF"/>
          <w:lang w:val="en-US" w:eastAsia="zh-CN"/>
        </w:rPr>
        <w:t>持平</w:t>
      </w:r>
      <w:r>
        <w:rPr>
          <w:rFonts w:hint="default" w:ascii="Times New Roman" w:hAnsi="Times New Roman" w:cs="Times New Roman"/>
          <w:kern w:val="0"/>
          <w:szCs w:val="32"/>
        </w:rPr>
        <w:t>。</w:t>
      </w:r>
    </w:p>
    <w:p w14:paraId="446E7876">
      <w:pPr>
        <w:spacing w:line="600"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公务接待费0.00万元。费用支出较年初预算数无增减，较上年支出数无增减。本单位 2024年度未发生公务接待支出</w:t>
      </w:r>
      <w:r>
        <w:rPr>
          <w:rFonts w:hint="eastAsia" w:cs="Times New Roman"/>
          <w:kern w:val="0"/>
          <w:szCs w:val="32"/>
          <w:lang w:eastAsia="zh-CN"/>
        </w:rPr>
        <w:t>，</w:t>
      </w:r>
      <w:r>
        <w:rPr>
          <w:rFonts w:hint="default" w:ascii="Times New Roman" w:hAnsi="Times New Roman" w:eastAsia="方正仿宋_GBK" w:cs="Times New Roman"/>
          <w:color w:val="auto"/>
          <w:sz w:val="32"/>
          <w:szCs w:val="32"/>
          <w:shd w:val="clear" w:color="auto" w:fill="FFFFFF"/>
          <w:lang w:val="en-US" w:eastAsia="zh-CN"/>
        </w:rPr>
        <w:t>与上年</w:t>
      </w:r>
      <w:r>
        <w:rPr>
          <w:rFonts w:hint="eastAsia" w:cs="Times New Roman"/>
          <w:color w:val="auto"/>
          <w:sz w:val="32"/>
          <w:szCs w:val="32"/>
          <w:shd w:val="clear" w:color="auto" w:fill="FFFFFF"/>
          <w:lang w:val="en-US" w:eastAsia="zh-CN"/>
        </w:rPr>
        <w:t>决算数</w:t>
      </w:r>
      <w:r>
        <w:rPr>
          <w:rFonts w:hint="default" w:ascii="Times New Roman" w:hAnsi="Times New Roman" w:eastAsia="方正仿宋_GBK" w:cs="Times New Roman"/>
          <w:color w:val="auto"/>
          <w:sz w:val="32"/>
          <w:szCs w:val="32"/>
          <w:shd w:val="clear" w:color="auto" w:fill="FFFFFF"/>
          <w:lang w:val="en-US" w:eastAsia="zh-CN"/>
        </w:rPr>
        <w:t>持平</w:t>
      </w:r>
      <w:bookmarkStart w:id="0" w:name="_GoBack"/>
      <w:bookmarkEnd w:id="0"/>
      <w:r>
        <w:rPr>
          <w:rFonts w:hint="default" w:ascii="Times New Roman" w:hAnsi="Times New Roman" w:cs="Times New Roman"/>
          <w:kern w:val="0"/>
          <w:szCs w:val="32"/>
        </w:rPr>
        <w:t>。</w:t>
      </w:r>
    </w:p>
    <w:p w14:paraId="3E9E12E9">
      <w:pPr>
        <w:spacing w:line="600" w:lineRule="exact"/>
        <w:ind w:firstLine="640" w:firstLineChars="200"/>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（三）</w:t>
      </w:r>
      <w:r>
        <w:rPr>
          <w:rFonts w:hint="eastAsia" w:eastAsia="方正楷体_GBK" w:cs="Times New Roman"/>
          <w:bCs/>
          <w:kern w:val="0"/>
          <w:lang w:eastAsia="zh-CN"/>
        </w:rPr>
        <w:t>“</w:t>
      </w:r>
      <w:r>
        <w:rPr>
          <w:rFonts w:hint="default" w:ascii="Times New Roman" w:hAnsi="Times New Roman" w:eastAsia="方正楷体_GBK" w:cs="Times New Roman"/>
          <w:bCs/>
          <w:kern w:val="0"/>
        </w:rPr>
        <w:t>三公</w:t>
      </w:r>
      <w:r>
        <w:rPr>
          <w:rFonts w:hint="eastAsia" w:eastAsia="方正楷体_GBK" w:cs="Times New Roman"/>
          <w:bCs/>
          <w:kern w:val="0"/>
          <w:lang w:eastAsia="zh-CN"/>
        </w:rPr>
        <w:t>”</w:t>
      </w:r>
      <w:r>
        <w:rPr>
          <w:rFonts w:hint="default" w:ascii="Times New Roman" w:hAnsi="Times New Roman" w:eastAsia="方正楷体_GBK" w:cs="Times New Roman"/>
          <w:bCs/>
          <w:kern w:val="0"/>
        </w:rPr>
        <w:t>经费实物量情况</w:t>
      </w:r>
    </w:p>
    <w:p w14:paraId="11613375">
      <w:pPr>
        <w:spacing w:line="600"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29750A4A">
      <w:pPr>
        <w:spacing w:line="600" w:lineRule="exact"/>
        <w:ind w:firstLine="640" w:firstLineChars="200"/>
        <w:rPr>
          <w:rFonts w:hint="default" w:ascii="Times New Roman" w:hAnsi="Times New Roman" w:eastAsia="方正黑体_GBK" w:cs="Times New Roman"/>
          <w:b/>
          <w:kern w:val="0"/>
          <w:szCs w:val="32"/>
        </w:rPr>
      </w:pPr>
      <w:r>
        <w:rPr>
          <w:rFonts w:hint="default" w:ascii="Times New Roman" w:hAnsi="Times New Roman" w:eastAsia="方正黑体_GBK" w:cs="Times New Roman"/>
          <w:bCs/>
          <w:kern w:val="0"/>
        </w:rPr>
        <w:t>四、其他需要说明的事项</w:t>
      </w:r>
    </w:p>
    <w:p w14:paraId="6C94C0A1">
      <w:pPr>
        <w:spacing w:line="600" w:lineRule="exact"/>
        <w:ind w:firstLine="640" w:firstLineChars="200"/>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（一）一般公共预算财政拨款会议费和培训费情况说明</w:t>
      </w:r>
    </w:p>
    <w:p w14:paraId="6B739146">
      <w:pPr>
        <w:spacing w:line="600"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本年度会议费支出0.00万元，与2023年度相比，无增减，主要原因是本单位未承办会议及未发生相关支出。本年度培训费支出5.79万元，与2023年度相比，减少1.59万元，下降21.5%，主要原因是减少赴市外的培训活动。 </w:t>
      </w:r>
    </w:p>
    <w:p w14:paraId="25F2F61B">
      <w:pPr>
        <w:spacing w:line="600" w:lineRule="exact"/>
        <w:ind w:firstLine="640" w:firstLineChars="200"/>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（二）机关运行经费情况说明</w:t>
      </w:r>
    </w:p>
    <w:p w14:paraId="4FEF255A">
      <w:pPr>
        <w:spacing w:line="600"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按照部门决算列报口径，我单位不在机关运行经费统计范围 之内。</w:t>
      </w:r>
    </w:p>
    <w:p w14:paraId="2B5E81B3">
      <w:pPr>
        <w:spacing w:line="600" w:lineRule="exact"/>
        <w:ind w:firstLine="640" w:firstLineChars="200"/>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（三）国有资产占用情况说明</w:t>
      </w:r>
    </w:p>
    <w:p w14:paraId="0E4BE9B3">
      <w:pPr>
        <w:spacing w:line="600"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1BD20BB4">
      <w:pPr>
        <w:spacing w:line="600" w:lineRule="exact"/>
        <w:ind w:firstLine="640" w:firstLineChars="200"/>
        <w:rPr>
          <w:rFonts w:hint="default" w:ascii="Times New Roman" w:hAnsi="Times New Roman" w:eastAsia="方正楷体_GBK" w:cs="Times New Roman"/>
          <w:b/>
          <w:kern w:val="0"/>
          <w:szCs w:val="32"/>
        </w:rPr>
      </w:pPr>
      <w:r>
        <w:rPr>
          <w:rFonts w:hint="default" w:ascii="Times New Roman" w:hAnsi="Times New Roman" w:eastAsia="方正楷体_GBK" w:cs="Times New Roman"/>
          <w:bCs/>
          <w:kern w:val="0"/>
        </w:rPr>
        <w:t>（四）政府采购支出情况说明</w:t>
      </w:r>
    </w:p>
    <w:p w14:paraId="133C33E1">
      <w:pPr>
        <w:spacing w:line="600"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2024年度本单位政府采购支出总额2.26万元，其中：政府采购货物支出2.26万元、政府采购工程支出0.00万元、政府采购服务支出0.00万元。授予中小企业合同金额2.26万元，占政府采购支出总额的100.00%，其中：授予小微企业合同金额0.28万元，占政府采购支出总额的12.30 %。主要用于采购复印纸、碎纸机、台式电脑。</w:t>
      </w:r>
    </w:p>
    <w:p w14:paraId="0364CAE8">
      <w:pPr>
        <w:spacing w:line="600" w:lineRule="exact"/>
        <w:ind w:firstLine="640" w:firstLineChars="200"/>
        <w:rPr>
          <w:rFonts w:hint="default" w:ascii="Times New Roman" w:hAnsi="Times New Roman" w:eastAsia="方正黑体_GBK" w:cs="Times New Roman"/>
          <w:b/>
          <w:kern w:val="0"/>
          <w:szCs w:val="32"/>
        </w:rPr>
      </w:pPr>
      <w:r>
        <w:rPr>
          <w:rFonts w:hint="default" w:ascii="Times New Roman" w:hAnsi="Times New Roman" w:eastAsia="方正黑体_GBK" w:cs="Times New Roman"/>
          <w:bCs/>
          <w:kern w:val="0"/>
        </w:rPr>
        <w:t>五、预算绩效管理情况说明</w:t>
      </w:r>
    </w:p>
    <w:p w14:paraId="70D9D5FD">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68" w:firstLineChars="200"/>
        <w:jc w:val="left"/>
        <w:textAlignment w:val="auto"/>
        <w:rPr>
          <w:rFonts w:hint="default" w:ascii="Times New Roman" w:hAnsi="Times New Roman" w:eastAsia="方正楷体_GBK" w:cs="Times New Roman"/>
          <w:snapToGrid w:val="0"/>
          <w:color w:val="000000"/>
          <w:spacing w:val="7"/>
          <w:kern w:val="0"/>
          <w:position w:val="3"/>
          <w:sz w:val="32"/>
          <w:szCs w:val="32"/>
          <w:lang w:val="en-US" w:eastAsia="en-US" w:bidi="ar-SA"/>
        </w:rPr>
      </w:pPr>
      <w:r>
        <w:rPr>
          <w:rFonts w:hint="default" w:ascii="Times New Roman" w:hAnsi="Times New Roman" w:eastAsia="方正楷体_GBK" w:cs="Times New Roman"/>
          <w:snapToGrid w:val="0"/>
          <w:color w:val="000000"/>
          <w:spacing w:val="7"/>
          <w:kern w:val="0"/>
          <w:position w:val="3"/>
          <w:sz w:val="32"/>
          <w:szCs w:val="32"/>
          <w:lang w:val="en-US" w:eastAsia="en-US" w:bidi="ar-SA"/>
        </w:rPr>
        <w:t>（一）预算绩效管理工作开展情况</w:t>
      </w:r>
    </w:p>
    <w:p w14:paraId="29D0BB0E">
      <w:pPr>
        <w:shd w:val="clear"/>
        <w:tabs>
          <w:tab w:val="center" w:pos="4153"/>
          <w:tab w:val="left" w:pos="7275"/>
        </w:tabs>
        <w:spacing w:line="600" w:lineRule="exact"/>
        <w:ind w:firstLine="640" w:firstLineChars="200"/>
        <w:rPr>
          <w:rFonts w:hint="default" w:ascii="Times New Roman" w:hAnsi="Times New Roman" w:eastAsia="方正仿宋_GBK" w:cs="Times New Roman"/>
          <w:kern w:val="0"/>
          <w:sz w:val="32"/>
          <w:szCs w:val="32"/>
          <w:highlight w:val="none"/>
          <w:shd w:val="clear" w:fill="FFFFFF"/>
          <w:lang w:val="en-US" w:eastAsia="zh-CN" w:bidi="ar-SA"/>
        </w:rPr>
      </w:pPr>
      <w:r>
        <w:rPr>
          <w:rFonts w:hint="default" w:ascii="Times New Roman" w:hAnsi="Times New Roman" w:eastAsia="方正仿宋_GBK" w:cs="Times New Roman"/>
          <w:kern w:val="0"/>
          <w:sz w:val="32"/>
          <w:szCs w:val="32"/>
          <w:highlight w:val="none"/>
          <w:shd w:val="clear" w:fill="FFFFFF"/>
          <w:lang w:val="en-US" w:eastAsia="zh-CN" w:bidi="ar-SA"/>
        </w:rPr>
        <w:t>根据预算绩效管理要求，我单位对13个项目开展了绩效自评，涉及财政拨款项目支出1221.65万元。</w:t>
      </w:r>
    </w:p>
    <w:p w14:paraId="35D1A27B">
      <w:pPr>
        <w:tabs>
          <w:tab w:val="center" w:pos="4153"/>
          <w:tab w:val="left" w:pos="7275"/>
        </w:tabs>
        <w:spacing w:line="596" w:lineRule="exact"/>
        <w:jc w:val="center"/>
        <w:rPr>
          <w:rFonts w:hint="default" w:ascii="Times New Roman" w:hAnsi="Times New Roman" w:cs="Times New Roman"/>
          <w:kern w:val="0"/>
          <w:szCs w:val="32"/>
        </w:rPr>
      </w:pPr>
      <w:r>
        <w:rPr>
          <w:rFonts w:hint="default" w:ascii="Times New Roman" w:hAnsi="Times New Roman" w:eastAsia="方正黑体_GBK" w:cs="Times New Roman"/>
          <w:color w:val="000000"/>
          <w:kern w:val="0"/>
          <w:sz w:val="32"/>
          <w:szCs w:val="32"/>
          <w:lang w:eastAsia="zh-CN" w:bidi="ar"/>
        </w:rPr>
        <w:t>晋渝森林小学</w:t>
      </w:r>
      <w:r>
        <w:rPr>
          <w:rFonts w:hint="default" w:ascii="Times New Roman" w:hAnsi="Times New Roman" w:eastAsia="方正黑体_GBK" w:cs="Times New Roman"/>
          <w:color w:val="000000"/>
          <w:kern w:val="0"/>
          <w:sz w:val="32"/>
          <w:szCs w:val="32"/>
          <w:lang w:bidi="ar"/>
        </w:rPr>
        <w:t>2024年度项目支出绩效自评表</w:t>
      </w:r>
    </w:p>
    <w:tbl>
      <w:tblPr>
        <w:tblStyle w:val="5"/>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804"/>
        <w:gridCol w:w="1001"/>
        <w:gridCol w:w="759"/>
        <w:gridCol w:w="940"/>
        <w:gridCol w:w="723"/>
        <w:gridCol w:w="791"/>
        <w:gridCol w:w="968"/>
        <w:gridCol w:w="777"/>
        <w:gridCol w:w="791"/>
        <w:gridCol w:w="712"/>
      </w:tblGrid>
      <w:tr w14:paraId="7836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81" w:type="dxa"/>
            <w:tcBorders>
              <w:top w:val="single" w:color="auto" w:sz="4" w:space="0"/>
            </w:tcBorders>
            <w:vAlign w:val="center"/>
          </w:tcPr>
          <w:p w14:paraId="78C7F6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序号</w:t>
            </w:r>
          </w:p>
        </w:tc>
        <w:tc>
          <w:tcPr>
            <w:tcW w:w="804" w:type="dxa"/>
            <w:tcBorders>
              <w:top w:val="single" w:color="auto" w:sz="4" w:space="0"/>
            </w:tcBorders>
            <w:vAlign w:val="center"/>
          </w:tcPr>
          <w:p w14:paraId="5B3302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项目名称</w:t>
            </w:r>
          </w:p>
        </w:tc>
        <w:tc>
          <w:tcPr>
            <w:tcW w:w="1001" w:type="dxa"/>
            <w:tcBorders>
              <w:top w:val="single" w:color="auto" w:sz="4" w:space="0"/>
            </w:tcBorders>
            <w:vAlign w:val="center"/>
          </w:tcPr>
          <w:p w14:paraId="57A8CC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指标名称</w:t>
            </w:r>
          </w:p>
        </w:tc>
        <w:tc>
          <w:tcPr>
            <w:tcW w:w="759" w:type="dxa"/>
            <w:tcBorders>
              <w:top w:val="single" w:color="auto" w:sz="4" w:space="0"/>
            </w:tcBorders>
            <w:vAlign w:val="center"/>
          </w:tcPr>
          <w:p w14:paraId="13244A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指标性质</w:t>
            </w:r>
          </w:p>
        </w:tc>
        <w:tc>
          <w:tcPr>
            <w:tcW w:w="940" w:type="dxa"/>
            <w:tcBorders>
              <w:top w:val="single" w:color="auto" w:sz="4" w:space="0"/>
            </w:tcBorders>
            <w:vAlign w:val="center"/>
          </w:tcPr>
          <w:p w14:paraId="2B26E1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指标值</w:t>
            </w:r>
          </w:p>
        </w:tc>
        <w:tc>
          <w:tcPr>
            <w:tcW w:w="723" w:type="dxa"/>
            <w:tcBorders>
              <w:top w:val="single" w:color="auto" w:sz="4" w:space="0"/>
            </w:tcBorders>
            <w:vAlign w:val="center"/>
          </w:tcPr>
          <w:p w14:paraId="461A79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计量单位</w:t>
            </w:r>
          </w:p>
        </w:tc>
        <w:tc>
          <w:tcPr>
            <w:tcW w:w="791" w:type="dxa"/>
            <w:tcBorders>
              <w:top w:val="single" w:color="auto" w:sz="4" w:space="0"/>
            </w:tcBorders>
            <w:vAlign w:val="center"/>
          </w:tcPr>
          <w:p w14:paraId="277DC0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指标权重</w:t>
            </w:r>
          </w:p>
        </w:tc>
        <w:tc>
          <w:tcPr>
            <w:tcW w:w="968" w:type="dxa"/>
            <w:tcBorders>
              <w:top w:val="single" w:color="auto" w:sz="4" w:space="0"/>
            </w:tcBorders>
            <w:vAlign w:val="center"/>
          </w:tcPr>
          <w:p w14:paraId="10EE31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全年完成值</w:t>
            </w:r>
          </w:p>
        </w:tc>
        <w:tc>
          <w:tcPr>
            <w:tcW w:w="777" w:type="dxa"/>
            <w:tcBorders>
              <w:top w:val="single" w:color="auto" w:sz="4" w:space="0"/>
            </w:tcBorders>
            <w:vAlign w:val="center"/>
          </w:tcPr>
          <w:p w14:paraId="2A6998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指标得分</w:t>
            </w:r>
          </w:p>
        </w:tc>
        <w:tc>
          <w:tcPr>
            <w:tcW w:w="791" w:type="dxa"/>
            <w:tcBorders>
              <w:top w:val="single" w:color="auto" w:sz="4" w:space="0"/>
            </w:tcBorders>
            <w:vAlign w:val="center"/>
          </w:tcPr>
          <w:p w14:paraId="3238ED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说明</w:t>
            </w:r>
          </w:p>
        </w:tc>
        <w:tc>
          <w:tcPr>
            <w:tcW w:w="712" w:type="dxa"/>
            <w:tcBorders>
              <w:top w:val="single" w:color="auto" w:sz="4" w:space="0"/>
            </w:tcBorders>
            <w:vAlign w:val="center"/>
          </w:tcPr>
          <w:p w14:paraId="412EA8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自评得分</w:t>
            </w:r>
          </w:p>
        </w:tc>
      </w:tr>
      <w:tr w14:paraId="73A8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1" w:type="dxa"/>
            <w:vMerge w:val="restart"/>
            <w:vAlign w:val="center"/>
          </w:tcPr>
          <w:p w14:paraId="2AC888C8">
            <w:pPr>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w:t>
            </w:r>
          </w:p>
        </w:tc>
        <w:tc>
          <w:tcPr>
            <w:tcW w:w="804" w:type="dxa"/>
            <w:vMerge w:val="restart"/>
            <w:vAlign w:val="center"/>
          </w:tcPr>
          <w:p w14:paraId="2BB61CC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聘用人员专项经费一事一议</w:t>
            </w:r>
          </w:p>
        </w:tc>
        <w:tc>
          <w:tcPr>
            <w:tcW w:w="1001" w:type="dxa"/>
            <w:vAlign w:val="center"/>
          </w:tcPr>
          <w:p w14:paraId="745A993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临聘教师人数</w:t>
            </w:r>
          </w:p>
        </w:tc>
        <w:tc>
          <w:tcPr>
            <w:tcW w:w="759" w:type="dxa"/>
            <w:vAlign w:val="center"/>
          </w:tcPr>
          <w:p w14:paraId="35A5FC9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940" w:type="dxa"/>
            <w:vAlign w:val="center"/>
          </w:tcPr>
          <w:p w14:paraId="658FF14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36</w:t>
            </w:r>
          </w:p>
        </w:tc>
        <w:tc>
          <w:tcPr>
            <w:tcW w:w="723" w:type="dxa"/>
            <w:vAlign w:val="center"/>
          </w:tcPr>
          <w:p w14:paraId="1AA86B6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人</w:t>
            </w:r>
          </w:p>
        </w:tc>
        <w:tc>
          <w:tcPr>
            <w:tcW w:w="791" w:type="dxa"/>
            <w:vAlign w:val="center"/>
          </w:tcPr>
          <w:p w14:paraId="7743F9D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968" w:type="dxa"/>
            <w:shd w:val="clear" w:color="auto" w:fill="auto"/>
            <w:vAlign w:val="center"/>
          </w:tcPr>
          <w:p w14:paraId="6C50631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napToGrid w:val="0"/>
                <w:color w:val="000000"/>
                <w:kern w:val="0"/>
                <w:sz w:val="20"/>
                <w:szCs w:val="20"/>
                <w:lang w:val="en-US" w:eastAsia="zh-CN" w:bidi="ar-SA"/>
              </w:rPr>
            </w:pPr>
            <w:r>
              <w:rPr>
                <w:rFonts w:hint="default" w:ascii="Times New Roman" w:hAnsi="Times New Roman" w:eastAsia="方正仿宋_GBK" w:cs="Times New Roman"/>
                <w:color w:val="000000"/>
                <w:sz w:val="20"/>
                <w:szCs w:val="20"/>
                <w:lang w:val="en-US" w:eastAsia="zh-CN"/>
              </w:rPr>
              <w:t>36</w:t>
            </w:r>
          </w:p>
        </w:tc>
        <w:tc>
          <w:tcPr>
            <w:tcW w:w="777" w:type="dxa"/>
            <w:shd w:val="clear" w:color="auto" w:fill="auto"/>
            <w:vAlign w:val="center"/>
          </w:tcPr>
          <w:p w14:paraId="54AF605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napToGrid w:val="0"/>
                <w:color w:val="000000"/>
                <w:kern w:val="0"/>
                <w:sz w:val="20"/>
                <w:szCs w:val="20"/>
                <w:lang w:val="en-US" w:eastAsia="zh-CN" w:bidi="ar-SA"/>
              </w:rPr>
            </w:pPr>
            <w:r>
              <w:rPr>
                <w:rFonts w:hint="default" w:ascii="Times New Roman" w:hAnsi="Times New Roman" w:eastAsia="方正仿宋_GBK" w:cs="Times New Roman"/>
                <w:color w:val="000000"/>
                <w:sz w:val="20"/>
                <w:szCs w:val="20"/>
                <w:lang w:val="en-US" w:eastAsia="zh-CN"/>
              </w:rPr>
              <w:t>20</w:t>
            </w:r>
          </w:p>
        </w:tc>
        <w:tc>
          <w:tcPr>
            <w:tcW w:w="791" w:type="dxa"/>
            <w:vAlign w:val="center"/>
          </w:tcPr>
          <w:p w14:paraId="60FEC5E5">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sz w:val="20"/>
                <w:szCs w:val="20"/>
              </w:rPr>
            </w:pPr>
          </w:p>
        </w:tc>
        <w:tc>
          <w:tcPr>
            <w:tcW w:w="712" w:type="dxa"/>
            <w:vMerge w:val="restart"/>
            <w:vAlign w:val="center"/>
          </w:tcPr>
          <w:p w14:paraId="25B4E1B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100</w:t>
            </w:r>
          </w:p>
        </w:tc>
      </w:tr>
      <w:tr w14:paraId="3586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1" w:type="dxa"/>
            <w:vMerge w:val="continue"/>
            <w:vAlign w:val="center"/>
          </w:tcPr>
          <w:p w14:paraId="61C8B0D5">
            <w:pPr>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sz w:val="20"/>
                <w:szCs w:val="20"/>
              </w:rPr>
            </w:pPr>
          </w:p>
        </w:tc>
        <w:tc>
          <w:tcPr>
            <w:tcW w:w="804" w:type="dxa"/>
            <w:vMerge w:val="continue"/>
            <w:vAlign w:val="center"/>
          </w:tcPr>
          <w:p w14:paraId="62789CC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rPr>
            </w:pPr>
          </w:p>
        </w:tc>
        <w:tc>
          <w:tcPr>
            <w:tcW w:w="1001" w:type="dxa"/>
            <w:vAlign w:val="center"/>
          </w:tcPr>
          <w:p w14:paraId="7A29658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资金拨付时间</w:t>
            </w:r>
          </w:p>
        </w:tc>
        <w:tc>
          <w:tcPr>
            <w:tcW w:w="759" w:type="dxa"/>
            <w:vAlign w:val="center"/>
          </w:tcPr>
          <w:p w14:paraId="7C8CB62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940" w:type="dxa"/>
            <w:vAlign w:val="center"/>
          </w:tcPr>
          <w:p w14:paraId="2D25630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2024</w:t>
            </w:r>
          </w:p>
        </w:tc>
        <w:tc>
          <w:tcPr>
            <w:tcW w:w="723" w:type="dxa"/>
            <w:vAlign w:val="center"/>
          </w:tcPr>
          <w:p w14:paraId="5BC5489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年</w:t>
            </w:r>
          </w:p>
        </w:tc>
        <w:tc>
          <w:tcPr>
            <w:tcW w:w="791" w:type="dxa"/>
            <w:vAlign w:val="center"/>
          </w:tcPr>
          <w:p w14:paraId="3C328D6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968" w:type="dxa"/>
            <w:shd w:val="clear" w:color="auto" w:fill="auto"/>
            <w:vAlign w:val="center"/>
          </w:tcPr>
          <w:p w14:paraId="49DAECF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napToGrid w:val="0"/>
                <w:color w:val="000000"/>
                <w:kern w:val="0"/>
                <w:sz w:val="20"/>
                <w:szCs w:val="20"/>
                <w:lang w:val="en-US" w:eastAsia="zh-CN" w:bidi="ar-SA"/>
              </w:rPr>
            </w:pPr>
            <w:r>
              <w:rPr>
                <w:rFonts w:hint="default" w:ascii="Times New Roman" w:hAnsi="Times New Roman" w:eastAsia="方正仿宋_GBK" w:cs="Times New Roman"/>
                <w:color w:val="000000"/>
                <w:sz w:val="20"/>
                <w:szCs w:val="20"/>
                <w:lang w:val="en-US" w:eastAsia="zh-CN"/>
              </w:rPr>
              <w:t>2024</w:t>
            </w:r>
          </w:p>
        </w:tc>
        <w:tc>
          <w:tcPr>
            <w:tcW w:w="777" w:type="dxa"/>
            <w:shd w:val="clear" w:color="auto" w:fill="auto"/>
            <w:vAlign w:val="center"/>
          </w:tcPr>
          <w:p w14:paraId="43F162F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napToGrid w:val="0"/>
                <w:color w:val="000000"/>
                <w:kern w:val="0"/>
                <w:sz w:val="20"/>
                <w:szCs w:val="20"/>
                <w:lang w:val="en-US" w:eastAsia="zh-CN" w:bidi="ar-SA"/>
              </w:rPr>
            </w:pPr>
            <w:r>
              <w:rPr>
                <w:rFonts w:hint="default" w:ascii="Times New Roman" w:hAnsi="Times New Roman" w:eastAsia="方正仿宋_GBK" w:cs="Times New Roman"/>
                <w:color w:val="000000"/>
                <w:sz w:val="20"/>
                <w:szCs w:val="20"/>
                <w:lang w:val="en-US" w:eastAsia="zh-CN"/>
              </w:rPr>
              <w:t>20</w:t>
            </w:r>
          </w:p>
        </w:tc>
        <w:tc>
          <w:tcPr>
            <w:tcW w:w="791" w:type="dxa"/>
            <w:vAlign w:val="center"/>
          </w:tcPr>
          <w:p w14:paraId="15CBB66C">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sz w:val="20"/>
                <w:szCs w:val="20"/>
              </w:rPr>
            </w:pPr>
          </w:p>
        </w:tc>
        <w:tc>
          <w:tcPr>
            <w:tcW w:w="712" w:type="dxa"/>
            <w:vMerge w:val="continue"/>
            <w:vAlign w:val="center"/>
          </w:tcPr>
          <w:p w14:paraId="733005B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cs="Times New Roman"/>
                <w:color w:val="000000"/>
                <w:sz w:val="20"/>
                <w:szCs w:val="20"/>
              </w:rPr>
            </w:pPr>
          </w:p>
        </w:tc>
      </w:tr>
      <w:tr w14:paraId="731D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1" w:type="dxa"/>
            <w:vMerge w:val="continue"/>
            <w:vAlign w:val="center"/>
          </w:tcPr>
          <w:p w14:paraId="264CB3B0">
            <w:pPr>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sz w:val="20"/>
                <w:szCs w:val="20"/>
              </w:rPr>
            </w:pPr>
          </w:p>
        </w:tc>
        <w:tc>
          <w:tcPr>
            <w:tcW w:w="804" w:type="dxa"/>
            <w:vMerge w:val="continue"/>
            <w:vAlign w:val="center"/>
          </w:tcPr>
          <w:p w14:paraId="5E1BE25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rPr>
            </w:pPr>
          </w:p>
        </w:tc>
        <w:tc>
          <w:tcPr>
            <w:tcW w:w="1001" w:type="dxa"/>
            <w:vAlign w:val="center"/>
          </w:tcPr>
          <w:p w14:paraId="1CE2D6D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补助标准</w:t>
            </w:r>
          </w:p>
        </w:tc>
        <w:tc>
          <w:tcPr>
            <w:tcW w:w="759" w:type="dxa"/>
            <w:vAlign w:val="center"/>
          </w:tcPr>
          <w:p w14:paraId="51EDD6D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940" w:type="dxa"/>
            <w:vAlign w:val="center"/>
          </w:tcPr>
          <w:p w14:paraId="3D05925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59000</w:t>
            </w:r>
          </w:p>
        </w:tc>
        <w:tc>
          <w:tcPr>
            <w:tcW w:w="723" w:type="dxa"/>
            <w:vAlign w:val="center"/>
          </w:tcPr>
          <w:p w14:paraId="5F57746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eastAsia="zh-CN"/>
              </w:rPr>
              <w:t>人</w:t>
            </w:r>
            <w:r>
              <w:rPr>
                <w:rFonts w:hint="default" w:ascii="Times New Roman" w:hAnsi="Times New Roman" w:eastAsia="方正仿宋_GBK" w:cs="Times New Roman"/>
                <w:color w:val="000000"/>
                <w:sz w:val="20"/>
                <w:szCs w:val="20"/>
                <w:lang w:val="en-US" w:eastAsia="zh-CN"/>
              </w:rPr>
              <w:t>/年</w:t>
            </w:r>
          </w:p>
        </w:tc>
        <w:tc>
          <w:tcPr>
            <w:tcW w:w="791" w:type="dxa"/>
            <w:vAlign w:val="center"/>
          </w:tcPr>
          <w:p w14:paraId="3F2E6AE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968" w:type="dxa"/>
            <w:shd w:val="clear" w:color="auto" w:fill="auto"/>
            <w:vAlign w:val="center"/>
          </w:tcPr>
          <w:p w14:paraId="10B9AC0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napToGrid w:val="0"/>
                <w:color w:val="000000"/>
                <w:kern w:val="0"/>
                <w:sz w:val="20"/>
                <w:szCs w:val="20"/>
                <w:lang w:val="en-US" w:eastAsia="zh-CN" w:bidi="ar-SA"/>
              </w:rPr>
            </w:pPr>
            <w:r>
              <w:rPr>
                <w:rFonts w:hint="default" w:ascii="Times New Roman" w:hAnsi="Times New Roman" w:eastAsia="方正仿宋_GBK" w:cs="Times New Roman"/>
                <w:color w:val="000000"/>
                <w:sz w:val="20"/>
                <w:szCs w:val="20"/>
                <w:lang w:val="en-US" w:eastAsia="zh-CN"/>
              </w:rPr>
              <w:t>59000</w:t>
            </w:r>
          </w:p>
        </w:tc>
        <w:tc>
          <w:tcPr>
            <w:tcW w:w="777" w:type="dxa"/>
            <w:shd w:val="clear" w:color="auto" w:fill="auto"/>
            <w:vAlign w:val="center"/>
          </w:tcPr>
          <w:p w14:paraId="7D78BD9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napToGrid w:val="0"/>
                <w:color w:val="000000"/>
                <w:kern w:val="0"/>
                <w:sz w:val="20"/>
                <w:szCs w:val="20"/>
                <w:lang w:val="en-US" w:eastAsia="zh-CN" w:bidi="ar-SA"/>
              </w:rPr>
            </w:pPr>
            <w:r>
              <w:rPr>
                <w:rFonts w:hint="default" w:ascii="Times New Roman" w:hAnsi="Times New Roman" w:eastAsia="方正仿宋_GBK" w:cs="Times New Roman"/>
                <w:color w:val="000000"/>
                <w:sz w:val="20"/>
                <w:szCs w:val="20"/>
                <w:lang w:val="en-US" w:eastAsia="zh-CN"/>
              </w:rPr>
              <w:t>10</w:t>
            </w:r>
          </w:p>
        </w:tc>
        <w:tc>
          <w:tcPr>
            <w:tcW w:w="791" w:type="dxa"/>
            <w:vAlign w:val="center"/>
          </w:tcPr>
          <w:p w14:paraId="6F40E838">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sz w:val="20"/>
                <w:szCs w:val="20"/>
              </w:rPr>
            </w:pPr>
          </w:p>
        </w:tc>
        <w:tc>
          <w:tcPr>
            <w:tcW w:w="712" w:type="dxa"/>
            <w:vMerge w:val="continue"/>
            <w:vAlign w:val="center"/>
          </w:tcPr>
          <w:p w14:paraId="73D9F6C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cs="Times New Roman"/>
                <w:color w:val="000000"/>
                <w:sz w:val="20"/>
                <w:szCs w:val="20"/>
              </w:rPr>
            </w:pPr>
          </w:p>
        </w:tc>
      </w:tr>
      <w:tr w14:paraId="5643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1" w:type="dxa"/>
            <w:vMerge w:val="continue"/>
            <w:vAlign w:val="center"/>
          </w:tcPr>
          <w:p w14:paraId="15F68884">
            <w:pPr>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sz w:val="20"/>
                <w:szCs w:val="20"/>
              </w:rPr>
            </w:pPr>
          </w:p>
        </w:tc>
        <w:tc>
          <w:tcPr>
            <w:tcW w:w="804" w:type="dxa"/>
            <w:vMerge w:val="continue"/>
            <w:vAlign w:val="center"/>
          </w:tcPr>
          <w:p w14:paraId="461EF66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rPr>
            </w:pPr>
          </w:p>
        </w:tc>
        <w:tc>
          <w:tcPr>
            <w:tcW w:w="1001" w:type="dxa"/>
            <w:vAlign w:val="center"/>
          </w:tcPr>
          <w:p w14:paraId="771D8D2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补助周期</w:t>
            </w:r>
          </w:p>
        </w:tc>
        <w:tc>
          <w:tcPr>
            <w:tcW w:w="759" w:type="dxa"/>
            <w:vAlign w:val="center"/>
          </w:tcPr>
          <w:p w14:paraId="300558F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940" w:type="dxa"/>
            <w:vAlign w:val="center"/>
          </w:tcPr>
          <w:p w14:paraId="554B485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w:t>
            </w:r>
          </w:p>
        </w:tc>
        <w:tc>
          <w:tcPr>
            <w:tcW w:w="723" w:type="dxa"/>
            <w:vAlign w:val="center"/>
          </w:tcPr>
          <w:p w14:paraId="6933779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年</w:t>
            </w:r>
          </w:p>
        </w:tc>
        <w:tc>
          <w:tcPr>
            <w:tcW w:w="791" w:type="dxa"/>
            <w:vAlign w:val="center"/>
          </w:tcPr>
          <w:p w14:paraId="3548D03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968" w:type="dxa"/>
            <w:shd w:val="clear" w:color="auto" w:fill="auto"/>
            <w:vAlign w:val="center"/>
          </w:tcPr>
          <w:p w14:paraId="6BDDFC7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napToGrid w:val="0"/>
                <w:color w:val="000000"/>
                <w:kern w:val="0"/>
                <w:sz w:val="20"/>
                <w:szCs w:val="20"/>
                <w:lang w:val="en-US" w:eastAsia="zh-CN" w:bidi="ar-SA"/>
              </w:rPr>
            </w:pPr>
            <w:r>
              <w:rPr>
                <w:rFonts w:hint="default" w:ascii="Times New Roman" w:hAnsi="Times New Roman" w:eastAsia="方正仿宋_GBK" w:cs="Times New Roman"/>
                <w:color w:val="000000"/>
                <w:sz w:val="20"/>
                <w:szCs w:val="20"/>
                <w:lang w:val="en-US" w:eastAsia="zh-CN"/>
              </w:rPr>
              <w:t>1</w:t>
            </w:r>
          </w:p>
        </w:tc>
        <w:tc>
          <w:tcPr>
            <w:tcW w:w="777" w:type="dxa"/>
            <w:shd w:val="clear" w:color="auto" w:fill="auto"/>
            <w:vAlign w:val="center"/>
          </w:tcPr>
          <w:p w14:paraId="569BAC3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napToGrid w:val="0"/>
                <w:color w:val="000000"/>
                <w:kern w:val="0"/>
                <w:sz w:val="20"/>
                <w:szCs w:val="20"/>
                <w:lang w:val="en-US" w:eastAsia="zh-CN" w:bidi="ar-SA"/>
              </w:rPr>
            </w:pPr>
            <w:r>
              <w:rPr>
                <w:rFonts w:hint="default" w:ascii="Times New Roman" w:hAnsi="Times New Roman" w:eastAsia="方正仿宋_GBK" w:cs="Times New Roman"/>
                <w:color w:val="000000"/>
                <w:sz w:val="20"/>
                <w:szCs w:val="20"/>
                <w:lang w:val="en-US" w:eastAsia="zh-CN"/>
              </w:rPr>
              <w:t>10</w:t>
            </w:r>
          </w:p>
        </w:tc>
        <w:tc>
          <w:tcPr>
            <w:tcW w:w="791" w:type="dxa"/>
            <w:vAlign w:val="center"/>
          </w:tcPr>
          <w:p w14:paraId="4D9F273D">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sz w:val="20"/>
                <w:szCs w:val="20"/>
              </w:rPr>
            </w:pPr>
          </w:p>
        </w:tc>
        <w:tc>
          <w:tcPr>
            <w:tcW w:w="712" w:type="dxa"/>
            <w:vMerge w:val="continue"/>
            <w:vAlign w:val="center"/>
          </w:tcPr>
          <w:p w14:paraId="11B8CEB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cs="Times New Roman"/>
                <w:color w:val="000000"/>
                <w:sz w:val="20"/>
                <w:szCs w:val="20"/>
              </w:rPr>
            </w:pPr>
          </w:p>
        </w:tc>
      </w:tr>
      <w:tr w14:paraId="3EAE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1" w:type="dxa"/>
            <w:vMerge w:val="continue"/>
            <w:vAlign w:val="center"/>
          </w:tcPr>
          <w:p w14:paraId="7C4036A2">
            <w:pPr>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sz w:val="20"/>
                <w:szCs w:val="20"/>
              </w:rPr>
            </w:pPr>
          </w:p>
        </w:tc>
        <w:tc>
          <w:tcPr>
            <w:tcW w:w="804" w:type="dxa"/>
            <w:vMerge w:val="continue"/>
            <w:vAlign w:val="center"/>
          </w:tcPr>
          <w:p w14:paraId="1350DC1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rPr>
            </w:pPr>
          </w:p>
        </w:tc>
        <w:tc>
          <w:tcPr>
            <w:tcW w:w="1001" w:type="dxa"/>
            <w:vAlign w:val="center"/>
          </w:tcPr>
          <w:p w14:paraId="77E1ED3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增加就业岗位</w:t>
            </w:r>
          </w:p>
        </w:tc>
        <w:tc>
          <w:tcPr>
            <w:tcW w:w="759" w:type="dxa"/>
            <w:vAlign w:val="center"/>
          </w:tcPr>
          <w:p w14:paraId="77D1EB3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940" w:type="dxa"/>
            <w:vAlign w:val="center"/>
          </w:tcPr>
          <w:p w14:paraId="2BB516A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36</w:t>
            </w:r>
          </w:p>
        </w:tc>
        <w:tc>
          <w:tcPr>
            <w:tcW w:w="723" w:type="dxa"/>
            <w:vAlign w:val="center"/>
          </w:tcPr>
          <w:p w14:paraId="2CBFBA4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个</w:t>
            </w:r>
          </w:p>
        </w:tc>
        <w:tc>
          <w:tcPr>
            <w:tcW w:w="791" w:type="dxa"/>
            <w:vAlign w:val="center"/>
          </w:tcPr>
          <w:p w14:paraId="5ADDAD0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968" w:type="dxa"/>
            <w:shd w:val="clear" w:color="auto" w:fill="auto"/>
            <w:vAlign w:val="center"/>
          </w:tcPr>
          <w:p w14:paraId="7D42203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napToGrid w:val="0"/>
                <w:color w:val="000000"/>
                <w:kern w:val="0"/>
                <w:sz w:val="20"/>
                <w:szCs w:val="20"/>
                <w:lang w:val="en-US" w:eastAsia="zh-CN" w:bidi="ar-SA"/>
              </w:rPr>
            </w:pPr>
            <w:r>
              <w:rPr>
                <w:rFonts w:hint="default" w:ascii="Times New Roman" w:hAnsi="Times New Roman" w:eastAsia="方正仿宋_GBK" w:cs="Times New Roman"/>
                <w:color w:val="000000"/>
                <w:sz w:val="20"/>
                <w:szCs w:val="20"/>
                <w:lang w:val="en-US" w:eastAsia="zh-CN"/>
              </w:rPr>
              <w:t>36</w:t>
            </w:r>
          </w:p>
        </w:tc>
        <w:tc>
          <w:tcPr>
            <w:tcW w:w="777" w:type="dxa"/>
            <w:shd w:val="clear" w:color="auto" w:fill="auto"/>
            <w:vAlign w:val="center"/>
          </w:tcPr>
          <w:p w14:paraId="73F4362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napToGrid w:val="0"/>
                <w:color w:val="000000"/>
                <w:kern w:val="0"/>
                <w:sz w:val="20"/>
                <w:szCs w:val="20"/>
                <w:lang w:val="en-US" w:eastAsia="zh-CN" w:bidi="ar-SA"/>
              </w:rPr>
            </w:pPr>
            <w:r>
              <w:rPr>
                <w:rFonts w:hint="default" w:ascii="Times New Roman" w:hAnsi="Times New Roman" w:eastAsia="方正仿宋_GBK" w:cs="Times New Roman"/>
                <w:color w:val="000000"/>
                <w:sz w:val="20"/>
                <w:szCs w:val="20"/>
                <w:lang w:val="en-US" w:eastAsia="zh-CN"/>
              </w:rPr>
              <w:t>20</w:t>
            </w:r>
          </w:p>
        </w:tc>
        <w:tc>
          <w:tcPr>
            <w:tcW w:w="791" w:type="dxa"/>
            <w:vAlign w:val="center"/>
          </w:tcPr>
          <w:p w14:paraId="1EF16127">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sz w:val="20"/>
                <w:szCs w:val="20"/>
              </w:rPr>
            </w:pPr>
          </w:p>
        </w:tc>
        <w:tc>
          <w:tcPr>
            <w:tcW w:w="712" w:type="dxa"/>
            <w:vMerge w:val="continue"/>
            <w:vAlign w:val="center"/>
          </w:tcPr>
          <w:p w14:paraId="27F0401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cs="Times New Roman"/>
                <w:color w:val="000000"/>
                <w:sz w:val="20"/>
                <w:szCs w:val="20"/>
              </w:rPr>
            </w:pPr>
          </w:p>
        </w:tc>
      </w:tr>
      <w:tr w14:paraId="50EC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1" w:type="dxa"/>
            <w:vMerge w:val="continue"/>
            <w:vAlign w:val="center"/>
          </w:tcPr>
          <w:p w14:paraId="5DEDE398">
            <w:pPr>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sz w:val="20"/>
                <w:szCs w:val="20"/>
              </w:rPr>
            </w:pPr>
          </w:p>
        </w:tc>
        <w:tc>
          <w:tcPr>
            <w:tcW w:w="804" w:type="dxa"/>
            <w:vMerge w:val="continue"/>
            <w:vAlign w:val="center"/>
          </w:tcPr>
          <w:p w14:paraId="7E1068C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rPr>
            </w:pPr>
          </w:p>
        </w:tc>
        <w:tc>
          <w:tcPr>
            <w:tcW w:w="1001" w:type="dxa"/>
            <w:vAlign w:val="center"/>
          </w:tcPr>
          <w:p w14:paraId="395FAE1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满意度</w:t>
            </w:r>
          </w:p>
        </w:tc>
        <w:tc>
          <w:tcPr>
            <w:tcW w:w="759" w:type="dxa"/>
            <w:vAlign w:val="center"/>
          </w:tcPr>
          <w:p w14:paraId="39A9AED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40" w:type="dxa"/>
            <w:vAlign w:val="center"/>
          </w:tcPr>
          <w:p w14:paraId="5A4FAE7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95</w:t>
            </w:r>
          </w:p>
        </w:tc>
        <w:tc>
          <w:tcPr>
            <w:tcW w:w="723" w:type="dxa"/>
            <w:vAlign w:val="center"/>
          </w:tcPr>
          <w:p w14:paraId="13FB518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91" w:type="dxa"/>
            <w:vAlign w:val="center"/>
          </w:tcPr>
          <w:p w14:paraId="2604874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968" w:type="dxa"/>
            <w:shd w:val="clear" w:color="auto" w:fill="auto"/>
            <w:vAlign w:val="center"/>
          </w:tcPr>
          <w:p w14:paraId="4621ED2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napToGrid w:val="0"/>
                <w:color w:val="000000"/>
                <w:kern w:val="0"/>
                <w:sz w:val="20"/>
                <w:szCs w:val="20"/>
                <w:lang w:val="en-US" w:eastAsia="zh-CN" w:bidi="ar-SA"/>
              </w:rPr>
            </w:pPr>
            <w:r>
              <w:rPr>
                <w:rFonts w:hint="default" w:ascii="Times New Roman" w:hAnsi="Times New Roman" w:eastAsia="方正仿宋_GBK" w:cs="Times New Roman"/>
                <w:color w:val="000000"/>
                <w:sz w:val="20"/>
                <w:szCs w:val="20"/>
                <w:lang w:val="en-US" w:eastAsia="zh-CN"/>
              </w:rPr>
              <w:t>95</w:t>
            </w:r>
          </w:p>
        </w:tc>
        <w:tc>
          <w:tcPr>
            <w:tcW w:w="777" w:type="dxa"/>
            <w:shd w:val="clear" w:color="auto" w:fill="auto"/>
            <w:vAlign w:val="center"/>
          </w:tcPr>
          <w:p w14:paraId="5F55EA3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snapToGrid w:val="0"/>
                <w:color w:val="000000"/>
                <w:kern w:val="0"/>
                <w:sz w:val="20"/>
                <w:szCs w:val="20"/>
                <w:lang w:val="en-US" w:eastAsia="zh-CN" w:bidi="ar-SA"/>
              </w:rPr>
            </w:pPr>
            <w:r>
              <w:rPr>
                <w:rFonts w:hint="default" w:ascii="Times New Roman" w:hAnsi="Times New Roman" w:eastAsia="方正仿宋_GBK" w:cs="Times New Roman"/>
                <w:color w:val="000000"/>
                <w:sz w:val="20"/>
                <w:szCs w:val="20"/>
                <w:lang w:val="en-US" w:eastAsia="zh-CN"/>
              </w:rPr>
              <w:t>10</w:t>
            </w:r>
          </w:p>
        </w:tc>
        <w:tc>
          <w:tcPr>
            <w:tcW w:w="791" w:type="dxa"/>
            <w:vAlign w:val="center"/>
          </w:tcPr>
          <w:p w14:paraId="30B2772A">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sz w:val="20"/>
                <w:szCs w:val="20"/>
              </w:rPr>
            </w:pPr>
          </w:p>
        </w:tc>
        <w:tc>
          <w:tcPr>
            <w:tcW w:w="712" w:type="dxa"/>
            <w:vMerge w:val="continue"/>
            <w:vAlign w:val="center"/>
          </w:tcPr>
          <w:p w14:paraId="73AE8F9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cs="Times New Roman"/>
                <w:color w:val="000000"/>
                <w:sz w:val="20"/>
                <w:szCs w:val="20"/>
              </w:rPr>
            </w:pPr>
          </w:p>
        </w:tc>
      </w:tr>
      <w:tr w14:paraId="1568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1" w:type="dxa"/>
            <w:vMerge w:val="continue"/>
            <w:vAlign w:val="center"/>
          </w:tcPr>
          <w:p w14:paraId="191EB787">
            <w:pPr>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sz w:val="20"/>
                <w:szCs w:val="20"/>
              </w:rPr>
            </w:pPr>
          </w:p>
        </w:tc>
        <w:tc>
          <w:tcPr>
            <w:tcW w:w="804" w:type="dxa"/>
            <w:vMerge w:val="continue"/>
            <w:vAlign w:val="center"/>
          </w:tcPr>
          <w:p w14:paraId="7C09A8C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000000"/>
                <w:sz w:val="20"/>
                <w:szCs w:val="20"/>
              </w:rPr>
            </w:pPr>
          </w:p>
        </w:tc>
        <w:tc>
          <w:tcPr>
            <w:tcW w:w="1001" w:type="dxa"/>
            <w:vAlign w:val="center"/>
          </w:tcPr>
          <w:p w14:paraId="08C9344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rPr>
              <w:t>执行率</w:t>
            </w:r>
          </w:p>
        </w:tc>
        <w:tc>
          <w:tcPr>
            <w:tcW w:w="759" w:type="dxa"/>
            <w:vAlign w:val="center"/>
          </w:tcPr>
          <w:p w14:paraId="35D2D8A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40" w:type="dxa"/>
            <w:vAlign w:val="center"/>
          </w:tcPr>
          <w:p w14:paraId="13E08DB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100</w:t>
            </w:r>
          </w:p>
        </w:tc>
        <w:tc>
          <w:tcPr>
            <w:tcW w:w="723" w:type="dxa"/>
            <w:vAlign w:val="center"/>
          </w:tcPr>
          <w:p w14:paraId="256F684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w:t>
            </w:r>
          </w:p>
        </w:tc>
        <w:tc>
          <w:tcPr>
            <w:tcW w:w="791" w:type="dxa"/>
            <w:vAlign w:val="center"/>
          </w:tcPr>
          <w:p w14:paraId="458D9B4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10</w:t>
            </w:r>
          </w:p>
        </w:tc>
        <w:tc>
          <w:tcPr>
            <w:tcW w:w="968" w:type="dxa"/>
            <w:shd w:val="clear" w:color="auto" w:fill="auto"/>
            <w:vAlign w:val="center"/>
          </w:tcPr>
          <w:p w14:paraId="233D26F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100</w:t>
            </w:r>
          </w:p>
        </w:tc>
        <w:tc>
          <w:tcPr>
            <w:tcW w:w="777" w:type="dxa"/>
            <w:shd w:val="clear" w:color="auto" w:fill="auto"/>
            <w:vAlign w:val="center"/>
          </w:tcPr>
          <w:p w14:paraId="3CDBB6D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10</w:t>
            </w:r>
          </w:p>
        </w:tc>
        <w:tc>
          <w:tcPr>
            <w:tcW w:w="791" w:type="dxa"/>
            <w:vAlign w:val="center"/>
          </w:tcPr>
          <w:p w14:paraId="31FED370">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712" w:type="dxa"/>
            <w:vMerge w:val="continue"/>
            <w:vAlign w:val="center"/>
          </w:tcPr>
          <w:p w14:paraId="3F0FB1C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0"/>
                <w:szCs w:val="20"/>
              </w:rPr>
            </w:pPr>
          </w:p>
        </w:tc>
      </w:tr>
    </w:tbl>
    <w:p w14:paraId="177800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en-US"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（二）单位重点绩效评价情况</w:t>
      </w:r>
    </w:p>
    <w:p w14:paraId="7978E21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left"/>
        <w:textAlignment w:val="baseline"/>
        <w:rPr>
          <w:rFonts w:hint="default" w:ascii="Times New Roman" w:hAnsi="Times New Roman" w:eastAsia="方正仿宋_GBK" w:cs="Times New Roman"/>
          <w:snapToGrid/>
          <w:kern w:val="0"/>
          <w:sz w:val="32"/>
          <w:szCs w:val="32"/>
          <w:lang w:val="en-US" w:eastAsia="zh-CN" w:bidi="ar-SA"/>
        </w:rPr>
      </w:pPr>
      <w:r>
        <w:rPr>
          <w:rFonts w:hint="default" w:ascii="Times New Roman" w:hAnsi="Times New Roman" w:eastAsia="方正仿宋_GBK" w:cs="Times New Roman"/>
          <w:snapToGrid/>
          <w:kern w:val="0"/>
          <w:sz w:val="32"/>
          <w:szCs w:val="32"/>
          <w:lang w:val="en-US" w:eastAsia="zh-CN" w:bidi="ar-SA"/>
        </w:rPr>
        <w:t>我单位2024年无重点绩效评价</w:t>
      </w:r>
      <w:r>
        <w:rPr>
          <w:rFonts w:hint="default" w:ascii="Times New Roman" w:hAnsi="Times New Roman" w:cs="Times New Roman"/>
          <w:snapToGrid/>
          <w:kern w:val="0"/>
          <w:sz w:val="32"/>
          <w:szCs w:val="32"/>
          <w:lang w:val="en-US" w:eastAsia="zh-CN" w:bidi="ar-SA"/>
        </w:rPr>
        <w:t>。</w:t>
      </w:r>
    </w:p>
    <w:p w14:paraId="1F8719E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668" w:firstLineChars="200"/>
        <w:jc w:val="left"/>
        <w:textAlignment w:val="baseline"/>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（三）财政绩效评价情况</w:t>
      </w:r>
    </w:p>
    <w:p w14:paraId="43ADD86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left"/>
        <w:textAlignment w:val="baseline"/>
        <w:rPr>
          <w:rFonts w:hint="default" w:ascii="Times New Roman" w:hAnsi="Times New Roman" w:eastAsia="方正仿宋_GBK" w:cs="Times New Roman"/>
          <w:snapToGrid/>
          <w:kern w:val="0"/>
          <w:sz w:val="32"/>
          <w:szCs w:val="32"/>
          <w:lang w:val="en-US" w:eastAsia="zh-CN" w:bidi="ar-SA"/>
        </w:rPr>
      </w:pPr>
      <w:r>
        <w:rPr>
          <w:rFonts w:hint="default" w:ascii="Times New Roman" w:hAnsi="Times New Roman" w:eastAsia="方正仿宋_GBK" w:cs="Times New Roman"/>
          <w:snapToGrid/>
          <w:kern w:val="0"/>
          <w:sz w:val="32"/>
          <w:szCs w:val="32"/>
          <w:lang w:val="en-US" w:eastAsia="zh-CN" w:bidi="ar-SA"/>
        </w:rPr>
        <w:t>我单位2024年无重点绩效评价</w:t>
      </w:r>
      <w:r>
        <w:rPr>
          <w:rFonts w:hint="default" w:ascii="Times New Roman" w:hAnsi="Times New Roman" w:cs="Times New Roman"/>
          <w:snapToGrid/>
          <w:kern w:val="0"/>
          <w:sz w:val="32"/>
          <w:szCs w:val="32"/>
          <w:lang w:val="en-US" w:eastAsia="zh-CN" w:bidi="ar-SA"/>
        </w:rPr>
        <w:t>。</w:t>
      </w:r>
    </w:p>
    <w:p w14:paraId="7781848A">
      <w:pPr>
        <w:spacing w:line="600" w:lineRule="exact"/>
        <w:ind w:firstLine="630"/>
        <w:rPr>
          <w:rFonts w:hint="default" w:ascii="Times New Roman" w:hAnsi="Times New Roman" w:eastAsia="方正黑体_GBK" w:cs="Times New Roman"/>
          <w:b/>
          <w:kern w:val="0"/>
          <w:szCs w:val="32"/>
        </w:rPr>
      </w:pPr>
      <w:r>
        <w:rPr>
          <w:rFonts w:hint="default" w:ascii="Times New Roman" w:hAnsi="Times New Roman" w:eastAsia="方正黑体_GBK" w:cs="Times New Roman"/>
          <w:bCs/>
          <w:kern w:val="0"/>
        </w:rPr>
        <w:t>六、专业名词解释</w:t>
      </w:r>
    </w:p>
    <w:p w14:paraId="366B299D">
      <w:pPr>
        <w:widowControl/>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（一）财政拨款收入：</w:t>
      </w:r>
      <w:r>
        <w:rPr>
          <w:rFonts w:hint="default" w:ascii="Times New Roman" w:hAnsi="Times New Roman" w:cs="Times New Roman"/>
          <w:kern w:val="0"/>
          <w:szCs w:val="32"/>
        </w:rPr>
        <w:t>指本年度从本级财政部门取得的财政拨款，包括一般公共预算财政拨款和政府性基金预算财政拨款。</w:t>
      </w:r>
    </w:p>
    <w:p w14:paraId="56AC72ED">
      <w:pPr>
        <w:widowControl/>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（二）事业收入：</w:t>
      </w:r>
      <w:r>
        <w:rPr>
          <w:rFonts w:hint="default" w:ascii="Times New Roman" w:hAnsi="Times New Roman" w:cs="Times New Roman"/>
          <w:kern w:val="0"/>
          <w:szCs w:val="32"/>
        </w:rPr>
        <w:t>指事业单位开展专业业务活动及其辅助活动取得的现金流入；事业单位收到的财政专户实际核拨的教育收费等资金在此反映。</w:t>
      </w:r>
    </w:p>
    <w:p w14:paraId="3D5FB59C">
      <w:pPr>
        <w:widowControl/>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（三）经营收入：</w:t>
      </w:r>
      <w:r>
        <w:rPr>
          <w:rFonts w:hint="default" w:ascii="Times New Roman" w:hAnsi="Times New Roman" w:cs="Times New Roman"/>
          <w:kern w:val="0"/>
          <w:szCs w:val="32"/>
        </w:rPr>
        <w:t>指事业单位在专业业务活动及其辅助活动之外开展非独立核算经营活动取得的现金流入。</w:t>
      </w:r>
    </w:p>
    <w:p w14:paraId="22FD54F9">
      <w:pPr>
        <w:widowControl/>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（四）其他收入：</w:t>
      </w:r>
      <w:r>
        <w:rPr>
          <w:rFonts w:hint="default" w:ascii="Times New Roman" w:hAnsi="Times New Roman" w:cs="Times New Roman"/>
          <w:kern w:val="0"/>
          <w:szCs w:val="32"/>
        </w:rPr>
        <w:t>指单位取得的除</w:t>
      </w:r>
      <w:r>
        <w:rPr>
          <w:rFonts w:hint="eastAsia" w:cs="Times New Roman"/>
          <w:kern w:val="0"/>
          <w:szCs w:val="32"/>
          <w:lang w:eastAsia="zh-CN"/>
        </w:rPr>
        <w:t>“</w:t>
      </w:r>
      <w:r>
        <w:rPr>
          <w:rFonts w:hint="default" w:ascii="Times New Roman" w:hAnsi="Times New Roman" w:cs="Times New Roman"/>
          <w:kern w:val="0"/>
          <w:szCs w:val="32"/>
        </w:rPr>
        <w:t>财政拨款收入</w:t>
      </w:r>
      <w:r>
        <w:rPr>
          <w:rFonts w:hint="eastAsia" w:cs="Times New Roman"/>
          <w:kern w:val="0"/>
          <w:szCs w:val="32"/>
          <w:lang w:eastAsia="zh-CN"/>
        </w:rPr>
        <w:t>”</w:t>
      </w:r>
      <w:r>
        <w:rPr>
          <w:rFonts w:hint="default" w:ascii="Times New Roman" w:hAnsi="Times New Roman" w:cs="Times New Roman"/>
          <w:kern w:val="0"/>
          <w:szCs w:val="32"/>
        </w:rPr>
        <w:t>、</w:t>
      </w:r>
      <w:r>
        <w:rPr>
          <w:rFonts w:hint="eastAsia" w:cs="Times New Roman"/>
          <w:kern w:val="0"/>
          <w:szCs w:val="32"/>
          <w:lang w:eastAsia="zh-CN"/>
        </w:rPr>
        <w:t>“</w:t>
      </w:r>
      <w:r>
        <w:rPr>
          <w:rFonts w:hint="default" w:ascii="Times New Roman" w:hAnsi="Times New Roman" w:cs="Times New Roman"/>
          <w:kern w:val="0"/>
          <w:szCs w:val="32"/>
        </w:rPr>
        <w:t>事业收入</w:t>
      </w:r>
      <w:r>
        <w:rPr>
          <w:rFonts w:hint="eastAsia" w:cs="Times New Roman"/>
          <w:kern w:val="0"/>
          <w:szCs w:val="32"/>
          <w:lang w:eastAsia="zh-CN"/>
        </w:rPr>
        <w:t>”</w:t>
      </w:r>
      <w:r>
        <w:rPr>
          <w:rFonts w:hint="default" w:ascii="Times New Roman" w:hAnsi="Times New Roman" w:cs="Times New Roman"/>
          <w:kern w:val="0"/>
          <w:szCs w:val="32"/>
        </w:rPr>
        <w:t>、</w:t>
      </w:r>
      <w:r>
        <w:rPr>
          <w:rFonts w:hint="eastAsia" w:cs="Times New Roman"/>
          <w:kern w:val="0"/>
          <w:szCs w:val="32"/>
          <w:lang w:eastAsia="zh-CN"/>
        </w:rPr>
        <w:t>“</w:t>
      </w:r>
      <w:r>
        <w:rPr>
          <w:rFonts w:hint="default" w:ascii="Times New Roman" w:hAnsi="Times New Roman" w:cs="Times New Roman"/>
          <w:kern w:val="0"/>
          <w:szCs w:val="32"/>
        </w:rPr>
        <w:t>经营收入</w:t>
      </w:r>
      <w:r>
        <w:rPr>
          <w:rFonts w:hint="eastAsia" w:cs="Times New Roman"/>
          <w:kern w:val="0"/>
          <w:szCs w:val="32"/>
          <w:lang w:eastAsia="zh-CN"/>
        </w:rPr>
        <w:t>”</w:t>
      </w:r>
      <w:r>
        <w:rPr>
          <w:rFonts w:hint="default" w:ascii="Times New Roman" w:hAnsi="Times New Roman" w:cs="Times New Roman"/>
          <w:kern w:val="0"/>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6838A66">
      <w:pPr>
        <w:widowControl/>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（五）使用非财政拨款结余：</w:t>
      </w:r>
      <w:r>
        <w:rPr>
          <w:rFonts w:hint="default" w:ascii="Times New Roman" w:hAnsi="Times New Roman" w:cs="Times New Roman"/>
          <w:kern w:val="0"/>
          <w:szCs w:val="32"/>
        </w:rPr>
        <w:t>指单位在当年的</w:t>
      </w:r>
      <w:r>
        <w:rPr>
          <w:rFonts w:hint="eastAsia" w:cs="Times New Roman"/>
          <w:kern w:val="0"/>
          <w:szCs w:val="32"/>
          <w:lang w:eastAsia="zh-CN"/>
        </w:rPr>
        <w:t>“</w:t>
      </w:r>
      <w:r>
        <w:rPr>
          <w:rFonts w:hint="default" w:ascii="Times New Roman" w:hAnsi="Times New Roman" w:cs="Times New Roman"/>
          <w:kern w:val="0"/>
          <w:szCs w:val="32"/>
        </w:rPr>
        <w:t>财政拨款收入</w:t>
      </w:r>
      <w:r>
        <w:rPr>
          <w:rFonts w:hint="eastAsia" w:cs="Times New Roman"/>
          <w:kern w:val="0"/>
          <w:szCs w:val="32"/>
          <w:lang w:eastAsia="zh-CN"/>
        </w:rPr>
        <w:t>”</w:t>
      </w:r>
      <w:r>
        <w:rPr>
          <w:rFonts w:hint="default" w:ascii="Times New Roman" w:hAnsi="Times New Roman" w:cs="Times New Roman"/>
          <w:kern w:val="0"/>
          <w:szCs w:val="32"/>
        </w:rPr>
        <w:t>、</w:t>
      </w:r>
      <w:r>
        <w:rPr>
          <w:rFonts w:hint="eastAsia" w:cs="Times New Roman"/>
          <w:kern w:val="0"/>
          <w:szCs w:val="32"/>
          <w:lang w:eastAsia="zh-CN"/>
        </w:rPr>
        <w:t>“</w:t>
      </w:r>
      <w:r>
        <w:rPr>
          <w:rFonts w:hint="default" w:ascii="Times New Roman" w:hAnsi="Times New Roman" w:cs="Times New Roman"/>
          <w:kern w:val="0"/>
          <w:szCs w:val="32"/>
        </w:rPr>
        <w:t>事业收入</w:t>
      </w:r>
      <w:r>
        <w:rPr>
          <w:rFonts w:hint="eastAsia" w:cs="Times New Roman"/>
          <w:kern w:val="0"/>
          <w:szCs w:val="32"/>
          <w:lang w:eastAsia="zh-CN"/>
        </w:rPr>
        <w:t>”</w:t>
      </w:r>
      <w:r>
        <w:rPr>
          <w:rFonts w:hint="default" w:ascii="Times New Roman" w:hAnsi="Times New Roman" w:cs="Times New Roman"/>
          <w:kern w:val="0"/>
          <w:szCs w:val="32"/>
        </w:rPr>
        <w:t>、</w:t>
      </w:r>
      <w:r>
        <w:rPr>
          <w:rFonts w:hint="eastAsia" w:cs="Times New Roman"/>
          <w:kern w:val="0"/>
          <w:szCs w:val="32"/>
          <w:lang w:eastAsia="zh-CN"/>
        </w:rPr>
        <w:t>“</w:t>
      </w:r>
      <w:r>
        <w:rPr>
          <w:rFonts w:hint="default" w:ascii="Times New Roman" w:hAnsi="Times New Roman" w:cs="Times New Roman"/>
          <w:kern w:val="0"/>
          <w:szCs w:val="32"/>
        </w:rPr>
        <w:t>经营收入</w:t>
      </w:r>
      <w:r>
        <w:rPr>
          <w:rFonts w:hint="eastAsia" w:cs="Times New Roman"/>
          <w:kern w:val="0"/>
          <w:szCs w:val="32"/>
          <w:lang w:eastAsia="zh-CN"/>
        </w:rPr>
        <w:t>”</w:t>
      </w:r>
      <w:r>
        <w:rPr>
          <w:rFonts w:hint="default" w:ascii="Times New Roman" w:hAnsi="Times New Roman" w:cs="Times New Roman"/>
          <w:kern w:val="0"/>
          <w:szCs w:val="32"/>
        </w:rPr>
        <w:t>、</w:t>
      </w:r>
      <w:r>
        <w:rPr>
          <w:rFonts w:hint="eastAsia" w:cs="Times New Roman"/>
          <w:kern w:val="0"/>
          <w:szCs w:val="32"/>
          <w:lang w:eastAsia="zh-CN"/>
        </w:rPr>
        <w:t>“</w:t>
      </w:r>
      <w:r>
        <w:rPr>
          <w:rFonts w:hint="default" w:ascii="Times New Roman" w:hAnsi="Times New Roman" w:cs="Times New Roman"/>
          <w:kern w:val="0"/>
          <w:szCs w:val="32"/>
        </w:rPr>
        <w:t>其他收入</w:t>
      </w:r>
      <w:r>
        <w:rPr>
          <w:rFonts w:hint="eastAsia" w:cs="Times New Roman"/>
          <w:kern w:val="0"/>
          <w:szCs w:val="32"/>
          <w:lang w:eastAsia="zh-CN"/>
        </w:rPr>
        <w:t>”</w:t>
      </w:r>
      <w:r>
        <w:rPr>
          <w:rFonts w:hint="default" w:ascii="Times New Roman" w:hAnsi="Times New Roman" w:cs="Times New Roman"/>
          <w:kern w:val="0"/>
          <w:szCs w:val="32"/>
        </w:rPr>
        <w:t>等不足以安排当年支出的情况下，使用以前年度积累的非财政拨款结余弥补本年度收支缺口的资金。</w:t>
      </w:r>
    </w:p>
    <w:p w14:paraId="385A75E6">
      <w:pPr>
        <w:widowControl/>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（六）年初结转和结余：</w:t>
      </w:r>
      <w:r>
        <w:rPr>
          <w:rFonts w:hint="default" w:ascii="Times New Roman" w:hAnsi="Times New Roman" w:cs="Times New Roman"/>
          <w:kern w:val="0"/>
          <w:szCs w:val="32"/>
        </w:rPr>
        <w:t>指单位上年结转本年使用的基本支出结转、项目支出结转和结余、经营结余。</w:t>
      </w:r>
    </w:p>
    <w:p w14:paraId="1C7350A0">
      <w:pPr>
        <w:widowControl/>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（七）结余分配：</w:t>
      </w:r>
      <w:r>
        <w:rPr>
          <w:rFonts w:hint="default" w:ascii="Times New Roman" w:hAnsi="Times New Roman" w:cs="Times New Roman"/>
          <w:kern w:val="0"/>
          <w:szCs w:val="32"/>
        </w:rPr>
        <w:t>指单位按照国家有关规定，缴纳所得税、提取专用基金、转入非财政拨款结余等当年结余的分配情况。</w:t>
      </w:r>
    </w:p>
    <w:p w14:paraId="1D0A76C0">
      <w:pPr>
        <w:widowControl/>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（八）年末结转和结余：</w:t>
      </w:r>
      <w:r>
        <w:rPr>
          <w:rFonts w:hint="default" w:ascii="Times New Roman" w:hAnsi="Times New Roman" w:cs="Times New Roman"/>
          <w:kern w:val="0"/>
          <w:szCs w:val="32"/>
        </w:rPr>
        <w:t>指单位结转下年的基本支出结转、项目支出结转和结余、经营结余。</w:t>
      </w:r>
    </w:p>
    <w:p w14:paraId="26089C90">
      <w:pPr>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（九）基本支出：</w:t>
      </w:r>
      <w:r>
        <w:rPr>
          <w:rFonts w:hint="default" w:ascii="Times New Roman" w:hAnsi="Times New Roman" w:cs="Times New Roman"/>
          <w:kern w:val="0"/>
          <w:szCs w:val="32"/>
        </w:rPr>
        <w:t>指为保障机构正常运转、完成日常工作任务而发生的人员经费和公用经费。其中：人员经费指政府收支分类经济科目中的</w:t>
      </w:r>
      <w:r>
        <w:rPr>
          <w:rFonts w:hint="eastAsia" w:cs="Times New Roman"/>
          <w:kern w:val="0"/>
          <w:szCs w:val="32"/>
          <w:lang w:eastAsia="zh-CN"/>
        </w:rPr>
        <w:t>“</w:t>
      </w:r>
      <w:r>
        <w:rPr>
          <w:rFonts w:hint="default" w:ascii="Times New Roman" w:hAnsi="Times New Roman" w:cs="Times New Roman"/>
          <w:kern w:val="0"/>
          <w:szCs w:val="32"/>
        </w:rPr>
        <w:t>工资福利支出</w:t>
      </w:r>
      <w:r>
        <w:rPr>
          <w:rFonts w:hint="eastAsia" w:cs="Times New Roman"/>
          <w:kern w:val="0"/>
          <w:szCs w:val="32"/>
          <w:lang w:eastAsia="zh-CN"/>
        </w:rPr>
        <w:t>”</w:t>
      </w:r>
      <w:r>
        <w:rPr>
          <w:rFonts w:hint="default" w:ascii="Times New Roman" w:hAnsi="Times New Roman" w:cs="Times New Roman"/>
          <w:kern w:val="0"/>
          <w:szCs w:val="32"/>
        </w:rPr>
        <w:t>和</w:t>
      </w:r>
      <w:r>
        <w:rPr>
          <w:rFonts w:hint="eastAsia" w:cs="Times New Roman"/>
          <w:kern w:val="0"/>
          <w:szCs w:val="32"/>
          <w:lang w:eastAsia="zh-CN"/>
        </w:rPr>
        <w:t>“</w:t>
      </w:r>
      <w:r>
        <w:rPr>
          <w:rFonts w:hint="default" w:ascii="Times New Roman" w:hAnsi="Times New Roman" w:cs="Times New Roman"/>
          <w:kern w:val="0"/>
          <w:szCs w:val="32"/>
        </w:rPr>
        <w:t>对个人和家庭的补助</w:t>
      </w:r>
      <w:r>
        <w:rPr>
          <w:rFonts w:hint="eastAsia" w:cs="Times New Roman"/>
          <w:kern w:val="0"/>
          <w:szCs w:val="32"/>
          <w:lang w:eastAsia="zh-CN"/>
        </w:rPr>
        <w:t>”</w:t>
      </w:r>
      <w:r>
        <w:rPr>
          <w:rFonts w:hint="default" w:ascii="Times New Roman" w:hAnsi="Times New Roman" w:cs="Times New Roman"/>
          <w:kern w:val="0"/>
          <w:szCs w:val="32"/>
        </w:rPr>
        <w:t>；公用经费指政府收支分类经济科目中除</w:t>
      </w:r>
      <w:r>
        <w:rPr>
          <w:rFonts w:hint="eastAsia" w:cs="Times New Roman"/>
          <w:kern w:val="0"/>
          <w:szCs w:val="32"/>
          <w:lang w:eastAsia="zh-CN"/>
        </w:rPr>
        <w:t>“</w:t>
      </w:r>
      <w:r>
        <w:rPr>
          <w:rFonts w:hint="default" w:ascii="Times New Roman" w:hAnsi="Times New Roman" w:cs="Times New Roman"/>
          <w:kern w:val="0"/>
          <w:szCs w:val="32"/>
        </w:rPr>
        <w:t>工资福利支出</w:t>
      </w:r>
      <w:r>
        <w:rPr>
          <w:rFonts w:hint="eastAsia" w:cs="Times New Roman"/>
          <w:kern w:val="0"/>
          <w:szCs w:val="32"/>
          <w:lang w:eastAsia="zh-CN"/>
        </w:rPr>
        <w:t>”</w:t>
      </w:r>
      <w:r>
        <w:rPr>
          <w:rFonts w:hint="default" w:ascii="Times New Roman" w:hAnsi="Times New Roman" w:cs="Times New Roman"/>
          <w:kern w:val="0"/>
          <w:szCs w:val="32"/>
        </w:rPr>
        <w:t>和</w:t>
      </w:r>
      <w:r>
        <w:rPr>
          <w:rFonts w:hint="eastAsia" w:cs="Times New Roman"/>
          <w:kern w:val="0"/>
          <w:szCs w:val="32"/>
          <w:lang w:eastAsia="zh-CN"/>
        </w:rPr>
        <w:t>“</w:t>
      </w:r>
      <w:r>
        <w:rPr>
          <w:rFonts w:hint="default" w:ascii="Times New Roman" w:hAnsi="Times New Roman" w:cs="Times New Roman"/>
          <w:kern w:val="0"/>
          <w:szCs w:val="32"/>
        </w:rPr>
        <w:t>对个人和家庭的补助</w:t>
      </w:r>
      <w:r>
        <w:rPr>
          <w:rFonts w:hint="eastAsia" w:cs="Times New Roman"/>
          <w:kern w:val="0"/>
          <w:szCs w:val="32"/>
          <w:lang w:eastAsia="zh-CN"/>
        </w:rPr>
        <w:t>”</w:t>
      </w:r>
      <w:r>
        <w:rPr>
          <w:rFonts w:hint="default" w:ascii="Times New Roman" w:hAnsi="Times New Roman" w:cs="Times New Roman"/>
          <w:kern w:val="0"/>
          <w:szCs w:val="32"/>
        </w:rPr>
        <w:t>外的其他支出。</w:t>
      </w:r>
    </w:p>
    <w:p w14:paraId="47677F63">
      <w:pPr>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（十）项目支出：</w:t>
      </w:r>
      <w:r>
        <w:rPr>
          <w:rFonts w:hint="default" w:ascii="Times New Roman" w:hAnsi="Times New Roman" w:cs="Times New Roman"/>
          <w:kern w:val="0"/>
          <w:szCs w:val="32"/>
        </w:rPr>
        <w:t>指在基本支出之外为完成特定行政任务和事业发展目标所发生的支出。</w:t>
      </w:r>
    </w:p>
    <w:p w14:paraId="619B5F00">
      <w:pPr>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（十一）经营支出：</w:t>
      </w:r>
      <w:r>
        <w:rPr>
          <w:rFonts w:hint="default" w:ascii="Times New Roman" w:hAnsi="Times New Roman" w:cs="Times New Roman"/>
          <w:kern w:val="0"/>
          <w:szCs w:val="32"/>
        </w:rPr>
        <w:t>指事业单位在专业业务活动及其辅助活动之外开展非独立核算经营活动发生的支出。</w:t>
      </w:r>
    </w:p>
    <w:p w14:paraId="2A92DBE1">
      <w:pPr>
        <w:widowControl/>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（十二）</w:t>
      </w:r>
      <w:r>
        <w:rPr>
          <w:rFonts w:hint="eastAsia" w:eastAsia="方正楷体_GBK" w:cs="Times New Roman"/>
          <w:snapToGrid w:val="0"/>
          <w:color w:val="000000"/>
          <w:spacing w:val="7"/>
          <w:kern w:val="0"/>
          <w:position w:val="3"/>
          <w:sz w:val="32"/>
          <w:szCs w:val="32"/>
          <w:lang w:val="en-US" w:eastAsia="zh-CN" w:bidi="ar-SA"/>
        </w:rPr>
        <w:t>“</w:t>
      </w:r>
      <w:r>
        <w:rPr>
          <w:rFonts w:hint="default" w:ascii="Times New Roman" w:hAnsi="Times New Roman" w:eastAsia="方正楷体_GBK" w:cs="Times New Roman"/>
          <w:snapToGrid w:val="0"/>
          <w:color w:val="000000"/>
          <w:spacing w:val="7"/>
          <w:kern w:val="0"/>
          <w:position w:val="3"/>
          <w:sz w:val="32"/>
          <w:szCs w:val="32"/>
          <w:lang w:val="en-US" w:eastAsia="zh-CN" w:bidi="ar-SA"/>
        </w:rPr>
        <w:t>三公</w:t>
      </w:r>
      <w:r>
        <w:rPr>
          <w:rFonts w:hint="eastAsia" w:eastAsia="方正楷体_GBK" w:cs="Times New Roman"/>
          <w:snapToGrid w:val="0"/>
          <w:color w:val="000000"/>
          <w:spacing w:val="7"/>
          <w:kern w:val="0"/>
          <w:position w:val="3"/>
          <w:sz w:val="32"/>
          <w:szCs w:val="32"/>
          <w:lang w:val="en-US" w:eastAsia="zh-CN" w:bidi="ar-SA"/>
        </w:rPr>
        <w:t>”</w:t>
      </w:r>
      <w:r>
        <w:rPr>
          <w:rFonts w:hint="default" w:ascii="Times New Roman" w:hAnsi="Times New Roman" w:eastAsia="方正楷体_GBK" w:cs="Times New Roman"/>
          <w:snapToGrid w:val="0"/>
          <w:color w:val="000000"/>
          <w:spacing w:val="7"/>
          <w:kern w:val="0"/>
          <w:position w:val="3"/>
          <w:sz w:val="32"/>
          <w:szCs w:val="32"/>
          <w:lang w:val="en-US" w:eastAsia="zh-CN" w:bidi="ar-SA"/>
        </w:rPr>
        <w:t>经费：</w:t>
      </w:r>
      <w:r>
        <w:rPr>
          <w:rFonts w:hint="default" w:ascii="Times New Roman" w:hAnsi="Times New Roman" w:cs="Times New Roman"/>
          <w:kern w:val="0"/>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55317B1">
      <w:pPr>
        <w:widowControl/>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（十三）机关运行经费：</w:t>
      </w:r>
      <w:r>
        <w:rPr>
          <w:rFonts w:hint="default" w:ascii="Times New Roman" w:hAnsi="Times New Roman" w:cs="Times New Roman"/>
          <w:kern w:val="0"/>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BA33DFA">
      <w:pPr>
        <w:widowControl/>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（十四）工资福利支出（支出经济分类科目类级）：</w:t>
      </w:r>
      <w:r>
        <w:rPr>
          <w:rFonts w:hint="default" w:ascii="Times New Roman" w:hAnsi="Times New Roman" w:cs="Times New Roman"/>
          <w:kern w:val="0"/>
          <w:szCs w:val="32"/>
        </w:rPr>
        <w:t>反映单位开支的在职职工和编制外长期聘用人员的各类劳动报酬，以及为上述人员缴纳的各项社会保险费等。</w:t>
      </w:r>
    </w:p>
    <w:p w14:paraId="2734F084">
      <w:pPr>
        <w:widowControl/>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（十五）商品和服务支出（支出经济分类科目类级）：</w:t>
      </w:r>
      <w:r>
        <w:rPr>
          <w:rFonts w:hint="default" w:ascii="Times New Roman" w:hAnsi="Times New Roman" w:cs="Times New Roman"/>
          <w:kern w:val="0"/>
          <w:szCs w:val="32"/>
        </w:rPr>
        <w:t>反映单位购买商品和服务的支出（不包括用于购置固定资产的支出、战略性和应急储备支出）。</w:t>
      </w:r>
    </w:p>
    <w:p w14:paraId="398AB1BF">
      <w:pPr>
        <w:widowControl/>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（十六）对个人和家庭的补助（支出经济分类科目类级）：</w:t>
      </w:r>
      <w:r>
        <w:rPr>
          <w:rFonts w:hint="default" w:ascii="Times New Roman" w:hAnsi="Times New Roman" w:cs="Times New Roman"/>
          <w:kern w:val="0"/>
          <w:szCs w:val="32"/>
        </w:rPr>
        <w:t>反映用于对个人和家庭的补助支出。</w:t>
      </w:r>
    </w:p>
    <w:p w14:paraId="0E9EDBAC">
      <w:pPr>
        <w:widowControl/>
        <w:spacing w:line="600" w:lineRule="exact"/>
        <w:ind w:firstLine="654" w:firstLineChars="196"/>
        <w:rPr>
          <w:rFonts w:hint="default" w:ascii="Times New Roman" w:hAnsi="Times New Roman" w:cs="Times New Roman"/>
          <w:kern w:val="0"/>
          <w:szCs w:val="32"/>
        </w:rPr>
      </w:pPr>
      <w:r>
        <w:rPr>
          <w:rFonts w:hint="default" w:ascii="Times New Roman" w:hAnsi="Times New Roman" w:eastAsia="方正楷体_GBK" w:cs="Times New Roman"/>
          <w:snapToGrid w:val="0"/>
          <w:color w:val="000000"/>
          <w:spacing w:val="7"/>
          <w:kern w:val="0"/>
          <w:position w:val="3"/>
          <w:sz w:val="32"/>
          <w:szCs w:val="32"/>
          <w:lang w:val="en-US" w:eastAsia="zh-CN" w:bidi="ar-SA"/>
        </w:rPr>
        <w:t>（十七）其他资本性支出（支出经济分类科目类级）：</w:t>
      </w:r>
      <w:r>
        <w:rPr>
          <w:rFonts w:hint="default" w:ascii="Times New Roman" w:hAnsi="Times New Roman" w:cs="Times New Roman"/>
          <w:kern w:val="0"/>
          <w:szCs w:val="32"/>
        </w:rPr>
        <w:t>反映非各级发展与改革部门集中安排的用于购置固定资产、战略性和应急性储备、土地和无形资产，以及构建基础设施、大型修缮和财政支持企业更新改造所发生的支出。</w:t>
      </w:r>
    </w:p>
    <w:p w14:paraId="3A86EEBE">
      <w:pPr>
        <w:widowControl/>
        <w:spacing w:line="600" w:lineRule="exact"/>
        <w:ind w:firstLine="640" w:firstLineChars="200"/>
        <w:rPr>
          <w:rFonts w:hint="default" w:ascii="Times New Roman" w:hAnsi="Times New Roman" w:eastAsia="方正黑体_GBK" w:cs="Times New Roman"/>
          <w:b/>
          <w:kern w:val="0"/>
          <w:szCs w:val="32"/>
        </w:rPr>
      </w:pPr>
      <w:r>
        <w:rPr>
          <w:rFonts w:hint="default" w:ascii="Times New Roman" w:hAnsi="Times New Roman" w:eastAsia="方正黑体_GBK" w:cs="Times New Roman"/>
          <w:bCs/>
          <w:kern w:val="0"/>
        </w:rPr>
        <w:t>七、决算公开联系方式及信息反馈渠道</w:t>
      </w:r>
    </w:p>
    <w:p w14:paraId="17008F2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cs="Times New Roman"/>
          <w:szCs w:val="32"/>
        </w:rPr>
      </w:pPr>
      <w:r>
        <w:rPr>
          <w:rFonts w:hint="default" w:ascii="Times New Roman" w:hAnsi="Times New Roman" w:eastAsia="方正仿宋_GBK" w:cs="Times New Roman"/>
          <w:snapToGrid w:val="0"/>
          <w:color w:val="000000"/>
          <w:kern w:val="0"/>
          <w:sz w:val="32"/>
          <w:szCs w:val="32"/>
          <w:shd w:val="clear" w:fill="FFFFFF"/>
          <w:lang w:val="en-US" w:eastAsia="en-US" w:bidi="ar-SA"/>
        </w:rPr>
        <w:t>本单位决算公开信息反馈和联系方式：023-68969017</w:t>
      </w:r>
    </w:p>
    <w:p w14:paraId="41C0E44C">
      <w:pPr>
        <w:adjustRightInd w:val="0"/>
        <w:snapToGrid w:val="0"/>
        <w:spacing w:line="600" w:lineRule="exact"/>
        <w:ind w:firstLine="640" w:firstLineChars="200"/>
        <w:rPr>
          <w:rFonts w:hint="default" w:ascii="Times New Roman" w:hAnsi="Times New Roman" w:cs="Times New Roman"/>
          <w:szCs w:val="32"/>
        </w:rPr>
      </w:pPr>
    </w:p>
    <w:p w14:paraId="6E469F29">
      <w:pPr>
        <w:adjustRightInd w:val="0"/>
        <w:snapToGrid w:val="0"/>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附件：1.收入支出决算总表</w:t>
      </w:r>
    </w:p>
    <w:p w14:paraId="75C7D349">
      <w:pPr>
        <w:adjustRightInd w:val="0"/>
        <w:snapToGrid w:val="0"/>
        <w:spacing w:line="600" w:lineRule="exact"/>
        <w:ind w:firstLine="1600" w:firstLineChars="500"/>
        <w:rPr>
          <w:rFonts w:hint="default" w:ascii="Times New Roman" w:hAnsi="Times New Roman" w:cs="Times New Roman"/>
          <w:szCs w:val="32"/>
        </w:rPr>
      </w:pPr>
      <w:r>
        <w:rPr>
          <w:rFonts w:hint="default" w:ascii="Times New Roman" w:hAnsi="Times New Roman" w:cs="Times New Roman"/>
          <w:szCs w:val="32"/>
        </w:rPr>
        <w:t>2.收入决算表</w:t>
      </w:r>
    </w:p>
    <w:p w14:paraId="67DD97E7">
      <w:pPr>
        <w:adjustRightInd w:val="0"/>
        <w:snapToGrid w:val="0"/>
        <w:spacing w:line="600" w:lineRule="exact"/>
        <w:ind w:firstLine="1600" w:firstLineChars="500"/>
        <w:rPr>
          <w:rFonts w:hint="default" w:ascii="Times New Roman" w:hAnsi="Times New Roman" w:cs="Times New Roman"/>
          <w:szCs w:val="32"/>
        </w:rPr>
      </w:pPr>
      <w:r>
        <w:rPr>
          <w:rFonts w:hint="default" w:ascii="Times New Roman" w:hAnsi="Times New Roman" w:cs="Times New Roman"/>
          <w:szCs w:val="32"/>
        </w:rPr>
        <w:t>3.支出决算表</w:t>
      </w:r>
    </w:p>
    <w:p w14:paraId="52AEAEDC">
      <w:pPr>
        <w:adjustRightInd w:val="0"/>
        <w:snapToGrid w:val="0"/>
        <w:spacing w:line="600" w:lineRule="exact"/>
        <w:ind w:firstLine="1600" w:firstLineChars="500"/>
        <w:rPr>
          <w:rFonts w:hint="default" w:ascii="Times New Roman" w:hAnsi="Times New Roman" w:cs="Times New Roman"/>
          <w:szCs w:val="32"/>
        </w:rPr>
      </w:pPr>
      <w:r>
        <w:rPr>
          <w:rFonts w:hint="default" w:ascii="Times New Roman" w:hAnsi="Times New Roman" w:cs="Times New Roman"/>
          <w:szCs w:val="32"/>
        </w:rPr>
        <w:t>4.财政拨款收入支出决算总表</w:t>
      </w:r>
    </w:p>
    <w:p w14:paraId="4F0822F1">
      <w:pPr>
        <w:adjustRightInd w:val="0"/>
        <w:snapToGrid w:val="0"/>
        <w:spacing w:line="600" w:lineRule="exact"/>
        <w:ind w:firstLine="1600" w:firstLineChars="500"/>
        <w:rPr>
          <w:rFonts w:hint="default" w:ascii="Times New Roman" w:hAnsi="Times New Roman" w:cs="Times New Roman"/>
          <w:szCs w:val="32"/>
        </w:rPr>
      </w:pPr>
      <w:r>
        <w:rPr>
          <w:rFonts w:hint="default" w:ascii="Times New Roman" w:hAnsi="Times New Roman" w:cs="Times New Roman"/>
          <w:szCs w:val="32"/>
        </w:rPr>
        <w:t>5.一般公共预算财政拨款支出决算表</w:t>
      </w:r>
    </w:p>
    <w:p w14:paraId="1016B879">
      <w:pPr>
        <w:adjustRightInd w:val="0"/>
        <w:snapToGrid w:val="0"/>
        <w:spacing w:line="600" w:lineRule="exact"/>
        <w:ind w:firstLine="1600" w:firstLineChars="500"/>
        <w:rPr>
          <w:rFonts w:hint="default" w:ascii="Times New Roman" w:hAnsi="Times New Roman" w:cs="Times New Roman"/>
          <w:szCs w:val="32"/>
        </w:rPr>
      </w:pPr>
      <w:r>
        <w:rPr>
          <w:rFonts w:hint="default" w:ascii="Times New Roman" w:hAnsi="Times New Roman" w:cs="Times New Roman"/>
          <w:szCs w:val="32"/>
        </w:rPr>
        <w:t>6.一般公共预算财政拨款基本支出决算表</w:t>
      </w:r>
    </w:p>
    <w:p w14:paraId="3730989A">
      <w:pPr>
        <w:adjustRightInd w:val="0"/>
        <w:snapToGrid w:val="0"/>
        <w:spacing w:line="600" w:lineRule="exact"/>
        <w:rPr>
          <w:rFonts w:hint="default" w:ascii="Times New Roman" w:hAnsi="Times New Roman" w:cs="Times New Roman"/>
          <w:szCs w:val="32"/>
        </w:rPr>
      </w:pPr>
      <w:r>
        <w:rPr>
          <w:rFonts w:hint="default" w:ascii="Times New Roman" w:hAnsi="Times New Roman" w:cs="Times New Roman"/>
          <w:szCs w:val="32"/>
        </w:rPr>
        <w:t xml:space="preserve">          7.政府性基金预算财政拨款收入支出决算表</w:t>
      </w:r>
    </w:p>
    <w:p w14:paraId="1206D768">
      <w:pPr>
        <w:adjustRightInd w:val="0"/>
        <w:snapToGrid w:val="0"/>
        <w:spacing w:line="600" w:lineRule="exact"/>
        <w:ind w:firstLine="1600" w:firstLineChars="500"/>
        <w:rPr>
          <w:rFonts w:hint="default" w:ascii="Times New Roman" w:hAnsi="Times New Roman" w:cs="Times New Roman"/>
          <w:szCs w:val="32"/>
        </w:rPr>
      </w:pPr>
      <w:r>
        <w:rPr>
          <w:rFonts w:hint="default" w:ascii="Times New Roman" w:hAnsi="Times New Roman" w:cs="Times New Roman"/>
          <w:szCs w:val="32"/>
        </w:rPr>
        <w:t>8.国有资本经营预算财政拨款支出决算表</w:t>
      </w:r>
    </w:p>
    <w:p w14:paraId="4C969B4E">
      <w:pPr>
        <w:adjustRightInd w:val="0"/>
        <w:snapToGrid w:val="0"/>
        <w:spacing w:line="600" w:lineRule="exact"/>
        <w:ind w:firstLine="1600" w:firstLineChars="500"/>
        <w:jc w:val="left"/>
        <w:rPr>
          <w:rFonts w:hint="default" w:ascii="Times New Roman" w:hAnsi="Times New Roman" w:cs="Times New Roman"/>
          <w:szCs w:val="32"/>
        </w:rPr>
        <w:sectPr>
          <w:pgSz w:w="11906" w:h="16838"/>
          <w:pgMar w:top="2098" w:right="1531" w:bottom="1984" w:left="1531" w:header="851" w:footer="992" w:gutter="0"/>
          <w:cols w:space="425" w:num="1"/>
          <w:docGrid w:type="lines" w:linePitch="312" w:charSpace="0"/>
        </w:sectPr>
      </w:pPr>
      <w:r>
        <w:rPr>
          <w:rFonts w:hint="default" w:ascii="Times New Roman" w:hAnsi="Times New Roman" w:cs="Times New Roman"/>
          <w:szCs w:val="32"/>
        </w:rPr>
        <w:t>9.机构运行信息表</w:t>
      </w:r>
    </w:p>
    <w:p w14:paraId="498BFDB6">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firstLine="420" w:firstLineChars="200"/>
        <w:textAlignment w:val="baseline"/>
        <w:rPr>
          <w:rFonts w:hint="default" w:ascii="Times New Roman" w:hAnsi="Times New Roman" w:cs="Times New Roman"/>
          <w:sz w:val="21"/>
        </w:rPr>
      </w:pPr>
    </w:p>
    <w:p w14:paraId="4043E52D">
      <w:pPr>
        <w:rPr>
          <w:rFonts w:hint="default" w:ascii="Times New Roman" w:hAnsi="Times New Roman" w:cs="Times New Roman"/>
          <w:sz w:val="21"/>
          <w:szCs w:val="21"/>
        </w:rPr>
      </w:pPr>
    </w:p>
    <w:tbl>
      <w:tblPr>
        <w:tblStyle w:val="5"/>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21"/>
        <w:gridCol w:w="3580"/>
        <w:gridCol w:w="4069"/>
        <w:gridCol w:w="2860"/>
      </w:tblGrid>
      <w:tr w14:paraId="5A897DF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4FAF226">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7BD73C9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FA6DADF">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6316419">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B617A75">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10C3C9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7C97F27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D2D4A1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重庆市九龙坡区晋渝森林小学校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9017672">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A2861D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C0CAF9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A12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BB3D4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06CC82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023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DA78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278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AE24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50CD6F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6F0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370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1,803.25</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3BD1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F1E5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0D58A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AEB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CA44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C1FA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C1E8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F140F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1B2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D7CD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BF24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5837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CE84A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C79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84BA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B005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F76D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2491C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9C3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95EC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3369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C151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1,687.39</w:t>
            </w:r>
            <w:r>
              <w:rPr>
                <w:rFonts w:hint="default" w:ascii="Times New Roman" w:hAnsi="Times New Roman" w:cs="Times New Roman"/>
                <w:color w:val="000000"/>
                <w:sz w:val="20"/>
                <w:u w:color="auto"/>
              </w:rPr>
              <w:t xml:space="preserve"> </w:t>
            </w:r>
          </w:p>
        </w:tc>
      </w:tr>
      <w:tr w14:paraId="57011C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7F6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E38C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F5CD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6236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C010F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2E4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356F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1B46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0B57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0B0BB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E34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60B060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638E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1015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66.41</w:t>
            </w:r>
            <w:r>
              <w:rPr>
                <w:rFonts w:hint="default" w:ascii="Times New Roman" w:hAnsi="Times New Roman" w:cs="Times New Roman"/>
                <w:color w:val="000000"/>
                <w:sz w:val="20"/>
                <w:u w:color="auto"/>
              </w:rPr>
              <w:t xml:space="preserve"> </w:t>
            </w:r>
          </w:p>
        </w:tc>
      </w:tr>
      <w:tr w14:paraId="0EC0C0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B09A">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8D8DE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CAD7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15D0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22.82</w:t>
            </w:r>
            <w:r>
              <w:rPr>
                <w:rFonts w:hint="default" w:ascii="Times New Roman" w:hAnsi="Times New Roman" w:cs="Times New Roman"/>
                <w:color w:val="000000"/>
                <w:sz w:val="20"/>
                <w:u w:color="auto"/>
              </w:rPr>
              <w:t xml:space="preserve"> </w:t>
            </w:r>
          </w:p>
        </w:tc>
      </w:tr>
      <w:tr w14:paraId="6DB766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208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C9949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7824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1293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A971D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51C9">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ED18E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E16D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CCDE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E15D5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276F">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B6610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43D3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9F1E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38A31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BAE3">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19E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7C1F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1A36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0A6E1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24A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3C80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FF29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C633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8CE04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1C2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1CB6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6853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DFBA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54B15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D432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D519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DB17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4EB6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38AB2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C6A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4C81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CA40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34DA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6602A0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F42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3EAE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E7FF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A91C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316F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E20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B766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ADDE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4278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45.64</w:t>
            </w:r>
            <w:r>
              <w:rPr>
                <w:rFonts w:hint="default" w:ascii="Times New Roman" w:hAnsi="Times New Roman" w:cs="Times New Roman"/>
                <w:color w:val="000000"/>
                <w:sz w:val="20"/>
                <w:u w:color="auto"/>
              </w:rPr>
              <w:t xml:space="preserve"> </w:t>
            </w:r>
          </w:p>
        </w:tc>
      </w:tr>
      <w:tr w14:paraId="4417DD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411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3757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91C5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AB21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E4481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99A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6838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B862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6795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E6C21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B15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3A2A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B348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A404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DF2A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201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C1CD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BB55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9C20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DA98F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DDE0E">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A600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798E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8AB2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A4924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DF0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7006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CBBF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E91A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85EAA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91C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B8A7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F9C9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5978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C647B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62FF">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D3D7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1,822.25</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73DDB">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50AC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1,822.25</w:t>
            </w:r>
            <w:r>
              <w:rPr>
                <w:rFonts w:hint="default" w:ascii="Times New Roman" w:hAnsi="Times New Roman" w:cs="Times New Roman"/>
                <w:color w:val="000000"/>
                <w:sz w:val="20"/>
                <w:u w:color="auto"/>
              </w:rPr>
              <w:t xml:space="preserve"> </w:t>
            </w:r>
          </w:p>
        </w:tc>
      </w:tr>
      <w:tr w14:paraId="11DEC0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241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5619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1966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2979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7248C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071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177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444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B6FE75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7DCC78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71C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971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1,822.25</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A4E62D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FBF1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1,822.25</w:t>
            </w:r>
            <w:r>
              <w:rPr>
                <w:rFonts w:hint="default" w:ascii="Times New Roman" w:hAnsi="Times New Roman" w:cs="Times New Roman"/>
                <w:color w:val="000000"/>
                <w:sz w:val="20"/>
                <w:u w:color="auto"/>
              </w:rPr>
              <w:t xml:space="preserve"> </w:t>
            </w:r>
          </w:p>
        </w:tc>
      </w:tr>
    </w:tbl>
    <w:p w14:paraId="30544B72">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tbl>
      <w:tblPr>
        <w:tblStyle w:val="5"/>
        <w:tblpPr w:leftFromText="180" w:rightFromText="180" w:vertAnchor="text" w:horzAnchor="page" w:tblpX="971" w:tblpY="-458"/>
        <w:tblOverlap w:val="never"/>
        <w:tblW w:w="5058" w:type="pct"/>
        <w:tblInd w:w="0" w:type="dxa"/>
        <w:tblLayout w:type="fixed"/>
        <w:tblCellMar>
          <w:top w:w="0" w:type="dxa"/>
          <w:left w:w="0" w:type="dxa"/>
          <w:bottom w:w="0" w:type="dxa"/>
          <w:right w:w="0" w:type="dxa"/>
        </w:tblCellMar>
      </w:tblPr>
      <w:tblGrid>
        <w:gridCol w:w="1439"/>
        <w:gridCol w:w="2935"/>
        <w:gridCol w:w="1593"/>
        <w:gridCol w:w="1460"/>
        <w:gridCol w:w="1263"/>
        <w:gridCol w:w="1449"/>
        <w:gridCol w:w="1467"/>
        <w:gridCol w:w="1304"/>
        <w:gridCol w:w="1360"/>
        <w:gridCol w:w="1330"/>
      </w:tblGrid>
      <w:tr w14:paraId="6484522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340D0B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7B1ADF23">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B5793D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重庆市九龙坡区晋渝森林小学校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540D819D">
            <w:pPr>
              <w:rPr>
                <w:rFonts w:hint="default" w:ascii="Times New Roman" w:hAnsi="Times New Roman" w:cs="Times New Roman"/>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260B7CF2">
            <w:pPr>
              <w:rPr>
                <w:rFonts w:hint="default" w:ascii="Times New Roman" w:hAnsi="Times New Roman" w:cs="Times New Roman"/>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7B1A024A">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91B0557">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B392052">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4A47A71">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8BC9E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0558B3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CD110B7">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68C2E2E">
            <w:pPr>
              <w:rPr>
                <w:rFonts w:hint="default" w:ascii="Times New Roman" w:hAnsi="Times New Roman" w:cs="Times New Roman"/>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29A5D6C6">
            <w:pPr>
              <w:rPr>
                <w:rFonts w:hint="default" w:ascii="Times New Roman" w:hAnsi="Times New Roman" w:cs="Times New Roman"/>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5844A982">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2779B44">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386A0F4">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FF6BF95">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02A225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034454A">
        <w:tblPrEx>
          <w:tblCellMar>
            <w:top w:w="0" w:type="dxa"/>
            <w:left w:w="0" w:type="dxa"/>
            <w:bottom w:w="0" w:type="dxa"/>
            <w:right w:w="0" w:type="dxa"/>
          </w:tblCellMar>
        </w:tblPrEx>
        <w:trPr>
          <w:trHeight w:val="431" w:hRule="atLeast"/>
        </w:trPr>
        <w:tc>
          <w:tcPr>
            <w:tcW w:w="140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5AFF87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7653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B982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EA0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49EC8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6A5F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1E05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4CB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DC14E94">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A7B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7AA602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FE923">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546C9">
            <w:pPr>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F8945">
            <w:pPr>
              <w:jc w:val="center"/>
              <w:rPr>
                <w:rFonts w:hint="default" w:ascii="Times New Roman" w:hAnsi="Times New Roman" w:cs="Times New Roman"/>
                <w:b/>
                <w:color w:val="000000"/>
                <w:sz w:val="20"/>
                <w:szCs w:val="20"/>
              </w:rPr>
            </w:pP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93CE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D89C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2C5CE">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58549">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4517B">
            <w:pPr>
              <w:jc w:val="center"/>
              <w:rPr>
                <w:rFonts w:hint="default" w:ascii="Times New Roman" w:hAnsi="Times New Roman" w:cs="Times New Roman"/>
                <w:b/>
                <w:color w:val="000000"/>
                <w:sz w:val="20"/>
                <w:szCs w:val="20"/>
              </w:rPr>
            </w:pPr>
          </w:p>
        </w:tc>
      </w:tr>
      <w:tr w14:paraId="3380550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F268">
            <w:pPr>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E437B2">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BD67A">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46750">
            <w:pPr>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E7F78">
            <w:pPr>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B7EDA">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D8116">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EBE44">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E43AD">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D22BF">
            <w:pPr>
              <w:jc w:val="center"/>
              <w:rPr>
                <w:rFonts w:hint="default" w:ascii="Times New Roman" w:hAnsi="Times New Roman" w:cs="Times New Roman"/>
                <w:b/>
                <w:color w:val="000000"/>
                <w:sz w:val="20"/>
                <w:szCs w:val="20"/>
              </w:rPr>
            </w:pPr>
          </w:p>
        </w:tc>
      </w:tr>
      <w:tr w14:paraId="156E12B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D055">
            <w:pPr>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3FEC13">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B243">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59122">
            <w:pPr>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008E9">
            <w:pPr>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88A09">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C70A">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AC7A0">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C7D2E">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C354">
            <w:pPr>
              <w:jc w:val="center"/>
              <w:rPr>
                <w:rFonts w:hint="default" w:ascii="Times New Roman" w:hAnsi="Times New Roman" w:cs="Times New Roman"/>
                <w:b/>
                <w:color w:val="000000"/>
                <w:sz w:val="20"/>
                <w:szCs w:val="20"/>
              </w:rPr>
            </w:pPr>
          </w:p>
        </w:tc>
      </w:tr>
      <w:tr w14:paraId="7433792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832D">
            <w:pPr>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F236A1">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36D92">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3347F">
            <w:pPr>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A279B">
            <w:pPr>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D2FAD">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19360">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F40B9">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76EB3">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FA595">
            <w:pPr>
              <w:jc w:val="center"/>
              <w:rPr>
                <w:rFonts w:hint="default" w:ascii="Times New Roman" w:hAnsi="Times New Roman" w:cs="Times New Roman"/>
                <w:b/>
                <w:color w:val="000000"/>
                <w:sz w:val="20"/>
                <w:szCs w:val="20"/>
              </w:rPr>
            </w:pPr>
          </w:p>
        </w:tc>
      </w:tr>
      <w:tr w14:paraId="2BFD7425">
        <w:tblPrEx>
          <w:tblCellMar>
            <w:top w:w="0" w:type="dxa"/>
            <w:left w:w="0" w:type="dxa"/>
            <w:bottom w:w="0" w:type="dxa"/>
            <w:right w:w="0" w:type="dxa"/>
          </w:tblCellMar>
        </w:tblPrEx>
        <w:trPr>
          <w:trHeight w:val="338" w:hRule="atLeast"/>
        </w:trPr>
        <w:tc>
          <w:tcPr>
            <w:tcW w:w="14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558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58A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1,822.25</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993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1,803.25</w:t>
            </w:r>
            <w:r>
              <w:rPr>
                <w:rFonts w:hint="default" w:ascii="Times New Roman" w:hAnsi="Times New Roman" w:cs="Times New Roman"/>
                <w:b/>
                <w:color w:val="000000"/>
                <w:sz w:val="20"/>
                <w:u w:color="auto"/>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0FB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82B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19.00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3BF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9C6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FED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2F7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6CDEA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41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145E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4EE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1,687.39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9D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1,668.39</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D0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B3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72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72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8C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F7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B825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DE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02F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12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1,687.39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D3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1,668.39</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E0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2B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B0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3B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F9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2F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BA5B6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03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A50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15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870.98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18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870.98</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C1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ED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02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80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BC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12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F82D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24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41B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0D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816.41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2C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797.41</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B1D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6E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B7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BF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20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AC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BD79C4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7A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7A6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6E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66.41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52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66.41</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A4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A6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5A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7B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75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CA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7557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DE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910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9E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66.41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80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66.41</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0E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25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B7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FB9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18C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5B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4132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68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687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B45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44.27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75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44.27</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82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50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89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6B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BF6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D1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3B0D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9C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76C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D2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22.14</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DC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22.14</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F3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6D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59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BA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CB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EB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56202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D9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55A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61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8D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22.82</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91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0B6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FFA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2B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C9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21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F4F11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918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3BC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B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13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22.82</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69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E9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B4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8D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5D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3F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40B8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FB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C7F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F4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F9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20.02</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08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D2C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9D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B0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F3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00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FFB68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46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C3E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A1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BE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69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88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57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A1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A4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BC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46E6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C5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9E3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29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45.64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F4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45.64</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46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5D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D5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A9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86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5C4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858C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7B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640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8B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45.64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A3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45.64</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BF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4B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3C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33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2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FE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5E551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F4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DF5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0E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39.47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0B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39.47</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75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2E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6A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38A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53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4F6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4582C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DD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9A4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D3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0D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6.16</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C3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94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8D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1F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82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78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9A65C45">
      <w:pPr>
        <w:ind w:left="600" w:hanging="600" w:hangingChars="300"/>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p>
    <w:tbl>
      <w:tblPr>
        <w:tblStyle w:val="5"/>
        <w:tblpPr w:leftFromText="180" w:rightFromText="180" w:vertAnchor="text" w:horzAnchor="page" w:tblpX="887" w:tblpY="-33"/>
        <w:tblOverlap w:val="never"/>
        <w:tblW w:w="5000" w:type="pct"/>
        <w:tblInd w:w="0" w:type="dxa"/>
        <w:tblLayout w:type="fixed"/>
        <w:tblCellMar>
          <w:top w:w="0" w:type="dxa"/>
          <w:left w:w="0" w:type="dxa"/>
          <w:bottom w:w="0" w:type="dxa"/>
          <w:right w:w="0" w:type="dxa"/>
        </w:tblCellMar>
      </w:tblPr>
      <w:tblGrid>
        <w:gridCol w:w="1300"/>
        <w:gridCol w:w="3625"/>
        <w:gridCol w:w="1852"/>
        <w:gridCol w:w="1778"/>
        <w:gridCol w:w="1635"/>
        <w:gridCol w:w="1567"/>
        <w:gridCol w:w="1704"/>
        <w:gridCol w:w="1959"/>
      </w:tblGrid>
      <w:tr w14:paraId="44A9E841">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6D4823E">
            <w:pPr>
              <w:jc w:val="center"/>
              <w:rPr>
                <w:rFonts w:hint="default" w:ascii="Times New Roman" w:hAnsi="Times New Roman" w:cs="Times New Roman"/>
                <w:b/>
                <w:color w:val="000000"/>
                <w:sz w:val="32"/>
                <w:szCs w:val="32"/>
              </w:rPr>
            </w:pPr>
            <w:r>
              <w:rPr>
                <w:rFonts w:hint="default" w:ascii="Times New Roman" w:hAnsi="Times New Roman" w:cs="Times New Roman"/>
                <w:sz w:val="20"/>
                <w:szCs w:val="20"/>
              </w:rPr>
              <w:br w:type="page"/>
            </w:r>
            <w:r>
              <w:rPr>
                <w:rFonts w:hint="default" w:ascii="Times New Roman" w:hAnsi="Times New Roman" w:cs="Times New Roman"/>
                <w:b/>
                <w:color w:val="000000"/>
                <w:sz w:val="32"/>
                <w:szCs w:val="32"/>
              </w:rPr>
              <w:t>支出决算表</w:t>
            </w:r>
          </w:p>
        </w:tc>
      </w:tr>
      <w:tr w14:paraId="0A7872F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2B54A7A">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重庆市九龙坡区晋渝森林小学校 </w:t>
            </w:r>
          </w:p>
        </w:tc>
        <w:tc>
          <w:tcPr>
            <w:tcW w:w="576" w:type="pct"/>
            <w:tcBorders>
              <w:top w:val="nil"/>
              <w:left w:val="nil"/>
              <w:bottom w:val="nil"/>
              <w:right w:val="nil"/>
            </w:tcBorders>
            <w:shd w:val="clear" w:color="auto" w:fill="auto"/>
            <w:noWrap/>
            <w:tcMar>
              <w:top w:w="15" w:type="dxa"/>
              <w:left w:w="15" w:type="dxa"/>
              <w:right w:w="15" w:type="dxa"/>
            </w:tcMar>
            <w:vAlign w:val="bottom"/>
          </w:tcPr>
          <w:p w14:paraId="4EE8EDA3">
            <w:pPr>
              <w:rPr>
                <w:rFonts w:hint="default" w:ascii="Times New Roman" w:hAnsi="Times New Roman" w:cs="Times New Roman"/>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25D54395">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954034A">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69AEA88">
            <w:pPr>
              <w:rPr>
                <w:rFonts w:hint="default" w:ascii="Times New Roman" w:hAnsi="Times New Roman" w:cs="Times New Roman"/>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14:paraId="64BD303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7B6DF93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C8AFBB2">
            <w:pPr>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252F3045">
            <w:pPr>
              <w:rPr>
                <w:rFonts w:hint="default" w:ascii="Times New Roman" w:hAnsi="Times New Roman" w:cs="Times New Roman"/>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70E67016">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46A2F84">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A6C18C6">
            <w:pPr>
              <w:rPr>
                <w:rFonts w:hint="default" w:ascii="Times New Roman" w:hAnsi="Times New Roman" w:cs="Times New Roman"/>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14:paraId="5446A36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264B6A3">
        <w:tblPrEx>
          <w:tblCellMar>
            <w:top w:w="0" w:type="dxa"/>
            <w:left w:w="0" w:type="dxa"/>
            <w:bottom w:w="0" w:type="dxa"/>
            <w:right w:w="0" w:type="dxa"/>
          </w:tblCellMar>
        </w:tblPrEx>
        <w:trPr>
          <w:trHeight w:val="362"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74E3BD">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4518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FB9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485C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CEC3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6369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0B8B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8CB36B1">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F8B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259B4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E185D">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55155">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71F6B">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53EC6">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83484">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840BF">
            <w:pPr>
              <w:jc w:val="center"/>
              <w:rPr>
                <w:rFonts w:hint="default" w:ascii="Times New Roman" w:hAnsi="Times New Roman" w:cs="Times New Roman"/>
                <w:b/>
                <w:color w:val="000000"/>
                <w:sz w:val="20"/>
                <w:szCs w:val="20"/>
              </w:rPr>
            </w:pPr>
          </w:p>
        </w:tc>
      </w:tr>
      <w:tr w14:paraId="5FFCE35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4C42">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35BDCF">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15E54">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6B102">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5C9FC">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C0D90">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ACC57">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43474">
            <w:pPr>
              <w:jc w:val="center"/>
              <w:rPr>
                <w:rFonts w:hint="default" w:ascii="Times New Roman" w:hAnsi="Times New Roman" w:cs="Times New Roman"/>
                <w:b/>
                <w:color w:val="000000"/>
                <w:sz w:val="20"/>
                <w:szCs w:val="20"/>
              </w:rPr>
            </w:pPr>
          </w:p>
        </w:tc>
      </w:tr>
      <w:tr w14:paraId="262284A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CB04">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F067CD">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E7340">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6BD68">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ECAD">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14F6">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2D724">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FD74C">
            <w:pPr>
              <w:jc w:val="center"/>
              <w:rPr>
                <w:rFonts w:hint="default" w:ascii="Times New Roman" w:hAnsi="Times New Roman" w:cs="Times New Roman"/>
                <w:b/>
                <w:color w:val="000000"/>
                <w:sz w:val="20"/>
                <w:szCs w:val="20"/>
              </w:rPr>
            </w:pPr>
          </w:p>
        </w:tc>
      </w:tr>
      <w:tr w14:paraId="3231A4C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55CE">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D44D17">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EC48">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4A0BF">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40B77">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F6E8D">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69164">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F5D3D">
            <w:pPr>
              <w:jc w:val="center"/>
              <w:rPr>
                <w:rFonts w:hint="default" w:ascii="Times New Roman" w:hAnsi="Times New Roman" w:cs="Times New Roman"/>
                <w:b/>
                <w:color w:val="000000"/>
                <w:sz w:val="20"/>
                <w:szCs w:val="20"/>
              </w:rPr>
            </w:pPr>
          </w:p>
        </w:tc>
      </w:tr>
      <w:tr w14:paraId="5B5C9CD0">
        <w:tblPrEx>
          <w:tblCellMar>
            <w:top w:w="0" w:type="dxa"/>
            <w:left w:w="0" w:type="dxa"/>
            <w:bottom w:w="0" w:type="dxa"/>
            <w:right w:w="0" w:type="dxa"/>
          </w:tblCellMar>
        </w:tblPrEx>
        <w:trPr>
          <w:trHeight w:val="362"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BC0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EED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1,822.25</w:t>
            </w:r>
            <w:r>
              <w:rPr>
                <w:rFonts w:hint="default" w:ascii="Times New Roman" w:hAnsi="Times New Roman" w:cs="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B6D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581.60</w:t>
            </w:r>
            <w:r>
              <w:rPr>
                <w:rFonts w:hint="default" w:ascii="Times New Roman" w:hAnsi="Times New Roman" w:cs="Times New Roman"/>
                <w:b/>
                <w:color w:val="000000"/>
                <w:sz w:val="20"/>
                <w:u w:color="auto"/>
              </w:rPr>
              <w:t xml:space="preserve"> </w:t>
            </w:r>
          </w:p>
        </w:tc>
        <w:tc>
          <w:tcPr>
            <w:tcW w:w="5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E5E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1,240.65</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773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011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575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40107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4E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3F2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EF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1,687.39</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79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446.73</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47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1,240.65</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13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A2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EE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43BB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98B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E7F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8AB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1,687.39</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99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446.73</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DB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1,240.65</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7C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A93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61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025C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3C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01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33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870.98</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6BB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2F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870.98</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C2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13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A9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1F1A8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7C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058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BA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816.41</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1F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446.73</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CF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369.67</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3B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2F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F2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8AC4F4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2E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88E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04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66.41</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11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66.41</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1F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D19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CB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F2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E1596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61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AD4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E5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66.41</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66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66.41</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06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F24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10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C5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0815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BBC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6C3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9E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44.27</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6F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44.27</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DF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EA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3D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8D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CFF5E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AC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4F6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476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22.14</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B0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22.14</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18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77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D5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60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CEB3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69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E6B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7C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22.82</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8E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22.82</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B5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E2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BC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68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59BAF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5C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5F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0C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22.82</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21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22.82</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D3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9F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8E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02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C332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20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608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36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20.02</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74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20.02</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A9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05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8E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22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9393A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C6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EFE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4E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CC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6A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54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476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F49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41BC0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707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B5E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59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45.64</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64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45.64</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B9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28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A56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FB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A5390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EAB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5BB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12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45.64</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D9D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45.64</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209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31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D2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D8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CE703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3F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BC2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16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39.47</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8E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39.47</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70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0A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5A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53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E433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22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0773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A0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6.16</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EF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6.16</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AE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D3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5A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65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40AF2B5">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p>
    <w:p w14:paraId="0AA72861">
      <w:pPr>
        <w:ind w:left="595" w:leftChars="186" w:firstLine="0" w:firstLineChars="0"/>
        <w:rPr>
          <w:rFonts w:hint="default" w:ascii="Times New Roman" w:hAnsi="Times New Roman" w:cs="Times New Roman"/>
          <w:sz w:val="20"/>
          <w:szCs w:val="20"/>
        </w:rPr>
      </w:pPr>
      <w:r>
        <w:rPr>
          <w:rFonts w:hint="default" w:ascii="Times New Roman" w:hAnsi="Times New Roman" w:cs="Times New Roman"/>
          <w:sz w:val="20"/>
          <w:szCs w:val="20"/>
        </w:rPr>
        <w:t>2.本套报表金额单位转换时可能存在尾数误差。</w:t>
      </w:r>
    </w:p>
    <w:p w14:paraId="43DBE2D2">
      <w:pPr>
        <w:rPr>
          <w:rFonts w:hint="default" w:ascii="Times New Roman" w:hAnsi="Times New Roman" w:cs="Times New Roman"/>
          <w:sz w:val="20"/>
          <w:szCs w:val="20"/>
        </w:rPr>
      </w:pP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9AFD988">
      <w:pPr>
        <w:rPr>
          <w:rFonts w:hint="default" w:ascii="Times New Roman" w:hAnsi="Times New Roman" w:cs="Times New Roman"/>
          <w:sz w:val="21"/>
          <w:szCs w:val="21"/>
        </w:rPr>
      </w:pPr>
    </w:p>
    <w:tbl>
      <w:tblPr>
        <w:tblStyle w:val="5"/>
        <w:tblW w:w="4790" w:type="pct"/>
        <w:tblInd w:w="0" w:type="dxa"/>
        <w:tblLayout w:type="autofit"/>
        <w:tblCellMar>
          <w:top w:w="0" w:type="dxa"/>
          <w:left w:w="0" w:type="dxa"/>
          <w:bottom w:w="0" w:type="dxa"/>
          <w:right w:w="0" w:type="dxa"/>
        </w:tblCellMar>
      </w:tblPr>
      <w:tblGrid>
        <w:gridCol w:w="2986"/>
        <w:gridCol w:w="1530"/>
        <w:gridCol w:w="3199"/>
        <w:gridCol w:w="1705"/>
        <w:gridCol w:w="1705"/>
        <w:gridCol w:w="1705"/>
        <w:gridCol w:w="1941"/>
      </w:tblGrid>
      <w:tr w14:paraId="44736F5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0B5B9F2">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323CAB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7EF1D4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重庆市九龙坡区晋渝森林小学校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661974AF">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236046A">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EA6FD62">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C9B3BCA">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6F9077E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34A8DD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E032C5D">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FC8290">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032A38">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7999E5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6E1ECC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088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11D3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025AF54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0FAA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638E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3F12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2639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3AA451C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8416">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2966B">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F1AED">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7DC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71D4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6500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C1EF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7135F9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8BF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26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1,803.25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DA5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18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28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D6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97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AE5C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391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07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EE1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73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48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D5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E5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3641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B00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43B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190E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438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DE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59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6D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BE3B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118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6F6F05">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142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0F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00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E7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40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7A8C7F">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AE4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FC2952">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6D9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73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1,668.39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71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1,668.39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11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7C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68F7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0CC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2BEC0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D0D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0D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06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74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C1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AE54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B2E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423977">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7BF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1B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DC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F0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90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5EEE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E10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2B1A45">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E0A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E0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66.41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E5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66.41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63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45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4279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00A4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7393B8">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A63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05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60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31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D8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E1E9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6EC2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AA1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EC6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04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B5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B5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6B0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CEC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577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871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FA8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77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6A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49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60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C461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A45C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A70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5CD7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BE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E9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5A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B8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D297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108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86D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432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84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92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DE1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7A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1FE8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92C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6AA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E9C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3C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FC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25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18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1F4D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EEB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44B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8C1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2E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0B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39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A3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1098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97B1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891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5EA1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1C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C9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62F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33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15EE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0F6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CBA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80C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004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96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D5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24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C36D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C3F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6F8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A6A8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B6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94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22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FF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D9D2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BF8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4ECC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22D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EF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45.64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96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45.64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2D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A4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0561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085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FFE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D3F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C5B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6E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73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C8D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6609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F72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4CF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F2F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C74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1B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0A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7C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7255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612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F5C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5EE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61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DE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B1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DB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48C3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577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55CB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F76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56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7D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DC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D59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E7B9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F5FA2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05F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3837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AF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62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F8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88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8361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B8825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3AD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5F4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31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5DF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C8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5D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F34C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E698B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F80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3F8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D49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F0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6C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4A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0286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A0AD">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9B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1,803.25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64A3">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3B8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1,803.25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F7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1,803.25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A17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78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3AED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5D7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8C7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9F9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CA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D95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A7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AD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D083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819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30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493D79">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A51C14">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FFA8EA">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59C003">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E6B8DE">
            <w:pPr>
              <w:spacing w:line="200" w:lineRule="exact"/>
              <w:rPr>
                <w:rFonts w:hint="default" w:ascii="Times New Roman" w:hAnsi="Times New Roman" w:cs="Times New Roman"/>
                <w:color w:val="000000"/>
                <w:sz w:val="18"/>
                <w:szCs w:val="18"/>
              </w:rPr>
            </w:pPr>
          </w:p>
        </w:tc>
      </w:tr>
      <w:tr w14:paraId="08267239">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00D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9E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430C">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0B45">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4EF4">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CE59">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7084">
            <w:pPr>
              <w:spacing w:line="200" w:lineRule="exact"/>
              <w:jc w:val="right"/>
              <w:rPr>
                <w:rFonts w:hint="default" w:ascii="Times New Roman" w:hAnsi="Times New Roman" w:cs="Times New Roman"/>
                <w:color w:val="000000"/>
                <w:sz w:val="18"/>
                <w:szCs w:val="18"/>
              </w:rPr>
            </w:pPr>
          </w:p>
        </w:tc>
      </w:tr>
      <w:tr w14:paraId="7BE55F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4BD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9F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1363">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2318">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074E">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6E01E">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2756">
            <w:pPr>
              <w:spacing w:line="200" w:lineRule="exact"/>
              <w:jc w:val="right"/>
              <w:rPr>
                <w:rFonts w:hint="default" w:ascii="Times New Roman" w:hAnsi="Times New Roman" w:cs="Times New Roman"/>
                <w:color w:val="000000"/>
                <w:sz w:val="18"/>
                <w:szCs w:val="18"/>
              </w:rPr>
            </w:pPr>
          </w:p>
        </w:tc>
      </w:tr>
      <w:tr w14:paraId="4399FA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0CB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67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1,803.25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A25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54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1,803.25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23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1,803.25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92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14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62E94768">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5"/>
        <w:tblW w:w="5000" w:type="pct"/>
        <w:tblInd w:w="0" w:type="dxa"/>
        <w:tblLayout w:type="fixed"/>
        <w:tblCellMar>
          <w:top w:w="0" w:type="dxa"/>
          <w:left w:w="0" w:type="dxa"/>
          <w:bottom w:w="0" w:type="dxa"/>
          <w:right w:w="0" w:type="dxa"/>
        </w:tblCellMar>
      </w:tblPr>
      <w:tblGrid>
        <w:gridCol w:w="1313"/>
        <w:gridCol w:w="4099"/>
        <w:gridCol w:w="3328"/>
        <w:gridCol w:w="3317"/>
        <w:gridCol w:w="3362"/>
      </w:tblGrid>
      <w:tr w14:paraId="3418079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9317AAF">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1E0464E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314153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重庆市九龙坡区晋渝森林小学校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872C36E">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03AD6A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6703F7E9">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108D798">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1F399B6">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BD72CA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220514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9D6E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66E91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F49C96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D11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2C7C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E69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7E09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1F06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840B1C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0895C">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D434E">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8CD7B">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1CEED">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B3012">
            <w:pPr>
              <w:jc w:val="center"/>
              <w:rPr>
                <w:rFonts w:hint="default" w:ascii="Times New Roman" w:hAnsi="Times New Roman" w:cs="Times New Roman"/>
                <w:b/>
                <w:color w:val="000000"/>
                <w:sz w:val="20"/>
                <w:szCs w:val="20"/>
              </w:rPr>
            </w:pPr>
          </w:p>
        </w:tc>
      </w:tr>
      <w:tr w14:paraId="573841F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C4D4B">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71C71">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0F19C">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592AD">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64E9B">
            <w:pPr>
              <w:jc w:val="center"/>
              <w:rPr>
                <w:rFonts w:hint="default" w:ascii="Times New Roman" w:hAnsi="Times New Roman" w:cs="Times New Roman"/>
                <w:b/>
                <w:color w:val="000000"/>
                <w:sz w:val="20"/>
                <w:szCs w:val="20"/>
              </w:rPr>
            </w:pPr>
          </w:p>
        </w:tc>
      </w:tr>
      <w:tr w14:paraId="53B4249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C8D8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C7C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1,803.25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68D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581.60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52E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1,221.65</w:t>
            </w:r>
            <w:r>
              <w:rPr>
                <w:rFonts w:hint="default" w:ascii="Times New Roman" w:hAnsi="Times New Roman" w:cs="Times New Roman"/>
                <w:b/>
                <w:color w:val="000000"/>
                <w:sz w:val="20"/>
                <w:u w:color="auto"/>
              </w:rPr>
              <w:t xml:space="preserve"> </w:t>
            </w:r>
          </w:p>
        </w:tc>
      </w:tr>
      <w:tr w14:paraId="2AE874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F4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31C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001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1,668.39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555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446.73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3FD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1,221.65</w:t>
            </w:r>
            <w:r>
              <w:rPr>
                <w:rFonts w:hint="default" w:ascii="Times New Roman" w:hAnsi="Times New Roman" w:cs="Times New Roman"/>
                <w:b/>
                <w:color w:val="000000"/>
                <w:sz w:val="20"/>
                <w:u w:color="auto"/>
              </w:rPr>
              <w:t xml:space="preserve"> </w:t>
            </w:r>
          </w:p>
        </w:tc>
      </w:tr>
      <w:tr w14:paraId="7E66C1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2D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672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FA7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1,668.39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81F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446.73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78B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1,221.65</w:t>
            </w:r>
            <w:r>
              <w:rPr>
                <w:rFonts w:hint="default" w:ascii="Times New Roman" w:hAnsi="Times New Roman" w:cs="Times New Roman"/>
                <w:b/>
                <w:color w:val="000000"/>
                <w:sz w:val="20"/>
                <w:u w:color="auto"/>
              </w:rPr>
              <w:t xml:space="preserve"> </w:t>
            </w:r>
          </w:p>
        </w:tc>
      </w:tr>
      <w:tr w14:paraId="29120C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DC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C35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138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870.98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87E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7F0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870.98</w:t>
            </w:r>
            <w:r>
              <w:rPr>
                <w:rFonts w:hint="default" w:ascii="Times New Roman" w:hAnsi="Times New Roman" w:cs="Times New Roman"/>
                <w:color w:val="000000"/>
                <w:sz w:val="20"/>
                <w:u w:color="auto"/>
              </w:rPr>
              <w:t xml:space="preserve"> </w:t>
            </w:r>
          </w:p>
        </w:tc>
      </w:tr>
      <w:tr w14:paraId="0CC2D1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B4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207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B07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797.41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4AA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446.73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1A5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350.67</w:t>
            </w:r>
            <w:r>
              <w:rPr>
                <w:rFonts w:hint="default" w:ascii="Times New Roman" w:hAnsi="Times New Roman" w:cs="Times New Roman"/>
                <w:color w:val="000000"/>
                <w:sz w:val="20"/>
                <w:u w:color="auto"/>
              </w:rPr>
              <w:t xml:space="preserve"> </w:t>
            </w:r>
          </w:p>
        </w:tc>
      </w:tr>
      <w:tr w14:paraId="25886E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E9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0E6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363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66.41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7C1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66.41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CD3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FE53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4C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AF0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E77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66.41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3D4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66.41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679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B4B8D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D9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8B4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9AC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44.27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B98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44.27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CF4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34A64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21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6BE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EC4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22.14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0C5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22.14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B3D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ABC03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18C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E8E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A90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22.82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605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22.82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816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D3BE3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70E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EB0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DA6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22.82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DDF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22.82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DEF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7849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31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316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15F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171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7BA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3A4B1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2A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0EE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C28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538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B32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FA0C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15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ADC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C2E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45.64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468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45.64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E16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2294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1F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219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669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45.64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C49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45.64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8CF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EBF77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75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577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BD8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39.47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774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39.47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0F6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C8B17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E9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447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5A1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73C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30B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572F89D">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8E45561">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5"/>
        <w:tblW w:w="4994" w:type="pct"/>
        <w:tblInd w:w="0" w:type="dxa"/>
        <w:tblLayout w:type="fixed"/>
        <w:tblCellMar>
          <w:top w:w="0" w:type="dxa"/>
          <w:left w:w="0" w:type="dxa"/>
          <w:bottom w:w="0" w:type="dxa"/>
          <w:right w:w="0" w:type="dxa"/>
        </w:tblCellMar>
      </w:tblPr>
      <w:tblGrid>
        <w:gridCol w:w="807"/>
        <w:gridCol w:w="2827"/>
        <w:gridCol w:w="1551"/>
        <w:gridCol w:w="879"/>
        <w:gridCol w:w="2044"/>
        <w:gridCol w:w="1426"/>
        <w:gridCol w:w="879"/>
        <w:gridCol w:w="3487"/>
        <w:gridCol w:w="1501"/>
      </w:tblGrid>
      <w:tr w14:paraId="755BDDA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3A5DCB9">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51479B7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2B8BDD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重庆市九龙坡区晋渝森林小学校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24000D3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6EE8D85">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B130A7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52ABEC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1789215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36619C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E93137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A378A3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029B6E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2917E9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3E24BE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8E9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1C5A2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8AC471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B472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E08A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6AF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37DF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72FE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2B45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C7FA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91B7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BF5C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394C85F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7218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BCAE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6765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E9FE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4B53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9FCB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781B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C395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FEF7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144D03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47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40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0B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464.01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A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11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CC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113.75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8E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0A4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2C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w:t>
            </w:r>
            <w:r>
              <w:rPr>
                <w:rFonts w:hint="default" w:ascii="Times New Roman" w:hAnsi="Times New Roman" w:cs="Times New Roman"/>
                <w:color w:val="000000"/>
                <w:sz w:val="18"/>
                <w:u w:color="auto"/>
              </w:rPr>
              <w:t xml:space="preserve"> </w:t>
            </w:r>
          </w:p>
        </w:tc>
      </w:tr>
      <w:tr w14:paraId="5A811C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6B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01F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23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109.49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9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70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AAE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F4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9E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7C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C7DF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C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88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F3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A2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5AD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F7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E7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8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08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2.38</w:t>
            </w:r>
            <w:r>
              <w:rPr>
                <w:rFonts w:hint="default" w:ascii="Times New Roman" w:hAnsi="Times New Roman" w:cs="Times New Roman"/>
                <w:color w:val="000000"/>
                <w:sz w:val="18"/>
                <w:u w:color="auto"/>
              </w:rPr>
              <w:t xml:space="preserve"> </w:t>
            </w:r>
          </w:p>
        </w:tc>
      </w:tr>
      <w:tr w14:paraId="1BE504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AEE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B1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915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CC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5D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E7B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4E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15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C45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6C3E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D5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75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FF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0C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70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E4C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03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25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01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84DA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DE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08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02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207.63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651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64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23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F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B9B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991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E5B1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6A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A66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A0C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44.27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B8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D2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3F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8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AE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C8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1510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BB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F1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DF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F6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AD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A9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32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1E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48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BAC9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02B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C6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9F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18.79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A3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96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EF3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D22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12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1E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E101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D3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45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D8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D9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6C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43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A2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C6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28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FEBB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9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20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4B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75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06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B0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F3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27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B7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9A7B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91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C0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65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39.47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3C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1B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02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2D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C2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E5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7B00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CF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F5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6F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E2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6F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239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E7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1B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77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B4F1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F1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A2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44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46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2C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D9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DB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13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2F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8556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19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83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BE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51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E6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BA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07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125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9E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1.46</w:t>
            </w:r>
            <w:r>
              <w:rPr>
                <w:rFonts w:hint="default" w:ascii="Times New Roman" w:hAnsi="Times New Roman" w:cs="Times New Roman"/>
                <w:color w:val="000000"/>
                <w:sz w:val="18"/>
                <w:u w:color="auto"/>
              </w:rPr>
              <w:t xml:space="preserve"> </w:t>
            </w:r>
          </w:p>
        </w:tc>
      </w:tr>
      <w:tr w14:paraId="09ACCE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9C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DEF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9A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02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D2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00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386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C00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18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330F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B7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D2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14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D2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52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AB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715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32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E8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690A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58D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FF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B7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E0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F8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700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4DC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A4D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E0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A001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56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E9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67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7B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44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BD7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C5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1C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A1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4761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A9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731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22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AF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68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AA6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01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E5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F9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04A1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D7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27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7E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ED6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27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A5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71.41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F7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45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78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A7B2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A55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40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31F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18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F1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0C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65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B0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6D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77DD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8E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E6C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3C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FA6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DA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5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11.12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F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D57C">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6A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150A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3A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2A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2F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5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95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BB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25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FE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B2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2189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CC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E3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1A0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EF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B5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69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09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44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C0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B147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7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C4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BF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5C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2F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05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611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03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64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039F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269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74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8D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2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12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B33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40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91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42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0913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126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9A75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EADA5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B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11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70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C6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87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6F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1767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2AA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851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75FF3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37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21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A2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6D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5A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EA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1F18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8F3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202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50E57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1E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7B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A2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C12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31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F08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48F5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028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0C6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18D5E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3A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E4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C2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2A23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9E4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995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0D4677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4725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2FC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05C0D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93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4F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DDD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C22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69F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DD7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3B9B051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ECE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CA5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4524F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B3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31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CE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8B7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C58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0E3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59B744A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665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243E28">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464.01</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543F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B0F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117.59</w:t>
            </w:r>
            <w:r>
              <w:rPr>
                <w:rFonts w:hint="default" w:ascii="Times New Roman" w:hAnsi="Times New Roman" w:cs="Times New Roman"/>
                <w:color w:val="000000"/>
                <w:sz w:val="18"/>
                <w:u w:color="auto"/>
              </w:rPr>
              <w:t xml:space="preserve"> </w:t>
            </w:r>
          </w:p>
        </w:tc>
      </w:tr>
    </w:tbl>
    <w:p w14:paraId="7DD78DD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5"/>
        <w:tblW w:w="5000" w:type="pct"/>
        <w:tblInd w:w="0" w:type="dxa"/>
        <w:tblLayout w:type="fixed"/>
        <w:tblCellMar>
          <w:top w:w="0" w:type="dxa"/>
          <w:left w:w="0" w:type="dxa"/>
          <w:bottom w:w="0" w:type="dxa"/>
          <w:right w:w="0" w:type="dxa"/>
        </w:tblCellMar>
      </w:tblPr>
      <w:tblGrid>
        <w:gridCol w:w="1328"/>
        <w:gridCol w:w="3618"/>
        <w:gridCol w:w="1712"/>
        <w:gridCol w:w="1712"/>
        <w:gridCol w:w="1712"/>
        <w:gridCol w:w="1712"/>
        <w:gridCol w:w="1777"/>
        <w:gridCol w:w="1850"/>
      </w:tblGrid>
      <w:tr w14:paraId="6F943CE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FF8F754">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4EBC4A5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14D445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重庆市九龙坡区晋渝森林小学校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1C37CA7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77147D">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F37A54F">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B7331C6">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F6E08D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37A365E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9B35EF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B49CD4">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7258714">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88243D">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6DE1823">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AE568A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268F5D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6F26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2E2C5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E3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A4DA8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08E8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0C7F8B81">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CFD4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84AD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5CD285">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33A0F">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61A6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6863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3E58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B4FA0">
            <w:pPr>
              <w:jc w:val="center"/>
              <w:rPr>
                <w:rFonts w:hint="default" w:ascii="Times New Roman" w:hAnsi="Times New Roman" w:cs="Times New Roman"/>
                <w:b/>
                <w:color w:val="000000"/>
                <w:sz w:val="20"/>
                <w:szCs w:val="20"/>
              </w:rPr>
            </w:pPr>
          </w:p>
        </w:tc>
      </w:tr>
      <w:tr w14:paraId="49224816">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F580C">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90D3C">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152BDE">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C9CA6">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F725F">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4B5A6">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07F19">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44288">
            <w:pPr>
              <w:jc w:val="center"/>
              <w:rPr>
                <w:rFonts w:hint="default" w:ascii="Times New Roman" w:hAnsi="Times New Roman" w:cs="Times New Roman"/>
                <w:b/>
                <w:color w:val="000000"/>
                <w:sz w:val="20"/>
                <w:szCs w:val="20"/>
              </w:rPr>
            </w:pPr>
          </w:p>
        </w:tc>
      </w:tr>
      <w:tr w14:paraId="2B37AFA0">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B9869">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938A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F2B512">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55505">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2DEED">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E5C71">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71B3E">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E8D49">
            <w:pPr>
              <w:jc w:val="center"/>
              <w:rPr>
                <w:rFonts w:hint="default" w:ascii="Times New Roman" w:hAnsi="Times New Roman" w:cs="Times New Roman"/>
                <w:b/>
                <w:color w:val="000000"/>
                <w:sz w:val="20"/>
                <w:szCs w:val="20"/>
              </w:rPr>
            </w:pPr>
          </w:p>
        </w:tc>
      </w:tr>
      <w:tr w14:paraId="70724B4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F8CC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025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4A3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A87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FBE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656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FD3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E5C215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02E7">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80FB2">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3BF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6F0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944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B41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611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E56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2CCCFCD">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1DA3600">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5"/>
        <w:tblW w:w="5000" w:type="pct"/>
        <w:tblInd w:w="0" w:type="dxa"/>
        <w:tblLayout w:type="fixed"/>
        <w:tblCellMar>
          <w:top w:w="0" w:type="dxa"/>
          <w:left w:w="0" w:type="dxa"/>
          <w:bottom w:w="0" w:type="dxa"/>
          <w:right w:w="0" w:type="dxa"/>
        </w:tblCellMar>
      </w:tblPr>
      <w:tblGrid>
        <w:gridCol w:w="1303"/>
        <w:gridCol w:w="3640"/>
        <w:gridCol w:w="3295"/>
        <w:gridCol w:w="190"/>
        <w:gridCol w:w="3484"/>
        <w:gridCol w:w="86"/>
        <w:gridCol w:w="3422"/>
      </w:tblGrid>
      <w:tr w14:paraId="11BB297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BAF851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70CB33E2">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159239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重庆市九龙坡区晋渝森林小学校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3E63CEA">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CCB500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377724F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187AE7D">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3135966">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6042C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C2E414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F0AA6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87701D">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AB2CDF3">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5973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3F7C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3C60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C1A7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E59B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44296C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61E48">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FFDBC">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E10B0">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E5F55">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983A6">
            <w:pPr>
              <w:jc w:val="center"/>
              <w:rPr>
                <w:rFonts w:hint="default" w:ascii="Times New Roman" w:hAnsi="Times New Roman" w:cs="Times New Roman"/>
                <w:b/>
                <w:color w:val="000000"/>
                <w:sz w:val="20"/>
                <w:szCs w:val="20"/>
              </w:rPr>
            </w:pPr>
          </w:p>
        </w:tc>
      </w:tr>
      <w:tr w14:paraId="70F32EE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8D38">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6D5A9">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67670">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C604D">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7EFC9">
            <w:pPr>
              <w:jc w:val="center"/>
              <w:rPr>
                <w:rFonts w:hint="default" w:ascii="Times New Roman" w:hAnsi="Times New Roman" w:cs="Times New Roman"/>
                <w:b/>
                <w:color w:val="000000"/>
                <w:sz w:val="20"/>
                <w:szCs w:val="20"/>
              </w:rPr>
            </w:pPr>
          </w:p>
        </w:tc>
      </w:tr>
      <w:tr w14:paraId="47839C1E">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6ADD6">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16403">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0A489">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7B567">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1C24E">
            <w:pPr>
              <w:jc w:val="center"/>
              <w:rPr>
                <w:rFonts w:hint="default" w:ascii="Times New Roman" w:hAnsi="Times New Roman" w:cs="Times New Roman"/>
                <w:b/>
                <w:color w:val="000000"/>
                <w:sz w:val="20"/>
                <w:szCs w:val="20"/>
              </w:rPr>
            </w:pPr>
          </w:p>
        </w:tc>
      </w:tr>
      <w:tr w14:paraId="7B2F5337">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193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87A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9E902">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4FE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0BCE35B">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2102">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0212D">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3A6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59F95">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29A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23989951">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82166F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5"/>
        <w:tblW w:w="4611" w:type="pct"/>
        <w:tblInd w:w="0" w:type="dxa"/>
        <w:tblLayout w:type="fixed"/>
        <w:tblCellMar>
          <w:top w:w="0" w:type="dxa"/>
          <w:left w:w="170" w:type="dxa"/>
          <w:bottom w:w="0" w:type="dxa"/>
          <w:right w:w="170" w:type="dxa"/>
        </w:tblCellMar>
      </w:tblPr>
      <w:tblGrid>
        <w:gridCol w:w="3199"/>
        <w:gridCol w:w="2430"/>
        <w:gridCol w:w="2391"/>
        <w:gridCol w:w="3697"/>
        <w:gridCol w:w="2502"/>
      </w:tblGrid>
      <w:tr w14:paraId="03812EE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4DC80F1">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5ECBCCC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89326B9">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1F66D4A6">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25236CA7">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3F74D6D2">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53352B8C">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429EB65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1D00047">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重庆市九龙坡区晋渝森林小学校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68EA384">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8913ACD">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A344685">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118EDB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C89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C7D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43C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9CBE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B0A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56F5246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86A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59B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AA3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E51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C56E3">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9B8C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83C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E78410">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38E595">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4EB4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90E7F9">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1D25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8778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7DC2EB">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95588A">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668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9E5D4C">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9F51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15C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EF5FC5">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E6F2E2">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005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43650">
            <w:pPr>
              <w:keepNext w:val="0"/>
              <w:keepLines w:val="0"/>
              <w:pageBreakBefore w:val="0"/>
              <w:widowControl/>
              <w:kinsoku/>
              <w:wordWrap/>
              <w:overflowPunct/>
              <w:topLinePunct w:val="0"/>
              <w:autoSpaceDE/>
              <w:autoSpaceDN/>
              <w:bidi w:val="0"/>
              <w:adjustRightInd/>
              <w:snapToGrid/>
              <w:spacing w:line="280" w:lineRule="exact"/>
              <w:ind w:right="16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9F4D7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A4B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A84EF3">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A44948">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FF1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77BA2">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A487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F5F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716807">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990754">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FCF8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83FFA3">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4C77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D15E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6FE751">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A2C807">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175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B268EB">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C835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40B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513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DB5EF4">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5BE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B1A9C8">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A526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D37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4CD8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B62907">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74A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944596">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BE55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79C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81B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98EAFA">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D31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87E00E">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0BA5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897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FFF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9D7BA">
            <w:pPr>
              <w:keepNext w:val="0"/>
              <w:keepLines w:val="0"/>
              <w:pageBreakBefore w:val="0"/>
              <w:widowControl/>
              <w:kinsoku/>
              <w:wordWrap/>
              <w:overflowPunct/>
              <w:topLinePunct w:val="0"/>
              <w:autoSpaceDE/>
              <w:autoSpaceDN/>
              <w:bidi w:val="0"/>
              <w:adjustRightInd/>
              <w:snapToGrid/>
              <w:spacing w:line="280" w:lineRule="exact"/>
              <w:ind w:right="16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198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B550D">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4747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555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E10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2C69C">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BBB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0D6847">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9AB1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8A5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09B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B30236">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5622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C14282">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7D9C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0F2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80E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E8D4F2">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EBF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1E3C3">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B37E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75D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FFA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F6E66">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376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2EB6B">
            <w:pPr>
              <w:keepNext w:val="0"/>
              <w:keepLines w:val="0"/>
              <w:pageBreakBefore w:val="0"/>
              <w:widowControl/>
              <w:kinsoku/>
              <w:wordWrap/>
              <w:overflowPunct/>
              <w:topLinePunct w:val="0"/>
              <w:autoSpaceDE/>
              <w:autoSpaceDN/>
              <w:bidi w:val="0"/>
              <w:adjustRightInd/>
              <w:snapToGrid/>
              <w:spacing w:line="280" w:lineRule="exact"/>
              <w:ind w:right="16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40E75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CAC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6A5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65B05A">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6E4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1059C">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w:t>
            </w:r>
            <w:r>
              <w:rPr>
                <w:rFonts w:hint="default" w:ascii="Times New Roman" w:hAnsi="Times New Roman" w:cs="Times New Roman"/>
                <w:color w:val="000000"/>
                <w:sz w:val="18"/>
                <w:u w:color="auto"/>
              </w:rPr>
              <w:t xml:space="preserve"> </w:t>
            </w:r>
          </w:p>
        </w:tc>
      </w:tr>
      <w:tr w14:paraId="671E40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662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428A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9679CB">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AA3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02BDD">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w:t>
            </w:r>
            <w:r>
              <w:rPr>
                <w:rFonts w:hint="default" w:ascii="Times New Roman" w:hAnsi="Times New Roman" w:cs="Times New Roman"/>
                <w:color w:val="000000"/>
                <w:sz w:val="18"/>
                <w:u w:color="auto"/>
              </w:rPr>
              <w:t xml:space="preserve"> </w:t>
            </w:r>
          </w:p>
        </w:tc>
      </w:tr>
      <w:tr w14:paraId="47131B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E6DB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B55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EE5817">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ED6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AE7C66">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8BD38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F32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689F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BCA975">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657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F26A3F">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8619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16E9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B2E5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996CC">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C52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1BFC33">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w:t>
            </w:r>
            <w:r>
              <w:rPr>
                <w:rFonts w:hint="default" w:ascii="Times New Roman" w:hAnsi="Times New Roman" w:cs="Times New Roman"/>
                <w:color w:val="000000"/>
                <w:sz w:val="18"/>
                <w:u w:color="auto"/>
              </w:rPr>
              <w:t xml:space="preserve"> </w:t>
            </w:r>
          </w:p>
        </w:tc>
      </w:tr>
      <w:tr w14:paraId="6BC841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6BA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CE81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3EAB0">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BD6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9203D4">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0.28</w:t>
            </w:r>
            <w:r>
              <w:rPr>
                <w:rFonts w:hint="default" w:ascii="Times New Roman" w:hAnsi="Times New Roman" w:cs="Times New Roman"/>
                <w:color w:val="000000"/>
                <w:sz w:val="18"/>
                <w:u w:color="auto"/>
              </w:rPr>
              <w:t xml:space="preserve"> </w:t>
            </w:r>
          </w:p>
        </w:tc>
      </w:tr>
      <w:tr w14:paraId="003EC20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7CD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329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5084C6">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6AB8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622402">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006915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A03D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921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6B56CB">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5.79</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9597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921426">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2BE3047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C371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8E6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9A57B">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5E60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91B3F7">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517A9C45">
      <w:pPr>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rPr>
          <w:rFonts w:hint="default" w:ascii="Times New Roman" w:hAnsi="Times New Roman" w:cs="Times New Roman"/>
          <w:szCs w:val="32"/>
        </w:rPr>
      </w:pPr>
      <w:r>
        <w:rPr>
          <w:rFonts w:hint="default" w:ascii="Times New Roman" w:hAnsi="Times New Roman" w:cs="Times New Roman"/>
          <w:sz w:val="18"/>
          <w:szCs w:val="18"/>
        </w:rPr>
        <w:t>备注：1.本表反映单位本年度财政拨款</w:t>
      </w:r>
      <w:r>
        <w:rPr>
          <w:rFonts w:hint="eastAsia" w:cs="Times New Roman"/>
          <w:sz w:val="18"/>
          <w:szCs w:val="18"/>
          <w:lang w:eastAsia="zh-CN"/>
        </w:rPr>
        <w:t>“</w:t>
      </w:r>
      <w:r>
        <w:rPr>
          <w:rFonts w:hint="default" w:ascii="Times New Roman" w:hAnsi="Times New Roman" w:cs="Times New Roman"/>
          <w:sz w:val="18"/>
          <w:szCs w:val="18"/>
        </w:rPr>
        <w:t>三公</w:t>
      </w:r>
      <w:r>
        <w:rPr>
          <w:rFonts w:hint="eastAsia"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cs="Times New Roman"/>
          <w:sz w:val="18"/>
          <w:szCs w:val="18"/>
          <w:lang w:eastAsia="zh-CN"/>
        </w:rPr>
        <w:t>“</w:t>
      </w:r>
      <w:r>
        <w:rPr>
          <w:rFonts w:hint="default" w:ascii="Times New Roman" w:hAnsi="Times New Roman" w:cs="Times New Roman"/>
          <w:sz w:val="18"/>
          <w:szCs w:val="18"/>
        </w:rPr>
        <w:t>三公</w:t>
      </w:r>
      <w:r>
        <w:rPr>
          <w:rFonts w:hint="eastAsia"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footerReference r:id="rId3" w:type="default"/>
      <w:pgSz w:w="16840" w:h="11907"/>
      <w:pgMar w:top="532" w:right="434" w:bottom="471" w:left="1017" w:header="0" w:footer="107"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D9470EB-C4A1-41B2-9534-F130DE590CA7}"/>
  </w:font>
  <w:font w:name="方正仿宋_GBK">
    <w:panose1 w:val="03000509000000000000"/>
    <w:charset w:val="86"/>
    <w:family w:val="script"/>
    <w:pitch w:val="default"/>
    <w:sig w:usb0="00000001" w:usb1="080E0000" w:usb2="00000000" w:usb3="00000000" w:csb0="00040000" w:csb1="00000000"/>
    <w:embedRegular r:id="rId2" w:fontKey="{CC836BFE-19D4-444B-B27D-03716D9F4448}"/>
  </w:font>
  <w:font w:name="方正小标宋_GBK">
    <w:panose1 w:val="03000509000000000000"/>
    <w:charset w:val="86"/>
    <w:family w:val="script"/>
    <w:pitch w:val="default"/>
    <w:sig w:usb0="00000001" w:usb1="080E0000" w:usb2="00000000" w:usb3="00000000" w:csb0="00040000" w:csb1="00000000"/>
    <w:embedRegular r:id="rId3" w:fontKey="{6458FFF8-702B-43E3-9758-066FCC594C42}"/>
  </w:font>
  <w:font w:name="方正黑体_GBK">
    <w:panose1 w:val="03000509000000000000"/>
    <w:charset w:val="86"/>
    <w:family w:val="script"/>
    <w:pitch w:val="default"/>
    <w:sig w:usb0="00000001" w:usb1="080E0000" w:usb2="00000000" w:usb3="00000000" w:csb0="00040000" w:csb1="00000000"/>
    <w:embedRegular r:id="rId4" w:fontKey="{2827F0EF-43D9-4783-B2B2-1EE68BC3750B}"/>
  </w:font>
  <w:font w:name="方正楷体_GBK">
    <w:panose1 w:val="03000509000000000000"/>
    <w:charset w:val="86"/>
    <w:family w:val="script"/>
    <w:pitch w:val="default"/>
    <w:sig w:usb0="00000001" w:usb1="080E0000" w:usb2="00000000" w:usb3="00000000" w:csb0="00040000" w:csb1="00000000"/>
    <w:embedRegular r:id="rId5" w:fontKey="{0B8542F4-81DE-44F8-855D-835CDC4BC23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F4CC1">
    <w:pPr>
      <w:spacing w:line="233" w:lineRule="auto"/>
      <w:ind w:right="16"/>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DB612">
                          <w:pPr>
                            <w:pStyle w:val="3"/>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7DB612">
                    <w:pPr>
                      <w:pStyle w:val="3"/>
                    </w:pPr>
                    <w:r>
                      <w:fldChar w:fldCharType="begin"/>
                    </w:r>
                    <w:r>
                      <w:instrText xml:space="preserve"> PAGE  \* MERGEFORMAT </w:instrText>
                    </w:r>
                    <w:r>
                      <w:fldChar w:fldCharType="separate"/>
                    </w:r>
                    <w:r>
                      <w:t>- 13 -</w:t>
                    </w:r>
                    <w:r>
                      <w:fldChar w:fldCharType="end"/>
                    </w:r>
                  </w:p>
                </w:txbxContent>
              </v:textbox>
            </v:shape>
          </w:pict>
        </mc:Fallback>
      </mc:AlternateContent>
    </w: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19</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12C04"/>
    <w:rsid w:val="06C745AE"/>
    <w:rsid w:val="10B326BA"/>
    <w:rsid w:val="17B67DAF"/>
    <w:rsid w:val="1E254DA8"/>
    <w:rsid w:val="24EF7F00"/>
    <w:rsid w:val="29154631"/>
    <w:rsid w:val="2D4D7629"/>
    <w:rsid w:val="2D512C04"/>
    <w:rsid w:val="33EF0184"/>
    <w:rsid w:val="341A6BFF"/>
    <w:rsid w:val="3D922363"/>
    <w:rsid w:val="3DCA7AF4"/>
    <w:rsid w:val="441F55E4"/>
    <w:rsid w:val="44DC2042"/>
    <w:rsid w:val="560039BA"/>
    <w:rsid w:val="5878059E"/>
    <w:rsid w:val="5F82137E"/>
    <w:rsid w:val="65942397"/>
    <w:rsid w:val="687731D1"/>
    <w:rsid w:val="6F1267D8"/>
    <w:rsid w:val="75645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Normal (Web)"/>
    <w:basedOn w:val="1"/>
    <w:unhideWhenUsed/>
    <w:qFormat/>
    <w:uiPriority w:val="0"/>
    <w:pPr>
      <w:spacing w:before="100" w:beforeAutospacing="1" w:after="100" w:afterAutospacing="1"/>
    </w:pPr>
  </w:style>
  <w:style w:type="paragraph" w:customStyle="1" w:styleId="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5161</Words>
  <Characters>5779</Characters>
  <Lines>0</Lines>
  <Paragraphs>0</Paragraphs>
  <TotalTime>0</TotalTime>
  <ScaleCrop>false</ScaleCrop>
  <LinksUpToDate>false</LinksUpToDate>
  <CharactersWithSpaces>5853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2025-10-22T00:41:00Z</dcterms:created>
  <dc:creator>ᕱ ᕱ</dc:creator>
  <cp:lastModifiedBy>Yan</cp:lastModifiedBy>
  <dcterms:modified xsi:type="dcterms:W3CDTF">2025-10-23T03:35:57Z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F667C2FBE4F54AD6987F9FD7391927C0_11</vt:lpwstr>
  </property>
  <property fmtid="{D5CDD505-2E9C-101B-9397-08002B2CF9AE}" pid="4" name="KSOTemplateDocerSaveRecord">
    <vt:lpwstr>eyJoZGlkIjoiZWYxYTQ2NjMyMTNkMWU5MDEzOWUyOTUzM2EyMjNjZjEiLCJ1c2VySWQiOiIxMTM5Mjk4OTE4In0=</vt:lpwstr>
  </property>
</Properties>
</file>