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  <w:t>行政处罚案件公示</w:t>
      </w:r>
    </w:p>
    <w:tbl>
      <w:tblPr>
        <w:tblW w:w="8546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行政相对人名称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九龙坡区羽羽友家动物诊所中心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eastAsia="方正小标宋_GBK"/>
                <w:lang w:eastAsia="zh-CN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统一社会信用代码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92500107MAD1LL61XT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法定代表人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张羽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行政处罚决定书文号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九农（诊疗）罚〔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〕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违法行为类型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超出动物诊疗许可证核定的诊疗活动范围从事动物诊疗活动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违法事实及认定依据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经调查：当事人</w:t>
            </w: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诊疗活动范围为：动物疾病预防、诊疗、治疗和绝育手术（不包含颅腔、胸腔、腹腔手术）。2024年10月26日，当事人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超出动物诊疗许可证核定的诊疗活动范围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为母猫做绝育手术导致猫咪死亡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的行为违反了</w:t>
            </w: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《动物诊疗机构管理办法》第八条“</w:t>
            </w:r>
            <w:r>
              <w:rPr>
                <w:rFonts w:hint="default" w:ascii="方正仿宋_GBK" w:hAnsi="仿宋_GB2312" w:eastAsia="方正仿宋_GBK"/>
                <w:sz w:val="21"/>
                <w:szCs w:val="21"/>
                <w:lang w:val="en-US" w:eastAsia="zh-CN"/>
              </w:rPr>
              <w:t>动物医院除具备本办法第六条规定的条件外，还应当具备下列条件：（一）具有三名以上执业兽医师；（二）具有X光机或者B超等器械设备；（三）具有布局合理的手术室和手术设备。除前款规定的动物医院外，其他动物诊疗机构不得从事动物颅腔、胸腔和腹腔手术。</w:t>
            </w: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”之规定。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处罚依据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依据《动物诊疗机构管理办法》</w:t>
            </w:r>
            <w:r>
              <w:rPr>
                <w:rFonts w:hint="default" w:ascii="方正仿宋_GBK" w:hAnsi="仿宋_GB2312" w:eastAsia="方正仿宋_GBK"/>
                <w:sz w:val="21"/>
                <w:szCs w:val="21"/>
                <w:lang w:val="en-US" w:eastAsia="zh-CN"/>
              </w:rPr>
              <w:t>第三十二条</w:t>
            </w: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方正仿宋_GBK" w:hAnsi="仿宋_GB2312" w:eastAsia="方正仿宋_GBK"/>
                <w:sz w:val="21"/>
                <w:szCs w:val="21"/>
                <w:lang w:val="en-US" w:eastAsia="zh-CN"/>
              </w:rPr>
              <w:t>违反本办法规定，动物诊疗机构有下列行为之一的，依照《中华人民共和国动物防疫法》第一百零五条第一款的规定予以处罚：（一）超出动物诊疗许可证核定的诊疗活动范围从事动物诊疗活动的；（二）变更从业地点、诊疗活动范围未重新办理动物诊疗许可证的。</w:t>
            </w:r>
            <w:r>
              <w:rPr>
                <w:rFonts w:hint="eastAsia" w:ascii="方正仿宋_GBK" w:hAnsi="仿宋_GB2312" w:eastAsia="方正仿宋_GBK"/>
                <w:sz w:val="21"/>
                <w:szCs w:val="21"/>
                <w:lang w:val="en-US" w:eastAsia="zh-CN"/>
              </w:rPr>
              <w:t>”及《中华人民共和国动物防疫法》第一百零五条第一款“违反本法规定，未取得动物诊疗许可证从事动物诊疗活动的，由县级以上地方人民政府农业农村主管部门责令停止诊疗活动，没收违法所得，并处违法所得一倍以上三倍以下罚款；违法所得不足三万元的，并处三千元以上三万元以下罚款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处罚类别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没收违法所得、罚款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没收违法所得、没收非法财物的金额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没收违法所得297元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处罚金额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处罚决定日期</w:t>
            </w:r>
          </w:p>
        </w:tc>
        <w:tc>
          <w:tcPr>
            <w:tcW w:w="6384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56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处罚机关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重庆市九龙坡区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数据来源单位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重庆市九龙坡区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2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6384" w:type="dxa"/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709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SeLf RedEmpTIon</dc:creator>
  <cp:lastModifiedBy>陈秀瑜</cp:lastModifiedBy>
  <cp:lastPrinted>2024-11-22T08:17:00Z</cp:lastPrinted>
  <dcterms:modified xsi:type="dcterms:W3CDTF">2024-11-26T09:33:28Z</dcterms:modified>
  <dc:title>行政处罚案件公示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45138017B646417DBEAB2D21153B2257_13</vt:lpwstr>
  </property>
</Properties>
</file>