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重庆市九龙坡区财政局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关于下达2023年中央财政衔接推进乡村振兴补助资金第二批项目的公示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eastAsia" w:ascii="微软雅黑" w:hAnsi="微软雅黑" w:eastAsia="微软雅黑" w:cs="微软雅黑"/>
          <w:i w:val="0"/>
          <w:iCs w:val="0"/>
          <w:caps w:val="0"/>
          <w:color w:val="333333"/>
          <w:spacing w:val="0"/>
          <w:sz w:val="32"/>
          <w:szCs w:val="32"/>
          <w:shd w:val="clear" w:fill="FFFFFF"/>
        </w:rPr>
      </w:pPr>
      <w:r>
        <w:rPr>
          <w:rFonts w:hint="eastAsia" w:ascii="微软雅黑" w:hAnsi="微软雅黑" w:eastAsia="微软雅黑" w:cs="微软雅黑"/>
          <w:i w:val="0"/>
          <w:iCs w:val="0"/>
          <w:caps w:val="0"/>
          <w:color w:val="333333"/>
          <w:spacing w:val="0"/>
          <w:sz w:val="32"/>
          <w:szCs w:val="32"/>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i w:val="0"/>
          <w:iCs w:val="0"/>
          <w:caps w:val="0"/>
          <w:color w:val="333333"/>
          <w:spacing w:val="0"/>
          <w:sz w:val="32"/>
          <w:szCs w:val="32"/>
          <w:shd w:val="clear" w:fill="FFFFFF"/>
        </w:rPr>
      </w:pPr>
      <w:bookmarkStart w:id="2" w:name="_GoBack"/>
      <w:r>
        <w:rPr>
          <w:rFonts w:hint="eastAsia" w:ascii="Times New Roman" w:hAnsi="Times New Roman" w:eastAsia="方正仿宋_GBK" w:cs="Times New Roman"/>
          <w:i w:val="0"/>
          <w:iCs w:val="0"/>
          <w:caps w:val="0"/>
          <w:color w:val="333333"/>
          <w:spacing w:val="0"/>
          <w:sz w:val="32"/>
          <w:szCs w:val="32"/>
          <w:shd w:val="clear" w:fill="FFFFFF"/>
        </w:rPr>
        <w:t>按照《关于加强财政衔接推进乡村振兴补助资金项目公告公示的通知》（渝委农办〔2021〕31号）文件要求，现将《关于下达2023年中央财政衔接推进乡村振兴补助资金第二批项目的通知》（九龙坡乡振〔2023〕</w:t>
      </w:r>
      <w:r>
        <w:rPr>
          <w:rFonts w:hint="eastAsia" w:ascii="Times New Roman" w:hAnsi="Times New Roman" w:eastAsia="方正仿宋_GBK" w:cs="Times New Roman"/>
          <w:i w:val="0"/>
          <w:iCs w:val="0"/>
          <w:caps w:val="0"/>
          <w:color w:val="333333"/>
          <w:spacing w:val="0"/>
          <w:sz w:val="32"/>
          <w:szCs w:val="32"/>
          <w:shd w:val="clear" w:fill="FFFFFF"/>
          <w:lang w:val="en-US" w:eastAsia="zh-CN"/>
        </w:rPr>
        <w:t>11</w:t>
      </w:r>
      <w:r>
        <w:rPr>
          <w:rFonts w:hint="eastAsia" w:ascii="Times New Roman" w:hAnsi="Times New Roman" w:eastAsia="方正仿宋_GBK" w:cs="Times New Roman"/>
          <w:i w:val="0"/>
          <w:iCs w:val="0"/>
          <w:caps w:val="0"/>
          <w:color w:val="333333"/>
          <w:spacing w:val="0"/>
          <w:sz w:val="32"/>
          <w:szCs w:val="32"/>
          <w:shd w:val="clear" w:fill="FFFFFF"/>
        </w:rPr>
        <w:t>号）进行公示，公示时间为长期公示。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政务服务便民热线：12345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区乡村振兴局监督电话：023—68650594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区财政局监督电话：023—68783300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区纪委驻区农业农村委纪检监察组电</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023—68055653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重庆市九龙坡区乡村振兴局    重庆市九龙坡区财政局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2023年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7</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31</w:t>
      </w:r>
      <w:r>
        <w:rPr>
          <w:rFonts w:hint="default" w:ascii="Times New Roman" w:hAnsi="Times New Roman" w:eastAsia="方正仿宋_GBK" w:cs="Times New Roman"/>
          <w:i w:val="0"/>
          <w:iCs w:val="0"/>
          <w:caps w:val="0"/>
          <w:color w:val="333333"/>
          <w:spacing w:val="0"/>
          <w:sz w:val="32"/>
          <w:szCs w:val="32"/>
          <w:shd w:val="clear" w:fill="FFFFFF"/>
        </w:rPr>
        <w:t>日</w:t>
      </w:r>
    </w:p>
    <w:bookmarkEnd w:id="2"/>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spacing w:line="740" w:lineRule="exact"/>
        <w:rPr>
          <w:rFonts w:hint="eastAsia"/>
        </w:rPr>
      </w:pPr>
      <w:bookmarkStart w:id="0" w:name="Content"/>
      <w:bookmarkEnd w:id="0"/>
    </w:p>
    <w:p>
      <w:pPr>
        <w:spacing w:line="720" w:lineRule="auto"/>
        <w:jc w:val="center"/>
        <w:rPr>
          <w:rFonts w:hint="eastAsia"/>
        </w:rPr>
      </w:pPr>
    </w:p>
    <w:p>
      <w:pPr>
        <w:spacing w:line="600" w:lineRule="exact"/>
        <w:rPr>
          <w:rFonts w:hint="eastAsia" w:ascii="方正仿宋_GBK" w:eastAsia="方正仿宋_GBK"/>
          <w:sz w:val="32"/>
          <w:szCs w:val="32"/>
        </w:rPr>
      </w:pPr>
    </w:p>
    <w:p>
      <w:pPr>
        <w:jc w:val="left"/>
        <w:rPr>
          <w:rFonts w:ascii="方正仿宋_GBK" w:eastAsia="方正仿宋_GBK"/>
          <w:sz w:val="32"/>
          <w:szCs w:val="32"/>
        </w:rPr>
      </w:pPr>
    </w:p>
    <w:p>
      <w:pPr>
        <w:spacing w:line="600" w:lineRule="exact"/>
        <w:jc w:val="center"/>
        <w:rPr>
          <w:rFonts w:hint="default" w:ascii="Times New Roman" w:hAnsi="Times New Roman" w:eastAsia="方正仿宋_GBK" w:cs="Times New Roman"/>
          <w:sz w:val="32"/>
          <w:szCs w:val="32"/>
          <w:lang w:eastAsia="zh-CN"/>
        </w:rPr>
      </w:pPr>
      <w:bookmarkStart w:id="1" w:name="doc_mark"/>
      <w:r>
        <w:rPr>
          <w:rFonts w:hint="default" w:ascii="Times New Roman" w:hAnsi="Times New Roman" w:eastAsia="方正仿宋_GBK" w:cs="Times New Roman"/>
          <w:sz w:val="32"/>
          <w:szCs w:val="32"/>
          <w:lang w:eastAsia="zh-CN"/>
        </w:rPr>
        <w:t>九龙坡乡振〔202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lang w:eastAsia="zh-CN"/>
        </w:rPr>
        <w:t>号</w:t>
      </w:r>
      <w:bookmarkEnd w:id="1"/>
    </w:p>
    <w:p>
      <w:pPr>
        <w:spacing w:line="600" w:lineRule="exact"/>
        <w:rPr>
          <w:rFonts w:hint="default" w:ascii="Times New Roman" w:hAnsi="Times New Roman" w:cs="Times New Roman"/>
        </w:rPr>
      </w:pPr>
    </w:p>
    <w:p>
      <w:pPr>
        <w:keepNext w:val="0"/>
        <w:keepLines w:val="0"/>
        <w:pageBreakBefore w:val="0"/>
        <w:kinsoku/>
        <w:wordWrap/>
        <w:overflowPunct/>
        <w:topLinePunct w:val="0"/>
        <w:autoSpaceDE/>
        <w:bidi w:val="0"/>
        <w:snapToGrid/>
        <w:spacing w:line="600" w:lineRule="exact"/>
        <w:textAlignment w:val="auto"/>
        <w:rPr>
          <w:rFonts w:hint="default" w:ascii="方正仿宋_GBK" w:eastAsia="方正仿宋_GBK"/>
          <w:sz w:val="32"/>
          <w:szCs w:val="32"/>
        </w:rPr>
      </w:pPr>
    </w:p>
    <w:p>
      <w:pPr>
        <w:spacing w:line="600" w:lineRule="exact"/>
        <w:jc w:val="center"/>
        <w:rPr>
          <w:rFonts w:ascii="方正小标宋_GBK" w:eastAsia="方正小标宋_GBK"/>
          <w:sz w:val="44"/>
          <w:szCs w:val="44"/>
        </w:rPr>
      </w:pPr>
      <w:r>
        <w:rPr>
          <w:rFonts w:hint="eastAsia" w:ascii="方正黑体_GBK" w:hAnsi="方正黑体_GBK" w:eastAsia="方正黑体_GBK" w:cs="方正黑体_GBK"/>
          <w:sz w:val="32"/>
          <w:szCs w:val="32"/>
        </w:rPr>
        <w:t xml:space="preserve">    </w:t>
      </w:r>
    </w:p>
    <w:tbl>
      <w:tblPr>
        <w:tblStyle w:val="9"/>
        <w:tblW w:w="0" w:type="auto"/>
        <w:jc w:val="center"/>
        <w:tblLayout w:type="fixed"/>
        <w:tblCellMar>
          <w:top w:w="0" w:type="dxa"/>
          <w:left w:w="108" w:type="dxa"/>
          <w:bottom w:w="0" w:type="dxa"/>
          <w:right w:w="108" w:type="dxa"/>
        </w:tblCellMar>
      </w:tblPr>
      <w:tblGrid>
        <w:gridCol w:w="5565"/>
      </w:tblGrid>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重庆市九龙坡区乡村振兴局</w:t>
            </w:r>
          </w:p>
        </w:tc>
      </w:tr>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重庆市九龙坡区财政局</w:t>
            </w:r>
          </w:p>
        </w:tc>
      </w:tr>
    </w:tbl>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333333"/>
          <w:spacing w:val="0"/>
          <w:sz w:val="44"/>
          <w:szCs w:val="44"/>
          <w:shd w:val="clear" w:fill="FFFFFF"/>
        </w:rPr>
        <w:t>关于下达2023年中央财政衔接推进乡村振兴补助资金第二批项目的通知</w:t>
      </w:r>
      <w:r>
        <w:rPr>
          <w:rFonts w:hint="eastAsia" w:ascii="方正小标宋_GBK" w:hAnsi="方正小标宋_GBK" w:eastAsia="方正小标宋_GBK" w:cs="方正小标宋_GBK"/>
          <w:color w:val="333333"/>
          <w:sz w:val="44"/>
          <w:szCs w:val="44"/>
          <w:shd w:val="clear" w:fill="FFFFFF"/>
        </w:rPr>
        <w:t> </w:t>
      </w:r>
    </w:p>
    <w:p>
      <w:pPr>
        <w:pStyle w:val="8"/>
        <w:keepNext w:val="0"/>
        <w:keepLines w:val="0"/>
        <w:widowControl/>
        <w:suppressLineNumbers w:val="0"/>
        <w:spacing w:before="0" w:beforeAutospacing="0" w:after="0" w:afterAutospacing="0" w:line="600" w:lineRule="atLeast"/>
        <w:rPr>
          <w:rFonts w:ascii="方正仿宋_GBK" w:hAnsi="方正仿宋_GBK" w:eastAsia="方正仿宋_GBK" w:cs="方正仿宋_GBK"/>
          <w:sz w:val="32"/>
          <w:szCs w:val="32"/>
          <w:shd w:val="clear" w:fill="FFFFFF"/>
        </w:rPr>
      </w:pPr>
    </w:p>
    <w:p>
      <w:pPr>
        <w:pStyle w:val="8"/>
        <w:keepNext w:val="0"/>
        <w:keepLines w:val="0"/>
        <w:widowControl/>
        <w:suppressLineNumbers w:val="0"/>
        <w:spacing w:before="0" w:beforeAutospacing="0" w:after="0" w:afterAutospacing="0" w:line="600" w:lineRule="atLeast"/>
      </w:pPr>
      <w:r>
        <w:rPr>
          <w:rFonts w:ascii="方正仿宋_GBK" w:hAnsi="方正仿宋_GBK" w:eastAsia="方正仿宋_GBK" w:cs="方正仿宋_GBK"/>
          <w:sz w:val="32"/>
          <w:szCs w:val="32"/>
          <w:shd w:val="clear" w:fill="FFFFFF"/>
        </w:rPr>
        <w:t>西彭镇：</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shd w:val="clear" w:fill="FFFFFF"/>
        </w:rPr>
        <w:t>根据市财政局《关于下达</w:t>
      </w:r>
      <w:r>
        <w:rPr>
          <w:sz w:val="32"/>
          <w:szCs w:val="32"/>
          <w:shd w:val="clear" w:fill="FFFFFF"/>
        </w:rPr>
        <w:t>2023</w:t>
      </w:r>
      <w:r>
        <w:rPr>
          <w:rFonts w:hint="eastAsia" w:ascii="方正仿宋_GBK" w:hAnsi="方正仿宋_GBK" w:eastAsia="方正仿宋_GBK" w:cs="方正仿宋_GBK"/>
          <w:sz w:val="32"/>
          <w:szCs w:val="32"/>
          <w:shd w:val="clear" w:fill="FFFFFF"/>
        </w:rPr>
        <w:t>年中央财政衔接推进乡村振兴补助资金预算的通知》（渝财农〔</w:t>
      </w:r>
      <w:r>
        <w:rPr>
          <w:sz w:val="32"/>
          <w:szCs w:val="32"/>
          <w:shd w:val="clear" w:fill="FFFFFF"/>
        </w:rPr>
        <w:t>2023</w:t>
      </w:r>
      <w:r>
        <w:rPr>
          <w:rFonts w:hint="eastAsia" w:ascii="方正仿宋_GBK" w:hAnsi="方正仿宋_GBK" w:eastAsia="方正仿宋_GBK" w:cs="方正仿宋_GBK"/>
          <w:sz w:val="32"/>
          <w:szCs w:val="32"/>
          <w:shd w:val="clear" w:fill="FFFFFF"/>
        </w:rPr>
        <w:t>〕</w:t>
      </w:r>
      <w:r>
        <w:rPr>
          <w:sz w:val="32"/>
          <w:szCs w:val="32"/>
          <w:shd w:val="clear" w:fill="FFFFFF"/>
        </w:rPr>
        <w:t>25</w:t>
      </w:r>
      <w:r>
        <w:rPr>
          <w:rFonts w:hint="eastAsia" w:ascii="方正仿宋_GBK" w:hAnsi="方正仿宋_GBK" w:eastAsia="方正仿宋_GBK" w:cs="方正仿宋_GBK"/>
          <w:sz w:val="32"/>
          <w:szCs w:val="32"/>
          <w:shd w:val="clear" w:fill="FFFFFF"/>
        </w:rPr>
        <w:t>号）文件精神，经区领导同意，现将</w:t>
      </w:r>
      <w:r>
        <w:rPr>
          <w:sz w:val="32"/>
          <w:szCs w:val="32"/>
          <w:shd w:val="clear" w:fill="FFFFFF"/>
        </w:rPr>
        <w:t>2023</w:t>
      </w:r>
      <w:r>
        <w:rPr>
          <w:rFonts w:hint="eastAsia" w:ascii="方正仿宋_GBK" w:hAnsi="方正仿宋_GBK" w:eastAsia="方正仿宋_GBK" w:cs="方正仿宋_GBK"/>
          <w:sz w:val="32"/>
          <w:szCs w:val="32"/>
          <w:shd w:val="clear" w:fill="FFFFFF"/>
        </w:rPr>
        <w:t>年中央财政衔接推进乡村振兴补助资金（以下简称中央衔接资金）项目第二批下达给你，并就有关事宜通知如下：</w:t>
      </w:r>
    </w:p>
    <w:p>
      <w:pPr>
        <w:pStyle w:val="8"/>
        <w:keepNext w:val="0"/>
        <w:keepLines w:val="0"/>
        <w:widowControl/>
        <w:suppressLineNumbers w:val="0"/>
        <w:spacing w:before="0" w:beforeAutospacing="0" w:after="0" w:afterAutospacing="0" w:line="600" w:lineRule="atLeast"/>
        <w:ind w:left="0" w:firstLine="640"/>
      </w:pPr>
      <w:r>
        <w:rPr>
          <w:rFonts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shd w:val="clear" w:fill="FFFFFF"/>
        </w:rPr>
        <w:t>切实提高认识</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rPr>
        <w:t>要提高政治站位，高度重视</w:t>
      </w:r>
      <w:r>
        <w:rPr>
          <w:sz w:val="32"/>
          <w:szCs w:val="32"/>
        </w:rPr>
        <w:t>2023</w:t>
      </w:r>
      <w:r>
        <w:rPr>
          <w:rFonts w:hint="eastAsia" w:ascii="方正仿宋_GBK" w:hAnsi="方正仿宋_GBK" w:eastAsia="方正仿宋_GBK" w:cs="方正仿宋_GBK"/>
          <w:sz w:val="32"/>
          <w:szCs w:val="32"/>
        </w:rPr>
        <w:t>年中央衔接资金项目实施相关工作。建立主要领导亲自抓和工作专班的工作机制，项目在区乡村振兴局、区财政局的监督指导下实施，力争在全市树立乡村振兴工作的新亮点、新标杆。</w:t>
      </w:r>
    </w:p>
    <w:p>
      <w:pPr>
        <w:pStyle w:val="8"/>
        <w:keepNext w:val="0"/>
        <w:keepLines w:val="0"/>
        <w:widowControl/>
        <w:suppressLineNumbers w:val="0"/>
        <w:spacing w:before="0" w:beforeAutospacing="0" w:after="0" w:afterAutospacing="0" w:line="600" w:lineRule="atLeast"/>
        <w:ind w:left="0" w:firstLine="640"/>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shd w:val="clear" w:fill="FFFFFF"/>
        </w:rPr>
        <w:t>加强项目管理</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rPr>
        <w:t>必须严格按照审定的项目内容实施，不得擅自调整项目建设地点、建设内容。严格按照项目基本建设程序开展项目建设，规范设计，严格落实招投标程序，选择有实力、重信誉、善建设、有经验的施工单位开展项目实施，确保树典型、出亮点。资金使用严格按照区财政局等</w:t>
      </w:r>
      <w:r>
        <w:rPr>
          <w:sz w:val="32"/>
          <w:szCs w:val="32"/>
        </w:rPr>
        <w:t>6</w:t>
      </w:r>
      <w:r>
        <w:rPr>
          <w:rFonts w:hint="eastAsia" w:ascii="方正仿宋_GBK" w:hAnsi="方正仿宋_GBK" w:eastAsia="方正仿宋_GBK" w:cs="方正仿宋_GBK"/>
          <w:sz w:val="32"/>
          <w:szCs w:val="32"/>
        </w:rPr>
        <w:t>部门《关于印发重庆市九龙坡区财政衔接推进乡村振兴补助资金管理实施细则的通知》（</w:t>
      </w:r>
      <w:r>
        <w:rPr>
          <w:rFonts w:hint="eastAsia" w:ascii="方正仿宋_GBK" w:hAnsi="方正仿宋_GBK" w:eastAsia="方正仿宋_GBK" w:cs="方正仿宋_GBK"/>
          <w:sz w:val="32"/>
          <w:szCs w:val="32"/>
          <w:shd w:val="clear" w:fill="FFFFFF"/>
        </w:rPr>
        <w:t>九龙坡财政发〔</w:t>
      </w:r>
      <w:r>
        <w:rPr>
          <w:sz w:val="32"/>
          <w:szCs w:val="32"/>
          <w:shd w:val="clear" w:fill="FFFFFF"/>
        </w:rPr>
        <w:t>2022</w:t>
      </w:r>
      <w:r>
        <w:rPr>
          <w:rFonts w:hint="eastAsia" w:ascii="方正仿宋_GBK" w:hAnsi="方正仿宋_GBK" w:eastAsia="方正仿宋_GBK" w:cs="方正仿宋_GBK"/>
          <w:sz w:val="32"/>
          <w:szCs w:val="32"/>
          <w:shd w:val="clear" w:fill="FFFFFF"/>
        </w:rPr>
        <w:t>〕</w:t>
      </w:r>
      <w:r>
        <w:rPr>
          <w:sz w:val="32"/>
          <w:szCs w:val="32"/>
          <w:shd w:val="clear" w:fill="FFFFFF"/>
        </w:rPr>
        <w:t>98</w:t>
      </w:r>
      <w:r>
        <w:rPr>
          <w:rFonts w:hint="eastAsia" w:ascii="方正仿宋_GBK" w:hAnsi="方正仿宋_GBK" w:eastAsia="方正仿宋_GBK" w:cs="方正仿宋_GBK"/>
          <w:sz w:val="32"/>
          <w:szCs w:val="32"/>
          <w:shd w:val="clear" w:fill="FFFFFF"/>
        </w:rPr>
        <w:t>号</w:t>
      </w:r>
      <w:r>
        <w:rPr>
          <w:rFonts w:hint="eastAsia" w:ascii="方正仿宋_GBK" w:hAnsi="方正仿宋_GBK" w:eastAsia="方正仿宋_GBK" w:cs="方正仿宋_GBK"/>
          <w:sz w:val="32"/>
          <w:szCs w:val="32"/>
        </w:rPr>
        <w:t>）执行。</w:t>
      </w:r>
    </w:p>
    <w:p>
      <w:pPr>
        <w:pStyle w:val="8"/>
        <w:keepNext w:val="0"/>
        <w:keepLines w:val="0"/>
        <w:widowControl/>
        <w:suppressLineNumbers w:val="0"/>
        <w:spacing w:before="0" w:beforeAutospacing="0" w:after="0" w:afterAutospacing="0" w:line="600" w:lineRule="atLeast"/>
        <w:ind w:left="0" w:firstLine="640"/>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shd w:val="clear" w:fill="FFFFFF"/>
        </w:rPr>
        <w:t>加快项目实施</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shd w:val="clear" w:fill="FFFFFF"/>
        </w:rPr>
        <w:t>要按照项目清单抓紧完善实施方案，并按相应程序确保</w:t>
      </w:r>
      <w:r>
        <w:rPr>
          <w:sz w:val="32"/>
          <w:szCs w:val="32"/>
          <w:shd w:val="clear" w:fill="FFFFFF"/>
        </w:rPr>
        <w:t>8</w:t>
      </w:r>
      <w:r>
        <w:rPr>
          <w:rFonts w:hint="eastAsia" w:ascii="方正仿宋_GBK" w:hAnsi="方正仿宋_GBK" w:eastAsia="方正仿宋_GBK" w:cs="方正仿宋_GBK"/>
          <w:sz w:val="32"/>
          <w:szCs w:val="32"/>
          <w:shd w:val="clear" w:fill="FFFFFF"/>
        </w:rPr>
        <w:t>月底全面开工，建立工作台账，倒排工期，确保</w:t>
      </w:r>
      <w:r>
        <w:rPr>
          <w:sz w:val="32"/>
          <w:szCs w:val="32"/>
          <w:shd w:val="clear" w:fill="FFFFFF"/>
        </w:rPr>
        <w:t>11</w:t>
      </w:r>
      <w:r>
        <w:rPr>
          <w:rFonts w:hint="eastAsia" w:ascii="方正仿宋_GBK" w:hAnsi="方正仿宋_GBK" w:eastAsia="方正仿宋_GBK" w:cs="方正仿宋_GBK"/>
          <w:sz w:val="32"/>
          <w:szCs w:val="32"/>
          <w:shd w:val="clear" w:fill="FFFFFF"/>
        </w:rPr>
        <w:t>月底全面完工。</w:t>
      </w:r>
      <w:r>
        <w:rPr>
          <w:rFonts w:hint="eastAsia" w:ascii="方正仿宋_GBK" w:hAnsi="方正仿宋_GBK" w:eastAsia="方正仿宋_GBK" w:cs="方正仿宋_GBK"/>
          <w:sz w:val="32"/>
          <w:szCs w:val="32"/>
        </w:rPr>
        <w:t>同时，要加强项目过程管理，注意档案资料收集整理，确保各级检查验收顺利通过。中央衔接资金支出进度</w:t>
      </w:r>
      <w:r>
        <w:rPr>
          <w:sz w:val="32"/>
          <w:szCs w:val="32"/>
        </w:rPr>
        <w:t>9</w:t>
      </w:r>
      <w:r>
        <w:rPr>
          <w:rFonts w:hint="eastAsia" w:ascii="方正仿宋_GBK" w:hAnsi="方正仿宋_GBK" w:eastAsia="方正仿宋_GBK" w:cs="方正仿宋_GBK"/>
          <w:sz w:val="32"/>
          <w:szCs w:val="32"/>
        </w:rPr>
        <w:t>月要不低于</w:t>
      </w:r>
      <w:r>
        <w:rPr>
          <w:sz w:val="32"/>
          <w:szCs w:val="32"/>
        </w:rPr>
        <w:t>75</w:t>
      </w:r>
      <w:r>
        <w:rPr>
          <w:rFonts w:hint="eastAsia" w:ascii="方正仿宋_GBK" w:hAnsi="方正仿宋_GBK" w:eastAsia="方正仿宋_GBK" w:cs="方正仿宋_GBK"/>
          <w:sz w:val="32"/>
          <w:szCs w:val="32"/>
        </w:rPr>
        <w:t>%，</w:t>
      </w:r>
      <w:r>
        <w:rPr>
          <w:sz w:val="32"/>
          <w:szCs w:val="32"/>
        </w:rPr>
        <w:t>8</w:t>
      </w:r>
      <w:r>
        <w:rPr>
          <w:rFonts w:hint="eastAsia" w:ascii="方正仿宋_GBK" w:hAnsi="方正仿宋_GBK" w:eastAsia="方正仿宋_GBK" w:cs="方正仿宋_GBK"/>
          <w:sz w:val="32"/>
          <w:szCs w:val="32"/>
        </w:rPr>
        <w:t>月中旬、</w:t>
      </w:r>
      <w:r>
        <w:rPr>
          <w:sz w:val="32"/>
          <w:szCs w:val="32"/>
        </w:rPr>
        <w:t>10</w:t>
      </w:r>
      <w:r>
        <w:rPr>
          <w:rFonts w:hint="eastAsia" w:ascii="方正仿宋_GBK" w:hAnsi="方正仿宋_GBK" w:eastAsia="方正仿宋_GBK" w:cs="方正仿宋_GBK"/>
          <w:sz w:val="32"/>
          <w:szCs w:val="32"/>
        </w:rPr>
        <w:t>月中旬中央衔接资金支出进度要达到全国平均水平或者序时进度。</w:t>
      </w:r>
    </w:p>
    <w:p>
      <w:pPr>
        <w:pStyle w:val="8"/>
        <w:keepNext w:val="0"/>
        <w:keepLines w:val="0"/>
        <w:widowControl/>
        <w:suppressLineNumbers w:val="0"/>
        <w:spacing w:before="0" w:beforeAutospacing="0" w:after="0" w:afterAutospacing="0" w:line="600" w:lineRule="atLeast"/>
        <w:ind w:left="0" w:firstLine="640"/>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shd w:val="clear" w:fill="FFFFFF"/>
        </w:rPr>
        <w:t>加强督促检查</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rPr>
        <w:t>在工程实施过程中，要加强项目自检，发现问题及时整改。区乡村振兴局将会同区财政局不定期开展检查，对工作不力，进度较慢、成效不明显的，将视情况予以通报。</w:t>
      </w:r>
      <w:r>
        <w:rPr>
          <w:rFonts w:hint="eastAsia" w:ascii="方正仿宋_GBK" w:hAnsi="方正仿宋_GBK" w:eastAsia="方正仿宋_GBK" w:cs="方正仿宋_GBK"/>
          <w:sz w:val="32"/>
          <w:szCs w:val="32"/>
          <w:shd w:val="clear" w:fill="FFFFFF"/>
        </w:rPr>
        <w:t>每月最后一个工作日前将项目进度加盖公章后扫描件报区乡村振兴局（邮箱：</w:t>
      </w:r>
      <w:r>
        <w:rPr>
          <w:sz w:val="32"/>
          <w:szCs w:val="32"/>
          <w:shd w:val="clear" w:fill="FFFFFF"/>
        </w:rPr>
        <w:t>jlpxczx@163</w:t>
      </w:r>
      <w:r>
        <w:rPr>
          <w:rFonts w:hint="eastAsia" w:ascii="方正仿宋_GBK" w:hAnsi="方正仿宋_GBK" w:eastAsia="方正仿宋_GBK" w:cs="方正仿宋_GBK"/>
          <w:sz w:val="32"/>
          <w:szCs w:val="32"/>
          <w:shd w:val="clear" w:fill="FFFFFF"/>
        </w:rPr>
        <w:t>.</w:t>
      </w:r>
      <w:r>
        <w:rPr>
          <w:sz w:val="32"/>
          <w:szCs w:val="32"/>
          <w:shd w:val="clear" w:fill="FFFFFF"/>
        </w:rPr>
        <w:t>com</w:t>
      </w:r>
      <w:r>
        <w:rPr>
          <w:rFonts w:hint="eastAsia" w:ascii="方正仿宋_GBK" w:hAnsi="方正仿宋_GBK" w:eastAsia="方正仿宋_GBK" w:cs="方正仿宋_GBK"/>
          <w:sz w:val="32"/>
          <w:szCs w:val="32"/>
          <w:shd w:val="clear" w:fill="FFFFFF"/>
        </w:rPr>
        <w:t>）。</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rPr>
        <w:t> </w:t>
      </w:r>
    </w:p>
    <w:p>
      <w:pPr>
        <w:pStyle w:val="8"/>
        <w:keepNext w:val="0"/>
        <w:keepLines w:val="0"/>
        <w:widowControl/>
        <w:suppressLineNumbers w:val="0"/>
        <w:spacing w:before="0" w:beforeAutospacing="0" w:after="0" w:afterAutospacing="0" w:line="600" w:lineRule="atLeast"/>
        <w:ind w:left="0" w:firstLine="640"/>
      </w:pPr>
      <w:r>
        <w:rPr>
          <w:rFonts w:hint="eastAsia" w:ascii="方正仿宋_GBK" w:hAnsi="方正仿宋_GBK" w:eastAsia="方正仿宋_GBK" w:cs="方正仿宋_GBK"/>
          <w:sz w:val="32"/>
          <w:szCs w:val="32"/>
          <w:shd w:val="clear" w:fill="FFFFFF"/>
        </w:rPr>
        <w:t>附件：九龙坡区</w:t>
      </w:r>
      <w:r>
        <w:rPr>
          <w:sz w:val="32"/>
          <w:szCs w:val="32"/>
          <w:shd w:val="clear" w:fill="FFFFFF"/>
        </w:rPr>
        <w:t>2023</w:t>
      </w:r>
      <w:r>
        <w:rPr>
          <w:rFonts w:hint="eastAsia" w:ascii="方正仿宋_GBK" w:hAnsi="方正仿宋_GBK" w:eastAsia="方正仿宋_GBK" w:cs="方正仿宋_GBK"/>
          <w:sz w:val="32"/>
          <w:szCs w:val="32"/>
          <w:shd w:val="clear" w:fill="FFFFFF"/>
        </w:rPr>
        <w:t>年中央财政衔接推进乡村振兴补助资</w:t>
      </w:r>
    </w:p>
    <w:p>
      <w:pPr>
        <w:pStyle w:val="8"/>
        <w:keepNext w:val="0"/>
        <w:keepLines w:val="0"/>
        <w:widowControl/>
        <w:suppressLineNumbers w:val="0"/>
        <w:spacing w:before="0" w:beforeAutospacing="0" w:after="0" w:afterAutospacing="0" w:line="600" w:lineRule="atLeast"/>
        <w:ind w:left="0" w:firstLine="1600"/>
      </w:pPr>
      <w:r>
        <w:rPr>
          <w:rFonts w:hint="eastAsia" w:ascii="方正仿宋_GBK" w:hAnsi="方正仿宋_GBK" w:eastAsia="方正仿宋_GBK" w:cs="方正仿宋_GBK"/>
          <w:sz w:val="32"/>
          <w:szCs w:val="32"/>
          <w:shd w:val="clear" w:fill="FFFFFF"/>
        </w:rPr>
        <w:t>金第二批项目计划安排表</w:t>
      </w:r>
    </w:p>
    <w:p>
      <w:pPr>
        <w:pStyle w:val="8"/>
        <w:keepNext w:val="0"/>
        <w:keepLines w:val="0"/>
        <w:widowControl/>
        <w:suppressLineNumbers w:val="0"/>
        <w:spacing w:before="0" w:beforeAutospacing="0" w:after="0" w:afterAutospacing="0" w:line="600" w:lineRule="atLeast"/>
        <w:ind w:left="1598" w:hanging="960"/>
      </w:pPr>
      <w:r>
        <w:rPr>
          <w:rFonts w:hint="eastAsia" w:ascii="方正仿宋_GBK" w:hAnsi="方正仿宋_GBK" w:eastAsia="方正仿宋_GBK" w:cs="方正仿宋_GBK"/>
          <w:sz w:val="32"/>
          <w:szCs w:val="32"/>
        </w:rPr>
        <w:t> </w:t>
      </w:r>
    </w:p>
    <w:p>
      <w:pPr>
        <w:pStyle w:val="8"/>
        <w:keepNext w:val="0"/>
        <w:keepLines w:val="0"/>
        <w:widowControl/>
        <w:suppressLineNumbers w:val="0"/>
        <w:spacing w:before="0" w:beforeAutospacing="0" w:after="0" w:afterAutospacing="0" w:line="600" w:lineRule="atLeast"/>
        <w:ind w:left="1598" w:hanging="960"/>
      </w:pPr>
      <w:r>
        <w:rPr>
          <w:rFonts w:hint="eastAsia" w:ascii="方正仿宋_GBK" w:hAnsi="方正仿宋_GBK" w:eastAsia="方正仿宋_GBK" w:cs="方正仿宋_GBK"/>
          <w:sz w:val="32"/>
          <w:szCs w:val="32"/>
        </w:rPr>
        <w:t> </w:t>
      </w:r>
    </w:p>
    <w:p>
      <w:pPr>
        <w:pStyle w:val="8"/>
        <w:keepNext w:val="0"/>
        <w:keepLines w:val="0"/>
        <w:widowControl/>
        <w:suppressLineNumbers w:val="0"/>
        <w:spacing w:before="0" w:beforeAutospacing="0" w:after="0" w:afterAutospacing="0" w:line="600" w:lineRule="atLeast"/>
        <w:ind w:right="630"/>
        <w:jc w:val="right"/>
      </w:pPr>
      <w:r>
        <w:rPr>
          <w:rFonts w:hint="eastAsia" w:ascii="方正仿宋_GBK" w:hAnsi="方正仿宋_GBK" w:eastAsia="方正仿宋_GBK" w:cs="方正仿宋_GBK"/>
          <w:sz w:val="32"/>
          <w:szCs w:val="32"/>
        </w:rPr>
        <w:t>重庆市九龙坡区乡村振兴局      重庆市九龙坡区财政局</w:t>
      </w:r>
    </w:p>
    <w:p>
      <w:pPr>
        <w:pStyle w:val="8"/>
        <w:keepNext w:val="0"/>
        <w:keepLines w:val="0"/>
        <w:widowControl/>
        <w:suppressLineNumbers w:val="0"/>
        <w:spacing w:before="0" w:beforeAutospacing="0" w:after="0" w:afterAutospacing="0" w:line="600" w:lineRule="atLeast"/>
        <w:ind w:right="525"/>
        <w:jc w:val="center"/>
      </w:pPr>
      <w:r>
        <w:rPr>
          <w:rFonts w:hint="eastAsia" w:ascii="方正仿宋_GBK" w:hAnsi="方正仿宋_GBK" w:eastAsia="方正仿宋_GBK" w:cs="方正仿宋_GBK"/>
          <w:sz w:val="32"/>
          <w:szCs w:val="32"/>
        </w:rPr>
        <w:t>                                   </w:t>
      </w:r>
      <w:r>
        <w:rPr>
          <w:sz w:val="32"/>
          <w:szCs w:val="32"/>
        </w:rPr>
        <w:t>2023</w:t>
      </w:r>
      <w:r>
        <w:rPr>
          <w:rFonts w:hint="eastAsia" w:ascii="方正仿宋_GBK" w:hAnsi="方正仿宋_GBK" w:eastAsia="方正仿宋_GBK" w:cs="方正仿宋_GBK"/>
          <w:sz w:val="32"/>
          <w:szCs w:val="32"/>
        </w:rPr>
        <w:t>年</w:t>
      </w:r>
      <w:r>
        <w:rPr>
          <w:sz w:val="32"/>
          <w:szCs w:val="32"/>
        </w:rPr>
        <w:t>7</w:t>
      </w:r>
      <w:r>
        <w:rPr>
          <w:rFonts w:hint="eastAsia" w:ascii="方正仿宋_GBK" w:hAnsi="方正仿宋_GBK" w:eastAsia="方正仿宋_GBK" w:cs="方正仿宋_GBK"/>
          <w:sz w:val="32"/>
          <w:szCs w:val="32"/>
        </w:rPr>
        <w:t>月</w:t>
      </w:r>
      <w:r>
        <w:rPr>
          <w:sz w:val="32"/>
          <w:szCs w:val="32"/>
        </w:rPr>
        <w:t>31</w:t>
      </w:r>
      <w:r>
        <w:rPr>
          <w:rFonts w:hint="eastAsia" w:ascii="方正仿宋_GBK" w:hAnsi="方正仿宋_GBK" w:eastAsia="方正仿宋_GBK" w:cs="方正仿宋_GBK"/>
          <w:sz w:val="32"/>
          <w:szCs w:val="32"/>
        </w:rPr>
        <w:t>日</w:t>
      </w:r>
    </w:p>
    <w:p>
      <w:pPr>
        <w:pStyle w:val="8"/>
        <w:keepNext w:val="0"/>
        <w:keepLines w:val="0"/>
        <w:widowControl/>
        <w:suppressLineNumbers w:val="0"/>
        <w:spacing w:before="0" w:beforeAutospacing="0" w:after="0" w:afterAutospacing="0" w:line="600" w:lineRule="atLeast"/>
      </w:pPr>
      <w:r>
        <w:rPr>
          <w:rFonts w:hint="eastAsia" w:ascii="方正仿宋_GBK" w:hAnsi="方正仿宋_GBK" w:eastAsia="方正仿宋_GBK" w:cs="方正仿宋_GBK"/>
          <w:sz w:val="32"/>
          <w:szCs w:val="32"/>
        </w:rPr>
        <w:t> </w:t>
      </w:r>
    </w:p>
    <w:p>
      <w:pPr>
        <w:pStyle w:val="8"/>
        <w:keepNext w:val="0"/>
        <w:keepLines w:val="0"/>
        <w:widowControl/>
        <w:suppressLineNumbers w:val="0"/>
        <w:spacing w:before="0" w:beforeAutospacing="0" w:after="0" w:afterAutospacing="0" w:line="600" w:lineRule="atLeast"/>
      </w:pPr>
      <w:r>
        <w:rPr>
          <w:sz w:val="32"/>
          <w:szCs w:val="32"/>
        </w:rPr>
        <w:t> </w:t>
      </w:r>
    </w:p>
    <w:p>
      <w:pPr>
        <w:pStyle w:val="8"/>
        <w:keepNext w:val="0"/>
        <w:keepLines w:val="0"/>
        <w:widowControl/>
        <w:suppressLineNumbers w:val="0"/>
        <w:spacing w:before="0" w:beforeAutospacing="0" w:after="0" w:afterAutospacing="0" w:line="600" w:lineRule="atLeast"/>
      </w:pPr>
      <w:r>
        <w:rPr>
          <w:sz w:val="32"/>
          <w:szCs w:val="32"/>
        </w:rPr>
        <w:t> </w:t>
      </w:r>
    </w:p>
    <w:p>
      <w:pPr>
        <w:pStyle w:val="8"/>
        <w:keepNext w:val="0"/>
        <w:keepLines w:val="0"/>
        <w:widowControl/>
        <w:suppressLineNumbers w:val="0"/>
        <w:spacing w:before="0" w:beforeAutospacing="0" w:after="0" w:afterAutospacing="0"/>
        <w:jc w:val="left"/>
        <w:rPr>
          <w:sz w:val="18"/>
          <w:szCs w:val="18"/>
        </w:rPr>
      </w:pPr>
      <w:r>
        <w:rPr>
          <w:rFonts w:ascii="Calibri" w:hAnsi="Calibri" w:cs="Calibri"/>
          <w:sz w:val="18"/>
          <w:szCs w:val="18"/>
        </w:rPr>
        <w:t> </w:t>
      </w:r>
    </w:p>
    <w:p>
      <w:pPr>
        <w:pStyle w:val="8"/>
        <w:keepNext w:val="0"/>
        <w:keepLines w:val="0"/>
        <w:widowControl/>
        <w:suppressLineNumbers w:val="0"/>
        <w:sectPr>
          <w:headerReference r:id="rId3" w:type="default"/>
          <w:footerReference r:id="rId4" w:type="default"/>
          <w:pgSz w:w="11906" w:h="16838"/>
          <w:pgMar w:top="2098" w:right="1531" w:bottom="1984" w:left="1531" w:header="851" w:footer="992" w:gutter="0"/>
          <w:cols w:space="0" w:num="1"/>
          <w:rtlGutter w:val="0"/>
          <w:docGrid w:type="lines" w:linePitch="327" w:charSpace="0"/>
        </w:sectPr>
      </w:pPr>
    </w:p>
    <w:p>
      <w:pPr>
        <w:pStyle w:val="8"/>
        <w:keepNext w:val="0"/>
        <w:keepLines w:val="0"/>
        <w:widowControl/>
        <w:suppressLineNumbers w:val="0"/>
        <w:spacing w:before="0" w:beforeAutospacing="0" w:after="0" w:afterAutospacing="0" w:line="600" w:lineRule="atLeast"/>
      </w:pPr>
      <w:r>
        <w:rPr>
          <w:rFonts w:hint="eastAsia" w:ascii="方正黑体_GBK" w:hAnsi="方正黑体_GBK" w:eastAsia="方正黑体_GBK" w:cs="方正黑体_GBK"/>
          <w:sz w:val="32"/>
          <w:szCs w:val="32"/>
        </w:rPr>
        <w:t>附件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left="0" w:firstLine="880"/>
        <w:jc w:val="center"/>
        <w:textAlignment w:val="auto"/>
      </w:pPr>
      <w:r>
        <w:rPr>
          <w:rFonts w:ascii="方正小标宋_GBK" w:hAnsi="方正小标宋_GBK" w:eastAsia="方正小标宋_GBK" w:cs="方正小标宋_GBK"/>
          <w:sz w:val="44"/>
          <w:szCs w:val="44"/>
          <w:shd w:val="clear" w:fill="FFFFFF"/>
        </w:rPr>
        <w:t>九龙坡区</w:t>
      </w:r>
      <w:r>
        <w:rPr>
          <w:sz w:val="44"/>
          <w:szCs w:val="44"/>
          <w:shd w:val="clear" w:fill="FFFFFF"/>
        </w:rPr>
        <w:t>2023</w:t>
      </w:r>
      <w:r>
        <w:rPr>
          <w:rFonts w:hint="eastAsia" w:ascii="方正小标宋_GBK" w:hAnsi="方正小标宋_GBK" w:eastAsia="方正小标宋_GBK" w:cs="方正小标宋_GBK"/>
          <w:sz w:val="44"/>
          <w:szCs w:val="44"/>
          <w:shd w:val="clear" w:fill="FFFFFF"/>
        </w:rPr>
        <w:t>年中央财政衔接推进乡村振兴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jc w:val="center"/>
        <w:textAlignment w:val="auto"/>
      </w:pPr>
      <w:r>
        <w:rPr>
          <w:rFonts w:hint="eastAsia" w:ascii="方正小标宋_GBK" w:hAnsi="方正小标宋_GBK" w:eastAsia="方正小标宋_GBK" w:cs="方正小标宋_GBK"/>
          <w:sz w:val="44"/>
          <w:szCs w:val="44"/>
          <w:shd w:val="clear" w:fill="FFFFFF"/>
        </w:rPr>
        <w:t>补助资金第二批项目计划安排表</w:t>
      </w:r>
    </w:p>
    <w:p>
      <w:pPr>
        <w:pStyle w:val="8"/>
        <w:keepNext w:val="0"/>
        <w:keepLines w:val="0"/>
        <w:widowControl/>
        <w:suppressLineNumbers w:val="0"/>
        <w:spacing w:before="0" w:beforeAutospacing="0" w:after="156" w:afterAutospacing="0" w:line="600" w:lineRule="atLeast"/>
        <w:jc w:val="right"/>
      </w:pPr>
      <w:r>
        <w:rPr>
          <w:rFonts w:hint="eastAsia" w:ascii="方正黑体_GBK" w:hAnsi="方正黑体_GBK" w:eastAsia="方正黑体_GBK" w:cs="方正黑体_GBK"/>
          <w:sz w:val="30"/>
          <w:szCs w:val="30"/>
        </w:rPr>
        <w:t>单位：万元</w:t>
      </w:r>
    </w:p>
    <w:tbl>
      <w:tblPr>
        <w:tblStyle w:val="9"/>
        <w:tblW w:w="13051"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8"/>
        <w:gridCol w:w="3208"/>
        <w:gridCol w:w="1805"/>
        <w:gridCol w:w="3692"/>
        <w:gridCol w:w="986"/>
        <w:gridCol w:w="1316"/>
        <w:gridCol w:w="11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cantSplit/>
          <w:trHeight w:val="930" w:hRule="atLeast"/>
          <w:tblHeader/>
          <w:jc w:val="center"/>
        </w:trPr>
        <w:tc>
          <w:tcPr>
            <w:tcW w:w="928"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序号</w:t>
            </w:r>
          </w:p>
        </w:tc>
        <w:tc>
          <w:tcPr>
            <w:tcW w:w="3208"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项目名称</w:t>
            </w:r>
          </w:p>
        </w:tc>
        <w:tc>
          <w:tcPr>
            <w:tcW w:w="1805"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建设地点</w:t>
            </w:r>
          </w:p>
        </w:tc>
        <w:tc>
          <w:tcPr>
            <w:tcW w:w="3692"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建设规模及内容</w:t>
            </w:r>
          </w:p>
        </w:tc>
        <w:tc>
          <w:tcPr>
            <w:tcW w:w="98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投资估算</w:t>
            </w:r>
          </w:p>
        </w:tc>
        <w:tc>
          <w:tcPr>
            <w:tcW w:w="13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中央衔接资金</w:t>
            </w:r>
          </w:p>
        </w:tc>
        <w:tc>
          <w:tcPr>
            <w:tcW w:w="11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其他财政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黑体_GBK" w:hAnsi="方正黑体_GBK" w:eastAsia="方正黑体_GBK" w:cs="方正黑体_GBK"/>
                <w:sz w:val="28"/>
                <w:szCs w:val="28"/>
              </w:rPr>
              <w:t>资金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cantSplit/>
          <w:trHeight w:val="1723" w:hRule="atLeast"/>
          <w:jc w:val="center"/>
        </w:trPr>
        <w:tc>
          <w:tcPr>
            <w:tcW w:w="928"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1</w:t>
            </w:r>
          </w:p>
        </w:tc>
        <w:tc>
          <w:tcPr>
            <w:tcW w:w="3208"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仿宋_GBK" w:hAnsi="方正仿宋_GBK" w:eastAsia="方正仿宋_GBK" w:cs="方正仿宋_GBK"/>
                <w:sz w:val="28"/>
                <w:szCs w:val="28"/>
              </w:rPr>
              <w:t>千秋村温室蔬菜大棚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仿宋_GBK" w:hAnsi="方正仿宋_GBK" w:eastAsia="方正仿宋_GBK" w:cs="方正仿宋_GBK"/>
                <w:sz w:val="28"/>
                <w:szCs w:val="28"/>
              </w:rPr>
              <w:t>基地租赁项目</w:t>
            </w:r>
          </w:p>
        </w:tc>
        <w:tc>
          <w:tcPr>
            <w:tcW w:w="1805"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仿宋_GBK" w:hAnsi="方正仿宋_GBK" w:eastAsia="方正仿宋_GBK" w:cs="方正仿宋_GBK"/>
                <w:sz w:val="28"/>
                <w:szCs w:val="28"/>
              </w:rPr>
              <w:t>西彭镇</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hint="eastAsia" w:ascii="方正仿宋_GBK" w:hAnsi="方正仿宋_GBK" w:eastAsia="方正仿宋_GBK" w:cs="方正仿宋_GBK"/>
                <w:sz w:val="28"/>
                <w:szCs w:val="28"/>
              </w:rPr>
              <w:t>千秋村</w:t>
            </w:r>
          </w:p>
        </w:tc>
        <w:tc>
          <w:tcPr>
            <w:tcW w:w="3692"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center"/>
            </w:pPr>
            <w:r>
              <w:rPr>
                <w:sz w:val="28"/>
                <w:szCs w:val="28"/>
              </w:rPr>
              <w:t>1.</w:t>
            </w:r>
            <w:r>
              <w:rPr>
                <w:rFonts w:hint="eastAsia" w:ascii="方正仿宋_GBK" w:hAnsi="方正仿宋_GBK" w:eastAsia="方正仿宋_GBK" w:cs="方正仿宋_GBK"/>
                <w:sz w:val="28"/>
                <w:szCs w:val="28"/>
              </w:rPr>
              <w:t>平整</w:t>
            </w:r>
            <w:r>
              <w:rPr>
                <w:sz w:val="28"/>
                <w:szCs w:val="28"/>
              </w:rPr>
              <w:t>25</w:t>
            </w:r>
            <w:r>
              <w:rPr>
                <w:rFonts w:hint="eastAsia" w:ascii="方正仿宋_GBK" w:hAnsi="方正仿宋_GBK" w:eastAsia="方正仿宋_GBK" w:cs="方正仿宋_GBK"/>
                <w:sz w:val="28"/>
                <w:szCs w:val="28"/>
              </w:rPr>
              <w:t>亩场地；</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center"/>
            </w:pPr>
            <w:r>
              <w:rPr>
                <w:sz w:val="28"/>
                <w:szCs w:val="28"/>
              </w:rPr>
              <w:t>2.</w:t>
            </w:r>
            <w:r>
              <w:rPr>
                <w:rFonts w:hint="eastAsia" w:ascii="方正仿宋_GBK" w:hAnsi="方正仿宋_GBK" w:eastAsia="方正仿宋_GBK" w:cs="方正仿宋_GBK"/>
                <w:sz w:val="28"/>
                <w:szCs w:val="28"/>
              </w:rPr>
              <w:t>购置</w:t>
            </w:r>
            <w:r>
              <w:rPr>
                <w:sz w:val="28"/>
                <w:szCs w:val="28"/>
              </w:rPr>
              <w:t>1600</w:t>
            </w:r>
            <w:r>
              <w:rPr>
                <w:rFonts w:hint="eastAsia" w:ascii="方正仿宋_GBK" w:hAnsi="方正仿宋_GBK" w:eastAsia="方正仿宋_GBK" w:cs="方正仿宋_GBK"/>
                <w:sz w:val="28"/>
                <w:szCs w:val="28"/>
              </w:rPr>
              <w:t>米排水沟渠设施；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pPr>
            <w:r>
              <w:rPr>
                <w:sz w:val="28"/>
                <w:szCs w:val="28"/>
              </w:rPr>
              <w:t>3.</w:t>
            </w:r>
            <w:r>
              <w:rPr>
                <w:rFonts w:hint="eastAsia" w:ascii="方正仿宋_GBK" w:hAnsi="方正仿宋_GBK" w:eastAsia="方正仿宋_GBK" w:cs="方正仿宋_GBK"/>
                <w:sz w:val="28"/>
                <w:szCs w:val="28"/>
              </w:rPr>
              <w:t>搭建约</w:t>
            </w:r>
            <w:r>
              <w:rPr>
                <w:sz w:val="28"/>
                <w:szCs w:val="28"/>
              </w:rPr>
              <w:t>20</w:t>
            </w:r>
            <w:r>
              <w:rPr>
                <w:rFonts w:hint="eastAsia" w:ascii="方正仿宋_GBK" w:hAnsi="方正仿宋_GBK" w:eastAsia="方正仿宋_GBK" w:cs="方正仿宋_GBK"/>
                <w:sz w:val="28"/>
                <w:szCs w:val="28"/>
              </w:rPr>
              <w:t>亩温室大棚、配套喷灌系统。</w:t>
            </w:r>
          </w:p>
        </w:tc>
        <w:tc>
          <w:tcPr>
            <w:tcW w:w="98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70</w:t>
            </w:r>
          </w:p>
        </w:tc>
        <w:tc>
          <w:tcPr>
            <w:tcW w:w="13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70</w:t>
            </w:r>
          </w:p>
        </w:tc>
        <w:tc>
          <w:tcPr>
            <w:tcW w:w="11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cantSplit/>
          <w:trHeight w:val="964" w:hRule="atLeast"/>
          <w:jc w:val="center"/>
        </w:trPr>
        <w:tc>
          <w:tcPr>
            <w:tcW w:w="4136" w:type="dxa"/>
            <w:gridSpan w:val="2"/>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rFonts w:ascii="方正楷体_GBK" w:hAnsi="方正楷体_GBK" w:eastAsia="方正楷体_GBK" w:cs="方正楷体_GBK"/>
                <w:sz w:val="28"/>
                <w:szCs w:val="28"/>
              </w:rPr>
              <w:t>合计</w:t>
            </w:r>
          </w:p>
        </w:tc>
        <w:tc>
          <w:tcPr>
            <w:tcW w:w="1805"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pPr>
            <w:r>
              <w:rPr>
                <w:rFonts w:hint="eastAsia" w:ascii="方正仿宋_GBK" w:hAnsi="方正仿宋_GBK" w:eastAsia="方正仿宋_GBK" w:cs="方正仿宋_GBK"/>
                <w:sz w:val="28"/>
                <w:szCs w:val="28"/>
              </w:rPr>
              <w:t> </w:t>
            </w:r>
          </w:p>
        </w:tc>
        <w:tc>
          <w:tcPr>
            <w:tcW w:w="3692"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pPr>
            <w:r>
              <w:rPr>
                <w:rFonts w:hint="eastAsia" w:ascii="方正仿宋_GBK" w:hAnsi="方正仿宋_GBK" w:eastAsia="方正仿宋_GBK" w:cs="方正仿宋_GBK"/>
                <w:sz w:val="28"/>
                <w:szCs w:val="28"/>
              </w:rPr>
              <w:t> </w:t>
            </w:r>
          </w:p>
        </w:tc>
        <w:tc>
          <w:tcPr>
            <w:tcW w:w="98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70</w:t>
            </w:r>
          </w:p>
        </w:tc>
        <w:tc>
          <w:tcPr>
            <w:tcW w:w="13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70</w:t>
            </w:r>
          </w:p>
        </w:tc>
        <w:tc>
          <w:tcPr>
            <w:tcW w:w="1116" w:type="dxa"/>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pPr>
            <w:r>
              <w:rPr>
                <w:sz w:val="28"/>
                <w:szCs w:val="28"/>
              </w:rPr>
              <w:t>0</w:t>
            </w:r>
          </w:p>
        </w:tc>
      </w:tr>
    </w:tbl>
    <w:p>
      <w:pPr>
        <w:rPr>
          <w:rFonts w:hint="default" w:ascii="Times New Roman" w:hAnsi="Times New Roman" w:cs="Times New Roman"/>
        </w:rPr>
        <w:sectPr>
          <w:pgSz w:w="16838" w:h="11906" w:orient="landscape"/>
          <w:pgMar w:top="1531" w:right="2098" w:bottom="1531" w:left="1984" w:header="851" w:footer="992" w:gutter="0"/>
          <w:cols w:space="0" w:num="1"/>
          <w:rtlGutter w:val="0"/>
          <w:docGrid w:type="lines" w:linePitch="327" w:charSpace="0"/>
        </w:sectPr>
      </w:pPr>
    </w:p>
    <w:p>
      <w:pPr>
        <w:pStyle w:val="2"/>
        <w:rPr>
          <w:rFonts w:hint="default" w:ascii="Times New Roman" w:hAnsi="Times New Roman" w:cs="Times New Roman"/>
        </w:rPr>
      </w:pPr>
    </w:p>
    <w:sectPr>
      <w:pgSz w:w="11906" w:h="16838"/>
      <w:pgMar w:top="2098" w:right="1531" w:bottom="1984" w:left="153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62230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9.5pt;height:18.15pt;width:49pt;mso-position-horizontal:outside;mso-position-horizontal-relative:margin;mso-wrap-style:none;z-index:251659264;mso-width-relative:page;mso-height-relative:page;" filled="f" stroked="f" coordsize="21600,21600" o:gfxdata="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5prjtMAAAAGAQAADwAAAAAAAAABACAAAAAiAAAAZHJz&#10;L2Rvd25yZXYueG1sUEsBAhQAFAAAAAgAh07iQHy3lavQAQAApQMAAA4AAAAAAAAAAQAgAAAAIg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46957C0"/>
    <w:rsid w:val="04667417"/>
    <w:rsid w:val="067C0450"/>
    <w:rsid w:val="1AA40BE4"/>
    <w:rsid w:val="1E5561DD"/>
    <w:rsid w:val="246957C0"/>
    <w:rsid w:val="289039F4"/>
    <w:rsid w:val="4134460A"/>
    <w:rsid w:val="511B495F"/>
    <w:rsid w:val="69162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outlineLvl w:val="1"/>
    </w:pPr>
    <w:rPr>
      <w:rFonts w:ascii="Calibri Light" w:hAnsi="Calibri Light" w:eastAsia="方正黑体_GBK" w:cs="Times New Roman"/>
      <w:bCs/>
    </w:rPr>
  </w:style>
  <w:style w:type="paragraph" w:styleId="4">
    <w:name w:val="heading 4"/>
    <w:basedOn w:val="3"/>
    <w:next w:val="1"/>
    <w:unhideWhenUsed/>
    <w:qFormat/>
    <w:uiPriority w:val="9"/>
    <w:pPr>
      <w:keepNext/>
      <w:keepLines/>
      <w:spacing w:before="280" w:beforeLines="0" w:after="290" w:afterLines="0" w:line="376" w:lineRule="atLeast"/>
      <w:outlineLvl w:val="3"/>
    </w:pPr>
    <w:rPr>
      <w:rFonts w:ascii="Times New Roman" w:hAnsi="Times New Roman" w:eastAsia="宋体" w:cs="Times New Roman"/>
      <w:sz w:val="28"/>
      <w:szCs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szCs w:val="21"/>
    </w:rPr>
  </w:style>
  <w:style w:type="paragraph" w:styleId="5">
    <w:name w:val="table of authorities"/>
    <w:basedOn w:val="1"/>
    <w:next w:val="1"/>
    <w:unhideWhenUsed/>
    <w:qFormat/>
    <w:uiPriority w:val="99"/>
    <w:pPr>
      <w:ind w:left="420" w:leftChars="200"/>
    </w:pPr>
    <w:rPr>
      <w:rFonts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FollowedHyperlink"/>
    <w:basedOn w:val="10"/>
    <w:uiPriority w:val="0"/>
    <w:rPr>
      <w:color w:val="333333"/>
      <w:u w:val="none"/>
    </w:rPr>
  </w:style>
  <w:style w:type="character" w:styleId="12">
    <w:name w:val="Hyperlink"/>
    <w:basedOn w:val="10"/>
    <w:uiPriority w:val="0"/>
    <w:rPr>
      <w:color w:val="333333"/>
      <w:u w:val="none"/>
    </w:rPr>
  </w:style>
  <w:style w:type="character" w:customStyle="1" w:styleId="13">
    <w:name w:val="font21"/>
    <w:basedOn w:val="10"/>
    <w:qFormat/>
    <w:uiPriority w:val="0"/>
    <w:rPr>
      <w:rFonts w:ascii="方正仿宋_GBK" w:hAnsi="方正仿宋_GBK" w:eastAsia="方正仿宋_GBK" w:cs="方正仿宋_GBK"/>
      <w:color w:val="FF0000"/>
      <w:sz w:val="22"/>
      <w:szCs w:val="22"/>
      <w:u w:val="none"/>
    </w:rPr>
  </w:style>
  <w:style w:type="character" w:customStyle="1" w:styleId="14">
    <w:name w:val="font11"/>
    <w:basedOn w:val="10"/>
    <w:qFormat/>
    <w:uiPriority w:val="0"/>
    <w:rPr>
      <w:rFonts w:hint="default" w:ascii="Times New Roman" w:hAnsi="Times New Roman" w:cs="Times New Roman"/>
      <w:color w:val="FF0000"/>
      <w:sz w:val="22"/>
      <w:szCs w:val="22"/>
      <w:u w:val="none"/>
    </w:rPr>
  </w:style>
  <w:style w:type="character" w:customStyle="1" w:styleId="15">
    <w:name w:val="yj-time"/>
    <w:basedOn w:val="10"/>
    <w:qFormat/>
    <w:uiPriority w:val="0"/>
    <w:rPr>
      <w:color w:val="AAAAAA"/>
      <w:sz w:val="12"/>
      <w:szCs w:val="12"/>
    </w:rPr>
  </w:style>
  <w:style w:type="character" w:customStyle="1" w:styleId="16">
    <w:name w:val="yj-time1"/>
    <w:basedOn w:val="10"/>
    <w:uiPriority w:val="0"/>
    <w:rPr>
      <w:color w:val="AAAAAA"/>
      <w:sz w:val="12"/>
      <w:szCs w:val="12"/>
    </w:rPr>
  </w:style>
  <w:style w:type="character" w:customStyle="1" w:styleId="17">
    <w:name w:val="cur2"/>
    <w:basedOn w:val="10"/>
    <w:uiPriority w:val="0"/>
    <w:rPr>
      <w:color w:val="3354A2"/>
    </w:rPr>
  </w:style>
  <w:style w:type="character" w:customStyle="1" w:styleId="18">
    <w:name w:val="red"/>
    <w:basedOn w:val="10"/>
    <w:uiPriority w:val="0"/>
    <w:rPr>
      <w:color w:val="E1211F"/>
    </w:rPr>
  </w:style>
  <w:style w:type="character" w:customStyle="1" w:styleId="19">
    <w:name w:val="red1"/>
    <w:basedOn w:val="10"/>
    <w:uiPriority w:val="0"/>
    <w:rPr>
      <w:color w:val="E1211F"/>
    </w:rPr>
  </w:style>
  <w:style w:type="character" w:customStyle="1" w:styleId="20">
    <w:name w:val="red2"/>
    <w:basedOn w:val="10"/>
    <w:uiPriority w:val="0"/>
    <w:rPr>
      <w:color w:val="E1211F"/>
    </w:rPr>
  </w:style>
  <w:style w:type="character" w:customStyle="1" w:styleId="21">
    <w:name w:val="red3"/>
    <w:basedOn w:val="10"/>
    <w:qFormat/>
    <w:uiPriority w:val="0"/>
    <w:rPr>
      <w:color w:val="E33938"/>
      <w:u w:val="single"/>
    </w:rPr>
  </w:style>
  <w:style w:type="character" w:customStyle="1" w:styleId="22">
    <w:name w:val="red4"/>
    <w:basedOn w:val="10"/>
    <w:uiPriority w:val="0"/>
    <w:rPr>
      <w:color w:val="E1211F"/>
      <w:u w:val="single"/>
    </w:rPr>
  </w:style>
  <w:style w:type="character" w:customStyle="1" w:styleId="23">
    <w:name w:val="red5"/>
    <w:basedOn w:val="10"/>
    <w:uiPriority w:val="0"/>
    <w:rPr>
      <w:color w:val="E1211F"/>
    </w:rPr>
  </w:style>
  <w:style w:type="character" w:customStyle="1" w:styleId="24">
    <w:name w:val="w100"/>
    <w:basedOn w:val="10"/>
    <w:uiPriority w:val="0"/>
  </w:style>
  <w:style w:type="character" w:customStyle="1" w:styleId="25">
    <w:name w:val="hover20"/>
    <w:basedOn w:val="10"/>
    <w:uiPriority w:val="0"/>
    <w:rPr>
      <w:b/>
      <w:bCs/>
    </w:rPr>
  </w:style>
  <w:style w:type="character" w:customStyle="1" w:styleId="26">
    <w:name w:val="tit12"/>
    <w:basedOn w:val="10"/>
    <w:uiPriority w:val="0"/>
    <w:rPr>
      <w:b/>
      <w:bCs/>
      <w:color w:val="333333"/>
      <w:sz w:val="26"/>
      <w:szCs w:val="26"/>
    </w:rPr>
  </w:style>
  <w:style w:type="character" w:customStyle="1" w:styleId="27">
    <w:name w:val="yjl"/>
    <w:basedOn w:val="10"/>
    <w:uiPriority w:val="0"/>
    <w:rPr>
      <w:color w:val="999999"/>
    </w:rPr>
  </w:style>
  <w:style w:type="character" w:customStyle="1" w:styleId="28">
    <w:name w:val="name"/>
    <w:basedOn w:val="10"/>
    <w:uiPriority w:val="0"/>
    <w:rPr>
      <w:color w:val="2760B7"/>
    </w:rPr>
  </w:style>
  <w:style w:type="character" w:customStyle="1" w:styleId="29">
    <w:name w:val="yj-blue"/>
    <w:basedOn w:val="10"/>
    <w:uiPriority w:val="0"/>
    <w:rPr>
      <w:b/>
      <w:bCs/>
      <w:color w:val="FFFFFF"/>
      <w:sz w:val="14"/>
      <w:szCs w:val="14"/>
      <w:shd w:val="clear" w:fill="1E84CB"/>
    </w:rPr>
  </w:style>
  <w:style w:type="character" w:customStyle="1" w:styleId="30">
    <w:name w:val="yjr"/>
    <w:basedOn w:val="10"/>
    <w:uiPriority w:val="0"/>
  </w:style>
  <w:style w:type="character" w:customStyle="1" w:styleId="31">
    <w:name w:val="tyhl"/>
    <w:basedOn w:val="10"/>
    <w:uiPriority w:val="0"/>
    <w:rPr>
      <w:shd w:val="clear" w:fill="FFFFFF"/>
    </w:rPr>
  </w:style>
  <w:style w:type="character" w:customStyle="1" w:styleId="32">
    <w:name w:val="cur"/>
    <w:basedOn w:val="10"/>
    <w:uiPriority w:val="0"/>
    <w:rPr>
      <w:color w:val="3354A2"/>
    </w:rPr>
  </w:style>
  <w:style w:type="character" w:customStyle="1" w:styleId="33">
    <w:name w:val="yj-time2"/>
    <w:basedOn w:val="10"/>
    <w:uiPriority w:val="0"/>
    <w:rPr>
      <w:color w:val="AAAAAA"/>
      <w:sz w:val="12"/>
      <w:szCs w:val="12"/>
    </w:rPr>
  </w:style>
  <w:style w:type="character" w:customStyle="1" w:styleId="34">
    <w:name w:val="yj-time3"/>
    <w:basedOn w:val="10"/>
    <w:uiPriority w:val="0"/>
    <w:rPr>
      <w:color w:val="AAAAAA"/>
      <w:sz w:val="12"/>
      <w:szCs w:val="12"/>
    </w:rPr>
  </w:style>
  <w:style w:type="character" w:customStyle="1" w:styleId="35">
    <w:name w:val="tit"/>
    <w:basedOn w:val="10"/>
    <w:uiPriority w:val="0"/>
    <w:rPr>
      <w:b/>
      <w:bCs/>
      <w:color w:val="333333"/>
      <w:sz w:val="26"/>
      <w:szCs w:val="26"/>
    </w:rPr>
  </w:style>
  <w:style w:type="character" w:customStyle="1" w:styleId="36">
    <w:name w:val="cur4"/>
    <w:basedOn w:val="10"/>
    <w:uiPriority w:val="0"/>
    <w:rPr>
      <w:color w:val="3354A2"/>
    </w:rPr>
  </w:style>
  <w:style w:type="character" w:customStyle="1" w:styleId="37">
    <w:name w:val="tit11"/>
    <w:basedOn w:val="10"/>
    <w:uiPriority w:val="0"/>
    <w:rPr>
      <w:b/>
      <w:bCs/>
      <w:color w:val="333333"/>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2023-12-21T04:23:00Z</dcterms:created>
  <dc:creator>博瑞建筑</dc:creator>
  <cp:lastModifiedBy>Administrator</cp:lastModifiedBy>
  <dcterms:modified xsi:type="dcterms:W3CDTF">2023-12-24T18:48:54Z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4FCA1DA05EC048F9BBC7D252CD0C8A57</vt:lpwstr>
  </property>
</Properties>
</file>