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BC488">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仿宋_GB2312" w:eastAsia="仿宋_GB2312" w:cs="仿宋_GB2312"/>
          <w:color w:val="auto"/>
          <w:spacing w:val="0"/>
          <w:kern w:val="21"/>
          <w:sz w:val="36"/>
          <w:szCs w:val="36"/>
          <w:highlight w:val="none"/>
        </w:rPr>
      </w:pPr>
      <w:r>
        <w:drawing>
          <wp:inline distT="0" distB="0" distL="114300" distR="114300">
            <wp:extent cx="5657850" cy="8297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657850" cy="8297545"/>
                    </a:xfrm>
                    <a:prstGeom prst="rect">
                      <a:avLst/>
                    </a:prstGeom>
                    <a:noFill/>
                    <a:ln>
                      <a:noFill/>
                    </a:ln>
                  </pic:spPr>
                </pic:pic>
              </a:graphicData>
            </a:graphic>
          </wp:inline>
        </w:drawing>
      </w:r>
    </w:p>
    <w:p w14:paraId="55361E4E">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仿宋_GB2312" w:eastAsia="仿宋_GB2312" w:cs="仿宋_GB2312"/>
          <w:color w:val="auto"/>
          <w:spacing w:val="0"/>
          <w:kern w:val="21"/>
          <w:sz w:val="36"/>
          <w:szCs w:val="36"/>
          <w:highlight w:val="none"/>
        </w:rPr>
      </w:pPr>
    </w:p>
    <w:p w14:paraId="3098AC2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_GB2312" w:eastAsia="楷体_GB2312"/>
          <w:color w:val="auto"/>
          <w:spacing w:val="0"/>
          <w:kern w:val="21"/>
          <w:sz w:val="36"/>
          <w:szCs w:val="36"/>
          <w:highlight w:val="none"/>
        </w:rPr>
      </w:pPr>
      <w:r>
        <w:drawing>
          <wp:inline distT="0" distB="0" distL="114300" distR="114300">
            <wp:extent cx="5739130" cy="7905115"/>
            <wp:effectExtent l="0" t="0" r="139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739130" cy="7905115"/>
                    </a:xfrm>
                    <a:prstGeom prst="rect">
                      <a:avLst/>
                    </a:prstGeom>
                    <a:noFill/>
                    <a:ln>
                      <a:noFill/>
                    </a:ln>
                  </pic:spPr>
                </pic:pic>
              </a:graphicData>
            </a:graphic>
          </wp:inline>
        </w:drawing>
      </w:r>
    </w:p>
    <w:p w14:paraId="06EA8FD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_GB2312" w:eastAsia="楷体_GB2312"/>
          <w:color w:val="auto"/>
          <w:spacing w:val="0"/>
          <w:kern w:val="21"/>
          <w:sz w:val="36"/>
          <w:szCs w:val="36"/>
          <w:highlight w:val="none"/>
          <w:lang w:val="en-US" w:eastAsia="zh-CN"/>
        </w:rPr>
      </w:pPr>
    </w:p>
    <w:p w14:paraId="7C1E068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_GB2312" w:eastAsia="楷体_GB2312"/>
          <w:color w:val="auto"/>
          <w:spacing w:val="0"/>
          <w:kern w:val="21"/>
          <w:sz w:val="36"/>
          <w:szCs w:val="36"/>
          <w:highlight w:val="none"/>
          <w:lang w:val="en-US" w:eastAsia="zh-CN"/>
        </w:rPr>
      </w:pPr>
    </w:p>
    <w:p w14:paraId="53B63BAE">
      <w:pPr>
        <w:keepNext w:val="0"/>
        <w:keepLines w:val="0"/>
        <w:pageBreakBefore w:val="0"/>
        <w:widowControl w:val="0"/>
        <w:kinsoku/>
        <w:wordWrap/>
        <w:overflowPunct/>
        <w:topLinePunct w:val="0"/>
        <w:autoSpaceDE/>
        <w:autoSpaceDN/>
        <w:bidi w:val="0"/>
        <w:adjustRightInd/>
        <w:snapToGrid/>
        <w:spacing w:line="288" w:lineRule="auto"/>
        <w:jc w:val="center"/>
        <w:textAlignment w:val="auto"/>
      </w:pPr>
      <w:r>
        <w:drawing>
          <wp:inline distT="0" distB="0" distL="114300" distR="114300">
            <wp:extent cx="5713730" cy="8114665"/>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713730" cy="8114665"/>
                    </a:xfrm>
                    <a:prstGeom prst="rect">
                      <a:avLst/>
                    </a:prstGeom>
                    <a:noFill/>
                    <a:ln>
                      <a:noFill/>
                    </a:ln>
                  </pic:spPr>
                </pic:pic>
              </a:graphicData>
            </a:graphic>
          </wp:inline>
        </w:drawing>
      </w:r>
    </w:p>
    <w:p w14:paraId="68194685">
      <w:pPr>
        <w:keepNext w:val="0"/>
        <w:keepLines w:val="0"/>
        <w:pageBreakBefore w:val="0"/>
        <w:widowControl w:val="0"/>
        <w:kinsoku/>
        <w:wordWrap/>
        <w:overflowPunct/>
        <w:topLinePunct w:val="0"/>
        <w:autoSpaceDE/>
        <w:autoSpaceDN/>
        <w:bidi w:val="0"/>
        <w:adjustRightInd/>
        <w:snapToGrid/>
        <w:spacing w:line="288" w:lineRule="auto"/>
        <w:jc w:val="center"/>
        <w:textAlignment w:val="auto"/>
      </w:pPr>
    </w:p>
    <w:p w14:paraId="7B4B246C">
      <w:pPr>
        <w:keepNext w:val="0"/>
        <w:keepLines w:val="0"/>
        <w:pageBreakBefore w:val="0"/>
        <w:widowControl w:val="0"/>
        <w:kinsoku/>
        <w:wordWrap/>
        <w:overflowPunct/>
        <w:topLinePunct w:val="0"/>
        <w:autoSpaceDE/>
        <w:autoSpaceDN/>
        <w:bidi w:val="0"/>
        <w:adjustRightInd/>
        <w:snapToGrid/>
        <w:spacing w:line="288" w:lineRule="auto"/>
        <w:jc w:val="center"/>
        <w:textAlignment w:val="auto"/>
      </w:pPr>
    </w:p>
    <w:p w14:paraId="06EEBAB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5602605" cy="7966075"/>
            <wp:effectExtent l="0" t="0" r="17145" b="158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1"/>
                    <a:stretch>
                      <a:fillRect/>
                    </a:stretch>
                  </pic:blipFill>
                  <pic:spPr>
                    <a:xfrm>
                      <a:off x="0" y="0"/>
                      <a:ext cx="5602605" cy="7966075"/>
                    </a:xfrm>
                    <a:prstGeom prst="rect">
                      <a:avLst/>
                    </a:prstGeom>
                    <a:noFill/>
                    <a:ln>
                      <a:noFill/>
                    </a:ln>
                  </pic:spPr>
                </pic:pic>
              </a:graphicData>
            </a:graphic>
          </wp:inline>
        </w:drawing>
      </w:r>
    </w:p>
    <w:sdt>
      <w:sdtPr>
        <w:rPr>
          <w:rFonts w:ascii="宋体" w:hAnsi="宋体" w:eastAsia="宋体" w:cstheme="minorBidi"/>
          <w:color w:val="auto"/>
          <w:kern w:val="2"/>
          <w:sz w:val="21"/>
          <w:szCs w:val="24"/>
          <w:highlight w:val="none"/>
          <w:lang w:val="en-US" w:eastAsia="zh-CN" w:bidi="ar-SA"/>
        </w:rPr>
        <w:id w:val="147476629"/>
        <w15:color w:val="DBDBDB"/>
        <w:docPartObj>
          <w:docPartGallery w:val="Table of Contents"/>
          <w:docPartUnique/>
        </w:docPartObj>
      </w:sdtPr>
      <w:sdtEndPr>
        <w:rPr>
          <w:rFonts w:hint="default" w:ascii="Times New Roman" w:hAnsi="Times New Roman" w:eastAsia="黑体" w:cstheme="minorBidi"/>
          <w:color w:val="auto"/>
          <w:kern w:val="2"/>
          <w:sz w:val="24"/>
          <w:szCs w:val="24"/>
          <w:highlight w:val="none"/>
          <w:lang w:val="en-US" w:eastAsia="zh-CN" w:bidi="ar-SA"/>
        </w:rPr>
      </w:sdtEndPr>
      <w:sdtContent>
        <w:p w14:paraId="35E52F3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b/>
              <w:bCs/>
              <w:color w:val="auto"/>
              <w:sz w:val="36"/>
              <w:szCs w:val="36"/>
              <w:highlight w:val="none"/>
              <w:lang w:val="en-US" w:eastAsia="zh-CN"/>
            </w:rPr>
          </w:pPr>
          <w:r>
            <w:rPr>
              <w:rFonts w:hint="eastAsia" w:ascii="Times New Roman" w:hAnsi="Times New Roman" w:eastAsia="宋体"/>
              <w:b/>
              <w:bCs/>
              <w:color w:val="auto"/>
              <w:sz w:val="36"/>
              <w:szCs w:val="36"/>
              <w:highlight w:val="none"/>
              <w:lang w:val="en-US" w:eastAsia="zh-CN"/>
            </w:rPr>
            <w:t>目  录</w:t>
          </w:r>
        </w:p>
        <w:p w14:paraId="7044E737">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eastAsia" w:ascii="Times New Roman" w:hAnsi="Times New Roman" w:eastAsia="宋体" w:cstheme="minorBidi"/>
              <w:b/>
              <w:bCs/>
              <w:color w:val="auto"/>
              <w:kern w:val="2"/>
              <w:sz w:val="24"/>
              <w:szCs w:val="24"/>
              <w:highlight w:val="none"/>
              <w:lang w:val="en-US" w:eastAsia="zh-CN" w:bidi="ar-SA"/>
            </w:rPr>
          </w:pPr>
        </w:p>
        <w:p w14:paraId="69C32875">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TOC \o "1-1" \h \u </w:instrText>
          </w:r>
          <w:r>
            <w:rPr>
              <w:rFonts w:hint="default" w:ascii="Times New Roman" w:hAnsi="Times New Roman" w:eastAsia="黑体"/>
              <w:b w:val="0"/>
              <w:bCs w:val="0"/>
              <w:color w:val="auto"/>
              <w:sz w:val="24"/>
              <w:szCs w:val="24"/>
              <w:highlight w:val="none"/>
              <w:lang w:val="en-US" w:eastAsia="zh-CN"/>
            </w:rPr>
            <w:fldChar w:fldCharType="separate"/>
          </w: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_Toc13770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color w:val="auto"/>
              <w:sz w:val="24"/>
              <w:szCs w:val="24"/>
              <w:highlight w:val="none"/>
              <w:lang w:val="en-US" w:eastAsia="zh-CN"/>
            </w:rPr>
            <w:t>一、</w:t>
          </w:r>
          <w:r>
            <w:rPr>
              <w:rFonts w:hint="eastAsia" w:ascii="Times New Roman" w:hAnsi="Times New Roman" w:eastAsia="黑体"/>
              <w:b w:val="0"/>
              <w:bCs w:val="0"/>
              <w:color w:val="auto"/>
              <w:sz w:val="24"/>
              <w:szCs w:val="24"/>
              <w:highlight w:val="none"/>
            </w:rPr>
            <w:t>建设项目基本情况</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_Toc13770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- 1 -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082A9E97">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_Toc13467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color w:val="auto"/>
              <w:sz w:val="24"/>
              <w:szCs w:val="24"/>
              <w:highlight w:val="none"/>
              <w:lang w:val="en-US" w:eastAsia="zh-CN"/>
            </w:rPr>
            <w:t>二、建设项目工程分析</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_Toc13467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- 17 -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673F4807">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_Toc10269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snapToGrid w:val="0"/>
              <w:color w:val="auto"/>
              <w:sz w:val="24"/>
              <w:szCs w:val="24"/>
              <w:highlight w:val="none"/>
            </w:rPr>
            <w:t>三、区域环境质量现状、环境保护目标及评价标准</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_Toc10269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- 41 -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3C56FDC8">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_Toc1193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snapToGrid w:val="0"/>
              <w:color w:val="auto"/>
              <w:sz w:val="24"/>
              <w:szCs w:val="24"/>
              <w:highlight w:val="none"/>
            </w:rPr>
            <w:t>四、主要环境影响和保护措施</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_Toc1193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- 54 -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6BCC7004">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_Toc29953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snapToGrid w:val="0"/>
              <w:color w:val="auto"/>
              <w:sz w:val="24"/>
              <w:szCs w:val="24"/>
              <w:highlight w:val="none"/>
            </w:rPr>
            <w:t>五、环境保护措施监督检查清单</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_Toc29953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- 79 -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51F27857">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_Toc20594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snapToGrid w:val="0"/>
              <w:color w:val="auto"/>
              <w:sz w:val="24"/>
              <w:szCs w:val="24"/>
              <w:highlight w:val="none"/>
            </w:rPr>
            <w:t>六、结论</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_Toc20594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- 82 -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590E0B94">
          <w:pPr>
            <w:pStyle w:val="15"/>
            <w:keepNext w:val="0"/>
            <w:keepLines w:val="0"/>
            <w:pageBreakBefore w:val="0"/>
            <w:widowControl w:val="0"/>
            <w:tabs>
              <w:tab w:val="right" w:leader="dot" w:pos="9048"/>
            </w:tabs>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黑体"/>
              <w:b w:val="0"/>
              <w:bCs w:val="0"/>
              <w:color w:val="auto"/>
              <w:sz w:val="24"/>
              <w:szCs w:val="24"/>
              <w:highlight w:val="none"/>
            </w:rPr>
          </w:pPr>
          <w:r>
            <w:rPr>
              <w:rFonts w:hint="default" w:ascii="Times New Roman" w:hAnsi="Times New Roman" w:eastAsia="黑体"/>
              <w:b w:val="0"/>
              <w:bCs w:val="0"/>
              <w:color w:val="auto"/>
              <w:sz w:val="24"/>
              <w:szCs w:val="24"/>
              <w:highlight w:val="none"/>
              <w:lang w:val="en-US" w:eastAsia="zh-CN"/>
            </w:rPr>
            <w:fldChar w:fldCharType="begin"/>
          </w:r>
          <w:r>
            <w:rPr>
              <w:rFonts w:hint="default" w:ascii="Times New Roman" w:hAnsi="Times New Roman" w:eastAsia="黑体"/>
              <w:b w:val="0"/>
              <w:bCs w:val="0"/>
              <w:color w:val="auto"/>
              <w:sz w:val="24"/>
              <w:szCs w:val="24"/>
              <w:highlight w:val="none"/>
              <w:lang w:val="en-US" w:eastAsia="zh-CN"/>
            </w:rPr>
            <w:instrText xml:space="preserve"> HYPERLINK \l _Toc15714 </w:instrText>
          </w:r>
          <w:r>
            <w:rPr>
              <w:rFonts w:hint="default" w:ascii="Times New Roman" w:hAnsi="Times New Roman" w:eastAsia="黑体"/>
              <w:b w:val="0"/>
              <w:bCs w:val="0"/>
              <w:color w:val="auto"/>
              <w:sz w:val="24"/>
              <w:szCs w:val="24"/>
              <w:highlight w:val="none"/>
              <w:lang w:val="en-US" w:eastAsia="zh-CN"/>
            </w:rPr>
            <w:fldChar w:fldCharType="separate"/>
          </w:r>
          <w:r>
            <w:rPr>
              <w:rFonts w:hint="eastAsia" w:ascii="Times New Roman" w:hAnsi="Times New Roman" w:eastAsia="黑体"/>
              <w:b w:val="0"/>
              <w:bCs w:val="0"/>
              <w:snapToGrid w:val="0"/>
              <w:color w:val="auto"/>
              <w:sz w:val="24"/>
              <w:szCs w:val="24"/>
              <w:highlight w:val="none"/>
            </w:rPr>
            <w:t>附表</w:t>
          </w:r>
          <w:r>
            <w:rPr>
              <w:rFonts w:ascii="Times New Roman" w:hAnsi="Times New Roman" w:eastAsia="黑体"/>
              <w:b w:val="0"/>
              <w:bCs w:val="0"/>
              <w:color w:val="auto"/>
              <w:sz w:val="24"/>
              <w:szCs w:val="24"/>
              <w:highlight w:val="none"/>
            </w:rPr>
            <w:tab/>
          </w:r>
          <w:r>
            <w:rPr>
              <w:rFonts w:ascii="Times New Roman" w:hAnsi="Times New Roman" w:eastAsia="黑体"/>
              <w:b w:val="0"/>
              <w:bCs w:val="0"/>
              <w:color w:val="auto"/>
              <w:sz w:val="24"/>
              <w:szCs w:val="24"/>
              <w:highlight w:val="none"/>
            </w:rPr>
            <w:fldChar w:fldCharType="begin"/>
          </w:r>
          <w:r>
            <w:rPr>
              <w:rFonts w:ascii="Times New Roman" w:hAnsi="Times New Roman" w:eastAsia="黑体"/>
              <w:b w:val="0"/>
              <w:bCs w:val="0"/>
              <w:color w:val="auto"/>
              <w:sz w:val="24"/>
              <w:szCs w:val="24"/>
              <w:highlight w:val="none"/>
            </w:rPr>
            <w:instrText xml:space="preserve"> PAGEREF _Toc15714 \h </w:instrText>
          </w:r>
          <w:r>
            <w:rPr>
              <w:rFonts w:ascii="Times New Roman" w:hAnsi="Times New Roman" w:eastAsia="黑体"/>
              <w:b w:val="0"/>
              <w:bCs w:val="0"/>
              <w:color w:val="auto"/>
              <w:sz w:val="24"/>
              <w:szCs w:val="24"/>
              <w:highlight w:val="none"/>
            </w:rPr>
            <w:fldChar w:fldCharType="separate"/>
          </w:r>
          <w:r>
            <w:rPr>
              <w:rFonts w:ascii="Times New Roman" w:hAnsi="Times New Roman" w:eastAsia="黑体"/>
              <w:b w:val="0"/>
              <w:bCs w:val="0"/>
              <w:color w:val="auto"/>
              <w:sz w:val="24"/>
              <w:szCs w:val="24"/>
              <w:highlight w:val="none"/>
            </w:rPr>
            <w:t>- 83 -</w:t>
          </w:r>
          <w:r>
            <w:rPr>
              <w:rFonts w:ascii="Times New Roman" w:hAnsi="Times New Roman" w:eastAsia="黑体"/>
              <w:b w:val="0"/>
              <w:bCs w:val="0"/>
              <w:color w:val="auto"/>
              <w:sz w:val="24"/>
              <w:szCs w:val="24"/>
              <w:highlight w:val="none"/>
            </w:rPr>
            <w:fldChar w:fldCharType="end"/>
          </w:r>
          <w:r>
            <w:rPr>
              <w:rFonts w:hint="default" w:ascii="Times New Roman" w:hAnsi="Times New Roman" w:eastAsia="黑体"/>
              <w:b w:val="0"/>
              <w:bCs w:val="0"/>
              <w:color w:val="auto"/>
              <w:sz w:val="24"/>
              <w:szCs w:val="24"/>
              <w:highlight w:val="none"/>
              <w:lang w:val="en-US" w:eastAsia="zh-CN"/>
            </w:rPr>
            <w:fldChar w:fldCharType="end"/>
          </w:r>
        </w:p>
        <w:p w14:paraId="2F3FF2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olor w:val="auto"/>
              <w:sz w:val="24"/>
              <w:szCs w:val="24"/>
              <w:highlight w:val="none"/>
              <w:lang w:val="en-US" w:eastAsia="zh-CN"/>
            </w:rPr>
          </w:pPr>
          <w:r>
            <w:rPr>
              <w:rFonts w:hint="default" w:ascii="Times New Roman" w:hAnsi="Times New Roman" w:eastAsia="黑体"/>
              <w:b w:val="0"/>
              <w:bCs w:val="0"/>
              <w:color w:val="auto"/>
              <w:sz w:val="24"/>
              <w:szCs w:val="24"/>
              <w:highlight w:val="none"/>
              <w:lang w:val="en-US" w:eastAsia="zh-CN"/>
            </w:rPr>
            <w:fldChar w:fldCharType="end"/>
          </w:r>
        </w:p>
      </w:sdtContent>
    </w:sdt>
    <w:p w14:paraId="132078A5">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jc w:val="both"/>
        <w:textAlignment w:val="auto"/>
        <w:rPr>
          <w:rFonts w:hint="eastAsia" w:ascii="Times New Roman" w:hAnsi="Times New Roman" w:eastAsia="宋体"/>
          <w:b/>
          <w:bCs/>
          <w:color w:val="auto"/>
          <w:sz w:val="24"/>
          <w:szCs w:val="24"/>
          <w:highlight w:val="none"/>
          <w:vertAlign w:val="baseline"/>
          <w:lang w:val="en-US" w:eastAsia="zh-CN"/>
        </w:rPr>
        <w:sectPr>
          <w:footerReference r:id="rId3" w:type="default"/>
          <w:pgSz w:w="11906" w:h="16838"/>
          <w:pgMar w:top="1440" w:right="1344" w:bottom="1440" w:left="1514"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86F3E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p>
    <w:p w14:paraId="3FF64E83">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附图</w:t>
      </w:r>
      <w:r>
        <w:rPr>
          <w:rFonts w:hint="eastAsia" w:ascii="Times New Roman" w:hAnsi="Times New Roman" w:eastAsia="宋体"/>
          <w:color w:val="auto"/>
          <w:sz w:val="24"/>
          <w:szCs w:val="24"/>
          <w:highlight w:val="none"/>
          <w:vertAlign w:val="baseline"/>
          <w:lang w:val="en-US" w:eastAsia="zh-CN"/>
        </w:rPr>
        <w:t>：</w:t>
      </w:r>
    </w:p>
    <w:p w14:paraId="57BDAA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附图1 项目地理位置示意图</w:t>
      </w:r>
    </w:p>
    <w:p w14:paraId="2D413F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附图2 项目所在厂区平面布置（含雨污管网）</w:t>
      </w:r>
    </w:p>
    <w:p w14:paraId="4C7A03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附图3 项目平面布置示意图（扩建项目、现有工程）</w:t>
      </w:r>
    </w:p>
    <w:p w14:paraId="44733A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附图4  项目外环境关系图</w:t>
      </w:r>
    </w:p>
    <w:p w14:paraId="61A9AC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附图5 项目环境保护目标分布示意图</w:t>
      </w:r>
    </w:p>
    <w:p w14:paraId="152FD1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附图6 项目环境质量监测布点图</w:t>
      </w:r>
    </w:p>
    <w:p w14:paraId="2E5E8A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附图7 项目所在区域土地利用规划图</w:t>
      </w:r>
    </w:p>
    <w:p w14:paraId="272F11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 xml:space="preserve">附图8 </w:t>
      </w:r>
      <w:r>
        <w:rPr>
          <w:rFonts w:hint="default" w:ascii="Times New Roman" w:hAnsi="Times New Roman" w:eastAsia="宋体"/>
          <w:color w:val="auto"/>
          <w:sz w:val="24"/>
          <w:szCs w:val="24"/>
          <w:highlight w:val="none"/>
          <w:vertAlign w:val="baseline"/>
          <w:lang w:val="en-US" w:eastAsia="zh-CN"/>
        </w:rPr>
        <w:t>项目生态红线位置关系图</w:t>
      </w:r>
    </w:p>
    <w:p w14:paraId="36434C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附图9 声功能区划图</w:t>
      </w:r>
    </w:p>
    <w:p w14:paraId="1A19FB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p>
    <w:p w14:paraId="17ED5C2B">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附件</w:t>
      </w:r>
      <w:r>
        <w:rPr>
          <w:rFonts w:hint="eastAsia" w:ascii="Times New Roman" w:hAnsi="Times New Roman" w:eastAsia="宋体"/>
          <w:color w:val="auto"/>
          <w:sz w:val="24"/>
          <w:szCs w:val="24"/>
          <w:highlight w:val="none"/>
          <w:vertAlign w:val="baseline"/>
          <w:lang w:val="en-US" w:eastAsia="zh-CN"/>
        </w:rPr>
        <w:t>：</w:t>
      </w:r>
    </w:p>
    <w:p w14:paraId="7C1F2E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附件1 重庆市企业投资项目备案证</w:t>
      </w:r>
    </w:p>
    <w:p w14:paraId="47DA85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附件2 企业入园证明</w:t>
      </w:r>
    </w:p>
    <w:p w14:paraId="142364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附件3 项目场地租赁合同</w:t>
      </w:r>
    </w:p>
    <w:p w14:paraId="7B138A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附件4 森迪产业园环评批准书及环保验收文件</w:t>
      </w:r>
    </w:p>
    <w:p w14:paraId="50D27C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附件5 项目生活污水接纳处理证明</w:t>
      </w:r>
    </w:p>
    <w:p w14:paraId="7ECA15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default" w:ascii="Times New Roman" w:hAnsi="Times New Roman" w:eastAsia="宋体"/>
          <w:color w:val="auto"/>
          <w:sz w:val="24"/>
          <w:szCs w:val="24"/>
          <w:highlight w:val="none"/>
          <w:vertAlign w:val="baseline"/>
          <w:lang w:val="en-US" w:eastAsia="zh-CN"/>
        </w:rPr>
        <w:t xml:space="preserve">附件6 </w:t>
      </w:r>
      <w:r>
        <w:rPr>
          <w:rFonts w:hint="eastAsia" w:ascii="Times New Roman" w:hAnsi="Times New Roman" w:eastAsia="宋体"/>
          <w:color w:val="auto"/>
          <w:sz w:val="24"/>
          <w:szCs w:val="24"/>
          <w:highlight w:val="none"/>
          <w:vertAlign w:val="baseline"/>
          <w:lang w:val="en-US" w:eastAsia="zh-CN"/>
        </w:rPr>
        <w:t>现有工程环评批准书及环保验收文件</w:t>
      </w:r>
    </w:p>
    <w:p w14:paraId="1A7E7D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default" w:ascii="Times New Roman" w:hAnsi="Times New Roman" w:eastAsia="宋体"/>
          <w:color w:val="auto"/>
          <w:sz w:val="24"/>
          <w:szCs w:val="24"/>
          <w:highlight w:val="none"/>
          <w:vertAlign w:val="baseline"/>
          <w:lang w:val="en-US" w:eastAsia="zh-CN"/>
        </w:rPr>
        <w:t>附件</w:t>
      </w:r>
      <w:r>
        <w:rPr>
          <w:rFonts w:hint="eastAsia" w:ascii="Times New Roman" w:hAnsi="Times New Roman" w:eastAsia="宋体"/>
          <w:color w:val="auto"/>
          <w:sz w:val="24"/>
          <w:szCs w:val="24"/>
          <w:highlight w:val="none"/>
          <w:vertAlign w:val="baseline"/>
          <w:lang w:val="en-US" w:eastAsia="zh-CN"/>
        </w:rPr>
        <w:t>7</w:t>
      </w:r>
      <w:r>
        <w:rPr>
          <w:rFonts w:hint="default" w:ascii="Times New Roman" w:hAnsi="Times New Roman" w:eastAsia="宋体"/>
          <w:color w:val="auto"/>
          <w:sz w:val="24"/>
          <w:szCs w:val="24"/>
          <w:highlight w:val="none"/>
          <w:vertAlign w:val="baseline"/>
          <w:lang w:val="en-US" w:eastAsia="zh-CN"/>
        </w:rPr>
        <w:t xml:space="preserve"> </w:t>
      </w:r>
      <w:r>
        <w:rPr>
          <w:rFonts w:hint="eastAsia" w:ascii="Times New Roman" w:hAnsi="Times New Roman" w:eastAsia="宋体"/>
          <w:color w:val="auto"/>
          <w:sz w:val="24"/>
          <w:szCs w:val="24"/>
          <w:highlight w:val="none"/>
          <w:vertAlign w:val="baseline"/>
          <w:lang w:val="en-US" w:eastAsia="zh-CN"/>
        </w:rPr>
        <w:t>“</w:t>
      </w:r>
      <w:r>
        <w:rPr>
          <w:rFonts w:hint="default" w:ascii="Times New Roman" w:hAnsi="Times New Roman" w:eastAsia="宋体"/>
          <w:color w:val="auto"/>
          <w:sz w:val="24"/>
          <w:szCs w:val="24"/>
          <w:highlight w:val="none"/>
          <w:vertAlign w:val="baseline"/>
          <w:lang w:val="en-US" w:eastAsia="zh-CN"/>
        </w:rPr>
        <w:t>三线一单</w:t>
      </w:r>
      <w:r>
        <w:rPr>
          <w:rFonts w:hint="eastAsia" w:ascii="Times New Roman" w:hAnsi="Times New Roman" w:eastAsia="宋体"/>
          <w:color w:val="auto"/>
          <w:sz w:val="24"/>
          <w:szCs w:val="24"/>
          <w:highlight w:val="none"/>
          <w:vertAlign w:val="baseline"/>
          <w:lang w:val="en-US" w:eastAsia="zh-CN"/>
        </w:rPr>
        <w:t>”</w:t>
      </w:r>
      <w:r>
        <w:rPr>
          <w:rFonts w:hint="default" w:ascii="Times New Roman" w:hAnsi="Times New Roman" w:eastAsia="宋体"/>
          <w:color w:val="auto"/>
          <w:sz w:val="24"/>
          <w:szCs w:val="24"/>
          <w:highlight w:val="none"/>
          <w:vertAlign w:val="baseline"/>
          <w:lang w:val="en-US" w:eastAsia="zh-CN"/>
        </w:rPr>
        <w:t>检测分析报告</w:t>
      </w:r>
    </w:p>
    <w:p w14:paraId="5F5363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附件8 西彭工业园区规划环境影响报告书审查意见的函</w:t>
      </w:r>
    </w:p>
    <w:p w14:paraId="06FFC4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附件9 环境质量现状监测报告</w:t>
      </w:r>
    </w:p>
    <w:p w14:paraId="328162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附件11粉末涂料MSDS报告</w:t>
      </w:r>
    </w:p>
    <w:p w14:paraId="67D74D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highlight w:val="none"/>
          <w:vertAlign w:val="baseline"/>
          <w:lang w:val="en-US" w:eastAsia="zh-CN"/>
        </w:rPr>
      </w:pPr>
    </w:p>
    <w:p w14:paraId="748D78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highlight w:val="none"/>
          <w:vertAlign w:val="baseline"/>
          <w:lang w:val="en-US" w:eastAsia="zh-CN"/>
        </w:rPr>
        <w:sectPr>
          <w:footerReference r:id="rId4" w:type="default"/>
          <w:pgSz w:w="11906" w:h="16838"/>
          <w:pgMar w:top="1440" w:right="1344" w:bottom="1440" w:left="1514"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091C33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eastAsia="黑体"/>
          <w:color w:val="auto"/>
          <w:sz w:val="30"/>
          <w:szCs w:val="30"/>
          <w:highlight w:val="none"/>
        </w:rPr>
      </w:pPr>
      <w:bookmarkStart w:id="0" w:name="_Toc13770"/>
      <w:r>
        <w:rPr>
          <w:rFonts w:hint="eastAsia" w:ascii="Times New Roman" w:hAnsi="Times New Roman" w:eastAsia="黑体"/>
          <w:color w:val="auto"/>
          <w:sz w:val="30"/>
          <w:szCs w:val="30"/>
          <w:highlight w:val="none"/>
          <w:lang w:val="en-US" w:eastAsia="zh-CN"/>
        </w:rPr>
        <w:t>一、</w:t>
      </w:r>
      <w:r>
        <w:rPr>
          <w:rFonts w:hint="eastAsia" w:ascii="Times New Roman" w:hAnsi="Times New Roman" w:eastAsia="黑体"/>
          <w:color w:val="auto"/>
          <w:sz w:val="30"/>
          <w:szCs w:val="30"/>
          <w:highlight w:val="none"/>
        </w:rPr>
        <w:t>建设项目基本情况</w:t>
      </w:r>
      <w:bookmarkEnd w:id="0"/>
    </w:p>
    <w:tbl>
      <w:tblPr>
        <w:tblStyle w:val="23"/>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80"/>
        <w:gridCol w:w="2250"/>
        <w:gridCol w:w="2317"/>
        <w:gridCol w:w="3620"/>
      </w:tblGrid>
      <w:tr w14:paraId="2DD4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71197BB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建设项目名称</w:t>
            </w:r>
          </w:p>
        </w:tc>
        <w:tc>
          <w:tcPr>
            <w:tcW w:w="4417" w:type="pct"/>
            <w:gridSpan w:val="3"/>
            <w:vAlign w:val="center"/>
          </w:tcPr>
          <w:p w14:paraId="409E5BA6">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汽车冲焊零部件加工项目</w:t>
            </w:r>
          </w:p>
        </w:tc>
      </w:tr>
      <w:tr w14:paraId="6E27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2D28C92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项目代码</w:t>
            </w:r>
          </w:p>
        </w:tc>
        <w:tc>
          <w:tcPr>
            <w:tcW w:w="4417" w:type="pct"/>
            <w:gridSpan w:val="3"/>
            <w:vAlign w:val="center"/>
          </w:tcPr>
          <w:p w14:paraId="518B256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default" w:ascii="Times New Roman" w:hAnsi="Times New Roman" w:cs="Times New Roman"/>
                <w:sz w:val="24"/>
                <w:szCs w:val="36"/>
                <w:highlight w:val="none"/>
                <w:lang w:eastAsia="zh-CN"/>
              </w:rPr>
              <w:t>2411-500107-04-05-663054</w:t>
            </w:r>
          </w:p>
        </w:tc>
      </w:tr>
      <w:tr w14:paraId="6591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5C16282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建设单位联系人</w:t>
            </w:r>
          </w:p>
        </w:tc>
        <w:tc>
          <w:tcPr>
            <w:tcW w:w="1213" w:type="pct"/>
            <w:vAlign w:val="center"/>
          </w:tcPr>
          <w:p w14:paraId="34A19EAA">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陈勇</w:t>
            </w:r>
          </w:p>
        </w:tc>
        <w:tc>
          <w:tcPr>
            <w:tcW w:w="1250" w:type="pct"/>
            <w:vAlign w:val="center"/>
          </w:tcPr>
          <w:p w14:paraId="05D8AA0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联系方式</w:t>
            </w:r>
          </w:p>
        </w:tc>
        <w:tc>
          <w:tcPr>
            <w:tcW w:w="1953" w:type="pct"/>
            <w:vAlign w:val="center"/>
          </w:tcPr>
          <w:p w14:paraId="534EF0FC">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13330287808</w:t>
            </w:r>
          </w:p>
        </w:tc>
      </w:tr>
      <w:tr w14:paraId="1878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41C8B670">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建设地点</w:t>
            </w:r>
          </w:p>
        </w:tc>
        <w:tc>
          <w:tcPr>
            <w:tcW w:w="4417" w:type="pct"/>
            <w:gridSpan w:val="3"/>
            <w:vAlign w:val="center"/>
          </w:tcPr>
          <w:p w14:paraId="6962038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重庆市九龙坡区西彭镇森迪大道1号</w:t>
            </w:r>
          </w:p>
        </w:tc>
      </w:tr>
      <w:tr w14:paraId="110C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391AE5A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地理坐标</w:t>
            </w:r>
          </w:p>
        </w:tc>
        <w:tc>
          <w:tcPr>
            <w:tcW w:w="4417" w:type="pct"/>
            <w:gridSpan w:val="3"/>
            <w:vAlign w:val="center"/>
          </w:tcPr>
          <w:p w14:paraId="77A72053">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（N 29度19分28.7184秒，E 106度19分6.7105秒）</w:t>
            </w:r>
          </w:p>
        </w:tc>
      </w:tr>
      <w:tr w14:paraId="1F2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4D5EF3EA">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国民经济</w:t>
            </w:r>
          </w:p>
          <w:p w14:paraId="1F154EFE">
            <w:pPr>
              <w:keepNext w:val="0"/>
              <w:keepLines w:val="0"/>
              <w:pageBreakBefore w:val="0"/>
              <w:widowControl w:val="0"/>
              <w:kinsoku/>
              <w:wordWrap/>
              <w:overflowPunct/>
              <w:topLinePunct w:val="0"/>
              <w:autoSpaceDE/>
              <w:autoSpaceDN/>
              <w:bidi w:val="0"/>
              <w:adjustRightInd/>
              <w:snapToGrid/>
              <w:spacing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行业类别</w:t>
            </w:r>
          </w:p>
        </w:tc>
        <w:tc>
          <w:tcPr>
            <w:tcW w:w="1213" w:type="pct"/>
            <w:vAlign w:val="center"/>
          </w:tcPr>
          <w:p w14:paraId="7CFBC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C3360金属表面处理及热处理加工；</w:t>
            </w:r>
          </w:p>
          <w:p w14:paraId="53D03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FF0000"/>
                <w:sz w:val="24"/>
                <w:szCs w:val="24"/>
                <w:highlight w:val="none"/>
                <w:vertAlign w:val="baseline"/>
                <w:lang w:val="en-US" w:eastAsia="zh-CN"/>
              </w:rPr>
              <w:t>C3670汽车零部件及配件制造</w:t>
            </w:r>
          </w:p>
        </w:tc>
        <w:tc>
          <w:tcPr>
            <w:tcW w:w="1250" w:type="pct"/>
            <w:vAlign w:val="center"/>
          </w:tcPr>
          <w:p w14:paraId="1C9EAE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建设项目</w:t>
            </w:r>
          </w:p>
          <w:p w14:paraId="3326F5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行业类别</w:t>
            </w:r>
          </w:p>
        </w:tc>
        <w:tc>
          <w:tcPr>
            <w:tcW w:w="1953" w:type="pct"/>
            <w:vAlign w:val="center"/>
          </w:tcPr>
          <w:p w14:paraId="2C28C9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三十、金属制品业 67 金属表面处理及热处理加工；</w:t>
            </w:r>
            <w:r>
              <w:rPr>
                <w:rFonts w:hint="eastAsia" w:ascii="Times New Roman" w:hAnsi="Times New Roman" w:eastAsia="宋体"/>
                <w:color w:val="FF0000"/>
                <w:sz w:val="24"/>
                <w:szCs w:val="24"/>
                <w:highlight w:val="none"/>
                <w:vertAlign w:val="baseline"/>
                <w:lang w:val="en-US" w:eastAsia="zh-CN"/>
              </w:rPr>
              <w:t>三十三、汽车制造业 71 汽车零部件及配件制造</w:t>
            </w:r>
          </w:p>
        </w:tc>
      </w:tr>
      <w:tr w14:paraId="161E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4734D8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建设性质</w:t>
            </w:r>
          </w:p>
        </w:tc>
        <w:tc>
          <w:tcPr>
            <w:tcW w:w="1213" w:type="pct"/>
            <w:vAlign w:val="center"/>
          </w:tcPr>
          <w:p w14:paraId="2E3DF33F">
            <w:pPr>
              <w:keepNext w:val="0"/>
              <w:keepLines w:val="0"/>
              <w:pageBreakBefore w:val="0"/>
              <w:widowControl w:val="0"/>
              <w:kinsoku/>
              <w:wordWrap/>
              <w:overflowPunct/>
              <w:topLinePunct w:val="0"/>
              <w:autoSpaceDE/>
              <w:autoSpaceDN/>
              <w:bidi w:val="0"/>
              <w:adjustRightInd/>
              <w:snapToGrid/>
              <w:spacing w:before="48" w:beforeLines="15"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新建（迁建）</w:t>
            </w:r>
          </w:p>
          <w:p w14:paraId="52BBFF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改建</w:t>
            </w:r>
          </w:p>
          <w:p w14:paraId="69CE7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52"/>
            </w:r>
            <w:r>
              <w:rPr>
                <w:rFonts w:hint="eastAsia" w:ascii="Times New Roman" w:hAnsi="Times New Roman" w:eastAsia="宋体"/>
                <w:color w:val="auto"/>
                <w:sz w:val="24"/>
                <w:szCs w:val="24"/>
                <w:highlight w:val="none"/>
                <w:vertAlign w:val="baseline"/>
                <w:lang w:val="en-US" w:eastAsia="zh-CN"/>
              </w:rPr>
              <w:t>扩建</w:t>
            </w:r>
          </w:p>
          <w:p w14:paraId="23B34143">
            <w:pPr>
              <w:keepNext w:val="0"/>
              <w:keepLines w:val="0"/>
              <w:pageBreakBefore w:val="0"/>
              <w:widowControl w:val="0"/>
              <w:kinsoku/>
              <w:wordWrap/>
              <w:overflowPunct/>
              <w:topLinePunct w:val="0"/>
              <w:autoSpaceDE/>
              <w:autoSpaceDN/>
              <w:bidi w:val="0"/>
              <w:adjustRightInd/>
              <w:snapToGrid/>
              <w:spacing w:after="48" w:afterLines="15"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技术改造</w:t>
            </w:r>
          </w:p>
        </w:tc>
        <w:tc>
          <w:tcPr>
            <w:tcW w:w="1250" w:type="pct"/>
            <w:vAlign w:val="center"/>
          </w:tcPr>
          <w:p w14:paraId="03D81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建设项目</w:t>
            </w:r>
          </w:p>
          <w:p w14:paraId="0C7D42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申报情形</w:t>
            </w:r>
          </w:p>
        </w:tc>
        <w:tc>
          <w:tcPr>
            <w:tcW w:w="1953" w:type="pct"/>
            <w:vAlign w:val="center"/>
          </w:tcPr>
          <w:p w14:paraId="4B9BB4B8">
            <w:pPr>
              <w:keepNext w:val="0"/>
              <w:keepLines w:val="0"/>
              <w:pageBreakBefore w:val="0"/>
              <w:widowControl w:val="0"/>
              <w:kinsoku/>
              <w:wordWrap/>
              <w:overflowPunct/>
              <w:topLinePunct w:val="0"/>
              <w:autoSpaceDE/>
              <w:autoSpaceDN/>
              <w:bidi w:val="0"/>
              <w:adjustRightInd/>
              <w:snapToGrid/>
              <w:spacing w:before="32" w:beforeLines="10"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52"/>
            </w:r>
            <w:r>
              <w:rPr>
                <w:rFonts w:hint="eastAsia" w:ascii="Times New Roman" w:hAnsi="Times New Roman" w:eastAsia="宋体"/>
                <w:color w:val="auto"/>
                <w:sz w:val="24"/>
                <w:szCs w:val="24"/>
                <w:highlight w:val="none"/>
                <w:vertAlign w:val="baseline"/>
                <w:lang w:val="en-US" w:eastAsia="zh-CN"/>
              </w:rPr>
              <w:t>首次申报项目</w:t>
            </w:r>
          </w:p>
          <w:p w14:paraId="617F29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不予批准后再次申报项目</w:t>
            </w:r>
          </w:p>
          <w:p w14:paraId="1C0E66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超五年重新审核项目</w:t>
            </w:r>
          </w:p>
          <w:p w14:paraId="15E3BFB3">
            <w:pPr>
              <w:keepNext w:val="0"/>
              <w:keepLines w:val="0"/>
              <w:pageBreakBefore w:val="0"/>
              <w:widowControl w:val="0"/>
              <w:kinsoku/>
              <w:wordWrap/>
              <w:overflowPunct/>
              <w:topLinePunct w:val="0"/>
              <w:autoSpaceDE/>
              <w:autoSpaceDN/>
              <w:bidi w:val="0"/>
              <w:adjustRightInd/>
              <w:snapToGrid/>
              <w:spacing w:after="32" w:afterLines="10" w:line="360" w:lineRule="auto"/>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重大变动重新报批项目</w:t>
            </w:r>
          </w:p>
        </w:tc>
      </w:tr>
      <w:tr w14:paraId="413F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153CE57E">
            <w:pPr>
              <w:keepNext w:val="0"/>
              <w:keepLines w:val="0"/>
              <w:pageBreakBefore w:val="0"/>
              <w:widowControl w:val="0"/>
              <w:kinsoku/>
              <w:wordWrap/>
              <w:overflowPunct/>
              <w:topLinePunct w:val="0"/>
              <w:autoSpaceDE/>
              <w:autoSpaceDN/>
              <w:bidi w:val="0"/>
              <w:adjustRightInd/>
              <w:snapToGrid/>
              <w:spacing w:before="48" w:beforeLines="15"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项目审批（核准/</w:t>
            </w:r>
          </w:p>
          <w:p w14:paraId="3208EFF2">
            <w:pPr>
              <w:keepNext w:val="0"/>
              <w:keepLines w:val="0"/>
              <w:pageBreakBefore w:val="0"/>
              <w:widowControl w:val="0"/>
              <w:kinsoku/>
              <w:wordWrap/>
              <w:overflowPunct/>
              <w:topLinePunct w:val="0"/>
              <w:autoSpaceDE/>
              <w:autoSpaceDN/>
              <w:bidi w:val="0"/>
              <w:adjustRightInd/>
              <w:snapToGrid/>
              <w:spacing w:after="48" w:afterLines="15"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备案）部门（选填）</w:t>
            </w:r>
          </w:p>
        </w:tc>
        <w:tc>
          <w:tcPr>
            <w:tcW w:w="1213" w:type="pct"/>
            <w:vAlign w:val="center"/>
          </w:tcPr>
          <w:p w14:paraId="4DC3ACBD">
            <w:pPr>
              <w:keepNext w:val="0"/>
              <w:keepLines w:val="0"/>
              <w:pageBreakBefore w:val="0"/>
              <w:widowControl w:val="0"/>
              <w:kinsoku/>
              <w:wordWrap/>
              <w:overflowPunct/>
              <w:topLinePunct w:val="0"/>
              <w:autoSpaceDE/>
              <w:autoSpaceDN/>
              <w:bidi w:val="0"/>
              <w:adjustRightInd/>
              <w:snapToGrid/>
              <w:spacing w:before="48" w:beforeLines="15" w:after="48" w:afterLines="15"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重庆市九龙坡区发展和改革委员会</w:t>
            </w:r>
          </w:p>
        </w:tc>
        <w:tc>
          <w:tcPr>
            <w:tcW w:w="1250" w:type="pct"/>
            <w:vAlign w:val="center"/>
          </w:tcPr>
          <w:p w14:paraId="33C4414B">
            <w:pPr>
              <w:keepNext w:val="0"/>
              <w:keepLines w:val="0"/>
              <w:pageBreakBefore w:val="0"/>
              <w:widowControl w:val="0"/>
              <w:kinsoku/>
              <w:wordWrap/>
              <w:overflowPunct/>
              <w:topLinePunct w:val="0"/>
              <w:autoSpaceDE/>
              <w:autoSpaceDN/>
              <w:bidi w:val="0"/>
              <w:adjustRightInd/>
              <w:snapToGrid/>
              <w:spacing w:before="32" w:beforeLines="1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项目审批（核准/</w:t>
            </w:r>
          </w:p>
          <w:p w14:paraId="2EA6854C">
            <w:pPr>
              <w:keepNext w:val="0"/>
              <w:keepLines w:val="0"/>
              <w:pageBreakBefore w:val="0"/>
              <w:widowControl w:val="0"/>
              <w:kinsoku/>
              <w:wordWrap/>
              <w:overflowPunct/>
              <w:topLinePunct w:val="0"/>
              <w:autoSpaceDE/>
              <w:autoSpaceDN/>
              <w:bidi w:val="0"/>
              <w:adjustRightInd/>
              <w:snapToGrid/>
              <w:spacing w:after="32" w:afterLines="1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备案）文号（选填）</w:t>
            </w:r>
          </w:p>
        </w:tc>
        <w:tc>
          <w:tcPr>
            <w:tcW w:w="1953" w:type="pct"/>
            <w:vAlign w:val="center"/>
          </w:tcPr>
          <w:p w14:paraId="4906E0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default" w:ascii="Times New Roman" w:hAnsi="Times New Roman" w:cs="Times New Roman"/>
                <w:sz w:val="24"/>
                <w:szCs w:val="36"/>
                <w:highlight w:val="none"/>
                <w:lang w:eastAsia="zh-CN"/>
              </w:rPr>
              <w:t>2411-500107-04-05-663054</w:t>
            </w:r>
          </w:p>
        </w:tc>
      </w:tr>
      <w:tr w14:paraId="53EA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0D315EB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总投资（万元）</w:t>
            </w:r>
          </w:p>
        </w:tc>
        <w:tc>
          <w:tcPr>
            <w:tcW w:w="1213" w:type="pct"/>
            <w:vAlign w:val="center"/>
          </w:tcPr>
          <w:p w14:paraId="184477BF">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100</w:t>
            </w:r>
          </w:p>
        </w:tc>
        <w:tc>
          <w:tcPr>
            <w:tcW w:w="1250" w:type="pct"/>
            <w:vAlign w:val="center"/>
          </w:tcPr>
          <w:p w14:paraId="7240B185">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环保投资（万元）</w:t>
            </w:r>
          </w:p>
        </w:tc>
        <w:tc>
          <w:tcPr>
            <w:tcW w:w="1953" w:type="pct"/>
            <w:vAlign w:val="center"/>
          </w:tcPr>
          <w:p w14:paraId="369BF55B">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15</w:t>
            </w:r>
          </w:p>
        </w:tc>
      </w:tr>
      <w:tr w14:paraId="6991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5CF3A7C9">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环保投资占比（%）</w:t>
            </w:r>
          </w:p>
        </w:tc>
        <w:tc>
          <w:tcPr>
            <w:tcW w:w="1213" w:type="pct"/>
            <w:vAlign w:val="center"/>
          </w:tcPr>
          <w:p w14:paraId="0CCEBB3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15</w:t>
            </w:r>
          </w:p>
        </w:tc>
        <w:tc>
          <w:tcPr>
            <w:tcW w:w="1250" w:type="pct"/>
            <w:vAlign w:val="center"/>
          </w:tcPr>
          <w:p w14:paraId="1396FA7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施工工期</w:t>
            </w:r>
          </w:p>
        </w:tc>
        <w:tc>
          <w:tcPr>
            <w:tcW w:w="1953" w:type="pct"/>
            <w:vAlign w:val="center"/>
          </w:tcPr>
          <w:p w14:paraId="1181B8B7">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1个月</w:t>
            </w:r>
          </w:p>
        </w:tc>
      </w:tr>
      <w:tr w14:paraId="6669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6" w:hRule="atLeast"/>
        </w:trPr>
        <w:tc>
          <w:tcPr>
            <w:tcW w:w="582" w:type="pct"/>
            <w:vAlign w:val="center"/>
          </w:tcPr>
          <w:p w14:paraId="334EF8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是否开工建设</w:t>
            </w:r>
          </w:p>
        </w:tc>
        <w:tc>
          <w:tcPr>
            <w:tcW w:w="1213" w:type="pct"/>
            <w:vAlign w:val="center"/>
          </w:tcPr>
          <w:p w14:paraId="662CE82C">
            <w:pPr>
              <w:keepNext w:val="0"/>
              <w:keepLines w:val="0"/>
              <w:pageBreakBefore w:val="0"/>
              <w:widowControl w:val="0"/>
              <w:kinsoku/>
              <w:wordWrap/>
              <w:overflowPunct/>
              <w:topLinePunct w:val="0"/>
              <w:autoSpaceDE/>
              <w:autoSpaceDN/>
              <w:bidi w:val="0"/>
              <w:adjustRightInd/>
              <w:snapToGrid/>
              <w:spacing w:before="48" w:beforeLines="15"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52"/>
            </w:r>
            <w:r>
              <w:rPr>
                <w:rFonts w:hint="eastAsia" w:ascii="Times New Roman" w:hAnsi="Times New Roman" w:eastAsia="宋体"/>
                <w:color w:val="auto"/>
                <w:sz w:val="24"/>
                <w:szCs w:val="24"/>
                <w:highlight w:val="none"/>
                <w:vertAlign w:val="baseline"/>
                <w:lang w:val="en-US" w:eastAsia="zh-CN"/>
              </w:rPr>
              <w:t>否</w:t>
            </w:r>
          </w:p>
          <w:p w14:paraId="2CC63D7D">
            <w:pPr>
              <w:keepNext w:val="0"/>
              <w:keepLines w:val="0"/>
              <w:pageBreakBefore w:val="0"/>
              <w:widowControl w:val="0"/>
              <w:kinsoku/>
              <w:wordWrap/>
              <w:overflowPunct/>
              <w:topLinePunct w:val="0"/>
              <w:autoSpaceDE/>
              <w:autoSpaceDN/>
              <w:bidi w:val="0"/>
              <w:adjustRightInd/>
              <w:snapToGrid/>
              <w:spacing w:after="48" w:afterLines="15" w:line="360" w:lineRule="auto"/>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sym w:font="Wingdings 2" w:char="00A3"/>
            </w:r>
            <w:r>
              <w:rPr>
                <w:rFonts w:hint="eastAsia" w:ascii="Times New Roman" w:hAnsi="Times New Roman" w:eastAsia="宋体"/>
                <w:color w:val="auto"/>
                <w:sz w:val="24"/>
                <w:szCs w:val="24"/>
                <w:highlight w:val="none"/>
                <w:vertAlign w:val="baseline"/>
                <w:lang w:val="en-US" w:eastAsia="zh-CN"/>
              </w:rPr>
              <w:t>是</w:t>
            </w:r>
          </w:p>
        </w:tc>
        <w:tc>
          <w:tcPr>
            <w:tcW w:w="1250" w:type="pct"/>
            <w:vAlign w:val="center"/>
          </w:tcPr>
          <w:p w14:paraId="161DB174">
            <w:pPr>
              <w:keepNext w:val="0"/>
              <w:keepLines w:val="0"/>
              <w:pageBreakBefore w:val="0"/>
              <w:widowControl w:val="0"/>
              <w:kinsoku/>
              <w:wordWrap/>
              <w:overflowPunct/>
              <w:topLinePunct w:val="0"/>
              <w:autoSpaceDE/>
              <w:autoSpaceDN/>
              <w:bidi w:val="0"/>
              <w:adjustRightInd/>
              <w:snapToGrid/>
              <w:spacing w:before="48" w:beforeLines="15"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用地（用海）</w:t>
            </w:r>
          </w:p>
          <w:p w14:paraId="43D455F9">
            <w:pPr>
              <w:keepNext w:val="0"/>
              <w:keepLines w:val="0"/>
              <w:pageBreakBefore w:val="0"/>
              <w:widowControl w:val="0"/>
              <w:kinsoku/>
              <w:wordWrap/>
              <w:overflowPunct/>
              <w:topLinePunct w:val="0"/>
              <w:autoSpaceDE/>
              <w:autoSpaceDN/>
              <w:bidi w:val="0"/>
              <w:adjustRightInd/>
              <w:snapToGrid/>
              <w:spacing w:after="48" w:afterLines="15"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面积（m</w:t>
            </w:r>
            <w:r>
              <w:rPr>
                <w:rFonts w:hint="eastAsia" w:ascii="Times New Roman" w:hAnsi="Times New Roman" w:eastAsia="宋体"/>
                <w:b/>
                <w:bCs/>
                <w:color w:val="auto"/>
                <w:sz w:val="24"/>
                <w:szCs w:val="24"/>
                <w:highlight w:val="none"/>
                <w:vertAlign w:val="superscript"/>
                <w:lang w:val="en-US" w:eastAsia="zh-CN"/>
              </w:rPr>
              <w:t>2</w:t>
            </w:r>
            <w:r>
              <w:rPr>
                <w:rFonts w:hint="eastAsia" w:ascii="Times New Roman" w:hAnsi="Times New Roman" w:eastAsia="宋体"/>
                <w:b/>
                <w:bCs/>
                <w:color w:val="auto"/>
                <w:sz w:val="24"/>
                <w:szCs w:val="24"/>
                <w:highlight w:val="none"/>
                <w:vertAlign w:val="baseline"/>
                <w:lang w:val="en-US" w:eastAsia="zh-CN"/>
              </w:rPr>
              <w:t>）</w:t>
            </w:r>
          </w:p>
        </w:tc>
        <w:tc>
          <w:tcPr>
            <w:tcW w:w="1953" w:type="pct"/>
            <w:vAlign w:val="center"/>
          </w:tcPr>
          <w:p w14:paraId="721EE1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500m</w:t>
            </w:r>
            <w:r>
              <w:rPr>
                <w:rFonts w:hint="eastAsia" w:ascii="Times New Roman" w:hAnsi="Times New Roman" w:eastAsia="宋体"/>
                <w:color w:val="auto"/>
                <w:sz w:val="24"/>
                <w:szCs w:val="24"/>
                <w:highlight w:val="none"/>
                <w:vertAlign w:val="superscript"/>
                <w:lang w:val="en-US" w:eastAsia="zh-CN"/>
              </w:rPr>
              <w:t>2</w:t>
            </w:r>
          </w:p>
        </w:tc>
      </w:tr>
      <w:tr w14:paraId="2955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7407C3C2">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专项评价设置情况</w:t>
            </w:r>
          </w:p>
        </w:tc>
        <w:tc>
          <w:tcPr>
            <w:tcW w:w="4417" w:type="pct"/>
            <w:gridSpan w:val="3"/>
            <w:vAlign w:val="center"/>
          </w:tcPr>
          <w:p w14:paraId="014A9D6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eastAsia"/>
                <w:color w:val="000000" w:themeColor="text1"/>
                <w:sz w:val="24"/>
                <w:szCs w:val="24"/>
                <w:shd w:val="clear" w:color="auto" w:fill="auto"/>
                <w:lang w:eastAsia="zh-CN"/>
                <w14:textFill>
                  <w14:solidFill>
                    <w14:schemeClr w14:val="tx1"/>
                  </w14:solidFill>
                </w14:textFill>
              </w:rPr>
            </w:pPr>
            <w:r>
              <w:rPr>
                <w:rFonts w:hint="default" w:ascii="Times New Roman" w:hAnsi="Times New Roman" w:cs="Times New Roman"/>
                <w:color w:val="000000" w:themeColor="text1"/>
                <w:sz w:val="24"/>
                <w:szCs w:val="24"/>
                <w:shd w:val="clear" w:color="auto" w:fill="auto"/>
                <w:lang w:val="en-US" w:eastAsia="zh-CN"/>
                <w14:textFill>
                  <w14:solidFill>
                    <w14:schemeClr w14:val="tx1"/>
                  </w14:solidFill>
                </w14:textFill>
              </w:rPr>
              <w:t>对照《建设项目环境影响报告表编制技术指南（污染影响类）（试行）</w:t>
            </w:r>
            <w:r>
              <w:rPr>
                <w:rFonts w:hint="default" w:ascii="Times New Roman" w:hAnsi="Times New Roman" w:cs="Times New Roman"/>
                <w:color w:val="000000" w:themeColor="text1"/>
                <w:sz w:val="24"/>
                <w:szCs w:val="24"/>
                <w:shd w:val="clear" w:color="auto" w:fill="auto"/>
                <w:lang w:eastAsia="zh-CN"/>
                <w14:textFill>
                  <w14:solidFill>
                    <w14:schemeClr w14:val="tx1"/>
                  </w14:solidFill>
                </w14:textFill>
              </w:rPr>
              <w:t>》（详见表</w:t>
            </w:r>
            <w:r>
              <w:rPr>
                <w:rFonts w:hint="default" w:ascii="Times New Roman" w:hAnsi="Times New Roman" w:cs="Times New Roman"/>
                <w:color w:val="000000" w:themeColor="text1"/>
                <w:sz w:val="24"/>
                <w:szCs w:val="24"/>
                <w:shd w:val="clear" w:color="auto" w:fill="auto"/>
                <w:lang w:val="en-US" w:eastAsia="zh-CN"/>
                <w14:textFill>
                  <w14:solidFill>
                    <w14:schemeClr w14:val="tx1"/>
                  </w14:solidFill>
                </w14:textFill>
              </w:rPr>
              <w:t>1-1</w:t>
            </w:r>
            <w:r>
              <w:rPr>
                <w:rFonts w:hint="default" w:ascii="Times New Roman" w:hAnsi="Times New Roman" w:cs="Times New Roman"/>
                <w:color w:val="000000" w:themeColor="text1"/>
                <w:sz w:val="24"/>
                <w:szCs w:val="24"/>
                <w:shd w:val="clear" w:color="auto" w:fill="auto"/>
                <w:lang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auto"/>
                <w:lang w:val="en-US" w:eastAsia="zh-CN"/>
                <w14:textFill>
                  <w14:solidFill>
                    <w14:schemeClr w14:val="tx1"/>
                  </w14:solidFill>
                </w14:textFill>
              </w:rPr>
              <w:t>判断本项目环评专项评价设置情况。经分析，</w:t>
            </w:r>
            <w:r>
              <w:rPr>
                <w:rFonts w:hint="default" w:ascii="Times New Roman" w:hAnsi="Times New Roman" w:cs="Times New Roman"/>
                <w:color w:val="000000" w:themeColor="text1"/>
                <w:sz w:val="24"/>
                <w:szCs w:val="24"/>
                <w:shd w:val="clear" w:color="auto" w:fill="auto"/>
                <w:lang w:eastAsia="zh-CN"/>
                <w14:textFill>
                  <w14:solidFill>
                    <w14:schemeClr w14:val="tx1"/>
                  </w14:solidFill>
                </w14:textFill>
              </w:rPr>
              <w:t>本项目环评无需</w:t>
            </w:r>
            <w:r>
              <w:rPr>
                <w:rFonts w:hint="eastAsia"/>
                <w:color w:val="000000" w:themeColor="text1"/>
                <w:sz w:val="24"/>
                <w:szCs w:val="24"/>
                <w:shd w:val="clear" w:color="auto" w:fill="auto"/>
                <w:lang w:eastAsia="zh-CN"/>
                <w14:textFill>
                  <w14:solidFill>
                    <w14:schemeClr w14:val="tx1"/>
                  </w14:solidFill>
                </w14:textFill>
              </w:rPr>
              <w:t>设置专项评价。</w:t>
            </w:r>
          </w:p>
          <w:p w14:paraId="4DA76EDE">
            <w:pPr>
              <w:keepNext w:val="0"/>
              <w:keepLines w:val="0"/>
              <w:widowControl/>
              <w:suppressLineNumbers w:val="0"/>
              <w:spacing w:before="0" w:beforeAutospacing="0" w:after="0" w:afterAutospacing="0"/>
              <w:ind w:left="0" w:right="0"/>
              <w:jc w:val="center"/>
              <w:rPr>
                <w:rFonts w:hint="default"/>
                <w:b/>
                <w:bCs/>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kern w:val="0"/>
                <w:sz w:val="24"/>
                <w:szCs w:val="24"/>
                <w:shd w:val="clear" w:color="auto" w:fill="auto"/>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4"/>
                <w:szCs w:val="24"/>
                <w:shd w:val="clear" w:color="auto" w:fill="auto"/>
                <w:lang w:val="en-US" w:eastAsia="zh-CN" w:bidi="ar"/>
                <w14:textFill>
                  <w14:solidFill>
                    <w14:schemeClr w14:val="tx1"/>
                  </w14:solidFill>
                </w14:textFill>
              </w:rPr>
              <w:t>1-1</w:t>
            </w:r>
            <w:r>
              <w:rPr>
                <w:rFonts w:hint="eastAsia" w:ascii="宋体" w:hAnsi="宋体" w:eastAsia="宋体" w:cs="宋体"/>
                <w:b/>
                <w:bCs/>
                <w:color w:val="000000" w:themeColor="text1"/>
                <w:kern w:val="0"/>
                <w:sz w:val="24"/>
                <w:szCs w:val="24"/>
                <w:shd w:val="clear" w:color="auto" w:fill="auto"/>
                <w:lang w:val="en-US" w:eastAsia="zh-CN" w:bidi="ar"/>
                <w14:textFill>
                  <w14:solidFill>
                    <w14:schemeClr w14:val="tx1"/>
                  </w14:solidFill>
                </w14:textFill>
              </w:rPr>
              <w:t>专项评价设置原则对照表</w:t>
            </w:r>
          </w:p>
          <w:tbl>
            <w:tblPr>
              <w:tblStyle w:val="23"/>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000"/>
              <w:gridCol w:w="2505"/>
              <w:gridCol w:w="1305"/>
            </w:tblGrid>
            <w:tr w14:paraId="3452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6A8EF08">
                  <w:pPr>
                    <w:pStyle w:val="2"/>
                    <w:keepLines w:val="0"/>
                    <w:suppressLineNumbers w:val="0"/>
                    <w:spacing w:beforeAutospacing="0" w:afterAutospacing="0"/>
                    <w:ind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类别</w:t>
                  </w:r>
                </w:p>
              </w:tc>
              <w:tc>
                <w:tcPr>
                  <w:tcW w:w="3000" w:type="dxa"/>
                  <w:vAlign w:val="center"/>
                </w:tcPr>
                <w:p w14:paraId="39815D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shd w:val="clear" w:color="auto" w:fill="auto"/>
                      <w:lang w:val="en-US" w:eastAsia="zh-CN" w:bidi="ar"/>
                      <w14:textFill>
                        <w14:solidFill>
                          <w14:schemeClr w14:val="tx1"/>
                        </w14:solidFill>
                      </w14:textFill>
                    </w:rPr>
                    <w:t>设置原则</w:t>
                  </w:r>
                </w:p>
              </w:tc>
              <w:tc>
                <w:tcPr>
                  <w:tcW w:w="2505" w:type="dxa"/>
                  <w:vAlign w:val="center"/>
                </w:tcPr>
                <w:p w14:paraId="04E81E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shd w:val="clear" w:color="auto" w:fill="auto"/>
                      <w:lang w:val="en-US" w:eastAsia="zh-CN" w:bidi="ar"/>
                      <w14:textFill>
                        <w14:solidFill>
                          <w14:schemeClr w14:val="tx1"/>
                        </w14:solidFill>
                      </w14:textFill>
                    </w:rPr>
                    <w:t>拟建项目情况</w:t>
                  </w:r>
                </w:p>
              </w:tc>
              <w:tc>
                <w:tcPr>
                  <w:tcW w:w="1305" w:type="dxa"/>
                  <w:vAlign w:val="center"/>
                </w:tcPr>
                <w:p w14:paraId="25F4EC49">
                  <w:pPr>
                    <w:pStyle w:val="2"/>
                    <w:keepLines w:val="0"/>
                    <w:suppressLineNumbers w:val="0"/>
                    <w:spacing w:beforeAutospacing="0" w:afterAutospacing="0"/>
                    <w:ind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是否设置</w:t>
                  </w:r>
                </w:p>
              </w:tc>
            </w:tr>
            <w:tr w14:paraId="23A7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517F0018">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大气</w:t>
                  </w:r>
                </w:p>
              </w:tc>
              <w:tc>
                <w:tcPr>
                  <w:tcW w:w="3000" w:type="dxa"/>
                  <w:vAlign w:val="center"/>
                </w:tcPr>
                <w:p w14:paraId="46330B4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排放</w:t>
                  </w:r>
                  <w:r>
                    <w:rPr>
                      <w:rFonts w:hint="eastAsia" w:cs="Times New Roman"/>
                      <w:color w:val="000000" w:themeColor="text1"/>
                      <w:kern w:val="0"/>
                      <w:sz w:val="21"/>
                      <w:szCs w:val="21"/>
                      <w:shd w:val="clear" w:color="auto" w:fill="auto"/>
                      <w:lang w:val="en-US" w:eastAsia="zh-CN" w:bidi="ar"/>
                      <w14:textFill>
                        <w14:solidFill>
                          <w14:schemeClr w14:val="tx1"/>
                        </w14:solidFill>
                      </w14:textFill>
                    </w:rPr>
                    <w:t>废气</w:t>
                  </w: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含有毒有害污染物、</w:t>
                  </w:r>
                  <w:r>
                    <w:rPr>
                      <w:rFonts w:hint="eastAsia" w:cs="Times New Roman"/>
                      <w:color w:val="000000" w:themeColor="text1"/>
                      <w:kern w:val="0"/>
                      <w:sz w:val="21"/>
                      <w:szCs w:val="21"/>
                      <w:shd w:val="clear" w:color="auto" w:fill="auto"/>
                      <w:lang w:val="en-US" w:eastAsia="zh-CN" w:bidi="ar"/>
                      <w14:textFill>
                        <w14:solidFill>
                          <w14:schemeClr w14:val="tx1"/>
                        </w14:solidFill>
                      </w14:textFill>
                    </w:rPr>
                    <w:t>二噁英</w:t>
                  </w: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、苯并[a]芘、氰化物、氯气且厂界外500米范围内有环境空气保护目标的建设项目</w:t>
                  </w:r>
                </w:p>
              </w:tc>
              <w:tc>
                <w:tcPr>
                  <w:tcW w:w="2505" w:type="dxa"/>
                  <w:vAlign w:val="center"/>
                </w:tcPr>
                <w:p w14:paraId="36A0DEA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本项目不排放入《有毒有害大气污染物名录》中的有毒有害污染物</w:t>
                  </w:r>
                </w:p>
              </w:tc>
              <w:tc>
                <w:tcPr>
                  <w:tcW w:w="1305" w:type="dxa"/>
                  <w:vAlign w:val="center"/>
                </w:tcPr>
                <w:p w14:paraId="0891D9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不设专项评价</w:t>
                  </w:r>
                </w:p>
              </w:tc>
            </w:tr>
            <w:tr w14:paraId="4B30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Align w:val="center"/>
                </w:tcPr>
                <w:p w14:paraId="3104766D">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地表水</w:t>
                  </w:r>
                </w:p>
              </w:tc>
              <w:tc>
                <w:tcPr>
                  <w:tcW w:w="3000" w:type="dxa"/>
                  <w:vAlign w:val="center"/>
                </w:tcPr>
                <w:p w14:paraId="446A17D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新增工业废水直排建设项目</w:t>
                  </w:r>
                  <w:r>
                    <w:rPr>
                      <w:rFonts w:hint="eastAsia"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槽罐车外送污水处理厂的除外</w:t>
                  </w:r>
                  <w:r>
                    <w:rPr>
                      <w:rFonts w:hint="eastAsia"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；新增废水直排的污水集中处理厂</w:t>
                  </w:r>
                </w:p>
              </w:tc>
              <w:tc>
                <w:tcPr>
                  <w:tcW w:w="2505" w:type="dxa"/>
                  <w:vAlign w:val="center"/>
                </w:tcPr>
                <w:p w14:paraId="30E197A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z w:val="21"/>
                      <w:szCs w:val="21"/>
                      <w:shd w:val="clear" w:color="auto" w:fill="auto"/>
                      <w:vertAlign w:val="baseline"/>
                      <w:lang w:val="en-US"/>
                      <w14:textFill>
                        <w14:solidFill>
                          <w14:schemeClr w14:val="tx1"/>
                        </w14:solidFill>
                      </w14:textFill>
                    </w:rPr>
                  </w:pPr>
                  <w:r>
                    <w:rPr>
                      <w:rFonts w:hint="eastAsia" w:cs="Times New Roman"/>
                      <w:color w:val="000000" w:themeColor="text1"/>
                      <w:sz w:val="21"/>
                      <w:szCs w:val="21"/>
                      <w:shd w:val="clear" w:color="auto" w:fill="auto"/>
                      <w:lang w:val="en-US" w:eastAsia="zh-CN"/>
                      <w14:textFill>
                        <w14:solidFill>
                          <w14:schemeClr w14:val="tx1"/>
                        </w14:solidFill>
                      </w14:textFill>
                    </w:rPr>
                    <w:t>项目废水经预处理达标后通过污水管网进入园区污水处理厂深度处理达标后外排，</w:t>
                  </w:r>
                  <w:r>
                    <w:rPr>
                      <w:rFonts w:hint="eastAsia" w:cs="Times New Roman"/>
                      <w:b w:val="0"/>
                      <w:bCs w:val="0"/>
                      <w:color w:val="000000" w:themeColor="text1"/>
                      <w:kern w:val="0"/>
                      <w:sz w:val="21"/>
                      <w:szCs w:val="21"/>
                      <w:shd w:val="clear" w:color="auto" w:fill="auto"/>
                      <w:lang w:val="en-US" w:eastAsia="zh-CN" w:bidi="ar"/>
                      <w14:textFill>
                        <w14:solidFill>
                          <w14:schemeClr w14:val="tx1"/>
                        </w14:solidFill>
                      </w14:textFill>
                    </w:rPr>
                    <w:t>属于间接排放建设项目。</w:t>
                  </w:r>
                </w:p>
              </w:tc>
              <w:tc>
                <w:tcPr>
                  <w:tcW w:w="1305" w:type="dxa"/>
                  <w:vAlign w:val="center"/>
                </w:tcPr>
                <w:p w14:paraId="70ED655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不设专项评价</w:t>
                  </w:r>
                </w:p>
              </w:tc>
            </w:tr>
            <w:tr w14:paraId="74F4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67AB4380">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环境风险</w:t>
                  </w:r>
                </w:p>
              </w:tc>
              <w:tc>
                <w:tcPr>
                  <w:tcW w:w="3000" w:type="dxa"/>
                  <w:vAlign w:val="center"/>
                </w:tcPr>
                <w:p w14:paraId="10451C1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有毒有害和易燃易爆危险物质存储量超过临界量的建设项目</w:t>
                  </w:r>
                </w:p>
              </w:tc>
              <w:tc>
                <w:tcPr>
                  <w:tcW w:w="2505" w:type="dxa"/>
                  <w:vAlign w:val="center"/>
                </w:tcPr>
                <w:p w14:paraId="41985DE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val="0"/>
                      <w:bCs w:val="0"/>
                      <w:color w:val="000000" w:themeColor="text1"/>
                      <w:sz w:val="21"/>
                      <w:szCs w:val="21"/>
                      <w:shd w:val="clear" w:color="auto" w:fill="auto"/>
                      <w:vertAlign w:val="baseline"/>
                      <w:lang w:val="en-US"/>
                      <w14:textFill>
                        <w14:solidFill>
                          <w14:schemeClr w14:val="tx1"/>
                        </w14:solidFill>
                      </w14:textFill>
                    </w:rPr>
                  </w:pPr>
                  <w:r>
                    <w:rPr>
                      <w:rFonts w:hint="eastAsia" w:cs="Times New Roman"/>
                      <w:b w:val="0"/>
                      <w:bCs w:val="0"/>
                      <w:color w:val="000000" w:themeColor="text1"/>
                      <w:kern w:val="0"/>
                      <w:sz w:val="21"/>
                      <w:szCs w:val="21"/>
                      <w:shd w:val="clear" w:color="auto" w:fill="auto"/>
                      <w:lang w:val="en-US" w:eastAsia="zh-CN" w:bidi="ar"/>
                      <w14:textFill>
                        <w14:solidFill>
                          <w14:schemeClr w14:val="tx1"/>
                        </w14:solidFill>
                      </w14:textFill>
                    </w:rPr>
                    <w:t>本项目危险物质存储量未超过临界量。</w:t>
                  </w:r>
                </w:p>
              </w:tc>
              <w:tc>
                <w:tcPr>
                  <w:tcW w:w="1305" w:type="dxa"/>
                  <w:vAlign w:val="center"/>
                </w:tcPr>
                <w:p w14:paraId="4203DE7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eastAsia" w:cs="Times New Roman"/>
                      <w:b w:val="0"/>
                      <w:bCs w:val="0"/>
                      <w:color w:val="000000" w:themeColor="text1"/>
                      <w:kern w:val="0"/>
                      <w:sz w:val="21"/>
                      <w:szCs w:val="21"/>
                      <w:shd w:val="clear" w:color="auto" w:fill="auto"/>
                      <w:lang w:val="en-US" w:eastAsia="zh-CN" w:bidi="ar"/>
                      <w14:textFill>
                        <w14:solidFill>
                          <w14:schemeClr w14:val="tx1"/>
                        </w14:solidFill>
                      </w14:textFill>
                    </w:rPr>
                    <w:t>不</w:t>
                  </w:r>
                  <w:r>
                    <w:rPr>
                      <w:rFonts w:hint="default" w:ascii="Times New Roman" w:hAnsi="Times New Roman" w:eastAsia="宋体" w:cs="Times New Roman"/>
                      <w:b w:val="0"/>
                      <w:bCs w:val="0"/>
                      <w:color w:val="000000" w:themeColor="text1"/>
                      <w:kern w:val="0"/>
                      <w:sz w:val="21"/>
                      <w:szCs w:val="21"/>
                      <w:shd w:val="clear" w:color="auto" w:fill="auto"/>
                      <w:lang w:val="en-US" w:eastAsia="zh-CN" w:bidi="ar"/>
                      <w14:textFill>
                        <w14:solidFill>
                          <w14:schemeClr w14:val="tx1"/>
                        </w14:solidFill>
                      </w14:textFill>
                    </w:rPr>
                    <w:t>设专项评价</w:t>
                  </w:r>
                </w:p>
              </w:tc>
            </w:tr>
            <w:tr w14:paraId="7429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6A64395D">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生态</w:t>
                  </w:r>
                </w:p>
              </w:tc>
              <w:tc>
                <w:tcPr>
                  <w:tcW w:w="3000" w:type="dxa"/>
                  <w:vAlign w:val="center"/>
                </w:tcPr>
                <w:p w14:paraId="1B4FA02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取水口下游500m范围内有重要水生生物的自然产卵场、索饵场、越冬场和洄游通道的新增河道取水的污染类建设项目</w:t>
                  </w:r>
                </w:p>
              </w:tc>
              <w:tc>
                <w:tcPr>
                  <w:tcW w:w="2505" w:type="dxa"/>
                  <w:vAlign w:val="center"/>
                </w:tcPr>
                <w:p w14:paraId="5D04B5F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本项目建设不涉及取水口</w:t>
                  </w:r>
                </w:p>
              </w:tc>
              <w:tc>
                <w:tcPr>
                  <w:tcW w:w="1305" w:type="dxa"/>
                  <w:vAlign w:val="center"/>
                </w:tcPr>
                <w:p w14:paraId="5827B7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不设专项评价</w:t>
                  </w:r>
                </w:p>
              </w:tc>
            </w:tr>
            <w:tr w14:paraId="2AA1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3016E3BE">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t>地下水</w:t>
                  </w:r>
                </w:p>
              </w:tc>
              <w:tc>
                <w:tcPr>
                  <w:tcW w:w="3000" w:type="dxa"/>
                  <w:vAlign w:val="center"/>
                </w:tcPr>
                <w:p w14:paraId="17AC459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地下水原则上不开展专项评价，涉及集中式饮用水水源和热水、矿泉水、温泉等特殊地下水资源保护区的开展地下水专项评价工作</w:t>
                  </w:r>
                </w:p>
              </w:tc>
              <w:tc>
                <w:tcPr>
                  <w:tcW w:w="2505" w:type="dxa"/>
                  <w:vAlign w:val="center"/>
                </w:tcPr>
                <w:p w14:paraId="20FCFA7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本项目建设不涉及集中式饮用水水源和热水、矿泉水、温泉等特殊地下水资源保护区</w:t>
                  </w:r>
                </w:p>
              </w:tc>
              <w:tc>
                <w:tcPr>
                  <w:tcW w:w="1305" w:type="dxa"/>
                  <w:vAlign w:val="center"/>
                </w:tcPr>
                <w:p w14:paraId="024909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shd w:val="clear" w:color="auto" w:fill="auto"/>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t>不设专项评价</w:t>
                  </w:r>
                </w:p>
              </w:tc>
            </w:tr>
            <w:tr w14:paraId="5F43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3" w:type="dxa"/>
                  <w:gridSpan w:val="4"/>
                  <w:vAlign w:val="center"/>
                </w:tcPr>
                <w:p w14:paraId="209E9B5F">
                  <w:pPr>
                    <w:adjustRightInd w:val="0"/>
                    <w:snapToGrid w:val="0"/>
                    <w:jc w:val="both"/>
                    <w:rPr>
                      <w:rFonts w:hint="default" w:ascii="Times New Roman" w:hAnsi="Times New Roman" w:eastAsia="宋体" w:cs="Times New Roman"/>
                      <w:szCs w:val="21"/>
                    </w:rPr>
                  </w:pPr>
                  <w:r>
                    <w:rPr>
                      <w:rFonts w:hint="default" w:ascii="Times New Roman" w:hAnsi="Times New Roman" w:eastAsia="宋体" w:cs="Times New Roman"/>
                      <w:szCs w:val="21"/>
                    </w:rPr>
                    <w:t>注：1.废气中含有毒有害污染物指纳入《有毒有害大气污染物名录》的污染物（不包括无排放标准的污染物）。</w:t>
                  </w:r>
                </w:p>
                <w:p w14:paraId="417019B1">
                  <w:pPr>
                    <w:adjustRightInd w:val="0"/>
                    <w:snapToGrid w:val="0"/>
                    <w:jc w:val="both"/>
                    <w:rPr>
                      <w:rFonts w:hint="default" w:ascii="Times New Roman" w:hAnsi="Times New Roman" w:eastAsia="宋体" w:cs="Times New Roman"/>
                      <w:szCs w:val="21"/>
                    </w:rPr>
                  </w:pPr>
                  <w:r>
                    <w:rPr>
                      <w:rFonts w:hint="default" w:ascii="Times New Roman" w:hAnsi="Times New Roman" w:eastAsia="宋体" w:cs="Times New Roman"/>
                      <w:szCs w:val="21"/>
                    </w:rPr>
                    <w:t>2.环境空气保护目标指自然保护区、风景名胜区、居住区、文化区和农村地区中人群较集中的区域。</w:t>
                  </w:r>
                </w:p>
                <w:p w14:paraId="2F3E6EC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shd w:val="clear" w:color="auto" w:fill="auto"/>
                      <w:lang w:val="en-US" w:eastAsia="zh-CN" w:bidi="ar"/>
                      <w14:textFill>
                        <w14:solidFill>
                          <w14:schemeClr w14:val="tx1"/>
                        </w14:solidFill>
                      </w14:textFill>
                    </w:rPr>
                  </w:pPr>
                  <w:r>
                    <w:rPr>
                      <w:rFonts w:hint="default" w:ascii="Times New Roman" w:hAnsi="Times New Roman" w:eastAsia="宋体" w:cs="Times New Roman"/>
                      <w:szCs w:val="21"/>
                    </w:rPr>
                    <w:t>3.临界量及其计算方法可参考《建设项目环境风险评价技术导则》（HJ169）附录B、附录C。</w:t>
                  </w:r>
                </w:p>
              </w:tc>
            </w:tr>
          </w:tbl>
          <w:p w14:paraId="6E026FEE">
            <w:pPr>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eastAsia="宋体"/>
                <w:color w:val="auto"/>
                <w:sz w:val="24"/>
                <w:szCs w:val="24"/>
                <w:highlight w:val="none"/>
                <w:vertAlign w:val="baseline"/>
                <w:lang w:val="en-US" w:eastAsia="zh-CN"/>
              </w:rPr>
            </w:pPr>
          </w:p>
        </w:tc>
      </w:tr>
      <w:tr w14:paraId="4169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47D624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规划情况</w:t>
            </w:r>
          </w:p>
        </w:tc>
        <w:tc>
          <w:tcPr>
            <w:tcW w:w="4417" w:type="pct"/>
            <w:gridSpan w:val="3"/>
            <w:vAlign w:val="center"/>
          </w:tcPr>
          <w:p w14:paraId="2C9FA0FC">
            <w:pPr>
              <w:keepNext w:val="0"/>
              <w:keepLines w:val="0"/>
              <w:pageBreakBefore w:val="0"/>
              <w:widowControl w:val="0"/>
              <w:kinsoku/>
              <w:wordWrap/>
              <w:overflowPunct/>
              <w:topLinePunct w:val="0"/>
              <w:autoSpaceDE/>
              <w:autoSpaceDN/>
              <w:bidi w:val="0"/>
              <w:adjustRightInd/>
              <w:snapToGrid/>
              <w:spacing w:after="32" w:afterLines="10" w:line="372" w:lineRule="auto"/>
              <w:ind w:firstLine="52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default" w:ascii="Times New Roman" w:hAnsi="Times New Roman" w:cs="Times New Roman"/>
                <w:color w:val="auto"/>
                <w:sz w:val="26"/>
                <w:szCs w:val="26"/>
              </w:rPr>
              <w:t>《重庆西彭工业园区规划》（2022年6月）</w:t>
            </w:r>
            <w:r>
              <w:rPr>
                <w:rFonts w:hint="default" w:ascii="Times New Roman" w:hAnsi="Times New Roman" w:eastAsia="宋体" w:cs="Times New Roman"/>
                <w:color w:val="auto"/>
                <w:sz w:val="24"/>
                <w:szCs w:val="24"/>
                <w:highlight w:val="none"/>
                <w:vertAlign w:val="baseline"/>
                <w:lang w:val="en-US" w:eastAsia="zh-CN"/>
              </w:rPr>
              <w:t>。</w:t>
            </w:r>
          </w:p>
        </w:tc>
      </w:tr>
      <w:tr w14:paraId="66D7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6A0150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规划环境影响</w:t>
            </w:r>
          </w:p>
          <w:p w14:paraId="12193D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评价情况</w:t>
            </w:r>
          </w:p>
        </w:tc>
        <w:tc>
          <w:tcPr>
            <w:tcW w:w="4417" w:type="pct"/>
            <w:gridSpan w:val="3"/>
            <w:vAlign w:val="center"/>
          </w:tcPr>
          <w:p w14:paraId="3D2BB146">
            <w:pPr>
              <w:spacing w:line="360" w:lineRule="auto"/>
              <w:ind w:firstLine="482" w:firstLineChars="200"/>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规划环境影响评价文件名称</w:t>
            </w:r>
            <w:r>
              <w:rPr>
                <w:rFonts w:hint="eastAsia" w:ascii="Times New Roman" w:hAnsi="Times New Roman" w:eastAsia="宋体"/>
                <w:color w:val="auto"/>
                <w:sz w:val="24"/>
                <w:szCs w:val="24"/>
                <w:highlight w:val="none"/>
                <w:vertAlign w:val="baseline"/>
                <w:lang w:val="en-US" w:eastAsia="zh-CN"/>
              </w:rPr>
              <w:t>：</w:t>
            </w:r>
            <w:r>
              <w:rPr>
                <w:rFonts w:hint="eastAsia"/>
                <w:sz w:val="24"/>
              </w:rPr>
              <w:t>《重庆西彭工业园区规划环境影响报告书》</w:t>
            </w:r>
            <w:r>
              <w:rPr>
                <w:rFonts w:hint="eastAsia" w:ascii="Times New Roman" w:hAnsi="Times New Roman" w:eastAsia="宋体"/>
                <w:color w:val="auto"/>
                <w:sz w:val="24"/>
                <w:szCs w:val="24"/>
                <w:highlight w:val="none"/>
                <w:vertAlign w:val="baseline"/>
                <w:lang w:val="en-US" w:eastAsia="zh-CN"/>
              </w:rPr>
              <w:t>；</w:t>
            </w:r>
          </w:p>
          <w:p w14:paraId="491C5017">
            <w:pPr>
              <w:keepNext w:val="0"/>
              <w:keepLines w:val="0"/>
              <w:pageBreakBefore w:val="0"/>
              <w:widowControl w:val="0"/>
              <w:kinsoku/>
              <w:wordWrap/>
              <w:overflowPunct/>
              <w:topLinePunct w:val="0"/>
              <w:autoSpaceDE/>
              <w:autoSpaceDN/>
              <w:bidi w:val="0"/>
              <w:adjustRightInd/>
              <w:snapToGrid/>
              <w:spacing w:before="17" w:beforeLines="5" w:after="17" w:afterLines="5" w:line="372" w:lineRule="auto"/>
              <w:ind w:firstLine="482"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召集审查机关</w:t>
            </w:r>
            <w:r>
              <w:rPr>
                <w:rFonts w:hint="eastAsia" w:ascii="Times New Roman" w:hAnsi="Times New Roman" w:eastAsia="宋体"/>
                <w:color w:val="auto"/>
                <w:sz w:val="24"/>
                <w:szCs w:val="24"/>
                <w:highlight w:val="none"/>
                <w:vertAlign w:val="baseline"/>
                <w:lang w:val="en-US" w:eastAsia="zh-CN"/>
              </w:rPr>
              <w:t>：重庆市生态环境局；</w:t>
            </w:r>
          </w:p>
          <w:p w14:paraId="00B9F18A">
            <w:pPr>
              <w:keepNext w:val="0"/>
              <w:keepLines w:val="0"/>
              <w:pageBreakBefore w:val="0"/>
              <w:widowControl w:val="0"/>
              <w:kinsoku/>
              <w:wordWrap/>
              <w:overflowPunct/>
              <w:topLinePunct w:val="0"/>
              <w:autoSpaceDE/>
              <w:autoSpaceDN/>
              <w:bidi w:val="0"/>
              <w:adjustRightInd/>
              <w:snapToGrid/>
              <w:spacing w:before="17" w:beforeLines="5" w:after="17" w:afterLines="5" w:line="372" w:lineRule="auto"/>
              <w:ind w:firstLine="482"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审查文件名称及文号</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cs="Times New Roman"/>
                <w:sz w:val="24"/>
              </w:rPr>
              <w:t>《重庆市生态环境局关于重庆西彭工业园区规划环境影响报告书审查意见的函》（渝环函[2023]439号）</w:t>
            </w:r>
            <w:r>
              <w:rPr>
                <w:rFonts w:hint="eastAsia" w:ascii="Times New Roman" w:hAnsi="Times New Roman" w:eastAsia="宋体"/>
                <w:color w:val="auto"/>
                <w:sz w:val="24"/>
                <w:szCs w:val="24"/>
                <w:highlight w:val="none"/>
                <w:vertAlign w:val="baseline"/>
                <w:lang w:val="en-US" w:eastAsia="zh-CN"/>
              </w:rPr>
              <w:t>。</w:t>
            </w:r>
          </w:p>
        </w:tc>
      </w:tr>
      <w:tr w14:paraId="1E11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4C7CF2ED">
            <w:pPr>
              <w:keepNext w:val="0"/>
              <w:keepLines w:val="0"/>
              <w:pageBreakBefore w:val="0"/>
              <w:widowControl w:val="0"/>
              <w:kinsoku/>
              <w:wordWrap/>
              <w:overflowPunct/>
              <w:topLinePunct w:val="0"/>
              <w:autoSpaceDE/>
              <w:autoSpaceDN/>
              <w:bidi w:val="0"/>
              <w:adjustRightInd/>
              <w:snapToGrid/>
              <w:spacing w:line="372" w:lineRule="auto"/>
              <w:ind w:firstLine="0" w:firstLineChars="0"/>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规划及规划环境影响评价符合性分析</w:t>
            </w:r>
          </w:p>
        </w:tc>
        <w:tc>
          <w:tcPr>
            <w:tcW w:w="4417" w:type="pct"/>
            <w:gridSpan w:val="3"/>
            <w:vAlign w:val="center"/>
          </w:tcPr>
          <w:p w14:paraId="72A80F7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4"/>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4"/>
                <w:shd w:val="clear" w:color="auto" w:fill="auto"/>
                <w:lang w:val="en-US" w:eastAsia="zh-CN"/>
                <w14:textFill>
                  <w14:solidFill>
                    <w14:schemeClr w14:val="tx1"/>
                  </w14:solidFill>
                </w14:textFill>
              </w:rPr>
              <w:t>1.1与规划及规划环境影响评价符合性分析</w:t>
            </w:r>
          </w:p>
          <w:p w14:paraId="7B264A0E">
            <w:pPr>
              <w:spacing w:line="360" w:lineRule="auto"/>
              <w:rPr>
                <w:rFonts w:hint="default" w:ascii="Times New Roman" w:hAnsi="Times New Roman" w:cs="Times New Roman"/>
                <w:b/>
                <w:sz w:val="24"/>
              </w:rPr>
            </w:pPr>
            <w:r>
              <w:rPr>
                <w:rFonts w:hint="default" w:ascii="Times New Roman" w:hAnsi="Times New Roman" w:cs="Times New Roman"/>
                <w:b/>
                <w:sz w:val="24"/>
              </w:rPr>
              <w:t>1.</w:t>
            </w:r>
            <w:r>
              <w:rPr>
                <w:rFonts w:hint="eastAsia" w:ascii="Times New Roman" w:hAnsi="Times New Roman" w:cs="Times New Roman"/>
                <w:b/>
                <w:sz w:val="24"/>
                <w:lang w:val="en-US" w:eastAsia="zh-CN"/>
              </w:rPr>
              <w:t>1</w:t>
            </w:r>
            <w:r>
              <w:rPr>
                <w:rFonts w:hint="default" w:ascii="Times New Roman" w:hAnsi="Times New Roman" w:cs="Times New Roman"/>
                <w:b/>
                <w:sz w:val="24"/>
              </w:rPr>
              <w:t>.1规划符合性分析</w:t>
            </w:r>
          </w:p>
          <w:p w14:paraId="2442C9D1">
            <w:pPr>
              <w:spacing w:line="360" w:lineRule="auto"/>
              <w:ind w:firstLine="480" w:firstLineChars="200"/>
              <w:rPr>
                <w:rFonts w:hint="default" w:ascii="Times New Roman" w:hAnsi="Times New Roman" w:cs="Times New Roman"/>
                <w:sz w:val="24"/>
                <w:szCs w:val="36"/>
              </w:rPr>
            </w:pPr>
            <w:r>
              <w:rPr>
                <w:rFonts w:hint="default" w:ascii="Times New Roman" w:hAnsi="Times New Roman" w:cs="Times New Roman"/>
                <w:sz w:val="24"/>
                <w:szCs w:val="36"/>
              </w:rPr>
              <w:t>根据《重庆市人民政府关于确认璧山高新区等15个产业园区国土空间开发利用范围的批复》（渝府〔2022〕10号），西彭园区包括西彭组团、陶家组团和铜罐驿组团，规划面积为4267.24hm</w:t>
            </w:r>
            <w:r>
              <w:rPr>
                <w:rFonts w:hint="default" w:ascii="Times New Roman" w:hAnsi="Times New Roman" w:cs="Times New Roman"/>
                <w:sz w:val="24"/>
                <w:szCs w:val="36"/>
                <w:vertAlign w:val="superscript"/>
              </w:rPr>
              <w:t>2</w:t>
            </w:r>
            <w:r>
              <w:rPr>
                <w:rFonts w:hint="default" w:ascii="Times New Roman" w:hAnsi="Times New Roman" w:cs="Times New Roman"/>
                <w:sz w:val="24"/>
                <w:szCs w:val="36"/>
              </w:rPr>
              <w:t>，涉及原西彭园区A、B、C、D、F、J、L七个标准分区及原九龙园区C区南部区域。</w:t>
            </w:r>
          </w:p>
          <w:p w14:paraId="1B68BF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6"/>
              </w:rPr>
            </w:pPr>
            <w:r>
              <w:rPr>
                <w:rFonts w:hint="default" w:ascii="Times New Roman" w:hAnsi="Times New Roman" w:cs="Times New Roman"/>
                <w:sz w:val="24"/>
                <w:szCs w:val="36"/>
              </w:rPr>
              <w:t>西彭组团规划面积为2616.89hm</w:t>
            </w:r>
            <w:r>
              <w:rPr>
                <w:rFonts w:hint="default" w:ascii="Times New Roman" w:hAnsi="Times New Roman" w:cs="Times New Roman"/>
                <w:sz w:val="24"/>
                <w:szCs w:val="36"/>
                <w:vertAlign w:val="superscript"/>
              </w:rPr>
              <w:t>2</w:t>
            </w:r>
            <w:r>
              <w:rPr>
                <w:rFonts w:hint="default" w:ascii="Times New Roman" w:hAnsi="Times New Roman" w:cs="Times New Roman"/>
                <w:sz w:val="24"/>
                <w:szCs w:val="36"/>
              </w:rPr>
              <w:t>，东至西彭镇李家石坝，南至西彭镇长江沿岸李家河村，西至西彭镇王家院塘成渝环线高速公路，北至西彭镇铝城大道西侧。该组团包括原西彭园区A、B、C、D标准分区。西彭组团主导产业为装备制造、新材料、仓储物流。装备制造重点发展高端智能装备及机器人、航空航天装备、轨道交通装备等；新材料重点发展先进有色合金材料、气凝胶等其他新材料等。</w:t>
            </w:r>
          </w:p>
          <w:p w14:paraId="33DF8B7A">
            <w:pPr>
              <w:spacing w:line="360" w:lineRule="auto"/>
              <w:ind w:firstLine="480" w:firstLineChars="200"/>
              <w:rPr>
                <w:rFonts w:hint="default" w:ascii="Times New Roman" w:hAnsi="Times New Roman" w:cs="Times New Roman"/>
                <w:sz w:val="24"/>
                <w:szCs w:val="36"/>
              </w:rPr>
            </w:pPr>
            <w:r>
              <w:rPr>
                <w:rFonts w:hint="default" w:ascii="Times New Roman" w:hAnsi="Times New Roman" w:cs="Times New Roman"/>
                <w:sz w:val="24"/>
                <w:szCs w:val="36"/>
              </w:rPr>
              <w:t>本项目位于</w:t>
            </w:r>
            <w:r>
              <w:rPr>
                <w:rFonts w:hint="default" w:ascii="Times New Roman" w:hAnsi="Times New Roman" w:cs="Times New Roman"/>
                <w:sz w:val="24"/>
                <w:szCs w:val="36"/>
                <w:lang w:eastAsia="zh-CN"/>
              </w:rPr>
              <w:t>重庆市九龙坡区西彭镇森迪大道</w:t>
            </w:r>
            <w:r>
              <w:rPr>
                <w:rFonts w:hint="default" w:ascii="Times New Roman" w:hAnsi="Times New Roman" w:cs="Times New Roman"/>
                <w:sz w:val="24"/>
                <w:szCs w:val="36"/>
                <w:lang w:val="en-US" w:eastAsia="zh-CN"/>
              </w:rPr>
              <w:t>1</w:t>
            </w:r>
            <w:r>
              <w:rPr>
                <w:rFonts w:hint="default" w:ascii="Times New Roman" w:hAnsi="Times New Roman" w:cs="Times New Roman"/>
                <w:sz w:val="24"/>
                <w:szCs w:val="36"/>
                <w:lang w:eastAsia="zh-CN"/>
              </w:rPr>
              <w:t>号</w:t>
            </w:r>
            <w:r>
              <w:rPr>
                <w:rFonts w:hint="default" w:ascii="Times New Roman" w:hAnsi="Times New Roman" w:cs="Times New Roman"/>
                <w:sz w:val="24"/>
                <w:szCs w:val="36"/>
              </w:rPr>
              <w:t>（属于重庆西彭工业园区西彭组团D标准分区范围内）</w:t>
            </w:r>
            <w:r>
              <w:rPr>
                <w:rFonts w:hint="default" w:ascii="Times New Roman" w:hAnsi="Times New Roman" w:cs="Times New Roman"/>
                <w:sz w:val="24"/>
                <w:szCs w:val="21"/>
              </w:rPr>
              <w:t>，</w:t>
            </w:r>
            <w:r>
              <w:rPr>
                <w:rFonts w:hint="default" w:ascii="Times New Roman" w:hAnsi="Times New Roman" w:cs="Times New Roman"/>
                <w:sz w:val="24"/>
                <w:szCs w:val="36"/>
              </w:rPr>
              <w:t>用地性质属于工业用地，符合用地规划，项目</w:t>
            </w:r>
            <w:r>
              <w:rPr>
                <w:rFonts w:hint="default" w:ascii="Times New Roman" w:hAnsi="Times New Roman" w:cs="Times New Roman"/>
                <w:sz w:val="24"/>
                <w:szCs w:val="21"/>
              </w:rPr>
              <w:t>属于</w:t>
            </w:r>
            <w:r>
              <w:rPr>
                <w:rFonts w:hint="default" w:ascii="Times New Roman" w:hAnsi="Times New Roman" w:cs="Times New Roman"/>
                <w:sz w:val="24"/>
                <w:lang w:eastAsia="zh-CN"/>
              </w:rPr>
              <w:t>金属表面处理加工</w:t>
            </w:r>
            <w:r>
              <w:rPr>
                <w:rFonts w:hint="default" w:ascii="Times New Roman" w:hAnsi="Times New Roman" w:cs="Times New Roman"/>
                <w:sz w:val="24"/>
                <w:szCs w:val="36"/>
              </w:rPr>
              <w:t>，不属于禁止及限制引入项目，不与园区产业准入冲突</w:t>
            </w:r>
            <w:r>
              <w:rPr>
                <w:rFonts w:hint="default" w:ascii="Times New Roman" w:hAnsi="Times New Roman" w:cs="Times New Roman"/>
                <w:sz w:val="24"/>
                <w:szCs w:val="36"/>
                <w:lang w:eastAsia="zh-CN"/>
              </w:rPr>
              <w:t>，</w:t>
            </w:r>
            <w:r>
              <w:rPr>
                <w:rFonts w:hint="default" w:ascii="Times New Roman" w:hAnsi="Times New Roman" w:cs="Times New Roman"/>
                <w:sz w:val="24"/>
                <w:szCs w:val="36"/>
              </w:rPr>
              <w:t>符合重庆西彭工业园区西彭组团产业定位及用地布局要求。</w:t>
            </w:r>
          </w:p>
          <w:p w14:paraId="04857328">
            <w:pPr>
              <w:keepNext w:val="0"/>
              <w:keepLines w:val="0"/>
              <w:pageBreakBefore w:val="0"/>
              <w:widowControl w:val="0"/>
              <w:kinsoku/>
              <w:wordWrap/>
              <w:overflowPunct/>
              <w:topLinePunct w:val="0"/>
              <w:autoSpaceDE/>
              <w:autoSpaceDN/>
              <w:bidi w:val="0"/>
              <w:adjustRightInd/>
              <w:snapToGrid/>
              <w:spacing w:before="48" w:beforeLines="15" w:after="48" w:afterLines="15" w:line="372"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cs="Times New Roman"/>
                <w:b/>
                <w:sz w:val="24"/>
              </w:rPr>
              <w:t>1.</w:t>
            </w:r>
            <w:r>
              <w:rPr>
                <w:rFonts w:hint="eastAsia" w:ascii="Times New Roman" w:hAnsi="Times New Roman" w:cs="Times New Roman"/>
                <w:b/>
                <w:sz w:val="24"/>
                <w:lang w:val="en-US" w:eastAsia="zh-CN"/>
              </w:rPr>
              <w:t>1</w:t>
            </w:r>
            <w:r>
              <w:rPr>
                <w:rFonts w:hint="default" w:ascii="Times New Roman" w:hAnsi="Times New Roman" w:cs="Times New Roman"/>
                <w:b/>
                <w:sz w:val="24"/>
              </w:rPr>
              <w:t>.</w:t>
            </w:r>
            <w:r>
              <w:rPr>
                <w:rFonts w:hint="eastAsia" w:ascii="Times New Roman" w:hAnsi="Times New Roman" w:cs="Times New Roman"/>
                <w:b/>
                <w:sz w:val="24"/>
                <w:lang w:val="en-US" w:eastAsia="zh-CN"/>
              </w:rPr>
              <w:t>2</w:t>
            </w:r>
            <w:r>
              <w:rPr>
                <w:rFonts w:hint="default" w:ascii="Times New Roman" w:hAnsi="Times New Roman" w:eastAsia="宋体" w:cs="Times New Roman"/>
                <w:b/>
                <w:bCs/>
                <w:color w:val="auto"/>
                <w:sz w:val="24"/>
                <w:szCs w:val="24"/>
                <w:highlight w:val="none"/>
                <w:vertAlign w:val="baseline"/>
                <w:lang w:val="en-US" w:eastAsia="zh-CN"/>
              </w:rPr>
              <w:t>与</w:t>
            </w:r>
            <w:r>
              <w:rPr>
                <w:rFonts w:hint="default" w:ascii="Times New Roman" w:hAnsi="Times New Roman" w:cs="Times New Roman"/>
                <w:b/>
                <w:sz w:val="24"/>
              </w:rPr>
              <w:t>《重庆市西彭工业园区规划环境影响报告书》及其审查意见（渝环函[2023]439号）</w:t>
            </w:r>
            <w:r>
              <w:rPr>
                <w:rFonts w:hint="default" w:ascii="Times New Roman" w:hAnsi="Times New Roman" w:eastAsia="宋体" w:cs="Times New Roman"/>
                <w:b/>
                <w:bCs/>
                <w:color w:val="auto"/>
                <w:sz w:val="24"/>
                <w:szCs w:val="24"/>
                <w:highlight w:val="none"/>
                <w:vertAlign w:val="baseline"/>
                <w:lang w:val="en-US" w:eastAsia="zh-CN"/>
              </w:rPr>
              <w:t>及其审查意见函的符合性分析</w:t>
            </w:r>
          </w:p>
          <w:p w14:paraId="641BA912">
            <w:pPr>
              <w:adjustRightInd w:val="0"/>
              <w:snapToGrid w:val="0"/>
              <w:jc w:val="center"/>
              <w:rPr>
                <w:rFonts w:hint="default" w:ascii="Times New Roman" w:hAnsi="Times New Roman" w:cs="Times New Roman"/>
                <w:b/>
                <w:bCs/>
                <w:sz w:val="24"/>
                <w:szCs w:val="21"/>
              </w:rPr>
            </w:pPr>
            <w:r>
              <w:rPr>
                <w:rFonts w:hint="default" w:ascii="Times New Roman" w:hAnsi="Times New Roman" w:cs="Times New Roman"/>
                <w:b/>
                <w:bCs/>
                <w:sz w:val="24"/>
                <w:szCs w:val="21"/>
              </w:rPr>
              <w:t>表</w:t>
            </w:r>
            <w:r>
              <w:rPr>
                <w:rFonts w:hint="default" w:ascii="Times New Roman" w:hAnsi="Times New Roman" w:cs="Times New Roman"/>
                <w:b/>
                <w:sz w:val="24"/>
                <w:szCs w:val="36"/>
              </w:rPr>
              <w:t>1</w:t>
            </w:r>
            <w:r>
              <w:rPr>
                <w:rFonts w:hint="eastAsia" w:ascii="Times New Roman" w:hAnsi="Times New Roman" w:cs="Times New Roman"/>
                <w:b/>
                <w:sz w:val="24"/>
                <w:szCs w:val="36"/>
                <w:lang w:val="en-US" w:eastAsia="zh-CN"/>
              </w:rPr>
              <w:t>.1-1</w:t>
            </w:r>
            <w:r>
              <w:rPr>
                <w:rFonts w:hint="default" w:ascii="Times New Roman" w:hAnsi="Times New Roman" w:cs="Times New Roman"/>
                <w:b/>
                <w:bCs/>
                <w:sz w:val="24"/>
                <w:szCs w:val="21"/>
              </w:rPr>
              <w:t xml:space="preserve">  规划环评生态环境准入清单对照分析表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52"/>
              <w:gridCol w:w="2837"/>
              <w:gridCol w:w="844"/>
            </w:tblGrid>
            <w:tr w14:paraId="7F11D9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34A3D5AD">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分类</w:t>
                  </w:r>
                </w:p>
              </w:tc>
              <w:tc>
                <w:tcPr>
                  <w:tcW w:w="2324" w:type="pct"/>
                  <w:tcBorders>
                    <w:tl2br w:val="nil"/>
                    <w:tr2bl w:val="nil"/>
                  </w:tcBorders>
                  <w:vAlign w:val="center"/>
                </w:tcPr>
                <w:p w14:paraId="3AF0C2AF">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环境准入要求</w:t>
                  </w:r>
                </w:p>
              </w:tc>
              <w:tc>
                <w:tcPr>
                  <w:tcW w:w="1757" w:type="pct"/>
                  <w:tcBorders>
                    <w:tl2br w:val="nil"/>
                    <w:tr2bl w:val="nil"/>
                  </w:tcBorders>
                  <w:vAlign w:val="center"/>
                </w:tcPr>
                <w:p w14:paraId="0D7A4286">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本项目情况</w:t>
                  </w:r>
                </w:p>
              </w:tc>
              <w:tc>
                <w:tcPr>
                  <w:tcW w:w="523" w:type="pct"/>
                  <w:tcBorders>
                    <w:tl2br w:val="nil"/>
                    <w:tr2bl w:val="nil"/>
                  </w:tcBorders>
                  <w:vAlign w:val="center"/>
                </w:tcPr>
                <w:p w14:paraId="6E1A1C55">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符合性</w:t>
                  </w:r>
                </w:p>
              </w:tc>
            </w:tr>
            <w:tr w14:paraId="52655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4827B97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空间布局约束</w:t>
                  </w:r>
                </w:p>
              </w:tc>
              <w:tc>
                <w:tcPr>
                  <w:tcW w:w="2324" w:type="pct"/>
                  <w:tcBorders>
                    <w:tl2br w:val="nil"/>
                    <w:tr2bl w:val="nil"/>
                  </w:tcBorders>
                  <w:vAlign w:val="center"/>
                </w:tcPr>
                <w:p w14:paraId="0AED1BEF">
                  <w:pPr>
                    <w:adjustRightInd w:val="0"/>
                    <w:snapToGrid w:val="0"/>
                    <w:rPr>
                      <w:rFonts w:hint="default" w:ascii="Times New Roman" w:hAnsi="Times New Roman" w:cs="Times New Roman"/>
                      <w:szCs w:val="21"/>
                    </w:rPr>
                  </w:pPr>
                  <w:r>
                    <w:rPr>
                      <w:rFonts w:hint="default" w:ascii="Times New Roman" w:hAnsi="Times New Roman" w:cs="Times New Roman"/>
                      <w:szCs w:val="21"/>
                    </w:rPr>
                    <w:t>西彭组团东北侧科研用地兼一类工业用地（C61-1/01、C61-4/01、C61-5/01、C62-1/01、C62-3/01、C63-1/01、C63-2/01）后续引入项目时应考虑以污染较轻的项目为主，禁止新建涉及喷漆、酸洗、熔炼等异味较大的生产工艺项目</w:t>
                  </w:r>
                </w:p>
              </w:tc>
              <w:tc>
                <w:tcPr>
                  <w:tcW w:w="1757" w:type="pct"/>
                  <w:tcBorders>
                    <w:tl2br w:val="nil"/>
                    <w:tr2bl w:val="nil"/>
                  </w:tcBorders>
                  <w:vAlign w:val="center"/>
                </w:tcPr>
                <w:p w14:paraId="22C63FA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，不涉及喷漆、酸洗、熔炼等工艺</w:t>
                  </w:r>
                </w:p>
              </w:tc>
              <w:tc>
                <w:tcPr>
                  <w:tcW w:w="523" w:type="pct"/>
                  <w:tcBorders>
                    <w:tl2br w:val="nil"/>
                    <w:tr2bl w:val="nil"/>
                  </w:tcBorders>
                  <w:vAlign w:val="center"/>
                </w:tcPr>
                <w:p w14:paraId="7A27E82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7BF963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6293588E">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00014E32">
                  <w:pPr>
                    <w:adjustRightInd w:val="0"/>
                    <w:snapToGrid w:val="0"/>
                    <w:rPr>
                      <w:rFonts w:hint="default" w:ascii="Times New Roman" w:hAnsi="Times New Roman" w:cs="Times New Roman"/>
                      <w:szCs w:val="21"/>
                    </w:rPr>
                  </w:pPr>
                  <w:r>
                    <w:rPr>
                      <w:rFonts w:hint="default" w:ascii="Times New Roman" w:hAnsi="Times New Roman" w:cs="Times New Roman"/>
                      <w:szCs w:val="21"/>
                    </w:rPr>
                    <w:t>西彭组团临近居住的A31/04、A33/04、A34/04、A30-1-1/06地块在新引入项目时应引入不涉及喷漆、酸洗、熔炼、铸造等异味较大的项目</w:t>
                  </w:r>
                </w:p>
              </w:tc>
              <w:tc>
                <w:tcPr>
                  <w:tcW w:w="1757" w:type="pct"/>
                  <w:tcBorders>
                    <w:tl2br w:val="nil"/>
                    <w:tr2bl w:val="nil"/>
                  </w:tcBorders>
                  <w:vAlign w:val="center"/>
                </w:tcPr>
                <w:p w14:paraId="5AD5946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，不涉及喷漆、酸洗、熔炼等工艺</w:t>
                  </w:r>
                </w:p>
              </w:tc>
              <w:tc>
                <w:tcPr>
                  <w:tcW w:w="523" w:type="pct"/>
                  <w:tcBorders>
                    <w:tl2br w:val="nil"/>
                    <w:tr2bl w:val="nil"/>
                  </w:tcBorders>
                  <w:vAlign w:val="center"/>
                </w:tcPr>
                <w:p w14:paraId="428900D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01DBB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1FD8EB65">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12E5192F">
                  <w:pPr>
                    <w:adjustRightInd w:val="0"/>
                    <w:snapToGrid w:val="0"/>
                    <w:rPr>
                      <w:rFonts w:hint="default" w:ascii="Times New Roman" w:hAnsi="Times New Roman" w:cs="Times New Roman"/>
                      <w:szCs w:val="21"/>
                    </w:rPr>
                  </w:pPr>
                  <w:r>
                    <w:rPr>
                      <w:rFonts w:hint="default" w:ascii="Times New Roman" w:hAnsi="Times New Roman" w:cs="Times New Roman"/>
                      <w:szCs w:val="21"/>
                    </w:rPr>
                    <w:t>陶家组团规划的工业用地（O80-04/01、O80-01/04、L1-02-2/03、L1-02-1/03、L4-03/01、L9-01/02、L27-02-1/04、J41-9/01、J41-10/01）禁止引入涉及喷漆、熔炼、铸造等异味较大的生产工艺项目</w:t>
                  </w:r>
                </w:p>
              </w:tc>
              <w:tc>
                <w:tcPr>
                  <w:tcW w:w="1757" w:type="pct"/>
                  <w:tcBorders>
                    <w:tl2br w:val="nil"/>
                    <w:tr2bl w:val="nil"/>
                  </w:tcBorders>
                  <w:vAlign w:val="center"/>
                </w:tcPr>
                <w:p w14:paraId="0D9DC9A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，不涉及喷漆、酸洗、熔炼等工艺</w:t>
                  </w:r>
                </w:p>
              </w:tc>
              <w:tc>
                <w:tcPr>
                  <w:tcW w:w="523" w:type="pct"/>
                  <w:tcBorders>
                    <w:tl2br w:val="nil"/>
                    <w:tr2bl w:val="nil"/>
                  </w:tcBorders>
                  <w:vAlign w:val="center"/>
                </w:tcPr>
                <w:p w14:paraId="19C77F5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114BDB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181ABD96">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057AC720">
                  <w:pPr>
                    <w:adjustRightInd w:val="0"/>
                    <w:snapToGrid w:val="0"/>
                    <w:rPr>
                      <w:rFonts w:hint="default" w:ascii="Times New Roman" w:hAnsi="Times New Roman" w:cs="Times New Roman"/>
                      <w:szCs w:val="21"/>
                    </w:rPr>
                  </w:pPr>
                  <w:r>
                    <w:rPr>
                      <w:rFonts w:hint="default" w:ascii="Times New Roman" w:hAnsi="Times New Roman" w:cs="Times New Roman"/>
                      <w:szCs w:val="21"/>
                    </w:rPr>
                    <w:t>规划区禁止新引入木质家具制造、报废汽车拆解，玻璃制造（除光伏玻璃外）工业项目</w:t>
                  </w:r>
                </w:p>
              </w:tc>
              <w:tc>
                <w:tcPr>
                  <w:tcW w:w="1757" w:type="pct"/>
                  <w:tcBorders>
                    <w:tl2br w:val="nil"/>
                    <w:tr2bl w:val="nil"/>
                  </w:tcBorders>
                  <w:vAlign w:val="center"/>
                </w:tcPr>
                <w:p w14:paraId="22844FD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，不属于木质家具制造、报废汽车拆解，玻璃制造等项目</w:t>
                  </w:r>
                </w:p>
              </w:tc>
              <w:tc>
                <w:tcPr>
                  <w:tcW w:w="523" w:type="pct"/>
                  <w:tcBorders>
                    <w:tl2br w:val="nil"/>
                    <w:tr2bl w:val="nil"/>
                  </w:tcBorders>
                  <w:vAlign w:val="center"/>
                </w:tcPr>
                <w:p w14:paraId="712BF5B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1C220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6F4B8E5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污染物排放管控</w:t>
                  </w:r>
                </w:p>
              </w:tc>
              <w:tc>
                <w:tcPr>
                  <w:tcW w:w="2324" w:type="pct"/>
                  <w:tcBorders>
                    <w:tl2br w:val="nil"/>
                    <w:tr2bl w:val="nil"/>
                  </w:tcBorders>
                  <w:vAlign w:val="center"/>
                </w:tcPr>
                <w:p w14:paraId="2A70B0AB">
                  <w:pPr>
                    <w:adjustRightInd w:val="0"/>
                    <w:snapToGrid w:val="0"/>
                    <w:rPr>
                      <w:rFonts w:hint="default" w:ascii="Times New Roman" w:hAnsi="Times New Roman" w:cs="Times New Roman"/>
                      <w:szCs w:val="21"/>
                    </w:rPr>
                  </w:pPr>
                  <w:r>
                    <w:rPr>
                      <w:rFonts w:hint="default" w:ascii="Times New Roman" w:hAnsi="Times New Roman" w:cs="Times New Roman"/>
                      <w:szCs w:val="21"/>
                    </w:rPr>
                    <w:t>规划区范围内污染物排放总量不得突破本次规划环评确定的污染物排放总量限值</w:t>
                  </w:r>
                </w:p>
              </w:tc>
              <w:tc>
                <w:tcPr>
                  <w:tcW w:w="1757" w:type="pct"/>
                  <w:tcBorders>
                    <w:tl2br w:val="nil"/>
                    <w:tr2bl w:val="nil"/>
                  </w:tcBorders>
                  <w:vAlign w:val="center"/>
                </w:tcPr>
                <w:p w14:paraId="71D340FE">
                  <w:pPr>
                    <w:adjustRightInd w:val="0"/>
                    <w:snapToGrid w:val="0"/>
                    <w:rPr>
                      <w:rFonts w:hint="default" w:ascii="Times New Roman" w:hAnsi="Times New Roman" w:cs="Times New Roman"/>
                      <w:szCs w:val="21"/>
                    </w:rPr>
                  </w:pPr>
                  <w:r>
                    <w:rPr>
                      <w:rFonts w:hint="default" w:ascii="Times New Roman" w:hAnsi="Times New Roman" w:cs="Times New Roman"/>
                      <w:color w:val="000000"/>
                      <w:kern w:val="0"/>
                      <w:sz w:val="21"/>
                      <w:szCs w:val="21"/>
                    </w:rPr>
                    <w:t>根据《报告书》总量管控清单，规划区域污染物排放总量限值为：SO</w:t>
                  </w:r>
                  <w:r>
                    <w:rPr>
                      <w:rFonts w:hint="default" w:ascii="Times New Roman" w:hAnsi="Times New Roman" w:cs="Times New Roman"/>
                      <w:color w:val="000000"/>
                      <w:kern w:val="0"/>
                      <w:sz w:val="21"/>
                      <w:szCs w:val="21"/>
                      <w:vertAlign w:val="subscript"/>
                    </w:rPr>
                    <w:t>2</w:t>
                  </w:r>
                  <w:r>
                    <w:rPr>
                      <w:rFonts w:hint="default" w:ascii="Times New Roman" w:hAnsi="Times New Roman" w:cs="Times New Roman"/>
                      <w:color w:val="000000"/>
                      <w:kern w:val="0"/>
                      <w:sz w:val="21"/>
                      <w:szCs w:val="21"/>
                    </w:rPr>
                    <w:t>1357.89t/a，NOx 1320.84t/a，VOCs（以非甲烷总烃计）487.85t/a，COD 1600.28t/a，NH</w:t>
                  </w:r>
                  <w:r>
                    <w:rPr>
                      <w:rFonts w:hint="default" w:ascii="Times New Roman" w:hAnsi="Times New Roman" w:cs="Times New Roman"/>
                      <w:color w:val="000000"/>
                      <w:kern w:val="0"/>
                      <w:sz w:val="21"/>
                      <w:szCs w:val="21"/>
                      <w:vertAlign w:val="subscript"/>
                    </w:rPr>
                    <w:t>3</w:t>
                  </w:r>
                  <w:r>
                    <w:rPr>
                      <w:rFonts w:hint="default" w:ascii="Times New Roman" w:hAnsi="Times New Roman" w:cs="Times New Roman"/>
                      <w:color w:val="000000"/>
                      <w:kern w:val="0"/>
                      <w:sz w:val="21"/>
                      <w:szCs w:val="21"/>
                    </w:rPr>
                    <w:t>-N176.29t/a，TP 15.67t/a。</w:t>
                  </w:r>
                  <w:r>
                    <w:rPr>
                      <w:rFonts w:hint="default" w:ascii="Times New Roman" w:hAnsi="Times New Roman" w:cs="Times New Roman"/>
                      <w:color w:val="000000"/>
                      <w:kern w:val="0"/>
                      <w:sz w:val="21"/>
                      <w:szCs w:val="21"/>
                      <w:lang w:val="zh-CN"/>
                    </w:rPr>
                    <w:t>本项目排放</w:t>
                  </w:r>
                  <w:r>
                    <w:rPr>
                      <w:rFonts w:hint="default" w:ascii="Times New Roman" w:hAnsi="Times New Roman" w:cs="Times New Roman"/>
                      <w:color w:val="000000"/>
                      <w:kern w:val="0"/>
                      <w:sz w:val="21"/>
                      <w:szCs w:val="21"/>
                    </w:rPr>
                    <w:t>总</w:t>
                  </w:r>
                  <w:r>
                    <w:rPr>
                      <w:rFonts w:hint="default" w:ascii="Times New Roman" w:hAnsi="Times New Roman" w:cs="Times New Roman"/>
                      <w:color w:val="000000"/>
                      <w:kern w:val="0"/>
                      <w:sz w:val="21"/>
                      <w:szCs w:val="21"/>
                      <w:lang w:val="zh-CN"/>
                    </w:rPr>
                    <w:t>量为</w:t>
                  </w:r>
                  <w:r>
                    <w:rPr>
                      <w:rFonts w:hint="eastAsia" w:ascii="Times New Roman" w:hAnsi="Times New Roman" w:cs="Times New Roman"/>
                      <w:color w:val="000000"/>
                      <w:kern w:val="0"/>
                      <w:sz w:val="21"/>
                      <w:szCs w:val="21"/>
                      <w:lang w:val="en-US" w:eastAsia="zh-CN"/>
                    </w:rPr>
                    <w:t>颗粒物0.407</w:t>
                  </w:r>
                  <w:r>
                    <w:rPr>
                      <w:rFonts w:hint="default" w:ascii="Times New Roman" w:hAnsi="Times New Roman" w:cs="Times New Roman"/>
                      <w:color w:val="000000"/>
                      <w:kern w:val="0"/>
                      <w:sz w:val="21"/>
                      <w:szCs w:val="21"/>
                      <w:lang w:val="en-US" w:eastAsia="zh-CN"/>
                    </w:rPr>
                    <w:t>t/a</w:t>
                  </w:r>
                  <w:r>
                    <w:rPr>
                      <w:rFonts w:hint="eastAsia" w:ascii="Times New Roman" w:hAnsi="Times New Roman" w:cs="Times New Roman"/>
                      <w:color w:val="000000"/>
                      <w:kern w:val="0"/>
                      <w:sz w:val="21"/>
                      <w:szCs w:val="21"/>
                      <w:lang w:val="en-US" w:eastAsia="zh-CN"/>
                    </w:rPr>
                    <w:t>、非甲烷总烃0.02t/a、二氧化硫0.019t/a、氮氧化物0.174t/a、</w:t>
                  </w:r>
                  <w:r>
                    <w:rPr>
                      <w:rFonts w:hint="default" w:ascii="Times New Roman" w:hAnsi="Times New Roman" w:cs="Times New Roman"/>
                      <w:color w:val="000000"/>
                      <w:kern w:val="0"/>
                      <w:sz w:val="21"/>
                      <w:szCs w:val="21"/>
                      <w:lang w:val="zh-CN"/>
                    </w:rPr>
                    <w:t>COD</w:t>
                  </w:r>
                  <w:r>
                    <w:rPr>
                      <w:rFonts w:hint="default" w:ascii="Times New Roman" w:hAnsi="Times New Roman" w:cs="Times New Roman"/>
                      <w:color w:val="000000"/>
                      <w:kern w:val="0"/>
                      <w:sz w:val="21"/>
                      <w:szCs w:val="21"/>
                    </w:rPr>
                    <w:t>0.0</w:t>
                  </w:r>
                  <w:r>
                    <w:rPr>
                      <w:rFonts w:hint="eastAsia" w:ascii="Times New Roman" w:hAnsi="Times New Roman" w:cs="Times New Roman"/>
                      <w:color w:val="000000"/>
                      <w:kern w:val="0"/>
                      <w:sz w:val="21"/>
                      <w:szCs w:val="21"/>
                      <w:lang w:val="en-US" w:eastAsia="zh-CN"/>
                    </w:rPr>
                    <w:t>14</w:t>
                  </w:r>
                  <w:r>
                    <w:rPr>
                      <w:rFonts w:hint="default" w:ascii="Times New Roman" w:hAnsi="Times New Roman" w:cs="Times New Roman"/>
                      <w:color w:val="000000"/>
                      <w:kern w:val="0"/>
                      <w:sz w:val="21"/>
                      <w:szCs w:val="21"/>
                      <w:lang w:val="zh-CN"/>
                    </w:rPr>
                    <w:t>t/a，氨氮COD</w:t>
                  </w:r>
                  <w:r>
                    <w:rPr>
                      <w:rFonts w:hint="eastAsia" w:ascii="Times New Roman" w:hAnsi="Times New Roman" w:cs="Times New Roman"/>
                      <w:color w:val="000000"/>
                      <w:kern w:val="0"/>
                      <w:sz w:val="21"/>
                      <w:szCs w:val="21"/>
                      <w:lang w:val="en-US" w:eastAsia="zh-CN"/>
                    </w:rPr>
                    <w:t>0.002</w:t>
                  </w:r>
                  <w:r>
                    <w:rPr>
                      <w:rFonts w:hint="default" w:ascii="Times New Roman" w:hAnsi="Times New Roman" w:cs="Times New Roman"/>
                      <w:color w:val="000000"/>
                      <w:kern w:val="0"/>
                      <w:sz w:val="21"/>
                      <w:szCs w:val="21"/>
                      <w:lang w:val="zh-CN"/>
                    </w:rPr>
                    <w:t>t/a，排放量很小，不会突破</w:t>
                  </w:r>
                  <w:r>
                    <w:rPr>
                      <w:rFonts w:hint="default" w:ascii="Times New Roman" w:hAnsi="Times New Roman" w:cs="Times New Roman"/>
                      <w:color w:val="000000"/>
                      <w:kern w:val="0"/>
                      <w:sz w:val="21"/>
                      <w:szCs w:val="21"/>
                    </w:rPr>
                    <w:t>总量管控指标；符合。</w:t>
                  </w:r>
                </w:p>
              </w:tc>
              <w:tc>
                <w:tcPr>
                  <w:tcW w:w="523" w:type="pct"/>
                  <w:tcBorders>
                    <w:tl2br w:val="nil"/>
                    <w:tr2bl w:val="nil"/>
                  </w:tcBorders>
                  <w:vAlign w:val="center"/>
                </w:tcPr>
                <w:p w14:paraId="426C1AA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0863A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1D1F5472">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62CEEF9A">
                  <w:pPr>
                    <w:adjustRightInd w:val="0"/>
                    <w:snapToGrid w:val="0"/>
                    <w:rPr>
                      <w:rFonts w:hint="default" w:ascii="Times New Roman" w:hAnsi="Times New Roman" w:cs="Times New Roman"/>
                      <w:szCs w:val="21"/>
                    </w:rPr>
                  </w:pPr>
                  <w:r>
                    <w:rPr>
                      <w:rFonts w:hint="default" w:ascii="Times New Roman" w:hAnsi="Times New Roman" w:cs="Times New Roman"/>
                      <w:szCs w:val="21"/>
                    </w:rPr>
                    <w:t>禁止新建、扩建排放废水含有五类重金属（铬、镉、汞、砷、铅）、剧毒物质和持久性有机污染物的工业项目</w:t>
                  </w:r>
                </w:p>
              </w:tc>
              <w:tc>
                <w:tcPr>
                  <w:tcW w:w="1757" w:type="pct"/>
                  <w:tcBorders>
                    <w:tl2br w:val="nil"/>
                    <w:tr2bl w:val="nil"/>
                  </w:tcBorders>
                  <w:vAlign w:val="center"/>
                </w:tcPr>
                <w:p w14:paraId="2F3E2C4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本项目无生产废水排放，不涉及前述废物排放</w:t>
                  </w:r>
                </w:p>
              </w:tc>
              <w:tc>
                <w:tcPr>
                  <w:tcW w:w="523" w:type="pct"/>
                  <w:tcBorders>
                    <w:tl2br w:val="nil"/>
                    <w:tr2bl w:val="nil"/>
                  </w:tcBorders>
                  <w:vAlign w:val="center"/>
                </w:tcPr>
                <w:p w14:paraId="3BA86A7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13778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07582F7A">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483D09E5">
                  <w:pPr>
                    <w:adjustRightInd w:val="0"/>
                    <w:snapToGrid w:val="0"/>
                    <w:rPr>
                      <w:rFonts w:hint="default" w:ascii="Times New Roman" w:hAnsi="Times New Roman" w:cs="Times New Roman"/>
                      <w:szCs w:val="21"/>
                    </w:rPr>
                  </w:pPr>
                  <w:r>
                    <w:rPr>
                      <w:rFonts w:hint="default" w:ascii="Times New Roman" w:hAnsi="Times New Roman" w:cs="Times New Roman"/>
                      <w:szCs w:val="21"/>
                    </w:rPr>
                    <w:t>陶家组团范围内重庆奇爽实业（集团）有限公司不再扩大用地规模、不新增污染物排放</w:t>
                  </w:r>
                </w:p>
              </w:tc>
              <w:tc>
                <w:tcPr>
                  <w:tcW w:w="1757" w:type="pct"/>
                  <w:tcBorders>
                    <w:tl2br w:val="nil"/>
                    <w:tr2bl w:val="nil"/>
                  </w:tcBorders>
                  <w:vAlign w:val="center"/>
                </w:tcPr>
                <w:p w14:paraId="3A33382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本项目位于重庆西彭工业园区西彭组团D标准分区，不涉及前述企业</w:t>
                  </w:r>
                </w:p>
              </w:tc>
              <w:tc>
                <w:tcPr>
                  <w:tcW w:w="523" w:type="pct"/>
                  <w:tcBorders>
                    <w:tl2br w:val="nil"/>
                    <w:tr2bl w:val="nil"/>
                  </w:tcBorders>
                  <w:vAlign w:val="center"/>
                </w:tcPr>
                <w:p w14:paraId="0C88585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449865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6231CBE7">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52D82D86">
                  <w:pPr>
                    <w:adjustRightInd w:val="0"/>
                    <w:snapToGrid w:val="0"/>
                    <w:rPr>
                      <w:rFonts w:hint="default" w:ascii="Times New Roman" w:hAnsi="Times New Roman" w:cs="Times New Roman"/>
                      <w:szCs w:val="21"/>
                    </w:rPr>
                  </w:pPr>
                  <w:r>
                    <w:rPr>
                      <w:rFonts w:hint="default" w:ascii="Times New Roman" w:hAnsi="Times New Roman" w:cs="Times New Roman"/>
                      <w:szCs w:val="21"/>
                    </w:rPr>
                    <w:t>铜罐驿组团范围内红蜻蜓（重庆）植物油脂有限公司、重庆小可食品有限公司、重庆豆奇食品有限公司不再扩大用地规模、不新增污染物排放</w:t>
                  </w:r>
                </w:p>
              </w:tc>
              <w:tc>
                <w:tcPr>
                  <w:tcW w:w="1757" w:type="pct"/>
                  <w:tcBorders>
                    <w:tl2br w:val="nil"/>
                    <w:tr2bl w:val="nil"/>
                  </w:tcBorders>
                  <w:vAlign w:val="center"/>
                </w:tcPr>
                <w:p w14:paraId="13C46B6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本项目位于重庆西彭工业园区西彭组团D标准分区，不涉及前述企业</w:t>
                  </w:r>
                </w:p>
              </w:tc>
              <w:tc>
                <w:tcPr>
                  <w:tcW w:w="523" w:type="pct"/>
                  <w:tcBorders>
                    <w:tl2br w:val="nil"/>
                    <w:tr2bl w:val="nil"/>
                  </w:tcBorders>
                  <w:vAlign w:val="center"/>
                </w:tcPr>
                <w:p w14:paraId="48A3EC4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0914E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6A03BAE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2324" w:type="pct"/>
                  <w:tcBorders>
                    <w:tl2br w:val="nil"/>
                    <w:tr2bl w:val="nil"/>
                  </w:tcBorders>
                  <w:vAlign w:val="center"/>
                </w:tcPr>
                <w:p w14:paraId="1C6DD341">
                  <w:pPr>
                    <w:adjustRightInd w:val="0"/>
                    <w:snapToGrid w:val="0"/>
                    <w:rPr>
                      <w:rFonts w:hint="default" w:ascii="Times New Roman" w:hAnsi="Times New Roman" w:cs="Times New Roman"/>
                      <w:szCs w:val="21"/>
                    </w:rPr>
                  </w:pPr>
                  <w:r>
                    <w:rPr>
                      <w:rFonts w:hint="default" w:ascii="Times New Roman" w:hAnsi="Times New Roman" w:cs="Times New Roman"/>
                      <w:szCs w:val="21"/>
                    </w:rPr>
                    <w:t>西彭组团和铜罐驿组团沿江1km范围内规划仓储用地（A72-1/04、A90-1/04、A88/02、A87-1/03、A101/01、A99/01、A102/01、A104/01、A103/01、A105/01、F40-1/02、F41-1/01地块）禁止新引入从事危险化学品储存、运输的仓储物流项目</w:t>
                  </w:r>
                </w:p>
              </w:tc>
              <w:tc>
                <w:tcPr>
                  <w:tcW w:w="1757" w:type="pct"/>
                  <w:tcBorders>
                    <w:tl2br w:val="nil"/>
                    <w:tr2bl w:val="nil"/>
                  </w:tcBorders>
                  <w:vAlign w:val="center"/>
                </w:tcPr>
                <w:p w14:paraId="31603EAF">
                  <w:pPr>
                    <w:adjustRightInd w:val="0"/>
                    <w:snapToGrid w:val="0"/>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，不涉及危险化学品储存、运输</w:t>
                  </w:r>
                </w:p>
              </w:tc>
              <w:tc>
                <w:tcPr>
                  <w:tcW w:w="523" w:type="pct"/>
                  <w:tcBorders>
                    <w:tl2br w:val="nil"/>
                    <w:tr2bl w:val="nil"/>
                  </w:tcBorders>
                  <w:vAlign w:val="center"/>
                </w:tcPr>
                <w:p w14:paraId="5F77ACB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2A1FF2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2D6CA6B4">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0F97E604">
                  <w:pPr>
                    <w:adjustRightInd w:val="0"/>
                    <w:snapToGrid w:val="0"/>
                    <w:rPr>
                      <w:rFonts w:hint="default" w:ascii="Times New Roman" w:hAnsi="Times New Roman" w:cs="Times New Roman"/>
                      <w:szCs w:val="21"/>
                    </w:rPr>
                  </w:pPr>
                  <w:r>
                    <w:rPr>
                      <w:rFonts w:hint="default" w:ascii="Times New Roman" w:hAnsi="Times New Roman" w:cs="Times New Roman"/>
                      <w:szCs w:val="21"/>
                    </w:rPr>
                    <w:t>临长江道路禁止规划运输危险化学品及危险废物路线</w:t>
                  </w:r>
                </w:p>
              </w:tc>
              <w:tc>
                <w:tcPr>
                  <w:tcW w:w="1757" w:type="pct"/>
                  <w:tcBorders>
                    <w:tl2br w:val="nil"/>
                    <w:tr2bl w:val="nil"/>
                  </w:tcBorders>
                  <w:vAlign w:val="center"/>
                </w:tcPr>
                <w:p w14:paraId="17DE6A75">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本项目不涉及</w:t>
                  </w:r>
                </w:p>
              </w:tc>
              <w:tc>
                <w:tcPr>
                  <w:tcW w:w="523" w:type="pct"/>
                  <w:tcBorders>
                    <w:tl2br w:val="nil"/>
                    <w:tr2bl w:val="nil"/>
                  </w:tcBorders>
                  <w:vAlign w:val="center"/>
                </w:tcPr>
                <w:p w14:paraId="76F5686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51260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44B9FB66">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0DDD093D">
                  <w:pPr>
                    <w:adjustRightInd w:val="0"/>
                    <w:snapToGrid w:val="0"/>
                    <w:rPr>
                      <w:rFonts w:hint="default" w:ascii="Times New Roman" w:hAnsi="Times New Roman" w:cs="Times New Roman"/>
                      <w:szCs w:val="21"/>
                    </w:rPr>
                  </w:pPr>
                  <w:r>
                    <w:rPr>
                      <w:rFonts w:hint="default" w:ascii="Times New Roman" w:hAnsi="Times New Roman" w:cs="Times New Roman"/>
                      <w:szCs w:val="21"/>
                    </w:rPr>
                    <w:t>禁止新建、扩建化工项目</w:t>
                  </w:r>
                </w:p>
              </w:tc>
              <w:tc>
                <w:tcPr>
                  <w:tcW w:w="1757" w:type="pct"/>
                  <w:tcBorders>
                    <w:tl2br w:val="nil"/>
                    <w:tr2bl w:val="nil"/>
                  </w:tcBorders>
                  <w:vAlign w:val="center"/>
                </w:tcPr>
                <w:p w14:paraId="2C72F204">
                  <w:pPr>
                    <w:adjustRightInd w:val="0"/>
                    <w:snapToGrid w:val="0"/>
                    <w:jc w:val="both"/>
                    <w:rPr>
                      <w:rFonts w:hint="default" w:ascii="Times New Roman" w:hAnsi="Times New Roman" w:cs="Times New Roman"/>
                      <w:szCs w:val="21"/>
                    </w:rPr>
                  </w:pPr>
                  <w:r>
                    <w:rPr>
                      <w:rFonts w:hint="default" w:ascii="Times New Roman" w:hAnsi="Times New Roman" w:cs="Times New Roman"/>
                      <w:szCs w:val="21"/>
                    </w:rPr>
                    <w:t>本项目为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，不属于化工项目</w:t>
                  </w:r>
                </w:p>
              </w:tc>
              <w:tc>
                <w:tcPr>
                  <w:tcW w:w="523" w:type="pct"/>
                  <w:tcBorders>
                    <w:tl2br w:val="nil"/>
                    <w:tr2bl w:val="nil"/>
                  </w:tcBorders>
                  <w:vAlign w:val="center"/>
                </w:tcPr>
                <w:p w14:paraId="26B1013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56A3B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6EE3D399">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资源开发利用要求</w:t>
                  </w:r>
                </w:p>
              </w:tc>
              <w:tc>
                <w:tcPr>
                  <w:tcW w:w="2324" w:type="pct"/>
                  <w:tcBorders>
                    <w:tl2br w:val="nil"/>
                    <w:tr2bl w:val="nil"/>
                  </w:tcBorders>
                  <w:vAlign w:val="center"/>
                </w:tcPr>
                <w:p w14:paraId="7C0047B8">
                  <w:pPr>
                    <w:adjustRightInd w:val="0"/>
                    <w:snapToGrid w:val="0"/>
                    <w:rPr>
                      <w:rFonts w:hint="default" w:ascii="Times New Roman" w:hAnsi="Times New Roman" w:cs="Times New Roman"/>
                      <w:szCs w:val="21"/>
                    </w:rPr>
                  </w:pPr>
                  <w:r>
                    <w:rPr>
                      <w:rFonts w:hint="default" w:ascii="Times New Roman" w:hAnsi="Times New Roman" w:cs="Times New Roman"/>
                      <w:szCs w:val="21"/>
                    </w:rPr>
                    <w:t>禁止新建、扩建燃用煤、重油等高污染燃料的工业项目，重庆和友实业股份有限公司不再新增燃煤总量</w:t>
                  </w:r>
                </w:p>
              </w:tc>
              <w:tc>
                <w:tcPr>
                  <w:tcW w:w="1757" w:type="pct"/>
                  <w:tcBorders>
                    <w:tl2br w:val="nil"/>
                    <w:tr2bl w:val="nil"/>
                  </w:tcBorders>
                  <w:vAlign w:val="center"/>
                </w:tcPr>
                <w:p w14:paraId="0D33518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本项目不涉及</w:t>
                  </w:r>
                </w:p>
              </w:tc>
              <w:tc>
                <w:tcPr>
                  <w:tcW w:w="523" w:type="pct"/>
                  <w:tcBorders>
                    <w:tl2br w:val="nil"/>
                    <w:tr2bl w:val="nil"/>
                  </w:tcBorders>
                  <w:vAlign w:val="center"/>
                </w:tcPr>
                <w:p w14:paraId="032EE90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4943F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1D5E78E1">
                  <w:pPr>
                    <w:adjustRightInd w:val="0"/>
                    <w:snapToGrid w:val="0"/>
                    <w:jc w:val="center"/>
                    <w:rPr>
                      <w:rFonts w:hint="default" w:ascii="Times New Roman" w:hAnsi="Times New Roman" w:cs="Times New Roman"/>
                      <w:szCs w:val="21"/>
                    </w:rPr>
                  </w:pPr>
                </w:p>
              </w:tc>
              <w:tc>
                <w:tcPr>
                  <w:tcW w:w="2324" w:type="pct"/>
                  <w:tcBorders>
                    <w:tl2br w:val="nil"/>
                    <w:tr2bl w:val="nil"/>
                  </w:tcBorders>
                  <w:vAlign w:val="center"/>
                </w:tcPr>
                <w:p w14:paraId="5C818E09">
                  <w:pPr>
                    <w:adjustRightInd w:val="0"/>
                    <w:snapToGrid w:val="0"/>
                    <w:rPr>
                      <w:rFonts w:hint="default" w:ascii="Times New Roman" w:hAnsi="Times New Roman" w:cs="Times New Roman"/>
                      <w:szCs w:val="21"/>
                    </w:rPr>
                  </w:pPr>
                  <w:r>
                    <w:rPr>
                      <w:rFonts w:hint="default" w:ascii="Times New Roman" w:hAnsi="Times New Roman" w:cs="Times New Roman"/>
                      <w:szCs w:val="21"/>
                    </w:rPr>
                    <w:t>新建和改、扩建的工业项目清洁生产水平应达到国内先进水平</w:t>
                  </w:r>
                </w:p>
              </w:tc>
              <w:tc>
                <w:tcPr>
                  <w:tcW w:w="1757" w:type="pct"/>
                  <w:tcBorders>
                    <w:tl2br w:val="nil"/>
                    <w:tr2bl w:val="nil"/>
                  </w:tcBorders>
                  <w:vAlign w:val="center"/>
                </w:tcPr>
                <w:p w14:paraId="102DD0FE">
                  <w:pPr>
                    <w:adjustRightInd w:val="0"/>
                    <w:snapToGrid w:val="0"/>
                    <w:rPr>
                      <w:rFonts w:hint="default" w:ascii="Times New Roman" w:hAnsi="Times New Roman" w:cs="Times New Roman"/>
                      <w:szCs w:val="21"/>
                    </w:rPr>
                  </w:pPr>
                  <w:r>
                    <w:rPr>
                      <w:rFonts w:hint="default" w:ascii="Times New Roman" w:hAnsi="Times New Roman" w:cs="Times New Roman"/>
                      <w:szCs w:val="21"/>
                    </w:rPr>
                    <w:t>本项目采用先进工艺技术，满足清洁生产要求</w:t>
                  </w:r>
                </w:p>
              </w:tc>
              <w:tc>
                <w:tcPr>
                  <w:tcW w:w="523" w:type="pct"/>
                  <w:tcBorders>
                    <w:tl2br w:val="nil"/>
                    <w:tr2bl w:val="nil"/>
                  </w:tcBorders>
                  <w:vAlign w:val="center"/>
                </w:tcPr>
                <w:p w14:paraId="2A76E76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bl>
          <w:p w14:paraId="3EF629CA">
            <w:pPr>
              <w:adjustRightInd w:val="0"/>
              <w:snapToGrid w:val="0"/>
              <w:spacing w:line="360" w:lineRule="auto"/>
              <w:jc w:val="center"/>
              <w:rPr>
                <w:rFonts w:hint="default" w:ascii="Times New Roman" w:hAnsi="Times New Roman" w:cs="Times New Roman"/>
                <w:b/>
                <w:bCs/>
                <w:sz w:val="24"/>
                <w:szCs w:val="21"/>
              </w:rPr>
            </w:pPr>
          </w:p>
          <w:p w14:paraId="109C6AB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z w:val="24"/>
                <w:szCs w:val="21"/>
              </w:rPr>
            </w:pPr>
            <w:r>
              <w:rPr>
                <w:rFonts w:hint="default" w:ascii="Times New Roman" w:hAnsi="Times New Roman" w:cs="Times New Roman"/>
                <w:b/>
                <w:bCs/>
                <w:sz w:val="24"/>
                <w:szCs w:val="21"/>
              </w:rPr>
              <w:t>表1</w:t>
            </w:r>
            <w:r>
              <w:rPr>
                <w:rFonts w:hint="eastAsia" w:ascii="Times New Roman" w:hAnsi="Times New Roman" w:cs="Times New Roman"/>
                <w:b/>
                <w:bCs/>
                <w:sz w:val="24"/>
                <w:szCs w:val="21"/>
                <w:lang w:val="en-US" w:eastAsia="zh-CN"/>
              </w:rPr>
              <w:t>.1-2</w:t>
            </w:r>
            <w:r>
              <w:rPr>
                <w:rFonts w:hint="default" w:ascii="Times New Roman" w:hAnsi="Times New Roman" w:cs="Times New Roman"/>
                <w:b/>
                <w:bCs/>
                <w:sz w:val="24"/>
                <w:szCs w:val="21"/>
              </w:rPr>
              <w:t xml:space="preserve">  本项目与规划环评审查意见的符合性分析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615"/>
              <w:gridCol w:w="3382"/>
              <w:gridCol w:w="2328"/>
              <w:gridCol w:w="853"/>
            </w:tblGrid>
            <w:tr w14:paraId="15FF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664DB422">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分类</w:t>
                  </w:r>
                </w:p>
              </w:tc>
              <w:tc>
                <w:tcPr>
                  <w:tcW w:w="2478" w:type="pct"/>
                  <w:gridSpan w:val="2"/>
                  <w:vAlign w:val="center"/>
                </w:tcPr>
                <w:p w14:paraId="7E325010">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审查意见函相关要求</w:t>
                  </w:r>
                </w:p>
              </w:tc>
              <w:tc>
                <w:tcPr>
                  <w:tcW w:w="1443" w:type="pct"/>
                  <w:vAlign w:val="center"/>
                </w:tcPr>
                <w:p w14:paraId="17318DD1">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本项目情况</w:t>
                  </w:r>
                </w:p>
              </w:tc>
              <w:tc>
                <w:tcPr>
                  <w:tcW w:w="529" w:type="pct"/>
                  <w:vAlign w:val="center"/>
                </w:tcPr>
                <w:p w14:paraId="00A7A10F">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符合性</w:t>
                  </w:r>
                </w:p>
              </w:tc>
            </w:tr>
            <w:tr w14:paraId="11DA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0A95D25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严格生态环境准入</w:t>
                  </w:r>
                </w:p>
              </w:tc>
              <w:tc>
                <w:tcPr>
                  <w:tcW w:w="2478" w:type="pct"/>
                  <w:gridSpan w:val="2"/>
                  <w:vAlign w:val="center"/>
                </w:tcPr>
                <w:p w14:paraId="3C3C1772">
                  <w:pPr>
                    <w:adjustRightInd w:val="0"/>
                    <w:snapToGrid w:val="0"/>
                    <w:rPr>
                      <w:rFonts w:hint="default" w:ascii="Times New Roman" w:hAnsi="Times New Roman" w:cs="Times New Roman"/>
                      <w:szCs w:val="21"/>
                    </w:rPr>
                  </w:pPr>
                  <w:r>
                    <w:rPr>
                      <w:rFonts w:hint="default" w:ascii="Times New Roman" w:hAnsi="Times New Roman" w:cs="Times New Roman"/>
                      <w:szCs w:val="21"/>
                    </w:rPr>
                    <w:t>强化规划环评与</w:t>
                  </w:r>
                  <w:r>
                    <w:rPr>
                      <w:rFonts w:hint="eastAsia" w:ascii="Times New Roman" w:hAnsi="Times New Roman" w:cs="Times New Roman"/>
                      <w:szCs w:val="21"/>
                      <w:lang w:eastAsia="zh-CN"/>
                    </w:rPr>
                    <w:t>“</w:t>
                  </w:r>
                  <w:r>
                    <w:rPr>
                      <w:rFonts w:hint="default" w:ascii="Times New Roman" w:hAnsi="Times New Roman" w:cs="Times New Roman"/>
                      <w:szCs w:val="21"/>
                    </w:rPr>
                    <w:t>三线一单</w:t>
                  </w:r>
                  <w:r>
                    <w:rPr>
                      <w:rFonts w:hint="eastAsia" w:ascii="Times New Roman" w:hAnsi="Times New Roman" w:cs="Times New Roman"/>
                      <w:szCs w:val="21"/>
                      <w:lang w:eastAsia="zh-CN"/>
                    </w:rPr>
                    <w:t>”</w:t>
                  </w:r>
                  <w:r>
                    <w:rPr>
                      <w:rFonts w:hint="default" w:ascii="Times New Roman" w:hAnsi="Times New Roman" w:cs="Times New Roman"/>
                      <w:szCs w:val="21"/>
                    </w:rPr>
                    <w:t>生态环境分区管控要求、国土空间</w:t>
                  </w:r>
                  <w:r>
                    <w:rPr>
                      <w:rFonts w:hint="eastAsia" w:ascii="Times New Roman" w:hAnsi="Times New Roman" w:cs="Times New Roman"/>
                      <w:szCs w:val="21"/>
                      <w:lang w:eastAsia="zh-CN"/>
                    </w:rPr>
                    <w:t>“</w:t>
                  </w:r>
                  <w:r>
                    <w:rPr>
                      <w:rFonts w:hint="default" w:ascii="Times New Roman" w:hAnsi="Times New Roman" w:cs="Times New Roman"/>
                      <w:szCs w:val="21"/>
                    </w:rPr>
                    <w:t>三区三线</w:t>
                  </w:r>
                  <w:r>
                    <w:rPr>
                      <w:rFonts w:hint="eastAsia" w:ascii="Times New Roman" w:hAnsi="Times New Roman" w:cs="Times New Roman"/>
                      <w:szCs w:val="21"/>
                      <w:lang w:eastAsia="zh-CN"/>
                    </w:rPr>
                    <w:t>”</w:t>
                  </w:r>
                  <w:r>
                    <w:rPr>
                      <w:rFonts w:hint="default" w:ascii="Times New Roman" w:hAnsi="Times New Roman" w:cs="Times New Roman"/>
                      <w:szCs w:val="21"/>
                    </w:rPr>
                    <w:t>等成果衔接，主要管控措施应符合重庆市及九龙坡区</w:t>
                  </w:r>
                  <w:r>
                    <w:rPr>
                      <w:rFonts w:hint="eastAsia" w:ascii="Times New Roman" w:hAnsi="Times New Roman" w:cs="Times New Roman"/>
                      <w:szCs w:val="21"/>
                      <w:lang w:eastAsia="zh-CN"/>
                    </w:rPr>
                    <w:t>“</w:t>
                  </w:r>
                  <w:r>
                    <w:rPr>
                      <w:rFonts w:hint="default" w:ascii="Times New Roman" w:hAnsi="Times New Roman" w:cs="Times New Roman"/>
                      <w:szCs w:val="21"/>
                    </w:rPr>
                    <w:t>三线一单</w:t>
                  </w:r>
                  <w:r>
                    <w:rPr>
                      <w:rFonts w:hint="eastAsia" w:ascii="Times New Roman" w:hAnsi="Times New Roman" w:cs="Times New Roman"/>
                      <w:szCs w:val="21"/>
                      <w:lang w:eastAsia="zh-CN"/>
                    </w:rPr>
                    <w:t>”</w:t>
                  </w:r>
                  <w:r>
                    <w:rPr>
                      <w:rFonts w:hint="default" w:ascii="Times New Roman" w:hAnsi="Times New Roman" w:cs="Times New Roman"/>
                      <w:szCs w:val="21"/>
                    </w:rPr>
                    <w:t>生态环境分区管控要求。规划区入驻项目应满足相关产业政策和环境准入要求以及《报告书》提出的生态环境管控要求。</w:t>
                  </w:r>
                </w:p>
              </w:tc>
              <w:tc>
                <w:tcPr>
                  <w:tcW w:w="1443" w:type="pct"/>
                  <w:vAlign w:val="center"/>
                </w:tcPr>
                <w:p w14:paraId="2E73DD4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本项目位于西彭工业园区西彭组团D标准分区，符合规划环评准入及</w:t>
                  </w:r>
                  <w:r>
                    <w:rPr>
                      <w:rFonts w:hint="eastAsia" w:ascii="Times New Roman" w:hAnsi="Times New Roman" w:cs="Times New Roman"/>
                      <w:szCs w:val="21"/>
                      <w:lang w:eastAsia="zh-CN"/>
                    </w:rPr>
                    <w:t>“</w:t>
                  </w:r>
                  <w:r>
                    <w:rPr>
                      <w:rFonts w:hint="default" w:ascii="Times New Roman" w:hAnsi="Times New Roman" w:cs="Times New Roman"/>
                      <w:szCs w:val="21"/>
                    </w:rPr>
                    <w:t>三线一单</w:t>
                  </w:r>
                  <w:r>
                    <w:rPr>
                      <w:rFonts w:hint="eastAsia" w:ascii="Times New Roman" w:hAnsi="Times New Roman" w:cs="Times New Roman"/>
                      <w:szCs w:val="21"/>
                      <w:lang w:eastAsia="zh-CN"/>
                    </w:rPr>
                    <w:t>”</w:t>
                  </w:r>
                  <w:r>
                    <w:rPr>
                      <w:rFonts w:hint="default" w:ascii="Times New Roman" w:hAnsi="Times New Roman" w:cs="Times New Roman"/>
                      <w:szCs w:val="21"/>
                    </w:rPr>
                    <w:t>要求</w:t>
                  </w:r>
                </w:p>
              </w:tc>
              <w:tc>
                <w:tcPr>
                  <w:tcW w:w="529" w:type="pct"/>
                  <w:vAlign w:val="center"/>
                </w:tcPr>
                <w:p w14:paraId="0754DBC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62DF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231DA6D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强化空间布局约束</w:t>
                  </w:r>
                </w:p>
              </w:tc>
              <w:tc>
                <w:tcPr>
                  <w:tcW w:w="2478" w:type="pct"/>
                  <w:gridSpan w:val="2"/>
                  <w:vAlign w:val="center"/>
                </w:tcPr>
                <w:p w14:paraId="0E6E5D19">
                  <w:pPr>
                    <w:adjustRightInd w:val="0"/>
                    <w:snapToGrid w:val="0"/>
                    <w:rPr>
                      <w:rFonts w:hint="default" w:ascii="Times New Roman" w:hAnsi="Times New Roman" w:cs="Times New Roman"/>
                      <w:szCs w:val="21"/>
                    </w:rPr>
                  </w:pPr>
                  <w:r>
                    <w:rPr>
                      <w:rFonts w:hint="default" w:ascii="Times New Roman" w:hAnsi="Times New Roman" w:cs="Times New Roman"/>
                      <w:szCs w:val="21"/>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本项目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镉、汞、砷、铅等重金属）、剧毒物质和持久性有机污染物的工业项目。</w:t>
                  </w:r>
                </w:p>
              </w:tc>
              <w:tc>
                <w:tcPr>
                  <w:tcW w:w="1443" w:type="pct"/>
                  <w:vAlign w:val="center"/>
                </w:tcPr>
                <w:p w14:paraId="453B26E6">
                  <w:pPr>
                    <w:adjustRightInd w:val="0"/>
                    <w:snapToGrid w:val="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本项目位于西彭工业园区西彭组团D标准分区，</w:t>
                  </w:r>
                  <w:r>
                    <w:rPr>
                      <w:rFonts w:hint="eastAsia" w:ascii="Times New Roman" w:hAnsi="Times New Roman" w:cs="Times New Roman"/>
                      <w:szCs w:val="21"/>
                      <w:lang w:eastAsia="zh-CN"/>
                    </w:rPr>
                    <w:t>距离渝西中学约</w:t>
                  </w:r>
                  <w:r>
                    <w:rPr>
                      <w:rFonts w:hint="eastAsia" w:ascii="Times New Roman" w:hAnsi="Times New Roman" w:cs="Times New Roman"/>
                      <w:szCs w:val="21"/>
                      <w:lang w:val="en-US" w:eastAsia="zh-CN"/>
                    </w:rPr>
                    <w:t>2.5km，</w:t>
                  </w:r>
                  <w:r>
                    <w:rPr>
                      <w:rFonts w:hint="default" w:ascii="Times New Roman" w:hAnsi="Times New Roman" w:cs="Times New Roman"/>
                      <w:szCs w:val="21"/>
                    </w:rPr>
                    <w:t>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，不涉及喷漆、酸洗、熔炼，不排放含重金属、剧毒物质和持久性有机污染物的废水</w:t>
                  </w:r>
                  <w:r>
                    <w:rPr>
                      <w:rFonts w:hint="eastAsia" w:ascii="Times New Roman" w:hAnsi="Times New Roman" w:cs="Times New Roman"/>
                      <w:szCs w:val="21"/>
                      <w:lang w:eastAsia="zh-CN"/>
                    </w:rPr>
                    <w:t>。</w:t>
                  </w:r>
                </w:p>
              </w:tc>
              <w:tc>
                <w:tcPr>
                  <w:tcW w:w="529" w:type="pct"/>
                  <w:vAlign w:val="center"/>
                </w:tcPr>
                <w:p w14:paraId="11E9FC4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7245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vAlign w:val="center"/>
                </w:tcPr>
                <w:p w14:paraId="4FD17B6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加强污染排放管控</w:t>
                  </w:r>
                </w:p>
              </w:tc>
              <w:tc>
                <w:tcPr>
                  <w:tcW w:w="381" w:type="pct"/>
                  <w:vAlign w:val="center"/>
                </w:tcPr>
                <w:p w14:paraId="1864C39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水污染物排放管控</w:t>
                  </w:r>
                </w:p>
              </w:tc>
              <w:tc>
                <w:tcPr>
                  <w:tcW w:w="2097" w:type="pct"/>
                  <w:vAlign w:val="center"/>
                </w:tcPr>
                <w:p w14:paraId="11E8968B">
                  <w:pPr>
                    <w:adjustRightInd w:val="0"/>
                    <w:snapToGrid w:val="0"/>
                    <w:rPr>
                      <w:rFonts w:hint="default" w:ascii="Times New Roman" w:hAnsi="Times New Roman" w:cs="Times New Roman"/>
                      <w:szCs w:val="21"/>
                    </w:rPr>
                  </w:pPr>
                  <w:r>
                    <w:rPr>
                      <w:rFonts w:hint="default" w:ascii="Times New Roman" w:hAnsi="Times New Roman" w:cs="Times New Roman"/>
                      <w:szCs w:val="21"/>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₃-N、TP达《地表水环境质量标准》(GB3838-2002)Ⅳ类标准）；西南铝企业污废水经自建污水处理站处理达《污水综合排放标准》(GB8978-1996）一级标准后排入桥头河。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hint="default" w:ascii="Times New Roman" w:hAnsi="Times New Roman" w:cs="Times New Roman"/>
                      <w:szCs w:val="21"/>
                      <w:vertAlign w:val="subscript"/>
                    </w:rPr>
                    <w:t>3</w:t>
                  </w:r>
                  <w:r>
                    <w:rPr>
                      <w:rFonts w:hint="default" w:ascii="Times New Roman" w:hAnsi="Times New Roman" w:cs="Times New Roman"/>
                      <w:szCs w:val="21"/>
                    </w:rPr>
                    <w:t>-N、TP达《地表水环境质量标准》(GB3838-2002)Ⅳ类标准）。铜罐驿组团污废水（除重庆和友实业股份有限公司）污废水通过市政污水管网进入铜罐驿污水处理厂处理达《地表水环境质量标准》(GB3838-2002)Ⅳ类标准后排入金竹沟再汇入长江；重庆和友实业股份有限公司经自建污水处理站处理达到《合成氨工业水污染物排放标准》(GB13458-2013）后排入金竹沟再汇入长江。</w:t>
                  </w:r>
                </w:p>
              </w:tc>
              <w:tc>
                <w:tcPr>
                  <w:tcW w:w="1443" w:type="pct"/>
                  <w:vAlign w:val="center"/>
                </w:tcPr>
                <w:p w14:paraId="583E0644">
                  <w:pPr>
                    <w:adjustRightInd w:val="0"/>
                    <w:snapToGrid w:val="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本项目厂区雨污分流，雨水直接进入园区雨水管网；生活污水依托</w:t>
                  </w:r>
                  <w:r>
                    <w:rPr>
                      <w:rFonts w:hint="eastAsia" w:ascii="Times New Roman" w:hAnsi="Times New Roman" w:cs="Times New Roman"/>
                      <w:szCs w:val="21"/>
                      <w:lang w:eastAsia="zh-CN"/>
                    </w:rPr>
                    <w:t>森迪产业园区</w:t>
                  </w:r>
                  <w:r>
                    <w:rPr>
                      <w:rFonts w:hint="default" w:ascii="Times New Roman" w:hAnsi="Times New Roman" w:cs="Times New Roman"/>
                      <w:szCs w:val="21"/>
                    </w:rPr>
                    <w:t>已建生化池处理达《污水综合排放标准》（GB8978-1996）三级标准后排入园区管网，进入西彭工业园区污水处理厂处理达《城镇污水处理厂污染物排放标准》(GB18918-2002）一级A标准（其中COD、NH</w:t>
                  </w:r>
                  <w:r>
                    <w:rPr>
                      <w:rFonts w:hint="eastAsia" w:ascii="Times New Roman" w:hAnsi="Times New Roman" w:cs="Times New Roman"/>
                      <w:szCs w:val="21"/>
                      <w:vertAlign w:val="subscript"/>
                      <w:lang w:val="en-US" w:eastAsia="zh-CN"/>
                    </w:rPr>
                    <w:t>3</w:t>
                  </w:r>
                  <w:r>
                    <w:rPr>
                      <w:rFonts w:hint="default" w:ascii="Times New Roman" w:hAnsi="Times New Roman" w:cs="Times New Roman"/>
                      <w:szCs w:val="21"/>
                    </w:rPr>
                    <w:t>-N达《地表水环境质量标准》</w:t>
                  </w:r>
                  <w:r>
                    <w:rPr>
                      <w:rFonts w:hint="eastAsia" w:ascii="Times New Roman" w:hAnsi="Times New Roman" w:cs="Times New Roman"/>
                      <w:szCs w:val="21"/>
                      <w:lang w:eastAsia="zh-CN"/>
                    </w:rPr>
                    <w:t>（</w:t>
                  </w:r>
                  <w:r>
                    <w:rPr>
                      <w:rFonts w:hint="default" w:ascii="Times New Roman" w:hAnsi="Times New Roman" w:cs="Times New Roman"/>
                      <w:szCs w:val="21"/>
                    </w:rPr>
                    <w:t>GB3838-2002</w:t>
                  </w:r>
                  <w:r>
                    <w:rPr>
                      <w:rFonts w:hint="eastAsia" w:ascii="Times New Roman" w:hAnsi="Times New Roman" w:cs="Times New Roman"/>
                      <w:szCs w:val="21"/>
                      <w:lang w:eastAsia="zh-CN"/>
                    </w:rPr>
                    <w:t>）</w:t>
                  </w:r>
                  <w:r>
                    <w:rPr>
                      <w:rFonts w:hint="default" w:ascii="Times New Roman" w:hAnsi="Times New Roman" w:cs="Times New Roman"/>
                      <w:szCs w:val="21"/>
                    </w:rPr>
                    <w:t>Ⅳ类标准）后排入桥头河再汇入长江</w:t>
                  </w:r>
                  <w:r>
                    <w:rPr>
                      <w:rFonts w:hint="eastAsia" w:ascii="Times New Roman" w:hAnsi="Times New Roman" w:cs="Times New Roman"/>
                      <w:szCs w:val="21"/>
                      <w:lang w:eastAsia="zh-CN"/>
                    </w:rPr>
                    <w:t>。</w:t>
                  </w:r>
                </w:p>
              </w:tc>
              <w:tc>
                <w:tcPr>
                  <w:tcW w:w="529" w:type="pct"/>
                  <w:vAlign w:val="center"/>
                </w:tcPr>
                <w:p w14:paraId="34A9577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5543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0117AF93">
                  <w:pPr>
                    <w:adjustRightInd w:val="0"/>
                    <w:snapToGrid w:val="0"/>
                    <w:jc w:val="center"/>
                    <w:rPr>
                      <w:rFonts w:hint="default" w:ascii="Times New Roman" w:hAnsi="Times New Roman" w:cs="Times New Roman"/>
                      <w:szCs w:val="21"/>
                    </w:rPr>
                  </w:pPr>
                </w:p>
              </w:tc>
              <w:tc>
                <w:tcPr>
                  <w:tcW w:w="381" w:type="pct"/>
                  <w:vAlign w:val="center"/>
                </w:tcPr>
                <w:p w14:paraId="55A82B5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大气污染物排放管控</w:t>
                  </w:r>
                </w:p>
              </w:tc>
              <w:tc>
                <w:tcPr>
                  <w:tcW w:w="2097" w:type="pct"/>
                  <w:vAlign w:val="center"/>
                </w:tcPr>
                <w:p w14:paraId="07754F2E">
                  <w:pPr>
                    <w:adjustRightInd w:val="0"/>
                    <w:snapToGrid w:val="0"/>
                    <w:rPr>
                      <w:rFonts w:hint="default" w:ascii="Times New Roman" w:hAnsi="Times New Roman" w:cs="Times New Roman"/>
                      <w:szCs w:val="21"/>
                    </w:rPr>
                  </w:pPr>
                  <w:r>
                    <w:rPr>
                      <w:rFonts w:hint="default" w:ascii="Times New Roman" w:hAnsi="Times New Roman" w:cs="Times New Roman"/>
                      <w:szCs w:val="21"/>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s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443" w:type="pct"/>
                  <w:vAlign w:val="center"/>
                </w:tcPr>
                <w:p w14:paraId="639C41D4">
                  <w:pPr>
                    <w:adjustRightInd w:val="0"/>
                    <w:snapToGrid w:val="0"/>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扩建</w:t>
                  </w:r>
                  <w:r>
                    <w:rPr>
                      <w:rFonts w:hint="default" w:ascii="Times New Roman" w:hAnsi="Times New Roman" w:cs="Times New Roman"/>
                      <w:szCs w:val="21"/>
                    </w:rPr>
                    <w:t>项目</w:t>
                  </w:r>
                  <w:r>
                    <w:rPr>
                      <w:rFonts w:hint="eastAsia" w:ascii="Times New Roman" w:hAnsi="Times New Roman" w:cs="Times New Roman"/>
                      <w:szCs w:val="21"/>
                      <w:lang w:eastAsia="zh-CN"/>
                    </w:rPr>
                    <w:t>使用电能及天然气作为能源，生产原料为塑粉，不涉及喷漆、酸洗等工艺。生产过程中会产生</w:t>
                  </w:r>
                  <w:r>
                    <w:rPr>
                      <w:rFonts w:hint="eastAsia" w:ascii="Times New Roman" w:hAnsi="Times New Roman" w:cs="Times New Roman"/>
                      <w:szCs w:val="21"/>
                      <w:lang w:val="en-US" w:eastAsia="zh-CN"/>
                    </w:rPr>
                    <w:t>VOCs废气</w:t>
                  </w:r>
                  <w:r>
                    <w:rPr>
                      <w:rFonts w:hint="default" w:ascii="Times New Roman" w:hAnsi="Times New Roman" w:cs="Times New Roman"/>
                      <w:szCs w:val="21"/>
                    </w:rPr>
                    <w:t>，</w:t>
                  </w:r>
                  <w:r>
                    <w:rPr>
                      <w:rFonts w:hint="eastAsia" w:ascii="Times New Roman" w:hAnsi="Times New Roman" w:cs="Times New Roman"/>
                      <w:szCs w:val="21"/>
                      <w:lang w:eastAsia="zh-CN"/>
                    </w:rPr>
                    <w:t>采用“干式过滤</w:t>
                  </w:r>
                  <w:r>
                    <w:rPr>
                      <w:rFonts w:hint="eastAsia" w:ascii="Times New Roman" w:hAnsi="Times New Roman" w:cs="Times New Roman"/>
                      <w:szCs w:val="21"/>
                      <w:lang w:val="en-US" w:eastAsia="zh-CN"/>
                    </w:rPr>
                    <w:t>+</w:t>
                  </w:r>
                  <w:r>
                    <w:rPr>
                      <w:rFonts w:hint="eastAsia" w:ascii="Times New Roman" w:hAnsi="Times New Roman" w:cs="Times New Roman"/>
                      <w:szCs w:val="21"/>
                      <w:lang w:eastAsia="zh-CN"/>
                    </w:rPr>
                    <w:t>活性炭”吸附处置后有组织排放；喷粉过程中</w:t>
                  </w:r>
                  <w:r>
                    <w:rPr>
                      <w:rFonts w:hint="default" w:ascii="Times New Roman" w:hAnsi="Times New Roman" w:cs="Times New Roman"/>
                      <w:szCs w:val="21"/>
                    </w:rPr>
                    <w:t>产生的废气粉尘收集后经</w:t>
                  </w:r>
                  <w:r>
                    <w:rPr>
                      <w:rFonts w:hint="eastAsia" w:ascii="Times New Roman" w:hAnsi="Times New Roman" w:cs="Times New Roman"/>
                      <w:szCs w:val="21"/>
                      <w:highlight w:val="none"/>
                      <w:lang w:eastAsia="zh-CN"/>
                    </w:rPr>
                    <w:t>滤筒</w:t>
                  </w:r>
                  <w:r>
                    <w:rPr>
                      <w:rFonts w:hint="default" w:ascii="Times New Roman" w:hAnsi="Times New Roman" w:cs="Times New Roman"/>
                      <w:szCs w:val="21"/>
                      <w:highlight w:val="none"/>
                    </w:rPr>
                    <w:t>除尘器处</w:t>
                  </w:r>
                  <w:r>
                    <w:rPr>
                      <w:rFonts w:hint="default" w:ascii="Times New Roman" w:hAnsi="Times New Roman" w:cs="Times New Roman"/>
                      <w:szCs w:val="21"/>
                    </w:rPr>
                    <w:t>理后通过排气筒排放</w:t>
                  </w:r>
                  <w:r>
                    <w:rPr>
                      <w:rFonts w:hint="eastAsia" w:ascii="Times New Roman" w:hAnsi="Times New Roman" w:cs="Times New Roman"/>
                      <w:szCs w:val="21"/>
                      <w:lang w:eastAsia="zh-CN"/>
                    </w:rPr>
                    <w:t>；抛丸废气经布袋除尘器处置后通过排气筒排放。</w:t>
                  </w:r>
                </w:p>
              </w:tc>
              <w:tc>
                <w:tcPr>
                  <w:tcW w:w="529" w:type="pct"/>
                  <w:vAlign w:val="center"/>
                </w:tcPr>
                <w:p w14:paraId="5C78C8A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1906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271CFA80">
                  <w:pPr>
                    <w:adjustRightInd w:val="0"/>
                    <w:snapToGrid w:val="0"/>
                    <w:jc w:val="center"/>
                    <w:rPr>
                      <w:rFonts w:hint="default" w:ascii="Times New Roman" w:hAnsi="Times New Roman" w:cs="Times New Roman"/>
                      <w:szCs w:val="21"/>
                    </w:rPr>
                  </w:pPr>
                </w:p>
              </w:tc>
              <w:tc>
                <w:tcPr>
                  <w:tcW w:w="381" w:type="pct"/>
                  <w:vAlign w:val="center"/>
                </w:tcPr>
                <w:p w14:paraId="1A745A6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工业固废排放管控</w:t>
                  </w:r>
                </w:p>
              </w:tc>
              <w:tc>
                <w:tcPr>
                  <w:tcW w:w="2097" w:type="pct"/>
                  <w:vAlign w:val="center"/>
                </w:tcPr>
                <w:p w14:paraId="08DAAD4E">
                  <w:pPr>
                    <w:adjustRightInd w:val="0"/>
                    <w:snapToGrid w:val="0"/>
                    <w:rPr>
                      <w:rFonts w:hint="default" w:ascii="Times New Roman" w:hAnsi="Times New Roman" w:cs="Times New Roman"/>
                      <w:szCs w:val="21"/>
                    </w:rPr>
                  </w:pPr>
                  <w:r>
                    <w:rPr>
                      <w:rFonts w:hint="default" w:ascii="Times New Roman" w:hAnsi="Times New Roman" w:cs="Times New Roman"/>
                      <w:szCs w:val="21"/>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令第23号）相关要求。</w:t>
                  </w:r>
                </w:p>
              </w:tc>
              <w:tc>
                <w:tcPr>
                  <w:tcW w:w="1443" w:type="pct"/>
                  <w:vAlign w:val="center"/>
                </w:tcPr>
                <w:p w14:paraId="3718C169">
                  <w:pPr>
                    <w:adjustRightInd w:val="0"/>
                    <w:snapToGrid w:val="0"/>
                    <w:rPr>
                      <w:rFonts w:hint="default" w:ascii="Times New Roman" w:hAnsi="Times New Roman" w:cs="Times New Roman"/>
                      <w:szCs w:val="21"/>
                    </w:rPr>
                  </w:pPr>
                  <w:r>
                    <w:rPr>
                      <w:rFonts w:hint="eastAsia" w:ascii="Times New Roman" w:hAnsi="Times New Roman" w:cs="Times New Roman"/>
                      <w:szCs w:val="21"/>
                      <w:lang w:eastAsia="zh-CN"/>
                    </w:rPr>
                    <w:t>本项目依托厂区现有</w:t>
                  </w:r>
                  <w:r>
                    <w:rPr>
                      <w:rFonts w:hint="default" w:ascii="Times New Roman" w:hAnsi="Times New Roman" w:cs="Times New Roman"/>
                      <w:color w:val="000000" w:themeColor="text1"/>
                      <w:szCs w:val="21"/>
                      <w14:textFill>
                        <w14:solidFill>
                          <w14:schemeClr w14:val="tx1"/>
                        </w14:solidFill>
                      </w14:textFill>
                    </w:rPr>
                    <w:t>设置</w:t>
                  </w:r>
                  <w:r>
                    <w:rPr>
                      <w:rFonts w:hint="eastAsia" w:ascii="Times New Roman" w:hAnsi="Times New Roman" w:cs="Times New Roman"/>
                      <w:color w:val="000000" w:themeColor="text1"/>
                      <w:szCs w:val="21"/>
                      <w:lang w:eastAsia="zh-CN"/>
                      <w14:textFill>
                        <w14:solidFill>
                          <w14:schemeClr w14:val="tx1"/>
                        </w14:solidFill>
                      </w14:textFill>
                    </w:rPr>
                    <w:t>的</w:t>
                  </w: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个</w:t>
                  </w:r>
                  <w:r>
                    <w:rPr>
                      <w:rFonts w:hint="default" w:ascii="Times New Roman" w:hAnsi="Times New Roman" w:cs="Times New Roman"/>
                      <w:color w:val="000000" w:themeColor="text1"/>
                      <w:szCs w:val="21"/>
                      <w14:textFill>
                        <w14:solidFill>
                          <w14:schemeClr w14:val="tx1"/>
                        </w14:solidFill>
                      </w14:textFill>
                    </w:rPr>
                    <w:t>一般固废暂存区，分类收集，定期外售处理；</w:t>
                  </w:r>
                  <w:r>
                    <w:rPr>
                      <w:rFonts w:hint="eastAsia" w:ascii="Times New Roman" w:hAnsi="Times New Roman" w:cs="Times New Roman"/>
                      <w:color w:val="000000" w:themeColor="text1"/>
                      <w:szCs w:val="21"/>
                      <w:lang w:eastAsia="zh-CN"/>
                      <w14:textFill>
                        <w14:solidFill>
                          <w14:schemeClr w14:val="tx1"/>
                        </w14:solidFill>
                      </w14:textFill>
                    </w:rPr>
                    <w:t>依托现有</w:t>
                  </w:r>
                  <w:r>
                    <w:rPr>
                      <w:rFonts w:hint="default" w:ascii="Times New Roman" w:hAnsi="Times New Roman" w:cs="Times New Roman"/>
                      <w:color w:val="000000" w:themeColor="text1"/>
                      <w:szCs w:val="21"/>
                      <w14:textFill>
                        <w14:solidFill>
                          <w14:schemeClr w14:val="tx1"/>
                        </w14:solidFill>
                      </w14:textFill>
                    </w:rPr>
                    <w:t>设置</w:t>
                  </w:r>
                  <w:r>
                    <w:rPr>
                      <w:rFonts w:hint="eastAsia" w:ascii="Times New Roman" w:hAnsi="Times New Roman" w:cs="Times New Roman"/>
                      <w:color w:val="000000" w:themeColor="text1"/>
                      <w:szCs w:val="21"/>
                      <w:lang w:eastAsia="zh-CN"/>
                      <w14:textFill>
                        <w14:solidFill>
                          <w14:schemeClr w14:val="tx1"/>
                        </w14:solidFill>
                      </w14:textFill>
                    </w:rPr>
                    <w:t>的</w:t>
                  </w:r>
                  <w:r>
                    <w:rPr>
                      <w:rFonts w:hint="default" w:ascii="Times New Roman" w:hAnsi="Times New Roman" w:cs="Times New Roman"/>
                      <w:color w:val="000000" w:themeColor="text1"/>
                      <w:szCs w:val="21"/>
                      <w14:textFill>
                        <w14:solidFill>
                          <w14:schemeClr w14:val="tx1"/>
                        </w14:solidFill>
                      </w14:textFill>
                    </w:rPr>
                    <w:t>1处</w:t>
                  </w:r>
                  <w:r>
                    <w:rPr>
                      <w:rFonts w:hint="default" w:ascii="Times New Roman" w:hAnsi="Times New Roman" w:cs="Times New Roman"/>
                      <w:color w:val="000000" w:themeColor="text1"/>
                      <w:szCs w:val="21"/>
                      <w:lang w:eastAsia="zh-CN"/>
                      <w14:textFill>
                        <w14:solidFill>
                          <w14:schemeClr w14:val="tx1"/>
                        </w14:solidFill>
                      </w14:textFill>
                    </w:rPr>
                    <w:t>危险废物贮存</w:t>
                  </w:r>
                  <w:r>
                    <w:rPr>
                      <w:rFonts w:hint="default" w:ascii="Times New Roman" w:hAnsi="Times New Roman" w:cs="Times New Roman"/>
                      <w:color w:val="000000" w:themeColor="text1"/>
                      <w:szCs w:val="21"/>
                      <w:lang w:val="en-US" w:eastAsia="zh-CN"/>
                      <w14:textFill>
                        <w14:solidFill>
                          <w14:schemeClr w14:val="tx1"/>
                        </w14:solidFill>
                      </w14:textFill>
                    </w:rPr>
                    <w:t>点</w:t>
                  </w:r>
                  <w:r>
                    <w:rPr>
                      <w:rFonts w:hint="default" w:ascii="Times New Roman" w:hAnsi="Times New Roman" w:cs="Times New Roman"/>
                      <w:color w:val="000000" w:themeColor="text1"/>
                      <w:szCs w:val="21"/>
                      <w14:textFill>
                        <w14:solidFill>
                          <w14:schemeClr w14:val="tx1"/>
                        </w14:solidFill>
                      </w14:textFill>
                    </w:rPr>
                    <w:t>，分类收集，定期交由有危废资质的单位处理</w:t>
                  </w:r>
                </w:p>
              </w:tc>
              <w:tc>
                <w:tcPr>
                  <w:tcW w:w="529" w:type="pct"/>
                  <w:vAlign w:val="center"/>
                </w:tcPr>
                <w:p w14:paraId="31F77CC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4901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2F675194">
                  <w:pPr>
                    <w:adjustRightInd w:val="0"/>
                    <w:snapToGrid w:val="0"/>
                    <w:jc w:val="center"/>
                    <w:rPr>
                      <w:rFonts w:hint="default" w:ascii="Times New Roman" w:hAnsi="Times New Roman" w:cs="Times New Roman"/>
                      <w:szCs w:val="21"/>
                    </w:rPr>
                  </w:pPr>
                </w:p>
              </w:tc>
              <w:tc>
                <w:tcPr>
                  <w:tcW w:w="381" w:type="pct"/>
                  <w:vAlign w:val="center"/>
                </w:tcPr>
                <w:p w14:paraId="4CBD02D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噪声污染管控</w:t>
                  </w:r>
                </w:p>
              </w:tc>
              <w:tc>
                <w:tcPr>
                  <w:tcW w:w="2097" w:type="pct"/>
                  <w:vAlign w:val="center"/>
                </w:tcPr>
                <w:p w14:paraId="1F58882B">
                  <w:pPr>
                    <w:adjustRightInd w:val="0"/>
                    <w:snapToGrid w:val="0"/>
                    <w:rPr>
                      <w:rFonts w:hint="default" w:ascii="Times New Roman" w:hAnsi="Times New Roman" w:cs="Times New Roman"/>
                      <w:szCs w:val="21"/>
                    </w:rPr>
                  </w:pPr>
                  <w:r>
                    <w:rPr>
                      <w:rFonts w:hint="default" w:ascii="Times New Roman" w:hAnsi="Times New Roman" w:cs="Times New Roman"/>
                      <w:szCs w:val="21"/>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443" w:type="pct"/>
                  <w:vAlign w:val="center"/>
                </w:tcPr>
                <w:p w14:paraId="707412F7">
                  <w:pPr>
                    <w:adjustRightInd w:val="0"/>
                    <w:snapToGrid w:val="0"/>
                    <w:rPr>
                      <w:rFonts w:hint="default" w:ascii="Times New Roman" w:hAnsi="Times New Roman" w:cs="Times New Roman"/>
                      <w:szCs w:val="21"/>
                    </w:rPr>
                  </w:pPr>
                  <w:r>
                    <w:rPr>
                      <w:rFonts w:hint="default" w:ascii="Times New Roman" w:hAnsi="Times New Roman" w:cs="Times New Roman"/>
                      <w:szCs w:val="21"/>
                    </w:rPr>
                    <w:t>本项目选用低噪声设备，通过合理布局、建筑隔声等措施，确保厂界噪声达标</w:t>
                  </w:r>
                </w:p>
              </w:tc>
              <w:tc>
                <w:tcPr>
                  <w:tcW w:w="529" w:type="pct"/>
                  <w:vAlign w:val="center"/>
                </w:tcPr>
                <w:p w14:paraId="55F343E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2296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03C98299">
                  <w:pPr>
                    <w:adjustRightInd w:val="0"/>
                    <w:snapToGrid w:val="0"/>
                    <w:jc w:val="center"/>
                    <w:rPr>
                      <w:rFonts w:hint="default" w:ascii="Times New Roman" w:hAnsi="Times New Roman" w:cs="Times New Roman"/>
                      <w:szCs w:val="21"/>
                    </w:rPr>
                  </w:pPr>
                </w:p>
              </w:tc>
              <w:tc>
                <w:tcPr>
                  <w:tcW w:w="381" w:type="pct"/>
                  <w:vAlign w:val="center"/>
                </w:tcPr>
                <w:p w14:paraId="2217495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土壤、地下水污染风险防控</w:t>
                  </w:r>
                </w:p>
              </w:tc>
              <w:tc>
                <w:tcPr>
                  <w:tcW w:w="2097" w:type="pct"/>
                  <w:vAlign w:val="center"/>
                </w:tcPr>
                <w:p w14:paraId="13A6F5A8">
                  <w:pPr>
                    <w:adjustRightInd w:val="0"/>
                    <w:snapToGrid w:val="0"/>
                    <w:rPr>
                      <w:rFonts w:hint="default" w:ascii="Times New Roman" w:hAnsi="Times New Roman" w:cs="Times New Roman"/>
                      <w:szCs w:val="21"/>
                    </w:rPr>
                  </w:pPr>
                  <w:r>
                    <w:rPr>
                      <w:rFonts w:hint="default" w:ascii="Times New Roman" w:hAnsi="Times New Roman" w:cs="Times New Roman"/>
                      <w:szCs w:val="21"/>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443" w:type="pct"/>
                  <w:vAlign w:val="center"/>
                </w:tcPr>
                <w:p w14:paraId="7EE80A90">
                  <w:pPr>
                    <w:adjustRightInd w:val="0"/>
                    <w:snapToGrid w:val="0"/>
                    <w:rPr>
                      <w:rFonts w:hint="default" w:ascii="Times New Roman" w:hAnsi="Times New Roman" w:cs="Times New Roman"/>
                      <w:szCs w:val="21"/>
                    </w:rPr>
                  </w:pPr>
                  <w:r>
                    <w:rPr>
                      <w:rFonts w:hint="default" w:ascii="Times New Roman" w:hAnsi="Times New Roman" w:cs="Times New Roman"/>
                      <w:szCs w:val="21"/>
                    </w:rPr>
                    <w:t>本项目不涉及排放重金属，对设置的</w:t>
                  </w:r>
                  <w:r>
                    <w:rPr>
                      <w:rFonts w:hint="default" w:ascii="Times New Roman" w:hAnsi="Times New Roman" w:cs="Times New Roman"/>
                      <w:szCs w:val="21"/>
                      <w:lang w:eastAsia="zh-CN"/>
                    </w:rPr>
                    <w:t>危险废物贮存点</w:t>
                  </w:r>
                  <w:r>
                    <w:rPr>
                      <w:rFonts w:hint="default" w:ascii="Times New Roman" w:hAnsi="Times New Roman" w:cs="Times New Roman"/>
                      <w:szCs w:val="21"/>
                    </w:rPr>
                    <w:t>采取“六防”措施</w:t>
                  </w:r>
                </w:p>
              </w:tc>
              <w:tc>
                <w:tcPr>
                  <w:tcW w:w="529" w:type="pct"/>
                  <w:vAlign w:val="center"/>
                </w:tcPr>
                <w:p w14:paraId="2E3C65B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7D20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0FDF6809">
                  <w:pPr>
                    <w:adjustRightInd w:val="0"/>
                    <w:snapToGrid w:val="0"/>
                    <w:jc w:val="center"/>
                    <w:rPr>
                      <w:rFonts w:hint="default" w:ascii="Times New Roman" w:hAnsi="Times New Roman" w:cs="Times New Roman"/>
                      <w:szCs w:val="21"/>
                    </w:rPr>
                  </w:pPr>
                </w:p>
              </w:tc>
              <w:tc>
                <w:tcPr>
                  <w:tcW w:w="381" w:type="pct"/>
                  <w:vAlign w:val="center"/>
                </w:tcPr>
                <w:p w14:paraId="4ECFC98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碳排放管控</w:t>
                  </w:r>
                </w:p>
              </w:tc>
              <w:tc>
                <w:tcPr>
                  <w:tcW w:w="2097" w:type="pct"/>
                  <w:vAlign w:val="center"/>
                </w:tcPr>
                <w:p w14:paraId="506E17F2">
                  <w:pPr>
                    <w:adjustRightInd w:val="0"/>
                    <w:snapToGrid w:val="0"/>
                    <w:rPr>
                      <w:rFonts w:hint="default" w:ascii="Times New Roman" w:hAnsi="Times New Roman" w:cs="Times New Roman"/>
                      <w:szCs w:val="21"/>
                    </w:rPr>
                  </w:pPr>
                  <w:r>
                    <w:rPr>
                      <w:rFonts w:hint="default" w:ascii="Times New Roman" w:hAnsi="Times New Roman" w:cs="Times New Roman"/>
                      <w:szCs w:val="21"/>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1443" w:type="pct"/>
                  <w:vAlign w:val="center"/>
                </w:tcPr>
                <w:p w14:paraId="1656926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本项目不涉及</w:t>
                  </w:r>
                </w:p>
              </w:tc>
              <w:tc>
                <w:tcPr>
                  <w:tcW w:w="529" w:type="pct"/>
                  <w:vAlign w:val="center"/>
                </w:tcPr>
                <w:p w14:paraId="0BBFE84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14:paraId="6164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79E4D49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2478" w:type="pct"/>
                  <w:gridSpan w:val="2"/>
                  <w:vAlign w:val="center"/>
                </w:tcPr>
                <w:p w14:paraId="7E03A7C1">
                  <w:pPr>
                    <w:adjustRightInd w:val="0"/>
                    <w:snapToGrid w:val="0"/>
                    <w:rPr>
                      <w:rFonts w:hint="default" w:ascii="Times New Roman" w:hAnsi="Times New Roman" w:cs="Times New Roman"/>
                      <w:szCs w:val="21"/>
                    </w:rPr>
                  </w:pPr>
                  <w:r>
                    <w:rPr>
                      <w:rFonts w:hint="default" w:ascii="Times New Roman" w:hAnsi="Times New Roman" w:cs="Times New Roman"/>
                      <w:szCs w:val="21"/>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1443" w:type="pct"/>
                  <w:vAlign w:val="center"/>
                </w:tcPr>
                <w:p w14:paraId="7E63E234">
                  <w:pPr>
                    <w:adjustRightInd w:val="0"/>
                    <w:snapToGrid w:val="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w:t>
                  </w:r>
                  <w:r>
                    <w:rPr>
                      <w:rFonts w:hint="default" w:ascii="Times New Roman" w:hAnsi="Times New Roman" w:cs="Times New Roman"/>
                      <w:szCs w:val="21"/>
                      <w:lang w:eastAsia="zh-CN"/>
                    </w:rPr>
                    <w:t>危险废物贮存</w:t>
                  </w:r>
                  <w:r>
                    <w:rPr>
                      <w:rFonts w:hint="eastAsia" w:ascii="Times New Roman" w:hAnsi="Times New Roman" w:cs="Times New Roman"/>
                      <w:szCs w:val="21"/>
                      <w:lang w:eastAsia="zh-CN"/>
                    </w:rPr>
                    <w:t>设施依托现有工程设置的危废间，采取严格的防渗措施。</w:t>
                  </w:r>
                </w:p>
              </w:tc>
              <w:tc>
                <w:tcPr>
                  <w:tcW w:w="529" w:type="pct"/>
                  <w:vAlign w:val="center"/>
                </w:tcPr>
                <w:p w14:paraId="489355A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bl>
          <w:p w14:paraId="27312E94">
            <w:pPr>
              <w:keepNext w:val="0"/>
              <w:keepLines w:val="0"/>
              <w:pageBreakBefore w:val="0"/>
              <w:widowControl w:val="0"/>
              <w:kinsoku/>
              <w:wordWrap/>
              <w:overflowPunct/>
              <w:topLinePunct w:val="0"/>
              <w:autoSpaceDE/>
              <w:autoSpaceDN/>
              <w:bidi w:val="0"/>
              <w:adjustRightInd/>
              <w:snapToGrid/>
              <w:spacing w:before="32" w:beforeLines="10"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p>
        </w:tc>
      </w:tr>
      <w:tr w14:paraId="293C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500" w:hRule="atLeast"/>
        </w:trPr>
        <w:tc>
          <w:tcPr>
            <w:tcW w:w="582" w:type="pct"/>
            <w:vAlign w:val="center"/>
          </w:tcPr>
          <w:p w14:paraId="7AE73A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其他符合性分析</w:t>
            </w:r>
          </w:p>
        </w:tc>
        <w:tc>
          <w:tcPr>
            <w:tcW w:w="4417" w:type="pct"/>
            <w:gridSpan w:val="3"/>
            <w:tcBorders>
              <w:bottom w:val="single" w:color="auto" w:sz="4" w:space="0"/>
            </w:tcBorders>
            <w:vAlign w:val="top"/>
          </w:tcPr>
          <w:p w14:paraId="1834DA92">
            <w:pPr>
              <w:spacing w:line="360" w:lineRule="auto"/>
              <w:jc w:val="both"/>
              <w:rPr>
                <w:rFonts w:hint="default" w:ascii="Times New Roman" w:hAnsi="Times New Roman" w:cs="Times New Roman"/>
                <w:szCs w:val="36"/>
              </w:rPr>
            </w:pPr>
            <w:r>
              <w:rPr>
                <w:rFonts w:hint="default" w:ascii="Times New Roman" w:hAnsi="Times New Roman" w:cs="Times New Roman"/>
                <w:b/>
                <w:sz w:val="24"/>
              </w:rPr>
              <w:t>1.</w:t>
            </w:r>
            <w:r>
              <w:rPr>
                <w:rFonts w:hint="eastAsia" w:ascii="Times New Roman" w:hAnsi="Times New Roman" w:cs="Times New Roman"/>
                <w:b/>
                <w:sz w:val="24"/>
                <w:lang w:val="en-US" w:eastAsia="zh-CN"/>
              </w:rPr>
              <w:t>2</w:t>
            </w:r>
            <w:r>
              <w:rPr>
                <w:rFonts w:hint="default" w:ascii="Times New Roman" w:hAnsi="Times New Roman" w:cs="Times New Roman"/>
                <w:b/>
                <w:sz w:val="24"/>
              </w:rPr>
              <w:t>其他符合性分析</w:t>
            </w:r>
          </w:p>
          <w:p w14:paraId="556B52C1">
            <w:pPr>
              <w:spacing w:line="360" w:lineRule="auto"/>
              <w:jc w:val="both"/>
              <w:rPr>
                <w:rFonts w:hint="default" w:ascii="Times New Roman" w:hAnsi="Times New Roman" w:cs="Times New Roman"/>
                <w:szCs w:val="36"/>
              </w:rPr>
            </w:pPr>
            <w:r>
              <w:rPr>
                <w:rFonts w:hint="default" w:ascii="Times New Roman" w:hAnsi="Times New Roman" w:cs="Times New Roman"/>
                <w:b/>
                <w:sz w:val="24"/>
              </w:rPr>
              <w:t>1.</w:t>
            </w:r>
            <w:r>
              <w:rPr>
                <w:rFonts w:hint="eastAsia" w:ascii="Times New Roman" w:hAnsi="Times New Roman" w:cs="Times New Roman"/>
                <w:b/>
                <w:sz w:val="24"/>
                <w:lang w:val="en-US" w:eastAsia="zh-CN"/>
              </w:rPr>
              <w:t>2</w:t>
            </w:r>
            <w:r>
              <w:rPr>
                <w:rFonts w:hint="default" w:ascii="Times New Roman" w:hAnsi="Times New Roman" w:cs="Times New Roman"/>
                <w:b/>
                <w:sz w:val="24"/>
              </w:rPr>
              <w:t>.1与“三线一单”的符合性分析</w:t>
            </w:r>
          </w:p>
          <w:p w14:paraId="25D9E30B">
            <w:pPr>
              <w:tabs>
                <w:tab w:val="right" w:leader="dot" w:pos="9180"/>
              </w:tabs>
              <w:autoSpaceDE w:val="0"/>
              <w:autoSpaceDN w:val="0"/>
              <w:spacing w:line="360" w:lineRule="auto"/>
              <w:ind w:firstLine="480" w:firstLineChars="200"/>
              <w:jc w:val="both"/>
              <w:rPr>
                <w:rFonts w:hint="default" w:ascii="Times New Roman" w:hAnsi="Times New Roman" w:eastAsia="宋体" w:cs="Times New Roman"/>
                <w:sz w:val="24"/>
                <w:lang w:eastAsia="zh-CN"/>
              </w:rPr>
            </w:pPr>
            <w:r>
              <w:rPr>
                <w:rFonts w:hint="default" w:ascii="Times New Roman" w:hAnsi="Times New Roman" w:cs="Times New Roman"/>
                <w:sz w:val="24"/>
              </w:rPr>
              <w:t>根据重庆市“三线一单”智检服务网站生成的项目所在地“三线一单”分析检测报告，本项目属于九龙坡区重点管控单元，单元名称为九龙坡区工业城镇重点管控单元-九龙西城片区（ZH50010720002）。</w:t>
            </w:r>
          </w:p>
          <w:p w14:paraId="118283F2">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b/>
                <w:bCs/>
                <w:color w:val="auto"/>
                <w:sz w:val="24"/>
                <w:szCs w:val="24"/>
                <w:highlight w:val="none"/>
                <w:vertAlign w:val="baseline"/>
                <w:lang w:val="en-US" w:eastAsia="zh-CN"/>
              </w:rPr>
            </w:pPr>
            <w:r>
              <w:rPr>
                <w:rFonts w:hint="default" w:ascii="Times New Roman" w:hAnsi="Times New Roman" w:cs="Times New Roman"/>
                <w:sz w:val="24"/>
              </w:rPr>
              <w:t>本项目与“三线一单”管控要求的符合性分析见表1.</w:t>
            </w:r>
            <w:r>
              <w:rPr>
                <w:rFonts w:hint="eastAsia" w:ascii="Times New Roman" w:hAnsi="Times New Roman" w:cs="Times New Roman"/>
                <w:sz w:val="24"/>
                <w:lang w:val="en-US" w:eastAsia="zh-CN"/>
              </w:rPr>
              <w:t>2</w:t>
            </w:r>
            <w:r>
              <w:rPr>
                <w:rFonts w:hint="default" w:ascii="Times New Roman" w:hAnsi="Times New Roman" w:cs="Times New Roman"/>
                <w:sz w:val="24"/>
              </w:rPr>
              <w:t>-1。</w:t>
            </w:r>
          </w:p>
        </w:tc>
      </w:tr>
    </w:tbl>
    <w:p w14:paraId="5669961A">
      <w:pPr>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ascii="Times New Roman" w:hAnsi="Times New Roman"/>
          <w:color w:val="auto"/>
          <w:sz w:val="21"/>
          <w:highlight w:val="none"/>
          <w:lang w:val="en-US" w:eastAsia="zh-CN"/>
        </w:rPr>
      </w:pPr>
    </w:p>
    <w:p w14:paraId="7E7FB02A">
      <w:pPr>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ascii="Times New Roman" w:hAnsi="Times New Roman"/>
          <w:color w:val="auto"/>
          <w:sz w:val="21"/>
          <w:highlight w:val="none"/>
          <w:lang w:val="en-US" w:eastAsia="zh-CN"/>
        </w:rPr>
      </w:pPr>
    </w:p>
    <w:p w14:paraId="2DFF3789">
      <w:pPr>
        <w:pStyle w:val="27"/>
        <w:rPr>
          <w:rFonts w:hint="eastAsia" w:ascii="Times New Roman" w:hAnsi="Times New Roman"/>
          <w:color w:val="auto"/>
          <w:sz w:val="21"/>
          <w:highlight w:val="none"/>
          <w:lang w:val="en-US" w:eastAsia="zh-CN"/>
        </w:rPr>
      </w:pPr>
    </w:p>
    <w:p w14:paraId="529383E5">
      <w:pPr>
        <w:rPr>
          <w:rFonts w:hint="eastAsia" w:ascii="Times New Roman" w:hAnsi="Times New Roman"/>
          <w:color w:val="auto"/>
          <w:sz w:val="21"/>
          <w:highlight w:val="none"/>
          <w:lang w:val="en-US" w:eastAsia="zh-CN"/>
        </w:rPr>
        <w:sectPr>
          <w:footerReference r:id="rId5" w:type="default"/>
          <w:pgSz w:w="11906" w:h="16838"/>
          <w:pgMar w:top="1440" w:right="1344" w:bottom="1440" w:left="151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14:paraId="7BDF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trPr>
        <w:tc>
          <w:tcPr>
            <w:tcW w:w="704" w:type="dxa"/>
            <w:vAlign w:val="center"/>
          </w:tcPr>
          <w:p w14:paraId="74FABF9B">
            <w:pPr>
              <w:spacing w:line="360" w:lineRule="auto"/>
              <w:jc w:val="center"/>
              <w:rPr>
                <w:sz w:val="24"/>
                <w:szCs w:val="36"/>
              </w:rPr>
            </w:pPr>
            <w:r>
              <w:rPr>
                <w:rFonts w:hint="eastAsia" w:ascii="Times New Roman" w:hAnsi="Times New Roman" w:eastAsia="宋体"/>
                <w:b/>
                <w:bCs/>
                <w:color w:val="auto"/>
                <w:sz w:val="24"/>
                <w:szCs w:val="24"/>
                <w:highlight w:val="none"/>
                <w:vertAlign w:val="baseline"/>
                <w:lang w:val="en-US" w:eastAsia="zh-CN"/>
              </w:rPr>
              <w:t>其他符合性分析</w:t>
            </w:r>
          </w:p>
        </w:tc>
        <w:tc>
          <w:tcPr>
            <w:tcW w:w="13244" w:type="dxa"/>
          </w:tcPr>
          <w:p w14:paraId="7ACF0354">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表1.</w:t>
            </w: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-1  本项目与“三线一单”管控要求的符合性分析</w:t>
            </w:r>
          </w:p>
          <w:tbl>
            <w:tblPr>
              <w:tblStyle w:val="22"/>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93"/>
              <w:gridCol w:w="6851"/>
              <w:gridCol w:w="3074"/>
              <w:gridCol w:w="885"/>
            </w:tblGrid>
            <w:tr w14:paraId="4B0B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6" w:type="pct"/>
                  <w:vAlign w:val="center"/>
                </w:tcPr>
                <w:p w14:paraId="27A0323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环境管控单元编码</w:t>
                  </w:r>
                </w:p>
              </w:tc>
              <w:tc>
                <w:tcPr>
                  <w:tcW w:w="3019" w:type="pct"/>
                  <w:gridSpan w:val="2"/>
                  <w:vAlign w:val="center"/>
                </w:tcPr>
                <w:p w14:paraId="164439D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环境管控单元名称</w:t>
                  </w:r>
                </w:p>
              </w:tc>
              <w:tc>
                <w:tcPr>
                  <w:tcW w:w="1543" w:type="pct"/>
                  <w:gridSpan w:val="2"/>
                  <w:vAlign w:val="center"/>
                </w:tcPr>
                <w:p w14:paraId="226F722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环境管控单元类型</w:t>
                  </w:r>
                </w:p>
              </w:tc>
            </w:tr>
            <w:tr w14:paraId="75F3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6" w:type="pct"/>
                  <w:vAlign w:val="center"/>
                </w:tcPr>
                <w:p w14:paraId="7EC00E3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ZH5001072000</w:t>
                  </w:r>
                  <w:r>
                    <w:rPr>
                      <w:rFonts w:hint="default" w:ascii="Times New Roman" w:hAnsi="Times New Roman" w:cs="Times New Roman"/>
                      <w:bCs/>
                      <w:color w:val="auto"/>
                      <w:szCs w:val="21"/>
                      <w:lang w:val="en-US" w:eastAsia="zh-CN"/>
                    </w:rPr>
                    <w:t>2</w:t>
                  </w:r>
                </w:p>
              </w:tc>
              <w:tc>
                <w:tcPr>
                  <w:tcW w:w="3019" w:type="pct"/>
                  <w:gridSpan w:val="2"/>
                  <w:vAlign w:val="center"/>
                </w:tcPr>
                <w:p w14:paraId="5FBAD3F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九龙坡区</w:t>
                  </w:r>
                  <w:r>
                    <w:rPr>
                      <w:rFonts w:hint="default" w:ascii="Times New Roman" w:hAnsi="Times New Roman" w:cs="Times New Roman"/>
                      <w:bCs/>
                      <w:color w:val="auto"/>
                      <w:szCs w:val="21"/>
                      <w:lang w:val="en-US" w:eastAsia="zh-CN"/>
                    </w:rPr>
                    <w:t>工业城镇</w:t>
                  </w:r>
                  <w:r>
                    <w:rPr>
                      <w:rFonts w:hint="default" w:ascii="Times New Roman" w:hAnsi="Times New Roman" w:cs="Times New Roman"/>
                      <w:bCs/>
                      <w:color w:val="auto"/>
                      <w:szCs w:val="21"/>
                    </w:rPr>
                    <w:t>重点管控单元-</w:t>
                  </w:r>
                  <w:r>
                    <w:rPr>
                      <w:rFonts w:hint="default" w:ascii="Times New Roman" w:hAnsi="Times New Roman" w:cs="Times New Roman"/>
                      <w:bCs/>
                      <w:color w:val="auto"/>
                      <w:szCs w:val="21"/>
                      <w:lang w:val="en-US" w:eastAsia="zh-CN"/>
                    </w:rPr>
                    <w:t>九龙西城片区</w:t>
                  </w:r>
                </w:p>
              </w:tc>
              <w:tc>
                <w:tcPr>
                  <w:tcW w:w="1543" w:type="pct"/>
                  <w:gridSpan w:val="2"/>
                  <w:vAlign w:val="center"/>
                </w:tcPr>
                <w:p w14:paraId="0BC18B6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重点管控单元</w:t>
                  </w:r>
                  <w:r>
                    <w:rPr>
                      <w:rFonts w:hint="default" w:ascii="Times New Roman" w:hAnsi="Times New Roman" w:cs="Times New Roman"/>
                      <w:bCs/>
                      <w:color w:val="auto"/>
                      <w:szCs w:val="21"/>
                      <w:lang w:val="en-US" w:eastAsia="zh-CN"/>
                    </w:rPr>
                    <w:t>2</w:t>
                  </w:r>
                </w:p>
              </w:tc>
            </w:tr>
            <w:tr w14:paraId="137C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36" w:type="pct"/>
                  <w:vAlign w:val="center"/>
                </w:tcPr>
                <w:p w14:paraId="6A78F3A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管控要求层级</w:t>
                  </w:r>
                </w:p>
              </w:tc>
              <w:tc>
                <w:tcPr>
                  <w:tcW w:w="348" w:type="pct"/>
                  <w:vAlign w:val="center"/>
                </w:tcPr>
                <w:p w14:paraId="43D7BCC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管控</w:t>
                  </w:r>
                </w:p>
                <w:p w14:paraId="0B4C99F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类型</w:t>
                  </w:r>
                </w:p>
              </w:tc>
              <w:tc>
                <w:tcPr>
                  <w:tcW w:w="2671" w:type="pct"/>
                  <w:vAlign w:val="center"/>
                </w:tcPr>
                <w:p w14:paraId="2931F62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管控要求</w:t>
                  </w:r>
                </w:p>
              </w:tc>
              <w:tc>
                <w:tcPr>
                  <w:tcW w:w="1198" w:type="pct"/>
                  <w:vAlign w:val="center"/>
                </w:tcPr>
                <w:p w14:paraId="2129E57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建设项目相关情况</w:t>
                  </w:r>
                </w:p>
              </w:tc>
              <w:tc>
                <w:tcPr>
                  <w:tcW w:w="345" w:type="pct"/>
                  <w:vAlign w:val="center"/>
                </w:tcPr>
                <w:p w14:paraId="5CC3CA0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符合性分析</w:t>
                  </w:r>
                </w:p>
              </w:tc>
            </w:tr>
            <w:tr w14:paraId="4958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restart"/>
                  <w:vAlign w:val="center"/>
                </w:tcPr>
                <w:p w14:paraId="685E16A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全市总体管控要求</w:t>
                  </w:r>
                </w:p>
              </w:tc>
              <w:tc>
                <w:tcPr>
                  <w:tcW w:w="348" w:type="pct"/>
                  <w:vMerge w:val="restart"/>
                  <w:vAlign w:val="center"/>
                </w:tcPr>
                <w:p w14:paraId="3F7DDB6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671" w:type="pct"/>
                  <w:vAlign w:val="center"/>
                </w:tcPr>
                <w:p w14:paraId="57A09C86">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 xml:space="preserve">第一条 </w:t>
                  </w:r>
                  <w:r>
                    <w:rPr>
                      <w:rFonts w:hint="default" w:ascii="Times New Roman" w:hAnsi="Times New Roman" w:cs="Times New Roman"/>
                      <w:color w:val="auto"/>
                      <w:sz w:val="21"/>
                      <w:szCs w:val="21"/>
                    </w:rPr>
                    <w:t>深入贯彻习近平生态文明思想，筑牢长江上游重要生态屏障，推动优势区域重点发展、生态功能区重点保护、城乡融合发展，优化重点区域、流域、产业的空间布局。</w:t>
                  </w:r>
                </w:p>
              </w:tc>
              <w:tc>
                <w:tcPr>
                  <w:tcW w:w="1198" w:type="pct"/>
                  <w:vAlign w:val="center"/>
                </w:tcPr>
                <w:p w14:paraId="36540745">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w:t>
                  </w:r>
                  <w:r>
                    <w:rPr>
                      <w:rFonts w:hint="default" w:ascii="Times New Roman" w:hAnsi="Times New Roman" w:cs="Times New Roman"/>
                      <w:color w:val="auto"/>
                      <w:szCs w:val="21"/>
                    </w:rPr>
                    <w:t>符合</w:t>
                  </w:r>
                  <w:r>
                    <w:rPr>
                      <w:rFonts w:hint="default" w:ascii="Times New Roman" w:hAnsi="Times New Roman" w:cs="Times New Roman"/>
                      <w:color w:val="auto"/>
                      <w:szCs w:val="18"/>
                      <w:lang w:val="en-US" w:eastAsia="zh-CN"/>
                    </w:rPr>
                    <w:t>空间布局。</w:t>
                  </w:r>
                </w:p>
              </w:tc>
              <w:tc>
                <w:tcPr>
                  <w:tcW w:w="345" w:type="pct"/>
                  <w:vAlign w:val="center"/>
                </w:tcPr>
                <w:p w14:paraId="03EABB3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B9F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11D200F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485C6E5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227A772D">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lang w:val="en-US" w:eastAsia="zh-CN"/>
                    </w:rPr>
                    <w:t xml:space="preserve">第二条 </w:t>
                  </w:r>
                  <w:r>
                    <w:rPr>
                      <w:rFonts w:hint="default" w:ascii="Times New Roman" w:hAnsi="Times New Roman" w:cs="Times New Roman"/>
                      <w:color w:val="auto"/>
                      <w:sz w:val="21"/>
                      <w:szCs w:val="21"/>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198" w:type="pct"/>
                  <w:vAlign w:val="center"/>
                </w:tcPr>
                <w:p w14:paraId="4F4F1783">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本项目不在</w:t>
                  </w:r>
                  <w:r>
                    <w:rPr>
                      <w:rFonts w:hint="default" w:ascii="Times New Roman" w:hAnsi="Times New Roman" w:cs="Times New Roman"/>
                      <w:color w:val="auto"/>
                      <w:szCs w:val="18"/>
                    </w:rPr>
                    <w:t>长江干流及主要支流岸线1公里范围内，不属于化工、纺织、造纸等存在污染风险的工业项目。</w:t>
                  </w:r>
                </w:p>
              </w:tc>
              <w:tc>
                <w:tcPr>
                  <w:tcW w:w="345" w:type="pct"/>
                  <w:vAlign w:val="center"/>
                </w:tcPr>
                <w:p w14:paraId="0402E10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15A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76012A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690180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65BC25F4">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lang w:val="en-US" w:eastAsia="zh-CN"/>
                    </w:rPr>
                    <w:t xml:space="preserve">第三条 </w:t>
                  </w:r>
                  <w:r>
                    <w:rPr>
                      <w:rFonts w:hint="default" w:ascii="Times New Roman" w:hAnsi="Times New Roman" w:cs="Times New Roman"/>
                      <w:color w:val="auto"/>
                      <w:sz w:val="21"/>
                      <w:szCs w:val="21"/>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198" w:type="pct"/>
                  <w:vAlign w:val="center"/>
                </w:tcPr>
                <w:p w14:paraId="68184CD2">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lang w:bidi="ar"/>
                    </w:rPr>
                    <w:t>本项目</w:t>
                  </w:r>
                  <w:r>
                    <w:rPr>
                      <w:rFonts w:hint="default" w:ascii="Times New Roman" w:hAnsi="Times New Roman" w:cs="Times New Roman"/>
                      <w:color w:val="auto"/>
                      <w:sz w:val="21"/>
                      <w:szCs w:val="21"/>
                      <w:lang w:val="en-US" w:eastAsia="zh-CN" w:bidi="ar"/>
                    </w:rPr>
                    <w:t>在西彭工业园区内，不属于高污染项目，不属于石化、现代煤化工等产业，不属于“两高”项目。</w:t>
                  </w:r>
                  <w:r>
                    <w:rPr>
                      <w:rFonts w:hint="default" w:ascii="Times New Roman" w:hAnsi="Times New Roman" w:cs="Times New Roman"/>
                      <w:color w:val="auto"/>
                      <w:sz w:val="21"/>
                      <w:szCs w:val="21"/>
                      <w:lang w:bidi="ar"/>
                    </w:rPr>
                    <w:t>不涉及前述区域，</w:t>
                  </w:r>
                  <w:r>
                    <w:rPr>
                      <w:rFonts w:hint="default" w:ascii="Times New Roman" w:hAnsi="Times New Roman" w:cs="Times New Roman"/>
                      <w:color w:val="auto"/>
                      <w:sz w:val="21"/>
                      <w:szCs w:val="21"/>
                      <w:lang w:val="en-US" w:eastAsia="zh-CN" w:bidi="ar"/>
                    </w:rPr>
                    <w:t>符合园区规划、环境准入等要求</w:t>
                  </w:r>
                  <w:r>
                    <w:rPr>
                      <w:rFonts w:hint="default" w:ascii="Times New Roman" w:hAnsi="Times New Roman" w:cs="Times New Roman"/>
                      <w:color w:val="auto"/>
                      <w:sz w:val="21"/>
                      <w:szCs w:val="21"/>
                      <w:lang w:bidi="ar"/>
                    </w:rPr>
                    <w:t>。</w:t>
                  </w:r>
                </w:p>
              </w:tc>
              <w:tc>
                <w:tcPr>
                  <w:tcW w:w="345" w:type="pct"/>
                  <w:vAlign w:val="center"/>
                </w:tcPr>
                <w:p w14:paraId="120F2C0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B5A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149A47D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7EBBA6F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39FEC00E">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lang w:val="en-US" w:eastAsia="zh-CN"/>
                    </w:rPr>
                    <w:t xml:space="preserve">第四条 </w:t>
                  </w:r>
                  <w:r>
                    <w:rPr>
                      <w:rFonts w:hint="default" w:ascii="Times New Roman" w:hAnsi="Times New Roman" w:cs="Times New Roman"/>
                      <w:color w:val="auto"/>
                      <w:sz w:val="21"/>
                      <w:szCs w:val="21"/>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198" w:type="pct"/>
                  <w:vAlign w:val="center"/>
                </w:tcPr>
                <w:p w14:paraId="413466D2">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位于</w:t>
                  </w:r>
                  <w:r>
                    <w:rPr>
                      <w:rFonts w:hint="default" w:ascii="Times New Roman" w:hAnsi="Times New Roman" w:cs="Times New Roman"/>
                      <w:color w:val="auto"/>
                      <w:sz w:val="21"/>
                      <w:szCs w:val="21"/>
                      <w:lang w:val="en-US" w:eastAsia="zh-CN" w:bidi="ar"/>
                    </w:rPr>
                    <w:t>西彭</w:t>
                  </w:r>
                  <w:r>
                    <w:rPr>
                      <w:rFonts w:hint="default" w:ascii="Times New Roman" w:hAnsi="Times New Roman" w:cs="Times New Roman"/>
                      <w:color w:val="auto"/>
                      <w:sz w:val="21"/>
                      <w:szCs w:val="21"/>
                      <w:lang w:val="en-US" w:eastAsia="zh-CN"/>
                    </w:rPr>
                    <w:t>工业园区，不属于</w:t>
                  </w:r>
                  <w:r>
                    <w:rPr>
                      <w:rFonts w:hint="default" w:ascii="Times New Roman" w:hAnsi="Times New Roman" w:cs="Times New Roman"/>
                      <w:color w:val="auto"/>
                      <w:sz w:val="21"/>
                      <w:szCs w:val="21"/>
                    </w:rPr>
                    <w:t>高耗能、高排放、低水平项目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不属于化工项目</w:t>
                  </w:r>
                </w:p>
              </w:tc>
              <w:tc>
                <w:tcPr>
                  <w:tcW w:w="345" w:type="pct"/>
                  <w:vAlign w:val="center"/>
                </w:tcPr>
                <w:p w14:paraId="2695B69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14D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671B1C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789050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70B692D2">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rPr>
                    <w:t>第五条 新建、扩建有色金属冶炼、电镀、铅蓄电池等企业应布设在依法合规设立并经过规划环评的产业园区。</w:t>
                  </w:r>
                </w:p>
              </w:tc>
              <w:tc>
                <w:tcPr>
                  <w:tcW w:w="1198" w:type="pct"/>
                  <w:vAlign w:val="center"/>
                </w:tcPr>
                <w:p w14:paraId="7F21EF04">
                  <w:pPr>
                    <w:keepNext w:val="0"/>
                    <w:keepLines w:val="0"/>
                    <w:pageBreakBefore w:val="0"/>
                    <w:kinsoku/>
                    <w:wordWrap/>
                    <w:overflowPunct/>
                    <w:topLinePunct w:val="0"/>
                    <w:autoSpaceDE/>
                    <w:autoSpaceDN/>
                    <w:bidi w:val="0"/>
                    <w:snapToGrid w:val="0"/>
                    <w:ind w:firstLine="0" w:firstLineChars="0"/>
                    <w:textAlignment w:val="auto"/>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18"/>
                    </w:rPr>
                    <w:t>本项目</w:t>
                  </w:r>
                  <w:r>
                    <w:rPr>
                      <w:rFonts w:hint="default" w:ascii="Times New Roman" w:hAnsi="Times New Roman" w:cs="Times New Roman"/>
                      <w:color w:val="auto"/>
                      <w:szCs w:val="21"/>
                    </w:rPr>
                    <w:t>位于重庆西彭工业园区西彭组团D标准分区，</w:t>
                  </w:r>
                  <w:r>
                    <w:rPr>
                      <w:rFonts w:hint="eastAsia" w:ascii="Times New Roman" w:hAnsi="Times New Roman" w:cs="Times New Roman"/>
                      <w:color w:val="auto"/>
                      <w:szCs w:val="21"/>
                      <w:lang w:eastAsia="zh-CN"/>
                    </w:rPr>
                    <w:t>为</w:t>
                  </w:r>
                  <w:r>
                    <w:rPr>
                      <w:rFonts w:hint="eastAsia" w:ascii="Times New Roman" w:hAnsi="Times New Roman" w:cs="Times New Roman"/>
                      <w:szCs w:val="21"/>
                      <w:lang w:eastAsia="zh-CN"/>
                    </w:rPr>
                    <w:t>汽车零部件表面喷粉项目。</w:t>
                  </w:r>
                </w:p>
              </w:tc>
              <w:tc>
                <w:tcPr>
                  <w:tcW w:w="345" w:type="pct"/>
                  <w:vAlign w:val="center"/>
                </w:tcPr>
                <w:p w14:paraId="2B3FB08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660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DBA847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83F1DD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481AC5F0">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rPr>
                    <w:t>第六条 涉及环境防护距离的工业企业或项目应通过选址或调整布局原则上将环境防护距离控制在园区边界或用地红线内，提前合理规划项目地块布置、预防环境风险。</w:t>
                  </w:r>
                </w:p>
              </w:tc>
              <w:tc>
                <w:tcPr>
                  <w:tcW w:w="1198" w:type="pct"/>
                  <w:vAlign w:val="center"/>
                </w:tcPr>
                <w:p w14:paraId="63EABBE0">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不涉及环境防护距离，且项目布局合理</w:t>
                  </w:r>
                  <w:r>
                    <w:rPr>
                      <w:rFonts w:hint="default" w:ascii="Times New Roman" w:hAnsi="Times New Roman" w:cs="Times New Roman"/>
                      <w:color w:val="auto"/>
                      <w:sz w:val="21"/>
                      <w:szCs w:val="21"/>
                      <w:lang w:bidi="ar"/>
                    </w:rPr>
                    <w:t>。</w:t>
                  </w:r>
                </w:p>
              </w:tc>
              <w:tc>
                <w:tcPr>
                  <w:tcW w:w="345" w:type="pct"/>
                  <w:vAlign w:val="center"/>
                </w:tcPr>
                <w:p w14:paraId="481FF63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r>
            <w:tr w14:paraId="61DA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46024F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060E300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12ECA4ED">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szCs w:val="18"/>
                    </w:rPr>
                  </w:pPr>
                  <w:r>
                    <w:rPr>
                      <w:rFonts w:hint="default" w:ascii="Times New Roman" w:hAnsi="Times New Roman" w:cs="Times New Roman"/>
                      <w:color w:val="auto"/>
                      <w:sz w:val="21"/>
                      <w:szCs w:val="21"/>
                    </w:rPr>
                    <w:t>第七条 有效规范空间开发秩序，合理控制空间开发强度，切实将各类开发活动限制在资源环境承载能力之内，为构建高效协调可持续的国土空间开发格局奠定坚实基础。</w:t>
                  </w:r>
                </w:p>
              </w:tc>
              <w:tc>
                <w:tcPr>
                  <w:tcW w:w="1198" w:type="pct"/>
                  <w:vAlign w:val="center"/>
                </w:tcPr>
                <w:p w14:paraId="14910139">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18"/>
                    </w:rPr>
                    <w:t>本项目</w:t>
                  </w:r>
                  <w:r>
                    <w:rPr>
                      <w:rFonts w:hint="default" w:ascii="Times New Roman" w:hAnsi="Times New Roman" w:cs="Times New Roman"/>
                      <w:color w:val="auto"/>
                      <w:szCs w:val="21"/>
                    </w:rPr>
                    <w:t>位于重庆西彭工业园区西彭组团D标准分区，为</w:t>
                  </w:r>
                  <w:r>
                    <w:rPr>
                      <w:rFonts w:hint="eastAsia" w:ascii="Times New Roman" w:hAnsi="Times New Roman" w:cs="Times New Roman"/>
                      <w:szCs w:val="21"/>
                      <w:lang w:eastAsia="zh-CN"/>
                    </w:rPr>
                    <w:t>汽车零部件表面喷粉项目</w:t>
                  </w:r>
                  <w:r>
                    <w:rPr>
                      <w:rFonts w:hint="default" w:ascii="Times New Roman" w:hAnsi="Times New Roman" w:cs="Times New Roman"/>
                      <w:szCs w:val="21"/>
                    </w:rPr>
                    <w:t>，</w:t>
                  </w:r>
                  <w:r>
                    <w:rPr>
                      <w:rFonts w:hint="default" w:ascii="Times New Roman" w:hAnsi="Times New Roman" w:cs="Times New Roman"/>
                      <w:color w:val="auto"/>
                    </w:rPr>
                    <w:t>符合</w:t>
                  </w:r>
                  <w:r>
                    <w:rPr>
                      <w:rFonts w:hint="default" w:ascii="Times New Roman" w:hAnsi="Times New Roman" w:cs="Times New Roman"/>
                      <w:color w:val="auto"/>
                      <w:szCs w:val="18"/>
                    </w:rPr>
                    <w:t>资源环境承载能力</w:t>
                  </w:r>
                </w:p>
              </w:tc>
              <w:tc>
                <w:tcPr>
                  <w:tcW w:w="345" w:type="pct"/>
                  <w:vAlign w:val="center"/>
                </w:tcPr>
                <w:p w14:paraId="294ECE0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5AB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36" w:type="pct"/>
                  <w:vMerge w:val="continue"/>
                  <w:vAlign w:val="center"/>
                </w:tcPr>
                <w:p w14:paraId="0F65684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restart"/>
                  <w:vAlign w:val="center"/>
                </w:tcPr>
                <w:p w14:paraId="26ED204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671" w:type="pct"/>
                  <w:vAlign w:val="center"/>
                </w:tcPr>
                <w:p w14:paraId="684E4B1A">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198" w:type="pct"/>
                  <w:vAlign w:val="center"/>
                </w:tcPr>
                <w:p w14:paraId="1DBB8A1B">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lang w:bidi="ar"/>
                    </w:rPr>
                    <w:t>本项目</w:t>
                  </w:r>
                  <w:r>
                    <w:rPr>
                      <w:rFonts w:hint="default" w:ascii="Times New Roman" w:hAnsi="Times New Roman" w:cs="Times New Roman"/>
                      <w:color w:val="auto"/>
                      <w:sz w:val="21"/>
                      <w:szCs w:val="21"/>
                      <w:lang w:val="en-US" w:eastAsia="zh-CN" w:bidi="ar"/>
                    </w:rPr>
                    <w:t>不属于石化、煤化工、燃煤发电（含热电）、钢铁、有色金属冶炼、制浆造纸行业，不属于钢铁、水泥熟料、平板玻璃、电解铝等行业，不属于</w:t>
                  </w:r>
                  <w:r>
                    <w:rPr>
                      <w:rFonts w:hint="eastAsia" w:ascii="Times New Roman" w:hAnsi="Times New Roman" w:cs="Times New Roman"/>
                      <w:color w:val="auto"/>
                      <w:sz w:val="21"/>
                      <w:szCs w:val="21"/>
                      <w:lang w:val="en-US" w:eastAsia="zh-CN" w:bidi="ar"/>
                    </w:rPr>
                    <w:t>“</w:t>
                  </w:r>
                  <w:r>
                    <w:rPr>
                      <w:rFonts w:hint="default" w:ascii="Times New Roman" w:hAnsi="Times New Roman" w:cs="Times New Roman"/>
                      <w:color w:val="auto"/>
                      <w:sz w:val="21"/>
                      <w:szCs w:val="21"/>
                      <w:lang w:val="en-US" w:eastAsia="zh-CN" w:bidi="ar"/>
                    </w:rPr>
                    <w:t>两高</w:t>
                  </w:r>
                  <w:r>
                    <w:rPr>
                      <w:rFonts w:hint="eastAsia" w:ascii="Times New Roman" w:hAnsi="Times New Roman" w:cs="Times New Roman"/>
                      <w:color w:val="auto"/>
                      <w:sz w:val="21"/>
                      <w:szCs w:val="21"/>
                      <w:lang w:val="en-US" w:eastAsia="zh-CN" w:bidi="ar"/>
                    </w:rPr>
                    <w:t>”</w:t>
                  </w:r>
                  <w:r>
                    <w:rPr>
                      <w:rFonts w:hint="default" w:ascii="Times New Roman" w:hAnsi="Times New Roman" w:cs="Times New Roman"/>
                      <w:color w:val="auto"/>
                      <w:sz w:val="21"/>
                      <w:szCs w:val="21"/>
                      <w:lang w:bidi="ar"/>
                    </w:rPr>
                    <w:t>行业。</w:t>
                  </w:r>
                </w:p>
              </w:tc>
              <w:tc>
                <w:tcPr>
                  <w:tcW w:w="345" w:type="pct"/>
                  <w:vAlign w:val="center"/>
                </w:tcPr>
                <w:p w14:paraId="78BD68C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1A7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5B0BD6B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5DF7159F">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03C7BC35">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198" w:type="pct"/>
                  <w:vAlign w:val="center"/>
                </w:tcPr>
                <w:p w14:paraId="02D8C1D9">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Cs w:val="21"/>
                    </w:rPr>
                    <w:t>根据《202</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年重庆市生态环境状况公报》，九龙坡区环境空气属于</w:t>
                  </w: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达标区，</w:t>
                  </w:r>
                  <w:r>
                    <w:rPr>
                      <w:rFonts w:hint="default" w:ascii="Times New Roman" w:hAnsi="Times New Roman" w:cs="Times New Roman"/>
                      <w:color w:val="auto"/>
                      <w:sz w:val="21"/>
                      <w:szCs w:val="21"/>
                      <w:lang w:val="en-US" w:eastAsia="zh-CN" w:bidi="ar"/>
                    </w:rPr>
                    <w:t>采取《2023年重庆市生态环境状况公报》</w:t>
                  </w:r>
                  <w:r>
                    <w:rPr>
                      <w:rFonts w:hint="eastAsia" w:ascii="Times New Roman" w:cs="Times New Roman"/>
                      <w:color w:val="auto"/>
                      <w:sz w:val="21"/>
                      <w:szCs w:val="21"/>
                      <w:lang w:val="en-US" w:eastAsia="zh-CN" w:bidi="ar"/>
                    </w:rPr>
                    <w:t>中</w:t>
                  </w:r>
                  <w:r>
                    <w:rPr>
                      <w:rFonts w:hint="default" w:ascii="Times New Roman" w:hAnsi="Times New Roman" w:cs="Times New Roman"/>
                      <w:color w:val="auto"/>
                      <w:sz w:val="21"/>
                      <w:szCs w:val="21"/>
                      <w:lang w:val="en-US" w:eastAsia="zh-CN" w:bidi="ar"/>
                    </w:rPr>
                    <w:t>的措施与行动后区域环境空气质量会得到有效改善，</w:t>
                  </w:r>
                  <w:r>
                    <w:rPr>
                      <w:rFonts w:hint="default" w:ascii="Times New Roman" w:hAnsi="Times New Roman" w:cs="Times New Roman"/>
                      <w:color w:val="auto"/>
                      <w:szCs w:val="21"/>
                    </w:rPr>
                    <w:t>项目废水受纳区域地表水满足《地表水环境质量标准》（GB3838-2002）Ⅱ类水域水质标准</w:t>
                  </w:r>
                </w:p>
              </w:tc>
              <w:tc>
                <w:tcPr>
                  <w:tcW w:w="345" w:type="pct"/>
                  <w:vAlign w:val="center"/>
                </w:tcPr>
                <w:p w14:paraId="3213137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BB8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3B42ACD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414A7135">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4E5A3AB0">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198" w:type="pct"/>
                  <w:vAlign w:val="center"/>
                </w:tcPr>
                <w:p w14:paraId="06D7D69A">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szCs w:val="21"/>
                    </w:rPr>
                    <w:t>本项目位于九龙坡区，</w:t>
                  </w:r>
                  <w:r>
                    <w:rPr>
                      <w:rFonts w:hint="eastAsia" w:ascii="Times New Roman" w:hAnsi="Times New Roman" w:cs="Times New Roman"/>
                      <w:color w:val="auto"/>
                      <w:szCs w:val="21"/>
                      <w:lang w:eastAsia="zh-CN"/>
                    </w:rPr>
                    <w:t>主要</w:t>
                  </w:r>
                  <w:r>
                    <w:rPr>
                      <w:rFonts w:hint="eastAsia" w:ascii="Times New Roman" w:hAnsi="Times New Roman" w:cs="Times New Roman"/>
                      <w:szCs w:val="21"/>
                      <w:lang w:eastAsia="zh-CN"/>
                    </w:rPr>
                    <w:t>生产原料为塑粉，生产过程中会产生</w:t>
                  </w:r>
                  <w:r>
                    <w:rPr>
                      <w:rFonts w:hint="eastAsia" w:ascii="Times New Roman" w:hAnsi="Times New Roman" w:cs="Times New Roman"/>
                      <w:szCs w:val="21"/>
                      <w:lang w:val="en-US" w:eastAsia="zh-CN"/>
                    </w:rPr>
                    <w:t>VOCs废气</w:t>
                  </w:r>
                  <w:r>
                    <w:rPr>
                      <w:rFonts w:hint="default" w:ascii="Times New Roman" w:hAnsi="Times New Roman" w:cs="Times New Roman"/>
                      <w:szCs w:val="21"/>
                    </w:rPr>
                    <w:t>，</w:t>
                  </w:r>
                  <w:r>
                    <w:rPr>
                      <w:rFonts w:hint="eastAsia" w:ascii="Times New Roman" w:hAnsi="Times New Roman" w:cs="Times New Roman"/>
                      <w:szCs w:val="21"/>
                      <w:lang w:eastAsia="zh-CN"/>
                    </w:rPr>
                    <w:t>采用“</w:t>
                  </w:r>
                  <w:r>
                    <w:rPr>
                      <w:rFonts w:hint="eastAsia" w:ascii="Times New Roman" w:cs="Times New Roman"/>
                      <w:szCs w:val="21"/>
                      <w:lang w:eastAsia="zh-CN"/>
                    </w:rPr>
                    <w:t>干式过滤</w:t>
                  </w:r>
                  <w:r>
                    <w:rPr>
                      <w:rFonts w:hint="eastAsia" w:ascii="Times New Roman" w:cs="Times New Roman"/>
                      <w:szCs w:val="21"/>
                      <w:lang w:val="en-US" w:eastAsia="zh-CN"/>
                    </w:rPr>
                    <w:t>+</w:t>
                  </w:r>
                  <w:r>
                    <w:rPr>
                      <w:rFonts w:hint="eastAsia" w:ascii="Times New Roman" w:hAnsi="Times New Roman" w:cs="Times New Roman"/>
                      <w:szCs w:val="21"/>
                      <w:lang w:eastAsia="zh-CN"/>
                    </w:rPr>
                    <w:t>活性炭”吸附处置后有组织排放；喷粉过程中</w:t>
                  </w:r>
                  <w:r>
                    <w:rPr>
                      <w:rFonts w:hint="default" w:ascii="Times New Roman" w:hAnsi="Times New Roman" w:cs="Times New Roman"/>
                      <w:szCs w:val="21"/>
                    </w:rPr>
                    <w:t>产生的废气粉尘收集后</w:t>
                  </w:r>
                  <w:r>
                    <w:rPr>
                      <w:rFonts w:hint="default" w:ascii="Times New Roman" w:hAnsi="Times New Roman" w:cs="Times New Roman"/>
                      <w:szCs w:val="21"/>
                      <w:highlight w:val="none"/>
                    </w:rPr>
                    <w:t>经</w:t>
                  </w:r>
                  <w:r>
                    <w:rPr>
                      <w:rFonts w:hint="eastAsia" w:ascii="Times New Roman" w:cs="Times New Roman"/>
                      <w:szCs w:val="21"/>
                      <w:highlight w:val="none"/>
                      <w:lang w:eastAsia="zh-CN"/>
                    </w:rPr>
                    <w:t>滤筒除尘器</w:t>
                  </w:r>
                  <w:r>
                    <w:rPr>
                      <w:rFonts w:hint="default" w:ascii="Times New Roman" w:hAnsi="Times New Roman" w:cs="Times New Roman"/>
                      <w:szCs w:val="21"/>
                      <w:highlight w:val="none"/>
                    </w:rPr>
                    <w:t>处理后通过排气</w:t>
                  </w:r>
                  <w:r>
                    <w:rPr>
                      <w:rFonts w:hint="default" w:ascii="Times New Roman" w:hAnsi="Times New Roman" w:cs="Times New Roman"/>
                      <w:szCs w:val="21"/>
                    </w:rPr>
                    <w:t>筒排放</w:t>
                  </w:r>
                  <w:r>
                    <w:rPr>
                      <w:rFonts w:hint="eastAsia" w:ascii="Times New Roman" w:cs="Times New Roman"/>
                      <w:szCs w:val="21"/>
                      <w:lang w:eastAsia="zh-CN"/>
                    </w:rPr>
                    <w:t>；抛丸工序产生的颗粒物经布袋除尘器处置后由排气筒排放。</w:t>
                  </w:r>
                </w:p>
              </w:tc>
              <w:tc>
                <w:tcPr>
                  <w:tcW w:w="345" w:type="pct"/>
                  <w:vAlign w:val="center"/>
                </w:tcPr>
                <w:p w14:paraId="0606FE3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99F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20802D1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6058FA6C">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4E4035A3">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198" w:type="pct"/>
                  <w:vAlign w:val="center"/>
                </w:tcPr>
                <w:p w14:paraId="46203F77">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lang w:bidi="ar"/>
                    </w:rPr>
                    <w:t>本项目</w:t>
                  </w:r>
                  <w:r>
                    <w:rPr>
                      <w:rFonts w:hint="default" w:ascii="Times New Roman" w:hAnsi="Times New Roman" w:cs="Times New Roman"/>
                      <w:color w:val="auto"/>
                      <w:sz w:val="21"/>
                      <w:szCs w:val="21"/>
                      <w:lang w:val="en-US" w:eastAsia="zh-CN" w:bidi="ar"/>
                    </w:rPr>
                    <w:t>生活污水依托</w:t>
                  </w:r>
                  <w:r>
                    <w:rPr>
                      <w:rFonts w:hint="eastAsia" w:ascii="Times New Roman" w:hAnsi="Times New Roman" w:cs="Times New Roman"/>
                      <w:color w:val="auto"/>
                      <w:sz w:val="21"/>
                      <w:szCs w:val="21"/>
                      <w:lang w:val="en-US" w:eastAsia="zh-CN" w:bidi="ar"/>
                    </w:rPr>
                    <w:t>森迪产业园现有</w:t>
                  </w:r>
                  <w:r>
                    <w:rPr>
                      <w:rFonts w:hint="default" w:ascii="Times New Roman" w:hAnsi="Times New Roman" w:cs="Times New Roman"/>
                      <w:color w:val="auto"/>
                      <w:sz w:val="21"/>
                      <w:szCs w:val="21"/>
                      <w:lang w:val="en-US" w:eastAsia="zh-CN" w:bidi="ar"/>
                    </w:rPr>
                    <w:t>生化池处理后排入市政污水管网进入西彭污水处理厂深度处理</w:t>
                  </w:r>
                  <w:r>
                    <w:rPr>
                      <w:rFonts w:hint="default" w:ascii="Times New Roman" w:hAnsi="Times New Roman" w:cs="Times New Roman"/>
                      <w:color w:val="auto"/>
                      <w:sz w:val="21"/>
                      <w:szCs w:val="21"/>
                      <w:lang w:bidi="ar"/>
                    </w:rPr>
                    <w:t>。</w:t>
                  </w:r>
                </w:p>
              </w:tc>
              <w:tc>
                <w:tcPr>
                  <w:tcW w:w="345" w:type="pct"/>
                  <w:vAlign w:val="center"/>
                </w:tcPr>
                <w:p w14:paraId="293ADD0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4AA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2286854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0F396D3">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0CDB1993">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198" w:type="pct"/>
                  <w:vAlign w:val="center"/>
                </w:tcPr>
                <w:p w14:paraId="2EA696C2">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bidi="ar"/>
                    </w:rPr>
                    <w:t>西彭工业园区</w:t>
                  </w:r>
                  <w:r>
                    <w:rPr>
                      <w:rFonts w:hint="default" w:ascii="Times New Roman" w:hAnsi="Times New Roman" w:cs="Times New Roman"/>
                      <w:color w:val="auto"/>
                      <w:sz w:val="21"/>
                      <w:szCs w:val="21"/>
                      <w:lang w:bidi="ar"/>
                    </w:rPr>
                    <w:t>配套建设有污水处理厂集中处理园区废水，本项目废水可实现接管排放。</w:t>
                  </w:r>
                </w:p>
              </w:tc>
              <w:tc>
                <w:tcPr>
                  <w:tcW w:w="345" w:type="pct"/>
                  <w:vAlign w:val="center"/>
                </w:tcPr>
                <w:p w14:paraId="2E4BD5C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B92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286910E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53D96B2">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54DAACEE">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198" w:type="pct"/>
                  <w:vAlign w:val="center"/>
                </w:tcPr>
                <w:p w14:paraId="4BD5C42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1"/>
                      <w:szCs w:val="21"/>
                      <w:lang w:val="en-US" w:eastAsia="zh-CN" w:bidi="ar"/>
                    </w:rPr>
                    <w:t>项目不属于重点行业</w:t>
                  </w:r>
                  <w:r>
                    <w:rPr>
                      <w:rFonts w:hint="default" w:ascii="Times New Roman" w:hAnsi="Times New Roman" w:cs="Times New Roman"/>
                      <w:color w:val="auto"/>
                      <w:sz w:val="21"/>
                      <w:szCs w:val="21"/>
                      <w:lang w:bidi="ar"/>
                    </w:rPr>
                    <w:t>。</w:t>
                  </w:r>
                </w:p>
              </w:tc>
              <w:tc>
                <w:tcPr>
                  <w:tcW w:w="345" w:type="pct"/>
                  <w:vAlign w:val="center"/>
                </w:tcPr>
                <w:p w14:paraId="5280152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341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66CB010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4B005035">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3E917DC5">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198" w:type="pct"/>
                  <w:vAlign w:val="center"/>
                </w:tcPr>
                <w:p w14:paraId="46298C3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1"/>
                      <w:szCs w:val="21"/>
                      <w:lang w:bidi="ar"/>
                    </w:rPr>
                    <w:t>本项目固体废物污染环境防治</w:t>
                  </w:r>
                  <w:r>
                    <w:rPr>
                      <w:rFonts w:hint="default" w:ascii="Times New Roman" w:hAnsi="Times New Roman" w:cs="Times New Roman"/>
                      <w:color w:val="auto"/>
                      <w:sz w:val="21"/>
                      <w:szCs w:val="21"/>
                      <w:lang w:val="en-US" w:eastAsia="zh-CN" w:bidi="ar"/>
                    </w:rPr>
                    <w:t>实行</w:t>
                  </w:r>
                  <w:r>
                    <w:rPr>
                      <w:rFonts w:hint="default" w:ascii="Times New Roman" w:hAnsi="Times New Roman" w:cs="Times New Roman"/>
                      <w:color w:val="auto"/>
                      <w:sz w:val="21"/>
                      <w:szCs w:val="21"/>
                      <w:lang w:bidi="ar"/>
                    </w:rPr>
                    <w:t>减量化、资源化和无害化。</w:t>
                  </w:r>
                  <w:r>
                    <w:rPr>
                      <w:rFonts w:hint="default" w:ascii="Times New Roman" w:hAnsi="Times New Roman" w:cs="Times New Roman"/>
                      <w:color w:val="auto"/>
                      <w:sz w:val="21"/>
                      <w:szCs w:val="21"/>
                      <w:lang w:val="en-US" w:eastAsia="zh-CN" w:bidi="ar"/>
                    </w:rPr>
                    <w:t>企业拟</w:t>
                  </w:r>
                  <w:r>
                    <w:rPr>
                      <w:rFonts w:hint="default" w:ascii="Times New Roman" w:hAnsi="Times New Roman" w:cs="Times New Roman"/>
                      <w:color w:val="auto"/>
                      <w:sz w:val="21"/>
                      <w:szCs w:val="21"/>
                      <w:lang w:bidi="ar"/>
                    </w:rPr>
                    <w:t>建立健全工业固体废物产生、收集、贮存、运输、利用、处置全过程的污染环境防治责任制度，建立工业固体废物管理台账。</w:t>
                  </w:r>
                </w:p>
              </w:tc>
              <w:tc>
                <w:tcPr>
                  <w:tcW w:w="345" w:type="pct"/>
                  <w:vAlign w:val="center"/>
                </w:tcPr>
                <w:p w14:paraId="458CFF3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AD6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3B59868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3B8850FF">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45CE915B">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198" w:type="pct"/>
                  <w:vAlign w:val="center"/>
                </w:tcPr>
                <w:p w14:paraId="5D441240">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bidi="ar"/>
                    </w:rPr>
                    <w:t>生活垃圾分类收集后交由环卫部门处理</w:t>
                  </w:r>
                  <w:r>
                    <w:rPr>
                      <w:rFonts w:hint="default" w:ascii="Times New Roman" w:hAnsi="Times New Roman" w:cs="Times New Roman"/>
                      <w:color w:val="auto"/>
                      <w:sz w:val="21"/>
                      <w:szCs w:val="21"/>
                      <w:lang w:bidi="ar"/>
                    </w:rPr>
                    <w:t>。</w:t>
                  </w:r>
                </w:p>
              </w:tc>
              <w:tc>
                <w:tcPr>
                  <w:tcW w:w="345" w:type="pct"/>
                  <w:vAlign w:val="center"/>
                </w:tcPr>
                <w:p w14:paraId="2E572C7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14:paraId="10A3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10E24F1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restart"/>
                  <w:vAlign w:val="center"/>
                </w:tcPr>
                <w:p w14:paraId="2B322D02">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环境风险防控</w:t>
                  </w:r>
                </w:p>
              </w:tc>
              <w:tc>
                <w:tcPr>
                  <w:tcW w:w="2671" w:type="pct"/>
                  <w:vAlign w:val="center"/>
                </w:tcPr>
                <w:p w14:paraId="19BBA8C7">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198" w:type="pct"/>
                  <w:vAlign w:val="center"/>
                </w:tcPr>
                <w:p w14:paraId="553CBEE1">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sz w:val="21"/>
                      <w:szCs w:val="21"/>
                      <w:lang w:bidi="ar"/>
                    </w:rPr>
                    <w:t>项目不</w:t>
                  </w:r>
                  <w:r>
                    <w:rPr>
                      <w:rFonts w:hint="default" w:ascii="Times New Roman" w:hAnsi="Times New Roman" w:cs="Times New Roman"/>
                      <w:color w:val="auto"/>
                      <w:sz w:val="21"/>
                      <w:szCs w:val="21"/>
                      <w:lang w:val="en-US" w:eastAsia="zh-CN" w:bidi="ar"/>
                    </w:rPr>
                    <w:t>属于重大突发环境事件风险企业，</w:t>
                  </w:r>
                  <w:r>
                    <w:rPr>
                      <w:rFonts w:hint="default" w:ascii="Times New Roman" w:hAnsi="Times New Roman" w:cs="Times New Roman"/>
                      <w:color w:val="auto"/>
                    </w:rPr>
                    <w:t>本次评价对本项目提出了相应的风险防范措施要求，企业风险可防可控</w:t>
                  </w:r>
                  <w:r>
                    <w:rPr>
                      <w:rFonts w:hint="eastAsia" w:ascii="Times New Roman" w:cs="Times New Roman"/>
                      <w:color w:val="auto"/>
                      <w:lang w:eastAsia="zh-CN"/>
                    </w:rPr>
                    <w:t>。</w:t>
                  </w:r>
                </w:p>
              </w:tc>
              <w:tc>
                <w:tcPr>
                  <w:tcW w:w="345" w:type="pct"/>
                  <w:vAlign w:val="center"/>
                </w:tcPr>
                <w:p w14:paraId="474715A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2B4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59C2C8A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2D9F15A2">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3F2BE27C">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第十七条 强化化工园区涉水突发环境事件四级环境风险防范体系建设。持续推进重点化工园区（化工集中区）建设有毒有害气体监测预警体系和水质生物毒性预警体系。</w:t>
                  </w:r>
                </w:p>
              </w:tc>
              <w:tc>
                <w:tcPr>
                  <w:tcW w:w="1198" w:type="pct"/>
                  <w:vAlign w:val="center"/>
                </w:tcPr>
                <w:p w14:paraId="227688D3">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szCs w:val="21"/>
                    </w:rPr>
                    <w:t>本项目为</w:t>
                  </w:r>
                  <w:r>
                    <w:rPr>
                      <w:rFonts w:hint="eastAsia" w:ascii="Times New Roman" w:hAnsi="Times New Roman" w:cs="Times New Roman"/>
                      <w:szCs w:val="21"/>
                      <w:lang w:eastAsia="zh-CN"/>
                    </w:rPr>
                    <w:t>汽车零部件表面喷粉项目</w:t>
                  </w:r>
                  <w:r>
                    <w:rPr>
                      <w:rFonts w:hint="default" w:ascii="Times New Roman" w:hAnsi="Times New Roman" w:cs="Times New Roman"/>
                      <w:color w:val="auto"/>
                    </w:rPr>
                    <w:t>，非化工项目，且</w:t>
                  </w:r>
                  <w:r>
                    <w:rPr>
                      <w:rFonts w:hint="default" w:ascii="Times New Roman" w:hAnsi="Times New Roman" w:cs="Times New Roman"/>
                      <w:color w:val="auto"/>
                      <w:szCs w:val="21"/>
                    </w:rPr>
                    <w:t>不涉及重大环境安全隐患</w:t>
                  </w:r>
                  <w:r>
                    <w:rPr>
                      <w:rFonts w:hint="eastAsia" w:ascii="Times New Roman" w:cs="Times New Roman"/>
                      <w:color w:val="auto"/>
                      <w:szCs w:val="21"/>
                      <w:lang w:eastAsia="zh-CN"/>
                    </w:rPr>
                    <w:t>。</w:t>
                  </w:r>
                </w:p>
              </w:tc>
              <w:tc>
                <w:tcPr>
                  <w:tcW w:w="345" w:type="pct"/>
                  <w:vAlign w:val="center"/>
                </w:tcPr>
                <w:p w14:paraId="3C87FD1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913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148203F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restart"/>
                  <w:vAlign w:val="center"/>
                </w:tcPr>
                <w:p w14:paraId="6689DC39">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资源开发利用效率</w:t>
                  </w:r>
                </w:p>
              </w:tc>
              <w:tc>
                <w:tcPr>
                  <w:tcW w:w="2671" w:type="pct"/>
                  <w:vAlign w:val="center"/>
                </w:tcPr>
                <w:p w14:paraId="15A2D39A">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198" w:type="pct"/>
                  <w:vAlign w:val="center"/>
                </w:tcPr>
                <w:p w14:paraId="762B3457">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Cs w:val="21"/>
                    </w:rPr>
                    <w:t>本项目实行能耗、水耗管控，从源头减少污染物排放</w:t>
                  </w:r>
                </w:p>
              </w:tc>
              <w:tc>
                <w:tcPr>
                  <w:tcW w:w="345" w:type="pct"/>
                  <w:vAlign w:val="center"/>
                </w:tcPr>
                <w:p w14:paraId="70C5366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DC0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38375A4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743F4D69">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281C974D">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198" w:type="pct"/>
                  <w:vAlign w:val="center"/>
                </w:tcPr>
                <w:p w14:paraId="0A5EB4AF">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Cs w:val="21"/>
                    </w:rPr>
                    <w:t>本项目不使用</w:t>
                  </w:r>
                  <w:r>
                    <w:rPr>
                      <w:rFonts w:hint="default" w:ascii="Times New Roman" w:hAnsi="Times New Roman" w:cs="Times New Roman"/>
                      <w:color w:val="auto"/>
                      <w:kern w:val="2"/>
                      <w:szCs w:val="18"/>
                    </w:rPr>
                    <w:t>高污染燃料</w:t>
                  </w:r>
                </w:p>
              </w:tc>
              <w:tc>
                <w:tcPr>
                  <w:tcW w:w="345" w:type="pct"/>
                  <w:vAlign w:val="center"/>
                </w:tcPr>
                <w:p w14:paraId="7F6373D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736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0BE6931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33E49DFD">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652E8081">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第二十条 新建、扩建“两高”项目应采用先进适用的工艺技术和装备，单位产品物耗、能耗、水耗等达到清洁生产先进水平。</w:t>
                  </w:r>
                </w:p>
              </w:tc>
              <w:tc>
                <w:tcPr>
                  <w:tcW w:w="1198" w:type="pct"/>
                  <w:vAlign w:val="center"/>
                </w:tcPr>
                <w:p w14:paraId="5FA66E70">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lang w:val="en-US" w:eastAsia="zh-CN" w:bidi="ar"/>
                    </w:rPr>
                    <w:t>项目不属于“两高”项目，采用先进适用的工艺技术和装备，单位产品物耗、能耗、水耗等达到清洁生产先进水平。</w:t>
                  </w:r>
                </w:p>
              </w:tc>
              <w:tc>
                <w:tcPr>
                  <w:tcW w:w="345" w:type="pct"/>
                  <w:vAlign w:val="center"/>
                </w:tcPr>
                <w:p w14:paraId="51F80A2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4DD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54CBE3D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23F3E303">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67720F1A">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198" w:type="pct"/>
                  <w:vAlign w:val="center"/>
                </w:tcPr>
                <w:p w14:paraId="7F30D7A2">
                  <w:pPr>
                    <w:pStyle w:val="33"/>
                    <w:keepNext w:val="0"/>
                    <w:keepLines w:val="0"/>
                    <w:pageBreakBefore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不涉及工业用水，仅员工生活用水，用水量较少。</w:t>
                  </w:r>
                </w:p>
              </w:tc>
              <w:tc>
                <w:tcPr>
                  <w:tcW w:w="345" w:type="pct"/>
                  <w:vAlign w:val="center"/>
                </w:tcPr>
                <w:p w14:paraId="5FAB009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CAB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4A600D0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187A637">
                  <w:pPr>
                    <w:pStyle w:val="33"/>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color w:val="auto"/>
                    </w:rPr>
                  </w:pPr>
                </w:p>
              </w:tc>
              <w:tc>
                <w:tcPr>
                  <w:tcW w:w="2671" w:type="pct"/>
                  <w:vAlign w:val="center"/>
                </w:tcPr>
                <w:p w14:paraId="6F2FDDCB">
                  <w:pPr>
                    <w:pStyle w:val="35"/>
                    <w:keepNext w:val="0"/>
                    <w:keepLines w:val="0"/>
                    <w:pageBreakBefore w:val="0"/>
                    <w:suppressLineNumbers w:val="0"/>
                    <w:kinsoku/>
                    <w:wordWrap/>
                    <w:overflowPunct/>
                    <w:topLinePunct w:val="0"/>
                    <w:autoSpaceDE/>
                    <w:autoSpaceDN/>
                    <w:bidi w:val="0"/>
                    <w:spacing w:beforeLines="0" w:beforeAutospacing="0" w:afterAutospacing="0"/>
                    <w:ind w:left="0" w:leftChars="0" w:right="0" w:righ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198" w:type="pct"/>
                  <w:vAlign w:val="center"/>
                </w:tcPr>
                <w:p w14:paraId="06DEC12C">
                  <w:pPr>
                    <w:pStyle w:val="33"/>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不涉及</w:t>
                  </w:r>
                </w:p>
              </w:tc>
              <w:tc>
                <w:tcPr>
                  <w:tcW w:w="345" w:type="pct"/>
                  <w:vAlign w:val="center"/>
                </w:tcPr>
                <w:p w14:paraId="5498332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E27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restart"/>
                  <w:vAlign w:val="center"/>
                </w:tcPr>
                <w:p w14:paraId="48B24E0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九龙坡区总体管控要求</w:t>
                  </w:r>
                </w:p>
              </w:tc>
              <w:tc>
                <w:tcPr>
                  <w:tcW w:w="348" w:type="pct"/>
                  <w:vMerge w:val="restart"/>
                  <w:vAlign w:val="center"/>
                </w:tcPr>
                <w:p w14:paraId="2093348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671" w:type="pct"/>
                  <w:vAlign w:val="center"/>
                </w:tcPr>
                <w:p w14:paraId="533856C3">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一条确保饮用水源取水口水质安全，饮用水源地所在岸线不得建设与供水设施和保护水源无关的项目，禁止新增船舶码头，规范渔业船舶管理，不得停靠餐饮趸船，取缔现有餐饮趸船；饮用水源保护区内可实施有利于改善取水水质或取水口改造的项目</w:t>
                  </w:r>
                </w:p>
              </w:tc>
              <w:tc>
                <w:tcPr>
                  <w:tcW w:w="1198" w:type="pct"/>
                  <w:vAlign w:val="center"/>
                </w:tcPr>
                <w:p w14:paraId="103A482D">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lang w:bidi="en-US"/>
                    </w:rPr>
                    <w:t>本项目</w:t>
                  </w:r>
                  <w:r>
                    <w:rPr>
                      <w:rFonts w:hint="default" w:ascii="Times New Roman" w:hAnsi="Times New Roman" w:cs="Times New Roman"/>
                      <w:color w:val="auto"/>
                      <w:szCs w:val="21"/>
                    </w:rPr>
                    <w:t>位于重庆西彭工业园区西彭组团D标准分区，</w:t>
                  </w:r>
                  <w:r>
                    <w:rPr>
                      <w:rFonts w:hint="default" w:ascii="Times New Roman" w:hAnsi="Times New Roman" w:cs="Times New Roman"/>
                      <w:color w:val="auto"/>
                      <w:lang w:bidi="en-US"/>
                    </w:rPr>
                    <w:t>不涉及</w:t>
                  </w:r>
                  <w:r>
                    <w:rPr>
                      <w:rFonts w:hint="default" w:ascii="Times New Roman" w:hAnsi="Times New Roman" w:cs="Times New Roman"/>
                      <w:color w:val="auto"/>
                      <w:szCs w:val="21"/>
                    </w:rPr>
                    <w:t>饮用水源保护区</w:t>
                  </w:r>
                </w:p>
              </w:tc>
              <w:tc>
                <w:tcPr>
                  <w:tcW w:w="345" w:type="pct"/>
                  <w:vAlign w:val="center"/>
                </w:tcPr>
                <w:p w14:paraId="0D6C32F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202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59DA7C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3332426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04AE9EF5">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二条区内“四山”（缙云山山脉、中梁山山脉）管制区按照生态红线和四山管制区相应的管控要求进行管理，对非法建构筑物分类制定退出方案，分批次拆除违法建筑，对破坏林地、耕地实施修复，编制修复计划，推进修复工作，至2020年“四山”地区现有天然林面积不减少，人工林面积逐年增加</w:t>
                  </w:r>
                </w:p>
              </w:tc>
              <w:tc>
                <w:tcPr>
                  <w:tcW w:w="1198" w:type="pct"/>
                  <w:vAlign w:val="center"/>
                </w:tcPr>
                <w:p w14:paraId="234B127E">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本项目位于重庆西彭工业园区西彭组团D标准分区，</w:t>
                  </w:r>
                  <w:r>
                    <w:rPr>
                      <w:rFonts w:hint="default" w:ascii="Times New Roman" w:hAnsi="Times New Roman" w:cs="Times New Roman"/>
                      <w:color w:val="auto"/>
                      <w:lang w:bidi="en-US"/>
                    </w:rPr>
                    <w:t>不涉及</w:t>
                  </w:r>
                  <w:r>
                    <w:rPr>
                      <w:rFonts w:hint="default" w:ascii="Times New Roman" w:hAnsi="Times New Roman" w:cs="Times New Roman"/>
                      <w:color w:val="auto"/>
                      <w:szCs w:val="21"/>
                    </w:rPr>
                    <w:t>“四山”管制区</w:t>
                  </w:r>
                </w:p>
              </w:tc>
              <w:tc>
                <w:tcPr>
                  <w:tcW w:w="345" w:type="pct"/>
                  <w:vAlign w:val="center"/>
                </w:tcPr>
                <w:p w14:paraId="4E45BD8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8B6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011F195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569645E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15EB1A41">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三条长江上游珍稀特有鱼类国家级自然保护区、白市驿县级自然保护区、白市驿城市花卉市级森林公园、白塔坪市级森林公园、中梁云岭森林公园（原尖刀山市级森林公园）、重庆彩云湖国家湿地公园生态红线范围内严禁不符合主体功能定位的各类开发活动，严禁任意改变用途，严格禁止任何单位和个人擅自占用和改变用地性质，鼓励按照规划开展维护、修复和提升生态功能的活动。区内一般生态空间原则上按限制开发区域的要求进行管理，严格控制新增建设占用生态保护红线外的生态空间</w:t>
                  </w:r>
                </w:p>
              </w:tc>
              <w:tc>
                <w:tcPr>
                  <w:tcW w:w="1198" w:type="pct"/>
                  <w:vAlign w:val="center"/>
                </w:tcPr>
                <w:p w14:paraId="1CF69A16">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本项目位于重庆西彭工业园区西彭组团D标准分区，</w:t>
                  </w:r>
                  <w:r>
                    <w:rPr>
                      <w:rFonts w:hint="default" w:ascii="Times New Roman" w:hAnsi="Times New Roman" w:cs="Times New Roman"/>
                      <w:color w:val="auto"/>
                      <w:lang w:bidi="en-US"/>
                    </w:rPr>
                    <w:t>不涉及</w:t>
                  </w:r>
                  <w:r>
                    <w:rPr>
                      <w:rFonts w:hint="default" w:ascii="Times New Roman" w:hAnsi="Times New Roman" w:cs="Times New Roman"/>
                      <w:color w:val="auto"/>
                      <w:szCs w:val="21"/>
                    </w:rPr>
                    <w:t>上述区域</w:t>
                  </w:r>
                </w:p>
              </w:tc>
              <w:tc>
                <w:tcPr>
                  <w:tcW w:w="345" w:type="pct"/>
                  <w:vAlign w:val="center"/>
                </w:tcPr>
                <w:p w14:paraId="1B5E663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8"/>
                    </w:rPr>
                    <w:t>符合</w:t>
                  </w:r>
                </w:p>
              </w:tc>
            </w:tr>
            <w:tr w14:paraId="3CED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1F73ECD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5F88F0D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06E75F18">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四条长江50年一遇洪水位向陆域一侧1公里沿岸地区，禁止引入排放重金属（铬、镉、汞、砷、铅五类重金属）、剧毒物质和持久性有机污染物的工业项目、单纯电镀行业、危险废物处置设施项目、存在严重环境安全风险的产业项目和其它不符合国家产业政策的项目，以及超出环境资源承载力的项目</w:t>
                  </w:r>
                </w:p>
              </w:tc>
              <w:tc>
                <w:tcPr>
                  <w:tcW w:w="1198" w:type="pct"/>
                  <w:vAlign w:val="center"/>
                </w:tcPr>
                <w:p w14:paraId="414A58DE">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本项目位于重庆西彭工业园区西彭组团D标准分区，</w:t>
                  </w:r>
                  <w:r>
                    <w:rPr>
                      <w:rFonts w:hint="default" w:ascii="Times New Roman" w:hAnsi="Times New Roman" w:cs="Times New Roman"/>
                      <w:color w:val="auto"/>
                      <w:lang w:bidi="en-US"/>
                    </w:rPr>
                    <w:t>不涉及</w:t>
                  </w:r>
                  <w:r>
                    <w:rPr>
                      <w:rFonts w:hint="default" w:ascii="Times New Roman" w:hAnsi="Times New Roman" w:cs="Times New Roman"/>
                      <w:color w:val="auto"/>
                      <w:szCs w:val="21"/>
                    </w:rPr>
                    <w:t>上述区域</w:t>
                  </w:r>
                </w:p>
              </w:tc>
              <w:tc>
                <w:tcPr>
                  <w:tcW w:w="345" w:type="pct"/>
                  <w:vAlign w:val="center"/>
                </w:tcPr>
                <w:p w14:paraId="6FFA2E3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8"/>
                    </w:rPr>
                    <w:t>符合</w:t>
                  </w:r>
                </w:p>
              </w:tc>
            </w:tr>
            <w:tr w14:paraId="7F30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23F0788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1696DDF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6809444C">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第五条梁滩河河道保护线外侧城镇规划建设用地内尚未建设的区域控制不少于30米的绿化缓冲带，绿化缓冲带内禁止进行工业、畜禽养殖业等可能导致水环境恶化的经营性活动</w:t>
                  </w:r>
                </w:p>
              </w:tc>
              <w:tc>
                <w:tcPr>
                  <w:tcW w:w="1198" w:type="pct"/>
                  <w:vAlign w:val="center"/>
                </w:tcPr>
                <w:p w14:paraId="5BC95961">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本项目位于重庆西彭工业园区西彭组团D标准分区，</w:t>
                  </w:r>
                  <w:r>
                    <w:rPr>
                      <w:rFonts w:hint="default" w:ascii="Times New Roman" w:hAnsi="Times New Roman" w:cs="Times New Roman"/>
                      <w:color w:val="auto"/>
                      <w:lang w:bidi="en-US"/>
                    </w:rPr>
                    <w:t>不涉及</w:t>
                  </w:r>
                  <w:r>
                    <w:rPr>
                      <w:rFonts w:hint="default" w:ascii="Times New Roman" w:hAnsi="Times New Roman" w:cs="Times New Roman"/>
                      <w:color w:val="auto"/>
                      <w:szCs w:val="21"/>
                    </w:rPr>
                    <w:t>上述区域</w:t>
                  </w:r>
                </w:p>
              </w:tc>
              <w:tc>
                <w:tcPr>
                  <w:tcW w:w="345" w:type="pct"/>
                  <w:vAlign w:val="center"/>
                </w:tcPr>
                <w:p w14:paraId="0C3BFCD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8"/>
                    </w:rPr>
                    <w:t>符合</w:t>
                  </w:r>
                </w:p>
              </w:tc>
            </w:tr>
            <w:tr w14:paraId="215F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6" w:type="pct"/>
                  <w:vMerge w:val="continue"/>
                  <w:vAlign w:val="center"/>
                </w:tcPr>
                <w:p w14:paraId="7BACE3F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2BFE063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7F8D701B">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第六条逐步弱化高新技术产业开发区东区生产制造功能，推动工业“退二进三”，不再发展传统工业（企业总部与研发中心列入高技术服务业）；有序推进批发市场和物流仓储（除快递物流外）向高新西区转移</w:t>
                  </w:r>
                </w:p>
              </w:tc>
              <w:tc>
                <w:tcPr>
                  <w:tcW w:w="1198" w:type="pct"/>
                  <w:vAlign w:val="center"/>
                </w:tcPr>
                <w:p w14:paraId="71E549B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lang w:bidi="en-US"/>
                    </w:rPr>
                    <w:t>不涉及</w:t>
                  </w:r>
                </w:p>
              </w:tc>
              <w:tc>
                <w:tcPr>
                  <w:tcW w:w="345" w:type="pct"/>
                  <w:vAlign w:val="center"/>
                </w:tcPr>
                <w:p w14:paraId="392D4F6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83A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73A87EA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restart"/>
                  <w:vAlign w:val="center"/>
                </w:tcPr>
                <w:p w14:paraId="41EA8621">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671" w:type="pct"/>
                  <w:vAlign w:val="center"/>
                </w:tcPr>
                <w:p w14:paraId="0D29DCAF">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第七条通过改造提升、集约布局、关停并转等方式对“散乱污”企业分类治理。对布局不合理、装备水平低、环保设施差的小型污染企业进行全面排查，制订综合整治方案，集中整治镇村产业集聚区</w:t>
                  </w:r>
                </w:p>
              </w:tc>
              <w:tc>
                <w:tcPr>
                  <w:tcW w:w="1198" w:type="pct"/>
                  <w:vAlign w:val="center"/>
                </w:tcPr>
                <w:p w14:paraId="4068A4D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本项目不涉及</w:t>
                  </w:r>
                </w:p>
              </w:tc>
              <w:tc>
                <w:tcPr>
                  <w:tcW w:w="345" w:type="pct"/>
                  <w:vAlign w:val="center"/>
                </w:tcPr>
                <w:p w14:paraId="177B454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FD9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68D0B72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0B01FD2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7F7721CF">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八条区内二氧化硫、氮氧化物、颗粒物、挥发性有机物严格执行大气污染物特别排放限值，全面开展涉VOCs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1198" w:type="pct"/>
                  <w:vAlign w:val="center"/>
                </w:tcPr>
                <w:p w14:paraId="79963F68">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本项目位于九龙坡区，</w:t>
                  </w:r>
                  <w:r>
                    <w:rPr>
                      <w:rFonts w:hint="eastAsia" w:ascii="Times New Roman" w:hAnsi="Times New Roman" w:cs="Times New Roman"/>
                      <w:color w:val="auto"/>
                      <w:szCs w:val="21"/>
                      <w:lang w:eastAsia="zh-CN"/>
                    </w:rPr>
                    <w:t>主要</w:t>
                  </w:r>
                  <w:r>
                    <w:rPr>
                      <w:rFonts w:hint="eastAsia" w:ascii="Times New Roman" w:hAnsi="Times New Roman" w:cs="Times New Roman"/>
                      <w:szCs w:val="21"/>
                      <w:lang w:eastAsia="zh-CN"/>
                    </w:rPr>
                    <w:t>生产原料为塑粉，生产过程中会产生</w:t>
                  </w:r>
                  <w:r>
                    <w:rPr>
                      <w:rFonts w:hint="eastAsia" w:ascii="Times New Roman" w:hAnsi="Times New Roman" w:cs="Times New Roman"/>
                      <w:szCs w:val="21"/>
                      <w:lang w:val="en-US" w:eastAsia="zh-CN"/>
                    </w:rPr>
                    <w:t>VOCs废气</w:t>
                  </w:r>
                  <w:r>
                    <w:rPr>
                      <w:rFonts w:hint="default" w:ascii="Times New Roman" w:hAnsi="Times New Roman" w:cs="Times New Roman"/>
                      <w:szCs w:val="21"/>
                    </w:rPr>
                    <w:t>，</w:t>
                  </w:r>
                  <w:r>
                    <w:rPr>
                      <w:rFonts w:hint="eastAsia" w:ascii="Times New Roman" w:hAnsi="Times New Roman" w:cs="Times New Roman"/>
                      <w:szCs w:val="21"/>
                      <w:lang w:eastAsia="zh-CN"/>
                    </w:rPr>
                    <w:t>采用“干式过滤</w:t>
                  </w:r>
                  <w:r>
                    <w:rPr>
                      <w:rFonts w:hint="eastAsia" w:ascii="Times New Roman" w:hAnsi="Times New Roman" w:cs="Times New Roman"/>
                      <w:szCs w:val="21"/>
                      <w:lang w:val="en-US" w:eastAsia="zh-CN"/>
                    </w:rPr>
                    <w:t>+</w:t>
                  </w:r>
                  <w:r>
                    <w:rPr>
                      <w:rFonts w:hint="eastAsia" w:ascii="Times New Roman" w:hAnsi="Times New Roman" w:cs="Times New Roman"/>
                      <w:szCs w:val="21"/>
                      <w:lang w:eastAsia="zh-CN"/>
                    </w:rPr>
                    <w:t>活性炭”吸附处置后有组织排放；喷粉过程中</w:t>
                  </w:r>
                  <w:r>
                    <w:rPr>
                      <w:rFonts w:hint="default" w:ascii="Times New Roman" w:hAnsi="Times New Roman" w:cs="Times New Roman"/>
                      <w:szCs w:val="21"/>
                    </w:rPr>
                    <w:t>产生的废气粉尘收集后经</w:t>
                  </w:r>
                  <w:r>
                    <w:rPr>
                      <w:rFonts w:hint="eastAsia" w:ascii="Times New Roman" w:cs="Times New Roman"/>
                      <w:szCs w:val="21"/>
                      <w:highlight w:val="none"/>
                      <w:lang w:eastAsia="zh-CN"/>
                    </w:rPr>
                    <w:t>滤筒除尘器</w:t>
                  </w:r>
                  <w:r>
                    <w:rPr>
                      <w:rFonts w:hint="default" w:ascii="Times New Roman" w:hAnsi="Times New Roman" w:cs="Times New Roman"/>
                      <w:szCs w:val="21"/>
                      <w:highlight w:val="none"/>
                    </w:rPr>
                    <w:t>处理后通过排气筒</w:t>
                  </w:r>
                  <w:r>
                    <w:rPr>
                      <w:rFonts w:hint="default" w:ascii="Times New Roman" w:hAnsi="Times New Roman" w:cs="Times New Roman"/>
                      <w:szCs w:val="21"/>
                    </w:rPr>
                    <w:t>排放</w:t>
                  </w:r>
                  <w:r>
                    <w:rPr>
                      <w:rFonts w:hint="eastAsia" w:ascii="Times New Roman" w:cs="Times New Roman"/>
                      <w:szCs w:val="21"/>
                      <w:lang w:eastAsia="zh-CN"/>
                    </w:rPr>
                    <w:t>；抛丸工序产生的颗粒物经布袋除尘器处置后由排气筒排放。</w:t>
                  </w:r>
                </w:p>
              </w:tc>
              <w:tc>
                <w:tcPr>
                  <w:tcW w:w="345" w:type="pct"/>
                  <w:vAlign w:val="center"/>
                </w:tcPr>
                <w:p w14:paraId="1B68CC4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410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02C25A3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64008A34">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60BD13B6">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九条城市污水处理厂全面达到一级A排放标准，城市污水集中处理率达到95%左右，对所有执行二级及以下标准的城镇污水处理设施实施提标改造。完善区内排水管网建设和配套污水处理厂建设，强化污水处理设施运维管理，确保设施正常运行，出水达标排放</w:t>
                  </w:r>
                </w:p>
              </w:tc>
              <w:tc>
                <w:tcPr>
                  <w:tcW w:w="1198" w:type="pct"/>
                  <w:vAlign w:val="center"/>
                </w:tcPr>
                <w:p w14:paraId="58A24718">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lang w:bidi="en-US"/>
                    </w:rPr>
                  </w:pPr>
                  <w:r>
                    <w:rPr>
                      <w:rFonts w:hint="default" w:ascii="Times New Roman" w:hAnsi="Times New Roman" w:cs="Times New Roman"/>
                      <w:color w:val="auto"/>
                      <w:lang w:bidi="en-US"/>
                    </w:rPr>
                    <w:t>本项目</w:t>
                  </w:r>
                  <w:r>
                    <w:rPr>
                      <w:rFonts w:hint="default" w:ascii="Times New Roman" w:hAnsi="Times New Roman" w:cs="Times New Roman"/>
                      <w:color w:val="auto"/>
                      <w:szCs w:val="21"/>
                    </w:rPr>
                    <w:t>生活污水依托</w:t>
                  </w:r>
                  <w:r>
                    <w:rPr>
                      <w:rFonts w:hint="eastAsia" w:ascii="Times New Roman" w:hAnsi="Times New Roman" w:cs="Times New Roman"/>
                      <w:color w:val="auto"/>
                      <w:szCs w:val="21"/>
                      <w:lang w:eastAsia="zh-CN"/>
                    </w:rPr>
                    <w:t>森迪产业园</w:t>
                  </w:r>
                  <w:r>
                    <w:rPr>
                      <w:rFonts w:hint="default" w:ascii="Times New Roman" w:hAnsi="Times New Roman" w:cs="Times New Roman"/>
                      <w:color w:val="auto"/>
                      <w:szCs w:val="21"/>
                    </w:rPr>
                    <w:t>已建生化池处理后排入园区管网，进入西彭工业园区污水处理厂处理达《城镇污水处理厂污染物排放标准》(GB18918-2002）一级A标准（其中COD、NH</w:t>
                  </w:r>
                  <w:r>
                    <w:rPr>
                      <w:rFonts w:hint="eastAsia" w:ascii="Times New Roman" w:hAnsi="Times New Roman" w:cs="Times New Roman"/>
                      <w:color w:val="auto"/>
                      <w:szCs w:val="21"/>
                      <w:vertAlign w:val="subscript"/>
                      <w:lang w:val="en-US" w:eastAsia="zh-CN"/>
                    </w:rPr>
                    <w:t>3</w:t>
                  </w:r>
                  <w:r>
                    <w:rPr>
                      <w:rFonts w:hint="default" w:ascii="Times New Roman" w:hAnsi="Times New Roman" w:cs="Times New Roman"/>
                      <w:color w:val="auto"/>
                      <w:szCs w:val="21"/>
                    </w:rPr>
                    <w:t>-N达《地表水环境质量标准》(GB3838-2002)Ⅳ类标准）后排入桥头河再汇入长江</w:t>
                  </w:r>
                </w:p>
              </w:tc>
              <w:tc>
                <w:tcPr>
                  <w:tcW w:w="345" w:type="pct"/>
                  <w:vAlign w:val="center"/>
                </w:tcPr>
                <w:p w14:paraId="5DF46025">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B26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685F65B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5F6E029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286EAAE4">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条持续推进梁滩河综合整治，排入梁滩河的污水执行污水特别排放限值，完善限养区养殖场污染治理配套设施设备，推广、指导畜禽养殖废弃物综合利用，推进畜禽养殖废弃物减量化、资源化和无害化。发展生态循环农业，开展现代生态农业创新试点</w:t>
                  </w:r>
                </w:p>
              </w:tc>
              <w:tc>
                <w:tcPr>
                  <w:tcW w:w="1198" w:type="pct"/>
                  <w:vAlign w:val="center"/>
                </w:tcPr>
                <w:p w14:paraId="5E7D57C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lang w:bidi="en-US"/>
                    </w:rPr>
                  </w:pPr>
                  <w:r>
                    <w:rPr>
                      <w:rFonts w:hint="default" w:ascii="Times New Roman" w:hAnsi="Times New Roman" w:cs="Times New Roman"/>
                      <w:color w:val="auto"/>
                      <w:szCs w:val="21"/>
                    </w:rPr>
                    <w:t>/</w:t>
                  </w:r>
                </w:p>
              </w:tc>
              <w:tc>
                <w:tcPr>
                  <w:tcW w:w="345" w:type="pct"/>
                  <w:vAlign w:val="center"/>
                </w:tcPr>
                <w:p w14:paraId="27C675A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E0A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2B9F82F6">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7207712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5D45F81C">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第十一条严禁引入高水耗、高物耗、高能耗项目，水的重复利用率低的行业。严格执行高污染燃料禁燃区管理要求</w:t>
                  </w:r>
                </w:p>
              </w:tc>
              <w:tc>
                <w:tcPr>
                  <w:tcW w:w="1198" w:type="pct"/>
                  <w:vAlign w:val="center"/>
                </w:tcPr>
                <w:p w14:paraId="5DA7CE32">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lang w:bidi="en-US"/>
                    </w:rPr>
                  </w:pPr>
                  <w:r>
                    <w:rPr>
                      <w:rFonts w:hint="default" w:ascii="Times New Roman" w:hAnsi="Times New Roman" w:cs="Times New Roman"/>
                      <w:color w:val="auto"/>
                      <w:szCs w:val="21"/>
                    </w:rPr>
                    <w:t>本项目不属于高水耗、高物耗、高能耗项目</w:t>
                  </w:r>
                </w:p>
              </w:tc>
              <w:tc>
                <w:tcPr>
                  <w:tcW w:w="345" w:type="pct"/>
                  <w:vAlign w:val="center"/>
                </w:tcPr>
                <w:p w14:paraId="76406609">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6C3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3687B1C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5EA87AF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396E8EC1">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第十二条制定柴油货车、高排放车辆限行方案，依法依规加快淘汰老旧柴油货车。每年新增或更新的公交车、出租车全部使用清洁能源车辆</w:t>
                  </w:r>
                </w:p>
              </w:tc>
              <w:tc>
                <w:tcPr>
                  <w:tcW w:w="1198" w:type="pct"/>
                  <w:vAlign w:val="center"/>
                </w:tcPr>
                <w:p w14:paraId="38282630">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45" w:type="pct"/>
                  <w:vAlign w:val="center"/>
                </w:tcPr>
                <w:p w14:paraId="00603FD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D40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6" w:type="pct"/>
                  <w:vMerge w:val="continue"/>
                  <w:vAlign w:val="center"/>
                </w:tcPr>
                <w:p w14:paraId="30AADB1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restart"/>
                  <w:vAlign w:val="center"/>
                </w:tcPr>
                <w:p w14:paraId="188B05E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671" w:type="pct"/>
                  <w:vAlign w:val="center"/>
                </w:tcPr>
                <w:p w14:paraId="69170DA6">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第十三条严禁在长江干流1公里范围内新建危化品码头，长江干流沿岸1公里范围内现有化工企业、危化企业、重点风险源全部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清零</w:t>
                  </w:r>
                  <w:r>
                    <w:rPr>
                      <w:rFonts w:hint="eastAsia" w:ascii="Times New Roman" w:hAnsi="Times New Roman" w:cs="Times New Roman"/>
                      <w:color w:val="auto"/>
                      <w:szCs w:val="21"/>
                      <w:lang w:eastAsia="zh-CN"/>
                    </w:rPr>
                    <w:t>”</w:t>
                  </w:r>
                </w:p>
              </w:tc>
              <w:tc>
                <w:tcPr>
                  <w:tcW w:w="1198" w:type="pct"/>
                  <w:vAlign w:val="center"/>
                </w:tcPr>
                <w:p w14:paraId="73304217">
                  <w:pPr>
                    <w:keepNext w:val="0"/>
                    <w:keepLines w:val="0"/>
                    <w:pageBreakBefore w:val="0"/>
                    <w:kinsoku/>
                    <w:wordWrap/>
                    <w:overflowPunct/>
                    <w:topLinePunct w:val="0"/>
                    <w:autoSpaceDE/>
                    <w:autoSpaceDN/>
                    <w:bidi w:val="0"/>
                    <w:snapToGrid w:val="0"/>
                    <w:ind w:firstLine="0" w:firstLineChars="0"/>
                    <w:textAlignment w:val="auto"/>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lang w:bidi="en-US"/>
                    </w:rPr>
                    <w:t>本项目</w:t>
                  </w:r>
                  <w:r>
                    <w:rPr>
                      <w:rFonts w:hint="default" w:ascii="Times New Roman" w:hAnsi="Times New Roman" w:cs="Times New Roman"/>
                      <w:color w:val="auto"/>
                      <w:szCs w:val="21"/>
                    </w:rPr>
                    <w:t>位于重庆西彭工业园区西彭组团D标准分区，为</w:t>
                  </w:r>
                  <w:r>
                    <w:rPr>
                      <w:rFonts w:hint="eastAsia" w:ascii="Times New Roman" w:hAnsi="Times New Roman" w:cs="Times New Roman"/>
                      <w:szCs w:val="21"/>
                      <w:lang w:eastAsia="zh-CN"/>
                    </w:rPr>
                    <w:t>汽车零部件表面喷粉项目，</w:t>
                  </w:r>
                  <w:r>
                    <w:rPr>
                      <w:rFonts w:hint="eastAsia" w:ascii="Times New Roman" w:hAnsi="Times New Roman" w:cs="Times New Roman"/>
                      <w:color w:val="auto"/>
                      <w:lang w:eastAsia="zh-CN" w:bidi="en-US"/>
                    </w:rPr>
                    <w:t>不属于所述企业。</w:t>
                  </w:r>
                </w:p>
              </w:tc>
              <w:tc>
                <w:tcPr>
                  <w:tcW w:w="345" w:type="pct"/>
                  <w:vAlign w:val="center"/>
                </w:tcPr>
                <w:p w14:paraId="5906603A">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3DA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6" w:type="pct"/>
                  <w:vMerge w:val="continue"/>
                  <w:vAlign w:val="center"/>
                </w:tcPr>
                <w:p w14:paraId="44E79A0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Merge w:val="continue"/>
                  <w:vAlign w:val="center"/>
                </w:tcPr>
                <w:p w14:paraId="3488853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2671" w:type="pct"/>
                  <w:vAlign w:val="center"/>
                </w:tcPr>
                <w:p w14:paraId="2B55EC3B">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第十四条工业园区污水处理厂应设置相应规模的事故池，防止事故废水直接进入江河</w:t>
                  </w:r>
                </w:p>
              </w:tc>
              <w:tc>
                <w:tcPr>
                  <w:tcW w:w="1198" w:type="pct"/>
                  <w:vAlign w:val="center"/>
                </w:tcPr>
                <w:p w14:paraId="752F1215">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45" w:type="pct"/>
                  <w:vAlign w:val="center"/>
                </w:tcPr>
                <w:p w14:paraId="2FB3307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048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6" w:type="pct"/>
                  <w:vMerge w:val="continue"/>
                  <w:vAlign w:val="center"/>
                </w:tcPr>
                <w:p w14:paraId="1684758F">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Align w:val="center"/>
                </w:tcPr>
                <w:p w14:paraId="05FB0FE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资源开发利用效率</w:t>
                  </w:r>
                </w:p>
              </w:tc>
              <w:tc>
                <w:tcPr>
                  <w:tcW w:w="2671" w:type="pct"/>
                  <w:vAlign w:val="center"/>
                </w:tcPr>
                <w:p w14:paraId="3DB5198C">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十五条新建和改造的工业项目的水资源消耗水平应优于《重庆市工业项目环境准入规定》中的准入值及行业平均值，企业水耗应达到先进定额标准。新建和改造的能耗水平应优于《重庆市工业项目环境准入规定》中的准入值及行业平均值，高耗能企业能耗应达到先进定额标准</w:t>
                  </w:r>
                </w:p>
              </w:tc>
              <w:tc>
                <w:tcPr>
                  <w:tcW w:w="1198" w:type="pct"/>
                  <w:vAlign w:val="center"/>
                </w:tcPr>
                <w:p w14:paraId="609BED2A">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本项目不属于高水耗、高物耗、高能耗项目</w:t>
                  </w:r>
                </w:p>
              </w:tc>
              <w:tc>
                <w:tcPr>
                  <w:tcW w:w="345" w:type="pct"/>
                  <w:vAlign w:val="center"/>
                </w:tcPr>
                <w:p w14:paraId="34AD60D2">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57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36" w:type="pct"/>
                  <w:vMerge w:val="restart"/>
                  <w:vAlign w:val="center"/>
                </w:tcPr>
                <w:p w14:paraId="4552012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九龙坡区工业城镇重点管控单元-九龙西城 </w:t>
                  </w:r>
                </w:p>
                <w:p w14:paraId="00EC488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片区</w:t>
                  </w:r>
                  <w:r>
                    <w:rPr>
                      <w:rFonts w:hint="default" w:ascii="Times New Roman" w:hAnsi="Times New Roman" w:cs="Times New Roman"/>
                      <w:color w:val="auto"/>
                      <w:szCs w:val="21"/>
                    </w:rPr>
                    <w:t>管控要求（ZH5001072000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348" w:type="pct"/>
                  <w:vAlign w:val="center"/>
                </w:tcPr>
                <w:p w14:paraId="146EA2E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671" w:type="pct"/>
                  <w:vAlign w:val="center"/>
                </w:tcPr>
                <w:p w14:paraId="0349EB02">
                  <w:pPr>
                    <w:keepNext w:val="0"/>
                    <w:keepLines w:val="0"/>
                    <w:pageBreakBefore w:val="0"/>
                    <w:kinsoku/>
                    <w:wordWrap/>
                    <w:overflowPunct/>
                    <w:topLinePunct w:val="0"/>
                    <w:autoSpaceDE/>
                    <w:autoSpaceDN/>
                    <w:bidi w:val="0"/>
                    <w:ind w:firstLine="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 xml:space="preserve">1.紧邻现状及规划居住用地、中小学用地等的工业用地后续引入项目时应考虑以污染较轻的项目为主，禁止新建涉及喷漆、酸洗、熔炼等异味较大的生产工艺项目。 </w:t>
                  </w:r>
                </w:p>
                <w:p w14:paraId="02CA4232">
                  <w:pPr>
                    <w:keepNext w:val="0"/>
                    <w:keepLines w:val="0"/>
                    <w:pageBreakBefore w:val="0"/>
                    <w:kinsoku/>
                    <w:wordWrap/>
                    <w:overflowPunct/>
                    <w:topLinePunct w:val="0"/>
                    <w:autoSpaceDE/>
                    <w:autoSpaceDN/>
                    <w:bidi w:val="0"/>
                    <w:ind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2.推动九龙西城新能源、装备制造、新材料等产业往下游延伸；西彭工业园区禁止新建、扩建木质家具制造、报废汽车拆解、平板玻璃制造工业项目。 </w:t>
                  </w:r>
                </w:p>
                <w:p w14:paraId="698E9BC4">
                  <w:pPr>
                    <w:keepNext w:val="0"/>
                    <w:keepLines w:val="0"/>
                    <w:pageBreakBefore w:val="0"/>
                    <w:kinsoku/>
                    <w:wordWrap/>
                    <w:overflowPunct/>
                    <w:topLinePunct w:val="0"/>
                    <w:autoSpaceDE/>
                    <w:autoSpaceDN/>
                    <w:bidi w:val="0"/>
                    <w:ind w:firstLine="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3.重庆奇爽实业（集团）有限公司、红蜻蜓（重庆）植物油脂有限公司、重庆小可食品有限公司、重庆豆奇食品有限公司不再扩大用地规模、不新增污染物排放。</w:t>
                  </w:r>
                </w:p>
              </w:tc>
              <w:tc>
                <w:tcPr>
                  <w:tcW w:w="1198" w:type="pct"/>
                  <w:vAlign w:val="center"/>
                </w:tcPr>
                <w:p w14:paraId="23C7FADC">
                  <w:pPr>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本项目为</w:t>
                  </w:r>
                  <w:r>
                    <w:rPr>
                      <w:rFonts w:hint="eastAsia" w:ascii="Times New Roman" w:hAnsi="Times New Roman" w:cs="Times New Roman"/>
                      <w:szCs w:val="21"/>
                      <w:lang w:eastAsia="zh-CN"/>
                    </w:rPr>
                    <w:t>汽车零部件表面喷粉项目，</w:t>
                  </w:r>
                  <w:r>
                    <w:rPr>
                      <w:rFonts w:hint="default" w:ascii="Times New Roman" w:hAnsi="Times New Roman" w:cs="Times New Roman"/>
                      <w:color w:val="auto"/>
                      <w:szCs w:val="21"/>
                      <w:lang w:val="en-US" w:eastAsia="zh-CN"/>
                    </w:rPr>
                    <w:t>周边无居住用地，不涉及</w:t>
                  </w:r>
                  <w:r>
                    <w:rPr>
                      <w:rFonts w:hint="default" w:ascii="Times New Roman" w:hAnsi="Times New Roman" w:cs="Times New Roman"/>
                      <w:color w:val="auto"/>
                      <w:lang w:val="en-US" w:eastAsia="zh-CN"/>
                    </w:rPr>
                    <w:t>喷漆、酸洗、熔炼等生产工艺；不属于木质家具制造、报废汽车拆解、平板玻璃制造工业项目；</w:t>
                  </w:r>
                </w:p>
              </w:tc>
              <w:tc>
                <w:tcPr>
                  <w:tcW w:w="345" w:type="pct"/>
                  <w:vAlign w:val="center"/>
                </w:tcPr>
                <w:p w14:paraId="1824A85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2AD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6" w:type="pct"/>
                  <w:vMerge w:val="continue"/>
                  <w:vAlign w:val="center"/>
                </w:tcPr>
                <w:p w14:paraId="2A8F0A03">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Align w:val="center"/>
                </w:tcPr>
                <w:p w14:paraId="22464D28">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671" w:type="pct"/>
                  <w:vAlign w:val="center"/>
                </w:tcPr>
                <w:p w14:paraId="0A6BD6DD">
                  <w:pPr>
                    <w:pStyle w:val="36"/>
                    <w:keepNext w:val="0"/>
                    <w:keepLines w:val="0"/>
                    <w:pageBreakBefore w:val="0"/>
                    <w:numPr>
                      <w:ilvl w:val="0"/>
                      <w:numId w:val="2"/>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推动重点行业持续提升低（无）VOCs含量、低反应活性的原辅材料替代比例，推进重点监管企业VOCs综合整治，加强重点排污企业污染治理设施和在线监控建设和运维。 </w:t>
                  </w:r>
                </w:p>
                <w:p w14:paraId="526E3260">
                  <w:pPr>
                    <w:pStyle w:val="36"/>
                    <w:keepNext w:val="0"/>
                    <w:keepLines w:val="0"/>
                    <w:pageBreakBefore w:val="0"/>
                    <w:numPr>
                      <w:ilvl w:val="0"/>
                      <w:numId w:val="2"/>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推进西彭工业园区污水处理厂提标扩建工程。 新改建铜罐驿沿江片区、西彭镇和陶家镇等区域污水管网，改造管网错混接点；推进铜罐驿污水处理厂配套管网建设工作。</w:t>
                  </w:r>
                </w:p>
                <w:p w14:paraId="46F3FF4B">
                  <w:pPr>
                    <w:pStyle w:val="36"/>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 </w:t>
                  </w:r>
                </w:p>
                <w:p w14:paraId="68898542">
                  <w:pPr>
                    <w:pStyle w:val="36"/>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4.加强施工扬尘监管，逐步推进建筑面积2万平方米以上的工地安装在线监控系统。 </w:t>
                  </w:r>
                </w:p>
              </w:tc>
              <w:tc>
                <w:tcPr>
                  <w:tcW w:w="1198" w:type="pct"/>
                  <w:vAlign w:val="center"/>
                </w:tcPr>
                <w:p w14:paraId="0C94589B">
                  <w:pPr>
                    <w:pStyle w:val="36"/>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本项目位于重庆西彭工业园区西彭组团D标准分区，</w:t>
                  </w:r>
                  <w:r>
                    <w:rPr>
                      <w:rFonts w:hint="default" w:ascii="Times New Roman" w:hAnsi="Times New Roman" w:cs="Times New Roman"/>
                      <w:color w:val="auto"/>
                      <w:szCs w:val="21"/>
                      <w:lang w:val="en-US" w:eastAsia="zh-CN"/>
                    </w:rPr>
                    <w:t>项目原料</w:t>
                  </w:r>
                  <w:r>
                    <w:rPr>
                      <w:rFonts w:hint="eastAsia" w:ascii="Times New Roman" w:hAnsi="Times New Roman" w:cs="Times New Roman"/>
                      <w:color w:val="auto"/>
                      <w:szCs w:val="21"/>
                      <w:lang w:val="en-US" w:eastAsia="zh-CN"/>
                    </w:rPr>
                    <w:t>为塑粉，生产过程中会产生少量</w:t>
                  </w:r>
                  <w:r>
                    <w:rPr>
                      <w:rFonts w:hint="default" w:ascii="Times New Roman" w:hAnsi="Times New Roman" w:cs="Times New Roman"/>
                      <w:color w:val="auto"/>
                      <w:szCs w:val="21"/>
                      <w:lang w:val="en-US" w:eastAsia="zh-CN"/>
                    </w:rPr>
                    <w:t>VOCs，</w:t>
                  </w:r>
                  <w:r>
                    <w:rPr>
                      <w:rFonts w:hint="eastAsia" w:ascii="Times New Roman" w:hAnsi="Times New Roman" w:cs="Times New Roman"/>
                      <w:color w:val="auto"/>
                      <w:szCs w:val="21"/>
                      <w:lang w:val="en-US" w:eastAsia="zh-CN"/>
                    </w:rPr>
                    <w:t>采取“干式过滤+活性炭”装置处置后有组织排放；</w:t>
                  </w:r>
                  <w:r>
                    <w:rPr>
                      <w:rFonts w:hint="default" w:ascii="Times New Roman" w:hAnsi="Times New Roman" w:cs="Times New Roman"/>
                      <w:color w:val="auto"/>
                      <w:szCs w:val="21"/>
                    </w:rPr>
                    <w:t>污水依托</w:t>
                  </w:r>
                  <w:r>
                    <w:rPr>
                      <w:rFonts w:hint="eastAsia" w:ascii="Times New Roman" w:hAnsi="Times New Roman" w:cs="Times New Roman"/>
                      <w:color w:val="auto"/>
                      <w:szCs w:val="21"/>
                      <w:lang w:eastAsia="zh-CN"/>
                    </w:rPr>
                    <w:t>森迪产业园</w:t>
                  </w:r>
                  <w:r>
                    <w:rPr>
                      <w:rFonts w:hint="default" w:ascii="Times New Roman" w:hAnsi="Times New Roman" w:cs="Times New Roman"/>
                      <w:color w:val="auto"/>
                      <w:szCs w:val="21"/>
                    </w:rPr>
                    <w:t>已建生化池处理达标后排入园区管网，进入西彭工业园区污水处理厂处理</w:t>
                  </w:r>
                  <w:r>
                    <w:rPr>
                      <w:rFonts w:hint="default" w:ascii="Times New Roman" w:hAnsi="Times New Roman" w:cs="Times New Roman"/>
                      <w:color w:val="auto"/>
                      <w:szCs w:val="21"/>
                      <w:lang w:eastAsia="zh-CN"/>
                    </w:rPr>
                    <w:t>。</w:t>
                  </w:r>
                </w:p>
              </w:tc>
              <w:tc>
                <w:tcPr>
                  <w:tcW w:w="345" w:type="pct"/>
                  <w:vAlign w:val="center"/>
                </w:tcPr>
                <w:p w14:paraId="62790D8B">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1D7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6" w:type="pct"/>
                  <w:vMerge w:val="continue"/>
                  <w:vAlign w:val="center"/>
                </w:tcPr>
                <w:p w14:paraId="76F67707">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Align w:val="center"/>
                </w:tcPr>
                <w:p w14:paraId="0CCB6BCE">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671" w:type="pct"/>
                  <w:vAlign w:val="center"/>
                </w:tcPr>
                <w:p w14:paraId="51988357">
                  <w:pPr>
                    <w:keepNext w:val="0"/>
                    <w:keepLines w:val="0"/>
                    <w:pageBreakBefore w:val="0"/>
                    <w:numPr>
                      <w:ilvl w:val="0"/>
                      <w:numId w:val="3"/>
                    </w:numPr>
                    <w:kinsoku/>
                    <w:wordWrap/>
                    <w:overflowPunct/>
                    <w:topLinePunct w:val="0"/>
                    <w:autoSpaceDE/>
                    <w:autoSpaceDN/>
                    <w:bidi w:val="0"/>
                    <w:ind w:firstLine="0" w:firstLineChars="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西彭组团和铜罐驿组团沿江1km范围内规划仓储用地禁止新引入从事危险化学品储存、运输的仓储物流项目。 </w:t>
                  </w:r>
                </w:p>
                <w:p w14:paraId="4E447BA7">
                  <w:pPr>
                    <w:keepNext w:val="0"/>
                    <w:keepLines w:val="0"/>
                    <w:pageBreakBefore w:val="0"/>
                    <w:numPr>
                      <w:ilvl w:val="0"/>
                      <w:numId w:val="3"/>
                    </w:numPr>
                    <w:kinsoku/>
                    <w:wordWrap/>
                    <w:overflowPunct/>
                    <w:topLinePunct w:val="0"/>
                    <w:autoSpaceDE/>
                    <w:autoSpaceDN/>
                    <w:bidi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禁止新建、扩建化工项目。 </w:t>
                  </w:r>
                </w:p>
                <w:p w14:paraId="42AE54BF">
                  <w:pPr>
                    <w:keepNext w:val="0"/>
                    <w:keepLines w:val="0"/>
                    <w:pageBreakBefore w:val="0"/>
                    <w:numPr>
                      <w:ilvl w:val="0"/>
                      <w:numId w:val="3"/>
                    </w:numPr>
                    <w:kinsoku/>
                    <w:wordWrap/>
                    <w:overflowPunct/>
                    <w:topLinePunct w:val="0"/>
                    <w:autoSpaceDE/>
                    <w:autoSpaceDN/>
                    <w:bidi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推进铜罐驿组团金竹沟闸坝的修建。 </w:t>
                  </w:r>
                </w:p>
                <w:p w14:paraId="02C42D67">
                  <w:pPr>
                    <w:keepNext w:val="0"/>
                    <w:keepLines w:val="0"/>
                    <w:pageBreakBefore w:val="0"/>
                    <w:numPr>
                      <w:ilvl w:val="0"/>
                      <w:numId w:val="3"/>
                    </w:numPr>
                    <w:kinsoku/>
                    <w:wordWrap/>
                    <w:overflowPunct/>
                    <w:topLinePunct w:val="0"/>
                    <w:autoSpaceDE/>
                    <w:autoSpaceDN/>
                    <w:bidi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西彭工业园区应与下游饮用水水源取水口运营单位建立水源地突发环境事件应急联动机制。 </w:t>
                  </w:r>
                </w:p>
                <w:p w14:paraId="51A1E54F">
                  <w:pPr>
                    <w:keepNext w:val="0"/>
                    <w:keepLines w:val="0"/>
                    <w:pageBreakBefore w:val="0"/>
                    <w:numPr>
                      <w:ilvl w:val="0"/>
                      <w:numId w:val="3"/>
                    </w:numPr>
                    <w:kinsoku/>
                    <w:wordWrap/>
                    <w:overflowPunct/>
                    <w:topLinePunct w:val="0"/>
                    <w:autoSpaceDE/>
                    <w:autoSpaceDN/>
                    <w:bidi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禁止新建、扩建排放废水含有五类重金属（铬、镉、汞、砷、铅）、剧毒物质和持久性有机污染物的工业项目。 </w:t>
                  </w:r>
                </w:p>
              </w:tc>
              <w:tc>
                <w:tcPr>
                  <w:tcW w:w="1198" w:type="pct"/>
                  <w:vAlign w:val="center"/>
                </w:tcPr>
                <w:p w14:paraId="5549A7A9">
                  <w:pPr>
                    <w:keepNext w:val="0"/>
                    <w:keepLines w:val="0"/>
                    <w:pageBreakBefore w:val="0"/>
                    <w:kinsoku/>
                    <w:wordWrap/>
                    <w:overflowPunct/>
                    <w:topLinePunct w:val="0"/>
                    <w:autoSpaceDE/>
                    <w:autoSpaceDN/>
                    <w:bidi w:val="0"/>
                    <w:ind w:firstLine="0" w:firstLineChars="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本项目位于重庆西彭工业园区西彭组团D标准分区，不涉及新建危化品</w:t>
                  </w:r>
                  <w:r>
                    <w:rPr>
                      <w:rFonts w:hint="default" w:ascii="Times New Roman" w:hAnsi="Times New Roman" w:cs="Times New Roman"/>
                      <w:color w:val="auto"/>
                      <w:szCs w:val="21"/>
                      <w:lang w:val="en-US" w:eastAsia="zh-CN"/>
                    </w:rPr>
                    <w:t>储存、运输的仓储物流项目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不属于化工项目，不属于</w:t>
                  </w:r>
                  <w:r>
                    <w:rPr>
                      <w:rFonts w:hint="default" w:ascii="Times New Roman" w:hAnsi="Times New Roman" w:cs="Times New Roman"/>
                      <w:color w:val="auto"/>
                      <w:szCs w:val="21"/>
                    </w:rPr>
                    <w:t>排放重金属、剧毒物质和持久性有机污染物的工业项目</w:t>
                  </w:r>
                  <w:r>
                    <w:rPr>
                      <w:rFonts w:hint="default" w:ascii="Times New Roman" w:hAnsi="Times New Roman" w:cs="Times New Roman"/>
                      <w:color w:val="auto"/>
                      <w:szCs w:val="21"/>
                      <w:lang w:eastAsia="zh-CN"/>
                    </w:rPr>
                    <w:t>。</w:t>
                  </w:r>
                </w:p>
              </w:tc>
              <w:tc>
                <w:tcPr>
                  <w:tcW w:w="345" w:type="pct"/>
                  <w:vAlign w:val="center"/>
                </w:tcPr>
                <w:p w14:paraId="74195262">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804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 w:type="pct"/>
                  <w:vMerge w:val="continue"/>
                  <w:vAlign w:val="center"/>
                </w:tcPr>
                <w:p w14:paraId="3D35E94C">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p>
              </w:tc>
              <w:tc>
                <w:tcPr>
                  <w:tcW w:w="348" w:type="pct"/>
                  <w:vAlign w:val="center"/>
                </w:tcPr>
                <w:p w14:paraId="1114529D">
                  <w:pPr>
                    <w:keepNext w:val="0"/>
                    <w:keepLines w:val="0"/>
                    <w:pageBreakBefore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资源开发效率要求</w:t>
                  </w:r>
                </w:p>
              </w:tc>
              <w:tc>
                <w:tcPr>
                  <w:tcW w:w="2671" w:type="pct"/>
                  <w:vAlign w:val="center"/>
                </w:tcPr>
                <w:p w14:paraId="349049DC">
                  <w:pPr>
                    <w:pStyle w:val="36"/>
                    <w:keepNext w:val="0"/>
                    <w:keepLines w:val="0"/>
                    <w:pageBreakBefore w:val="0"/>
                    <w:numPr>
                      <w:ilvl w:val="0"/>
                      <w:numId w:val="4"/>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禁止新建、扩建燃用煤、重油等高污染燃料的工业项目，重庆和友实业股份有限公司不再新增燃煤总量。 </w:t>
                  </w:r>
                </w:p>
                <w:p w14:paraId="5D657A47">
                  <w:pPr>
                    <w:pStyle w:val="36"/>
                    <w:keepNext w:val="0"/>
                    <w:keepLines w:val="0"/>
                    <w:pageBreakBefore w:val="0"/>
                    <w:numPr>
                      <w:ilvl w:val="0"/>
                      <w:numId w:val="4"/>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新建和改、扩建的工业项目清洁生产水平应达到国内先进水平。 </w:t>
                  </w:r>
                </w:p>
                <w:p w14:paraId="5A0E401E">
                  <w:pPr>
                    <w:pStyle w:val="36"/>
                    <w:keepNext w:val="0"/>
                    <w:keepLines w:val="0"/>
                    <w:pageBreakBefore w:val="0"/>
                    <w:numPr>
                      <w:ilvl w:val="0"/>
                      <w:numId w:val="4"/>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提高有色金属冶炼及压延加工业、化学原料及化学制品制造业和汽车制造业等工业企业的节能水平，降低区域的能耗强度。加强重点行业能效管理，升级工艺技术，提高用能设备能效水平。 </w:t>
                  </w:r>
                </w:p>
                <w:p w14:paraId="723A11E8">
                  <w:pPr>
                    <w:pStyle w:val="36"/>
                    <w:keepNext w:val="0"/>
                    <w:keepLines w:val="0"/>
                    <w:pageBreakBefore w:val="0"/>
                    <w:numPr>
                      <w:ilvl w:val="0"/>
                      <w:numId w:val="4"/>
                    </w:numPr>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加强工业节水改造，限制高耗水行业发展，加强重点监控用水单位监管。加强城镇节水，开展公共建筑节水改造、城镇供水管网漏损治理工程。 </w:t>
                  </w:r>
                </w:p>
              </w:tc>
              <w:tc>
                <w:tcPr>
                  <w:tcW w:w="1198" w:type="pct"/>
                  <w:vAlign w:val="center"/>
                </w:tcPr>
                <w:p w14:paraId="73651873">
                  <w:pPr>
                    <w:pStyle w:val="36"/>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项目不属于燃用高污染燃料的工业项目，项目清洁生产水平达国内先进水平，</w:t>
                  </w:r>
                  <w:r>
                    <w:rPr>
                      <w:rFonts w:hint="default" w:ascii="Times New Roman" w:hAnsi="Times New Roman" w:cs="Times New Roman"/>
                      <w:color w:val="auto"/>
                      <w:szCs w:val="21"/>
                    </w:rPr>
                    <w:t>本项目水资源消耗水平低，符合相关规定要求</w:t>
                  </w:r>
                </w:p>
              </w:tc>
              <w:tc>
                <w:tcPr>
                  <w:tcW w:w="345" w:type="pct"/>
                  <w:vAlign w:val="center"/>
                </w:tcPr>
                <w:p w14:paraId="29C91EFE">
                  <w:pPr>
                    <w:pStyle w:val="36"/>
                    <w:keepNext w:val="0"/>
                    <w:keepLines w:val="0"/>
                    <w:pageBreakBefore w:val="0"/>
                    <w:kinsoku/>
                    <w:wordWrap/>
                    <w:overflowPunct/>
                    <w:topLinePunct w:val="0"/>
                    <w:autoSpaceDE/>
                    <w:autoSpaceDN/>
                    <w:bidi w:val="0"/>
                    <w:ind w:firstLine="0" w:firstLineChars="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75719EDD">
            <w:pPr>
              <w:spacing w:line="360" w:lineRule="auto"/>
              <w:ind w:firstLine="480" w:firstLineChars="200"/>
              <w:jc w:val="left"/>
              <w:rPr>
                <w:sz w:val="24"/>
                <w:szCs w:val="36"/>
              </w:rPr>
            </w:pPr>
            <w:r>
              <w:rPr>
                <w:rFonts w:hint="default" w:ascii="Times New Roman" w:hAnsi="Times New Roman" w:cs="Times New Roman"/>
                <w:sz w:val="24"/>
              </w:rPr>
              <w:t>根据表1.</w:t>
            </w:r>
            <w:r>
              <w:rPr>
                <w:rFonts w:hint="eastAsia" w:ascii="Times New Roman" w:hAnsi="Times New Roman" w:cs="Times New Roman"/>
                <w:sz w:val="24"/>
                <w:lang w:val="en-US" w:eastAsia="zh-CN"/>
              </w:rPr>
              <w:t>2</w:t>
            </w:r>
            <w:r>
              <w:rPr>
                <w:rFonts w:hint="default" w:ascii="Times New Roman" w:hAnsi="Times New Roman" w:cs="Times New Roman"/>
                <w:sz w:val="24"/>
              </w:rPr>
              <w:t>-1分析可知，本项目符合“三线一单”的管控要求。</w:t>
            </w:r>
          </w:p>
        </w:tc>
      </w:tr>
    </w:tbl>
    <w:p w14:paraId="4C2F36D6">
      <w:pPr>
        <w:pStyle w:val="27"/>
        <w:rPr>
          <w:rFonts w:hint="eastAsia"/>
          <w:lang w:val="en-US" w:eastAsia="zh-CN"/>
        </w:rPr>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14:paraId="7F0C7766">
      <w:pPr>
        <w:pStyle w:val="6"/>
        <w:rPr>
          <w:rFonts w:hint="eastAsia"/>
          <w:lang w:val="en-US" w:eastAsia="zh-CN"/>
        </w:rPr>
      </w:pPr>
    </w:p>
    <w:tbl>
      <w:tblPr>
        <w:tblStyle w:val="23"/>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80"/>
        <w:gridCol w:w="8186"/>
      </w:tblGrid>
      <w:tr w14:paraId="3578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0DDD3E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其他符合性分析</w:t>
            </w:r>
          </w:p>
        </w:tc>
        <w:tc>
          <w:tcPr>
            <w:tcW w:w="4417" w:type="pct"/>
            <w:tcBorders>
              <w:bottom w:val="single" w:color="auto" w:sz="4" w:space="0"/>
            </w:tcBorders>
            <w:vAlign w:val="center"/>
          </w:tcPr>
          <w:p w14:paraId="1F727F0E">
            <w:pPr>
              <w:keepNext w:val="0"/>
              <w:keepLines w:val="0"/>
              <w:pageBreakBefore w:val="0"/>
              <w:widowControl w:val="0"/>
              <w:kinsoku/>
              <w:wordWrap/>
              <w:overflowPunct/>
              <w:topLinePunct w:val="0"/>
              <w:autoSpaceDE/>
              <w:autoSpaceDN/>
              <w:bidi w:val="0"/>
              <w:adjustRightInd/>
              <w:snapToGrid/>
              <w:spacing w:before="26" w:beforeLines="8" w:after="26" w:afterLines="8" w:line="360" w:lineRule="auto"/>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1.2.2、产业政策符合性分析</w:t>
            </w:r>
          </w:p>
          <w:p w14:paraId="229D74B9">
            <w:pPr>
              <w:keepNext w:val="0"/>
              <w:keepLines w:val="0"/>
              <w:pageBreakBefore w:val="0"/>
              <w:widowControl w:val="0"/>
              <w:kinsoku/>
              <w:wordWrap/>
              <w:overflowPunct/>
              <w:topLinePunct w:val="0"/>
              <w:autoSpaceDE/>
              <w:autoSpaceDN/>
              <w:bidi w:val="0"/>
              <w:adjustRightInd/>
              <w:snapToGrid/>
              <w:spacing w:before="26" w:beforeLines="8" w:after="26" w:afterLines="8" w:line="360" w:lineRule="auto"/>
              <w:ind w:firstLine="482" w:firstLineChars="20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1）与《产业结构调整指导目录（2024年本）》符合性</w:t>
            </w:r>
          </w:p>
          <w:p w14:paraId="00206365">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b w:val="0"/>
                <w:bCs w:val="0"/>
                <w:color w:val="auto"/>
                <w:sz w:val="24"/>
                <w:szCs w:val="24"/>
                <w:highlight w:val="none"/>
                <w:vertAlign w:val="baseline"/>
                <w:lang w:val="en-US" w:eastAsia="zh-CN"/>
              </w:rPr>
            </w:pPr>
            <w:r>
              <w:rPr>
                <w:rFonts w:hint="eastAsia" w:ascii="Times New Roman" w:hAnsi="Times New Roman" w:eastAsia="宋体"/>
                <w:b w:val="0"/>
                <w:bCs w:val="0"/>
                <w:color w:val="auto"/>
                <w:sz w:val="24"/>
                <w:szCs w:val="24"/>
                <w:highlight w:val="none"/>
                <w:vertAlign w:val="baseline"/>
                <w:lang w:val="en-US" w:eastAsia="zh-CN"/>
              </w:rPr>
              <w:t>本项目主要从事汽车冲焊零部件表面抛丸、喷粉、固化加工，不属于《产业结构调整指导目录（2024年本）》中的鼓励类、限制类和淘汰类建设项目，根据《促进产业结构调整暂行规定》，不属于鼓励类、限制类和淘汰类，且符合国家有关法律、法规和政策规定的，视为允许类。因此，本项目的建设符合国家产业政策。</w:t>
            </w:r>
          </w:p>
          <w:p w14:paraId="34932229">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b w:val="0"/>
                <w:bCs w:val="0"/>
                <w:color w:val="auto"/>
                <w:sz w:val="24"/>
                <w:szCs w:val="24"/>
                <w:highlight w:val="yellow"/>
                <w:vertAlign w:val="baseline"/>
                <w:lang w:val="en-US" w:eastAsia="zh-CN"/>
              </w:rPr>
            </w:pPr>
            <w:r>
              <w:rPr>
                <w:rFonts w:hint="eastAsia" w:ascii="Times New Roman" w:hAnsi="Times New Roman" w:eastAsia="宋体"/>
                <w:b w:val="0"/>
                <w:bCs w:val="0"/>
                <w:color w:val="auto"/>
                <w:sz w:val="24"/>
                <w:szCs w:val="24"/>
                <w:highlight w:val="none"/>
                <w:vertAlign w:val="baseline"/>
                <w:lang w:val="en-US" w:eastAsia="zh-CN"/>
              </w:rPr>
              <w:t>本项目已取得九龙坡区发展和改革委员会下发的“重庆市企业投资项目备案证”（项目编码</w:t>
            </w:r>
            <w:r>
              <w:rPr>
                <w:rFonts w:hint="eastAsia" w:ascii="Times New Roman" w:hAnsi="Times New Roman" w:eastAsia="宋体"/>
                <w:b w:val="0"/>
                <w:bCs w:val="0"/>
                <w:color w:val="auto"/>
                <w:sz w:val="24"/>
                <w:szCs w:val="24"/>
                <w:highlight w:val="none"/>
                <w:u w:val="none"/>
                <w:vertAlign w:val="baseline"/>
                <w:lang w:val="en-US" w:eastAsia="zh-CN"/>
              </w:rPr>
              <w:t>：</w:t>
            </w:r>
            <w:r>
              <w:rPr>
                <w:rFonts w:hint="default" w:ascii="Times New Roman" w:hAnsi="Times New Roman" w:cs="Times New Roman"/>
                <w:sz w:val="24"/>
                <w:szCs w:val="36"/>
                <w:highlight w:val="none"/>
                <w:u w:val="single"/>
                <w:lang w:eastAsia="zh-CN"/>
              </w:rPr>
              <w:t>2411-500107-04-05-663054</w:t>
            </w:r>
            <w:r>
              <w:rPr>
                <w:rFonts w:hint="eastAsia" w:ascii="Times New Roman" w:hAnsi="Times New Roman" w:eastAsia="宋体"/>
                <w:b w:val="0"/>
                <w:bCs w:val="0"/>
                <w:color w:val="auto"/>
                <w:sz w:val="24"/>
                <w:szCs w:val="24"/>
                <w:highlight w:val="none"/>
                <w:vertAlign w:val="baseline"/>
                <w:lang w:val="en-US" w:eastAsia="zh-CN"/>
              </w:rPr>
              <w:t>）。</w:t>
            </w:r>
          </w:p>
          <w:p w14:paraId="1FC840EC">
            <w:pPr>
              <w:keepNext w:val="0"/>
              <w:keepLines w:val="0"/>
              <w:pageBreakBefore w:val="0"/>
              <w:widowControl w:val="0"/>
              <w:kinsoku/>
              <w:wordWrap/>
              <w:overflowPunct/>
              <w:topLinePunct w:val="0"/>
              <w:autoSpaceDE/>
              <w:autoSpaceDN/>
              <w:bidi w:val="0"/>
              <w:adjustRightInd/>
              <w:snapToGrid/>
              <w:spacing w:before="26" w:beforeLines="8" w:after="26" w:afterLines="8" w:line="360" w:lineRule="auto"/>
              <w:jc w:val="both"/>
              <w:textAlignment w:val="auto"/>
              <w:rPr>
                <w:rFonts w:hint="default"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1.2.3与相关生态环境保护法律法规政策、生态环境保护规划等的符合性分析</w:t>
            </w:r>
          </w:p>
          <w:p w14:paraId="2E1EC22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rPr>
            </w:pPr>
            <w:r>
              <w:rPr>
                <w:rFonts w:hint="default" w:ascii="Times New Roman" w:hAnsi="Times New Roman" w:cs="Times New Roman"/>
                <w:b/>
                <w:sz w:val="24"/>
                <w:lang w:val="en-US" w:eastAsia="zh-CN"/>
              </w:rPr>
              <w:t>1）</w:t>
            </w:r>
            <w:r>
              <w:rPr>
                <w:rFonts w:hint="default" w:ascii="Times New Roman" w:hAnsi="Times New Roman" w:cs="Times New Roman"/>
                <w:b/>
                <w:sz w:val="24"/>
              </w:rPr>
              <w:t>与《重庆市产业投资准入工作手册》（渝发改投资[2022]1436号）符合性分析</w:t>
            </w:r>
          </w:p>
          <w:p w14:paraId="6735EA2B">
            <w:pPr>
              <w:pStyle w:val="37"/>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表1.</w:t>
            </w:r>
            <w:r>
              <w:rPr>
                <w:rFonts w:hint="eastAsia" w:ascii="Times New Roman" w:hAnsi="Times New Roman" w:cs="Times New Roman"/>
                <w:b/>
                <w:szCs w:val="21"/>
                <w:lang w:val="en-US" w:eastAsia="zh-CN"/>
              </w:rPr>
              <w:t>2</w:t>
            </w:r>
            <w:r>
              <w:rPr>
                <w:rFonts w:hint="default" w:ascii="Times New Roman" w:hAnsi="Times New Roman" w:cs="Times New Roman"/>
                <w:b/>
                <w:szCs w:val="21"/>
              </w:rPr>
              <w:t>-2  与重庆市产业投资准入工作手册符合性分析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668"/>
              <w:gridCol w:w="2893"/>
              <w:gridCol w:w="803"/>
            </w:tblGrid>
            <w:tr w14:paraId="2299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420E314">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275" w:type="pct"/>
                  <w:vAlign w:val="center"/>
                </w:tcPr>
                <w:p w14:paraId="6086D46A">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36"/>
                    </w:rPr>
                    <w:t>渝发改投资[2022]1436号中</w:t>
                  </w:r>
                  <w:r>
                    <w:rPr>
                      <w:rFonts w:hint="default" w:ascii="Times New Roman" w:hAnsi="Times New Roman" w:cs="Times New Roman"/>
                      <w:sz w:val="21"/>
                    </w:rPr>
                    <w:t>相关规定</w:t>
                  </w:r>
                </w:p>
              </w:tc>
              <w:tc>
                <w:tcPr>
                  <w:tcW w:w="1794" w:type="pct"/>
                  <w:vAlign w:val="center"/>
                </w:tcPr>
                <w:p w14:paraId="7F6B0D79">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rPr>
                    <w:t>项目情况</w:t>
                  </w:r>
                </w:p>
              </w:tc>
              <w:tc>
                <w:tcPr>
                  <w:tcW w:w="498" w:type="pct"/>
                  <w:vAlign w:val="center"/>
                </w:tcPr>
                <w:p w14:paraId="600DDE9F">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rPr>
                    <w:t>符合性</w:t>
                  </w:r>
                </w:p>
              </w:tc>
            </w:tr>
            <w:tr w14:paraId="34F6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71FEE4F">
                  <w:pPr>
                    <w:pStyle w:val="37"/>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rPr>
                    <w:t>（</w:t>
                  </w:r>
                  <w:r>
                    <w:rPr>
                      <w:rFonts w:hint="default" w:ascii="Times New Roman" w:hAnsi="Times New Roman" w:cs="Times New Roman"/>
                      <w:b/>
                      <w:sz w:val="21"/>
                      <w:szCs w:val="21"/>
                    </w:rPr>
                    <w:t>一</w:t>
                  </w:r>
                  <w:r>
                    <w:rPr>
                      <w:rFonts w:hint="default" w:ascii="Times New Roman" w:hAnsi="Times New Roman" w:cs="Times New Roman"/>
                      <w:b/>
                      <w:sz w:val="21"/>
                    </w:rPr>
                    <w:t>）全市范围内不予准入的产业</w:t>
                  </w:r>
                </w:p>
              </w:tc>
            </w:tr>
            <w:tr w14:paraId="33DD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904529E">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75" w:type="pct"/>
                  <w:vAlign w:val="center"/>
                </w:tcPr>
                <w:p w14:paraId="59644E68">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国家产业结构调整指导目录中的淘汰类项目</w:t>
                  </w:r>
                </w:p>
              </w:tc>
              <w:tc>
                <w:tcPr>
                  <w:tcW w:w="1794" w:type="pct"/>
                  <w:vAlign w:val="center"/>
                </w:tcPr>
                <w:p w14:paraId="039B8A5E">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rPr>
                    <w:t>不属于淘汰类项目</w:t>
                  </w:r>
                </w:p>
              </w:tc>
              <w:tc>
                <w:tcPr>
                  <w:tcW w:w="498" w:type="pct"/>
                  <w:vAlign w:val="center"/>
                </w:tcPr>
                <w:p w14:paraId="4B264BCC">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435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9F7A45D">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75" w:type="pct"/>
                  <w:vAlign w:val="center"/>
                </w:tcPr>
                <w:p w14:paraId="3521E9C9">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天然林商业性采伐</w:t>
                  </w:r>
                </w:p>
              </w:tc>
              <w:tc>
                <w:tcPr>
                  <w:tcW w:w="1794" w:type="pct"/>
                  <w:vAlign w:val="center"/>
                </w:tcPr>
                <w:p w14:paraId="4DB6A44C">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本项目不涉及</w:t>
                  </w:r>
                  <w:r>
                    <w:rPr>
                      <w:rFonts w:hint="default" w:ascii="Times New Roman" w:hAnsi="Times New Roman" w:cs="Times New Roman"/>
                      <w:sz w:val="21"/>
                    </w:rPr>
                    <w:t>天然林采伐</w:t>
                  </w:r>
                </w:p>
              </w:tc>
              <w:tc>
                <w:tcPr>
                  <w:tcW w:w="498" w:type="pct"/>
                  <w:vAlign w:val="center"/>
                </w:tcPr>
                <w:p w14:paraId="2BA59500">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5DE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5829C82">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275" w:type="pct"/>
                  <w:vAlign w:val="center"/>
                </w:tcPr>
                <w:p w14:paraId="3E81B2F5">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法律法规和相关政策明令不予准入的其他项目</w:t>
                  </w:r>
                </w:p>
              </w:tc>
              <w:tc>
                <w:tcPr>
                  <w:tcW w:w="1794" w:type="pct"/>
                  <w:vAlign w:val="center"/>
                </w:tcPr>
                <w:p w14:paraId="0B70C64E">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本项目不属于</w:t>
                  </w:r>
                  <w:r>
                    <w:rPr>
                      <w:rFonts w:hint="default" w:ascii="Times New Roman" w:hAnsi="Times New Roman" w:cs="Times New Roman"/>
                      <w:sz w:val="21"/>
                    </w:rPr>
                    <w:t>法律法规和相关政策明令不予准入的项目</w:t>
                  </w:r>
                </w:p>
              </w:tc>
              <w:tc>
                <w:tcPr>
                  <w:tcW w:w="498" w:type="pct"/>
                  <w:vAlign w:val="center"/>
                </w:tcPr>
                <w:p w14:paraId="1C722DA3">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48EB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4CB084C">
                  <w:pPr>
                    <w:pStyle w:val="37"/>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rPr>
                    <w:t>（</w:t>
                  </w:r>
                  <w:r>
                    <w:rPr>
                      <w:rFonts w:hint="default" w:ascii="Times New Roman" w:hAnsi="Times New Roman" w:cs="Times New Roman"/>
                      <w:b/>
                      <w:sz w:val="21"/>
                      <w:szCs w:val="21"/>
                    </w:rPr>
                    <w:t>二</w:t>
                  </w:r>
                  <w:r>
                    <w:rPr>
                      <w:rFonts w:hint="default" w:ascii="Times New Roman" w:hAnsi="Times New Roman" w:cs="Times New Roman"/>
                      <w:b/>
                      <w:sz w:val="21"/>
                    </w:rPr>
                    <w:t>）重点区域不予准入的产业</w:t>
                  </w:r>
                </w:p>
              </w:tc>
            </w:tr>
            <w:tr w14:paraId="42E4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421947F">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75" w:type="pct"/>
                  <w:vAlign w:val="center"/>
                </w:tcPr>
                <w:p w14:paraId="798EEE9C">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外环绕城高速公路以内长江、嘉陵江水域采砂</w:t>
                  </w:r>
                </w:p>
              </w:tc>
              <w:tc>
                <w:tcPr>
                  <w:tcW w:w="1794" w:type="pct"/>
                  <w:vAlign w:val="center"/>
                </w:tcPr>
                <w:p w14:paraId="62C01F9D">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本项目位于重庆西彭工业园区西彭组团D标准分区，不属于</w:t>
                  </w:r>
                  <w:r>
                    <w:rPr>
                      <w:rFonts w:hint="default" w:ascii="Times New Roman" w:hAnsi="Times New Roman" w:cs="Times New Roman"/>
                      <w:sz w:val="21"/>
                      <w:szCs w:val="20"/>
                      <w:shd w:val="clear" w:color="auto" w:fill="FFFFFF"/>
                    </w:rPr>
                    <w:t>采砂项目</w:t>
                  </w:r>
                </w:p>
              </w:tc>
              <w:tc>
                <w:tcPr>
                  <w:tcW w:w="498" w:type="pct"/>
                  <w:vAlign w:val="center"/>
                </w:tcPr>
                <w:p w14:paraId="7E6BFEF8">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608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82487CB">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75" w:type="pct"/>
                  <w:vAlign w:val="center"/>
                </w:tcPr>
                <w:p w14:paraId="30C560DC">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二十五度以上陡坡地开垦种植农作物</w:t>
                  </w:r>
                </w:p>
              </w:tc>
              <w:tc>
                <w:tcPr>
                  <w:tcW w:w="1794" w:type="pct"/>
                  <w:vAlign w:val="center"/>
                </w:tcPr>
                <w:p w14:paraId="39F23586">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不属于</w:t>
                  </w:r>
                  <w:r>
                    <w:rPr>
                      <w:rFonts w:hint="default" w:ascii="Times New Roman" w:hAnsi="Times New Roman" w:cs="Times New Roman"/>
                      <w:sz w:val="21"/>
                      <w:szCs w:val="20"/>
                      <w:shd w:val="clear" w:color="auto" w:fill="FFFFFF"/>
                    </w:rPr>
                    <w:t>开垦种植农作物</w:t>
                  </w:r>
                </w:p>
              </w:tc>
              <w:tc>
                <w:tcPr>
                  <w:tcW w:w="498" w:type="pct"/>
                  <w:vAlign w:val="center"/>
                </w:tcPr>
                <w:p w14:paraId="2E20365C">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3D17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D236333">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275" w:type="pct"/>
                  <w:vAlign w:val="center"/>
                </w:tcPr>
                <w:p w14:paraId="2CB3BE8F">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在自然保护区核心区、缓冲区的岸线和河段范围内投资建设旅游和生产经营项目</w:t>
                  </w:r>
                </w:p>
              </w:tc>
              <w:tc>
                <w:tcPr>
                  <w:tcW w:w="1794" w:type="pct"/>
                  <w:vAlign w:val="center"/>
                </w:tcPr>
                <w:p w14:paraId="30C61809">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本项目位于重庆西彭工业园区西彭组团D标准分区，不在该范围内，且不属于</w:t>
                  </w:r>
                  <w:r>
                    <w:rPr>
                      <w:rFonts w:hint="default" w:ascii="Times New Roman" w:hAnsi="Times New Roman" w:cs="Times New Roman"/>
                      <w:sz w:val="21"/>
                      <w:szCs w:val="20"/>
                      <w:shd w:val="clear" w:color="auto" w:fill="FFFFFF"/>
                    </w:rPr>
                    <w:t>旅游和生产经营项目</w:t>
                  </w:r>
                </w:p>
              </w:tc>
              <w:tc>
                <w:tcPr>
                  <w:tcW w:w="498" w:type="pct"/>
                  <w:vAlign w:val="center"/>
                </w:tcPr>
                <w:p w14:paraId="705DCB2B">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142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6E741FE">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275" w:type="pct"/>
                  <w:vAlign w:val="center"/>
                </w:tcPr>
                <w:p w14:paraId="6792E63C">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794" w:type="pct"/>
                  <w:vAlign w:val="center"/>
                </w:tcPr>
                <w:p w14:paraId="753450C5">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本项目位于重庆西彭工业园区西彭组团D标准分区，不涉及</w:t>
                  </w:r>
                  <w:r>
                    <w:rPr>
                      <w:rFonts w:hint="default" w:ascii="Times New Roman" w:hAnsi="Times New Roman" w:cs="Times New Roman"/>
                      <w:sz w:val="21"/>
                      <w:szCs w:val="20"/>
                      <w:shd w:val="clear" w:color="auto" w:fill="FFFFFF"/>
                    </w:rPr>
                    <w:t>饮用水水源保护区</w:t>
                  </w:r>
                </w:p>
              </w:tc>
              <w:tc>
                <w:tcPr>
                  <w:tcW w:w="498" w:type="pct"/>
                  <w:vAlign w:val="center"/>
                </w:tcPr>
                <w:p w14:paraId="5FC63261">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5845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1C14A0C">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275" w:type="pct"/>
                  <w:vAlign w:val="center"/>
                </w:tcPr>
                <w:p w14:paraId="79044DD0">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长江干流岸线3公里范围内和重要支流岸线1公里范围内新建、改建、扩建尾矿库、冶炼渣库和磷石膏库（以提升安全、生态环境保护水平为目的的改建除外）</w:t>
                  </w:r>
                </w:p>
              </w:tc>
              <w:tc>
                <w:tcPr>
                  <w:tcW w:w="1794" w:type="pct"/>
                  <w:vAlign w:val="center"/>
                </w:tcPr>
                <w:p w14:paraId="1AAF542D">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本项目位于重庆西彭工业园区西彭组团D标准分区，不属于</w:t>
                  </w:r>
                  <w:r>
                    <w:rPr>
                      <w:rFonts w:hint="default" w:ascii="Times New Roman" w:hAnsi="Times New Roman" w:cs="Times New Roman"/>
                      <w:sz w:val="21"/>
                      <w:szCs w:val="20"/>
                      <w:shd w:val="clear" w:color="auto" w:fill="FFFFFF"/>
                    </w:rPr>
                    <w:t>尾矿库、冶炼渣库和磷石膏库</w:t>
                  </w:r>
                </w:p>
              </w:tc>
              <w:tc>
                <w:tcPr>
                  <w:tcW w:w="498" w:type="pct"/>
                  <w:vAlign w:val="center"/>
                </w:tcPr>
                <w:p w14:paraId="38DA60BF">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BCD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EBED456">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275" w:type="pct"/>
                  <w:vAlign w:val="center"/>
                </w:tcPr>
                <w:p w14:paraId="60EE5F44">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在风景名胜区核心景区的岸线和河段范围内投资建设与风景名胜资源保护无关的项目</w:t>
                  </w:r>
                </w:p>
              </w:tc>
              <w:tc>
                <w:tcPr>
                  <w:tcW w:w="1794" w:type="pct"/>
                  <w:vAlign w:val="center"/>
                </w:tcPr>
                <w:p w14:paraId="0B896614">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本项目位于重庆西彭工业园区西彭组团D标准分区，不涉及</w:t>
                  </w:r>
                  <w:r>
                    <w:rPr>
                      <w:rFonts w:hint="default" w:ascii="Times New Roman" w:hAnsi="Times New Roman" w:cs="Times New Roman"/>
                      <w:sz w:val="21"/>
                      <w:szCs w:val="20"/>
                      <w:shd w:val="clear" w:color="auto" w:fill="FFFFFF"/>
                    </w:rPr>
                    <w:t>风景名胜区</w:t>
                  </w:r>
                </w:p>
              </w:tc>
              <w:tc>
                <w:tcPr>
                  <w:tcW w:w="498" w:type="pct"/>
                  <w:vAlign w:val="center"/>
                </w:tcPr>
                <w:p w14:paraId="6500BDD0">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6DF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291D70D">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275" w:type="pct"/>
                  <w:vAlign w:val="center"/>
                </w:tcPr>
                <w:p w14:paraId="584701E6">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在国家湿地公园的岸线和河段范围内挖沙、采矿，以及任何不符合主体功能定位的投资建设项目</w:t>
                  </w:r>
                </w:p>
              </w:tc>
              <w:tc>
                <w:tcPr>
                  <w:tcW w:w="1794" w:type="pct"/>
                  <w:vAlign w:val="center"/>
                </w:tcPr>
                <w:p w14:paraId="5E8AC0B6">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本项目位于重庆西彭工业园区西彭组团D标准分区，不涉及国家湿地公园的岸线和河段范围</w:t>
                  </w:r>
                </w:p>
              </w:tc>
              <w:tc>
                <w:tcPr>
                  <w:tcW w:w="498" w:type="pct"/>
                  <w:vAlign w:val="center"/>
                </w:tcPr>
                <w:p w14:paraId="76658D26">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5B33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576AF0F">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275" w:type="pct"/>
                  <w:vAlign w:val="center"/>
                </w:tcPr>
                <w:p w14:paraId="6FFFB089">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在《长江岸线保护和开发利用总体规划》划定的岸线保护区和保留区内投资建设除事关公共安全及公众利益的防洪护岸、河道治理、供水、生态环境保护、航道整治、国家重要基础设施以外的项目</w:t>
                  </w:r>
                </w:p>
              </w:tc>
              <w:tc>
                <w:tcPr>
                  <w:tcW w:w="1794" w:type="pct"/>
                  <w:vAlign w:val="center"/>
                </w:tcPr>
                <w:p w14:paraId="6B264515">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本项目位于重庆西彭工业园区西彭组团D标准分区，不涉及</w:t>
                  </w:r>
                  <w:r>
                    <w:rPr>
                      <w:rFonts w:hint="default" w:ascii="Times New Roman" w:hAnsi="Times New Roman" w:cs="Times New Roman"/>
                      <w:sz w:val="21"/>
                      <w:szCs w:val="20"/>
                      <w:shd w:val="clear" w:color="auto" w:fill="FFFFFF"/>
                    </w:rPr>
                    <w:t>长江岸线保护区和保留区</w:t>
                  </w:r>
                </w:p>
              </w:tc>
              <w:tc>
                <w:tcPr>
                  <w:tcW w:w="498" w:type="pct"/>
                  <w:vAlign w:val="center"/>
                </w:tcPr>
                <w:p w14:paraId="1503365E">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CF8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73DC00A">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275" w:type="pct"/>
                  <w:vAlign w:val="center"/>
                </w:tcPr>
                <w:p w14:paraId="00A6C991">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0"/>
                      <w:shd w:val="clear" w:color="auto" w:fill="FFFFFF"/>
                    </w:rPr>
                    <w:t>在《全国重要江河湖泊水功能区划》划定的河段及湖泊保护区、保留区内投资建设不利于水资源及自然生态保护的项目</w:t>
                  </w:r>
                </w:p>
              </w:tc>
              <w:tc>
                <w:tcPr>
                  <w:tcW w:w="1794" w:type="pct"/>
                  <w:vAlign w:val="center"/>
                </w:tcPr>
                <w:p w14:paraId="0D0B0B1C">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本项目位于重庆西彭工业园区西彭组团D标准分区，不涉及</w:t>
                  </w:r>
                  <w:r>
                    <w:rPr>
                      <w:rFonts w:hint="default" w:ascii="Times New Roman" w:hAnsi="Times New Roman" w:cs="Times New Roman"/>
                      <w:sz w:val="21"/>
                      <w:szCs w:val="20"/>
                      <w:shd w:val="clear" w:color="auto" w:fill="FFFFFF"/>
                    </w:rPr>
                    <w:t>《全国重要江河湖泊水功能区划》划定的河段及湖泊保护区、保留区</w:t>
                  </w:r>
                </w:p>
              </w:tc>
              <w:tc>
                <w:tcPr>
                  <w:tcW w:w="498" w:type="pct"/>
                  <w:vAlign w:val="center"/>
                </w:tcPr>
                <w:p w14:paraId="22DC2403">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0A15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33A40C9B">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sz w:val="21"/>
                    </w:rPr>
                    <w:t>（</w:t>
                  </w:r>
                  <w:r>
                    <w:rPr>
                      <w:rFonts w:hint="default" w:ascii="Times New Roman" w:hAnsi="Times New Roman" w:cs="Times New Roman"/>
                      <w:b/>
                      <w:sz w:val="21"/>
                      <w:szCs w:val="21"/>
                    </w:rPr>
                    <w:t>三</w:t>
                  </w:r>
                  <w:r>
                    <w:rPr>
                      <w:rFonts w:hint="default" w:ascii="Times New Roman" w:hAnsi="Times New Roman" w:cs="Times New Roman"/>
                      <w:b/>
                      <w:sz w:val="21"/>
                    </w:rPr>
                    <w:t>）全市范围内限制准入的产业</w:t>
                  </w:r>
                </w:p>
              </w:tc>
            </w:tr>
            <w:tr w14:paraId="5995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9FE2771">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75" w:type="pct"/>
                  <w:vAlign w:val="center"/>
                </w:tcPr>
                <w:p w14:paraId="7F53CE77">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新建、扩建不符合国家产能置换要求的严重过剩产能行业的项目。新建、扩建不符合要求的高耗能高排放项目</w:t>
                  </w:r>
                </w:p>
              </w:tc>
              <w:tc>
                <w:tcPr>
                  <w:tcW w:w="1794" w:type="pct"/>
                  <w:vAlign w:val="center"/>
                </w:tcPr>
                <w:p w14:paraId="3C4E7133">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本项目为生物质颗粒燃料加工项目，不属于严重</w:t>
                  </w:r>
                  <w:r>
                    <w:rPr>
                      <w:rFonts w:hint="default" w:ascii="Times New Roman" w:hAnsi="Times New Roman" w:cs="Times New Roman"/>
                      <w:sz w:val="21"/>
                    </w:rPr>
                    <w:t>过剩产能行业和高耗能高排放项目</w:t>
                  </w:r>
                </w:p>
              </w:tc>
              <w:tc>
                <w:tcPr>
                  <w:tcW w:w="498" w:type="pct"/>
                  <w:vAlign w:val="center"/>
                </w:tcPr>
                <w:p w14:paraId="10434E6D">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6002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9E642CE">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75" w:type="pct"/>
                  <w:vAlign w:val="center"/>
                </w:tcPr>
                <w:p w14:paraId="14158749">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新建、扩建不符合国家石化、现代煤化工等产业布局规划的项目</w:t>
                  </w:r>
                </w:p>
              </w:tc>
              <w:tc>
                <w:tcPr>
                  <w:tcW w:w="1794" w:type="pct"/>
                  <w:vAlign w:val="center"/>
                </w:tcPr>
                <w:p w14:paraId="1D15E720">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本项目不属于</w:t>
                  </w:r>
                  <w:r>
                    <w:rPr>
                      <w:rFonts w:hint="default" w:ascii="Times New Roman" w:hAnsi="Times New Roman" w:cs="Times New Roman"/>
                      <w:sz w:val="21"/>
                    </w:rPr>
                    <w:t>国家石化、现代煤化工等项目</w:t>
                  </w:r>
                </w:p>
              </w:tc>
              <w:tc>
                <w:tcPr>
                  <w:tcW w:w="498" w:type="pct"/>
                  <w:vAlign w:val="center"/>
                </w:tcPr>
                <w:p w14:paraId="219AB41F">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1DA3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4A58C48B">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275" w:type="pct"/>
                  <w:vAlign w:val="center"/>
                </w:tcPr>
                <w:p w14:paraId="7C453B20">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在合规园区外新建、扩建钢铁、石化、化工、焦化、建材、有色、制浆造纸等高污染项目</w:t>
                  </w:r>
                </w:p>
              </w:tc>
              <w:tc>
                <w:tcPr>
                  <w:tcW w:w="1794" w:type="pct"/>
                  <w:vAlign w:val="center"/>
                </w:tcPr>
                <w:p w14:paraId="6F3FDEF6">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本项目位于重庆西彭工业园区西彭组团D标准分区，不属于</w:t>
                  </w:r>
                  <w:r>
                    <w:rPr>
                      <w:rFonts w:hint="default" w:ascii="Times New Roman" w:hAnsi="Times New Roman" w:cs="Times New Roman"/>
                      <w:sz w:val="21"/>
                    </w:rPr>
                    <w:t>钢铁、石化、化工、焦化、建材、有色、制浆造纸等高污染项目</w:t>
                  </w:r>
                </w:p>
              </w:tc>
              <w:tc>
                <w:tcPr>
                  <w:tcW w:w="498" w:type="pct"/>
                  <w:vAlign w:val="center"/>
                </w:tcPr>
                <w:p w14:paraId="36655C99">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8A0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582C037">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275" w:type="pct"/>
                  <w:vAlign w:val="center"/>
                </w:tcPr>
                <w:p w14:paraId="6C6B6C79">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《汽车产业投资管理规定》（国家发展和改革委员会令第22号）明确禁止建设的汽车投资项目</w:t>
                  </w:r>
                </w:p>
              </w:tc>
              <w:tc>
                <w:tcPr>
                  <w:tcW w:w="1794" w:type="pct"/>
                  <w:vAlign w:val="center"/>
                </w:tcPr>
                <w:p w14:paraId="099DFD77">
                  <w:pPr>
                    <w:pStyle w:val="37"/>
                    <w:spacing w:line="240" w:lineRule="auto"/>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不本项目属于</w:t>
                  </w:r>
                  <w:r>
                    <w:rPr>
                      <w:rFonts w:hint="default" w:ascii="Times New Roman" w:hAnsi="Times New Roman" w:cs="Times New Roman"/>
                      <w:sz w:val="21"/>
                    </w:rPr>
                    <w:t>汽车投资项目</w:t>
                  </w:r>
                </w:p>
              </w:tc>
              <w:tc>
                <w:tcPr>
                  <w:tcW w:w="498" w:type="pct"/>
                  <w:vAlign w:val="center"/>
                </w:tcPr>
                <w:p w14:paraId="5416469C">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EFA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7892689">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sz w:val="21"/>
                    </w:rPr>
                    <w:t>（</w:t>
                  </w:r>
                  <w:r>
                    <w:rPr>
                      <w:rFonts w:hint="default" w:ascii="Times New Roman" w:hAnsi="Times New Roman" w:cs="Times New Roman"/>
                      <w:b/>
                      <w:sz w:val="21"/>
                      <w:szCs w:val="21"/>
                    </w:rPr>
                    <w:t>四</w:t>
                  </w:r>
                  <w:r>
                    <w:rPr>
                      <w:rFonts w:hint="default" w:ascii="Times New Roman" w:hAnsi="Times New Roman" w:cs="Times New Roman"/>
                      <w:b/>
                      <w:sz w:val="21"/>
                    </w:rPr>
                    <w:t>）重点区域范围内限制准入的产业</w:t>
                  </w:r>
                </w:p>
              </w:tc>
            </w:tr>
            <w:tr w14:paraId="16FC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C82BE45">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75" w:type="pct"/>
                  <w:vAlign w:val="center"/>
                </w:tcPr>
                <w:p w14:paraId="59ED57C1">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长江干支流、重要湖泊岸线1公里范围内新建、扩建化工园区和化工项目，长江、嘉陵江、乌江岸线1公里范围内布局新建纸浆制造、印染等存在环境风险的项目</w:t>
                  </w:r>
                </w:p>
              </w:tc>
              <w:tc>
                <w:tcPr>
                  <w:tcW w:w="1794" w:type="pct"/>
                  <w:vAlign w:val="center"/>
                </w:tcPr>
                <w:p w14:paraId="68B455F1">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本项目位于重庆西彭工业园区西彭组团D标准分区，不属于化工、纸浆制造、印染等项目</w:t>
                  </w:r>
                </w:p>
              </w:tc>
              <w:tc>
                <w:tcPr>
                  <w:tcW w:w="498" w:type="pct"/>
                  <w:vAlign w:val="center"/>
                </w:tcPr>
                <w:p w14:paraId="63AA1B37">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006C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A90C48D">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75" w:type="pct"/>
                  <w:vAlign w:val="center"/>
                </w:tcPr>
                <w:p w14:paraId="3EA4C457">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rPr>
                    <w:t>在水产种质资源保护区的岸线和河段范围内新建围湖造田等投资建设项目</w:t>
                  </w:r>
                </w:p>
              </w:tc>
              <w:tc>
                <w:tcPr>
                  <w:tcW w:w="1794" w:type="pct"/>
                  <w:vAlign w:val="center"/>
                </w:tcPr>
                <w:p w14:paraId="3C6F18A6">
                  <w:pPr>
                    <w:pStyle w:val="37"/>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本项目位于重庆西彭工业园区西彭组团D标准分区，不属于</w:t>
                  </w:r>
                  <w:r>
                    <w:rPr>
                      <w:rFonts w:hint="default" w:ascii="Times New Roman" w:hAnsi="Times New Roman" w:cs="Times New Roman"/>
                      <w:sz w:val="21"/>
                    </w:rPr>
                    <w:t>围湖造田等投资建设项目</w:t>
                  </w:r>
                </w:p>
              </w:tc>
              <w:tc>
                <w:tcPr>
                  <w:tcW w:w="498" w:type="pct"/>
                  <w:vAlign w:val="center"/>
                </w:tcPr>
                <w:p w14:paraId="7187B3A6">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14:paraId="2E6A5F7B">
            <w:pPr>
              <w:spacing w:line="360" w:lineRule="auto"/>
              <w:ind w:firstLine="480" w:firstLineChars="200"/>
              <w:rPr>
                <w:rFonts w:hint="default" w:ascii="Times New Roman" w:hAnsi="Times New Roman" w:cs="Times New Roman"/>
                <w:sz w:val="24"/>
                <w:szCs w:val="21"/>
              </w:rPr>
            </w:pPr>
            <w:r>
              <w:rPr>
                <w:rFonts w:hint="default" w:ascii="Times New Roman" w:hAnsi="Times New Roman" w:cs="Times New Roman"/>
                <w:sz w:val="24"/>
                <w:szCs w:val="21"/>
              </w:rPr>
              <w:t>由表</w:t>
            </w:r>
            <w:r>
              <w:rPr>
                <w:rFonts w:hint="default" w:ascii="Times New Roman" w:hAnsi="Times New Roman" w:cs="Times New Roman"/>
                <w:sz w:val="24"/>
                <w:szCs w:val="21"/>
                <w:lang w:val="en-US" w:eastAsia="zh-CN"/>
              </w:rPr>
              <w:t>1.2-2</w:t>
            </w:r>
            <w:r>
              <w:rPr>
                <w:rFonts w:hint="default" w:ascii="Times New Roman" w:hAnsi="Times New Roman" w:cs="Times New Roman"/>
                <w:sz w:val="24"/>
                <w:szCs w:val="21"/>
              </w:rPr>
              <w:t>分析可知，本项目不属于重庆市不予准入、限制准入产业，符合《重庆市发展和改革委员会关于印发重庆市产业投资准入工作手册的通知》（</w:t>
            </w:r>
            <w:r>
              <w:rPr>
                <w:rFonts w:hint="default" w:ascii="Times New Roman" w:hAnsi="Times New Roman" w:cs="Times New Roman"/>
                <w:sz w:val="24"/>
                <w:szCs w:val="36"/>
              </w:rPr>
              <w:t>渝发改投资[2022]1436号</w:t>
            </w:r>
            <w:r>
              <w:rPr>
                <w:rFonts w:hint="default" w:ascii="Times New Roman" w:hAnsi="Times New Roman" w:cs="Times New Roman"/>
                <w:sz w:val="24"/>
                <w:szCs w:val="21"/>
              </w:rPr>
              <w:t>）产业投资政策要求。</w:t>
            </w:r>
          </w:p>
          <w:p w14:paraId="105C18A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rPr>
            </w:pPr>
            <w:r>
              <w:rPr>
                <w:rFonts w:hint="eastAsia" w:ascii="Times New Roman" w:hAnsi="Times New Roman" w:cs="Times New Roman"/>
                <w:b/>
                <w:sz w:val="24"/>
                <w:lang w:val="en-US" w:eastAsia="zh-CN"/>
              </w:rPr>
              <w:t>2）</w:t>
            </w:r>
            <w:r>
              <w:rPr>
                <w:rFonts w:hint="default" w:ascii="Times New Roman" w:hAnsi="Times New Roman" w:cs="Times New Roman"/>
                <w:b/>
                <w:sz w:val="24"/>
              </w:rPr>
              <w:t>与《长江经济带发展负面清单指南（试行，2022年版）》符合性分析</w:t>
            </w:r>
          </w:p>
          <w:p w14:paraId="77630447">
            <w:pPr>
              <w:spacing w:line="360" w:lineRule="auto"/>
              <w:jc w:val="center"/>
              <w:rPr>
                <w:rFonts w:hint="default" w:ascii="Times New Roman" w:hAnsi="Times New Roman" w:cs="Times New Roman"/>
                <w:b/>
                <w:sz w:val="24"/>
              </w:rPr>
            </w:pPr>
            <w:r>
              <w:rPr>
                <w:rFonts w:hint="default" w:ascii="Times New Roman" w:hAnsi="Times New Roman" w:cs="Times New Roman"/>
                <w:b/>
                <w:sz w:val="24"/>
              </w:rPr>
              <w:t>表1.</w:t>
            </w:r>
            <w:r>
              <w:rPr>
                <w:rFonts w:hint="eastAsia" w:ascii="Times New Roman" w:hAnsi="Times New Roman" w:cs="Times New Roman"/>
                <w:b/>
                <w:sz w:val="24"/>
                <w:lang w:val="en-US" w:eastAsia="zh-CN"/>
              </w:rPr>
              <w:t>2</w:t>
            </w:r>
            <w:r>
              <w:rPr>
                <w:rFonts w:hint="default" w:ascii="Times New Roman" w:hAnsi="Times New Roman" w:cs="Times New Roman"/>
                <w:b/>
                <w:sz w:val="24"/>
              </w:rPr>
              <w:t>-</w:t>
            </w:r>
            <w:r>
              <w:rPr>
                <w:rFonts w:hint="eastAsia" w:ascii="Times New Roman" w:hAnsi="Times New Roman" w:cs="Times New Roman"/>
                <w:b/>
                <w:sz w:val="24"/>
                <w:lang w:val="en-US" w:eastAsia="zh-CN"/>
              </w:rPr>
              <w:t>3</w:t>
            </w:r>
            <w:r>
              <w:rPr>
                <w:rFonts w:hint="default" w:ascii="Times New Roman" w:hAnsi="Times New Roman" w:cs="Times New Roman"/>
                <w:b/>
                <w:sz w:val="24"/>
              </w:rPr>
              <w:t>与《长江经济带发展负面清单指南（试行，2022年版）》符合性分析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4297"/>
              <w:gridCol w:w="2501"/>
              <w:gridCol w:w="805"/>
            </w:tblGrid>
            <w:tr w14:paraId="6AFE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A957EE0">
                  <w:pPr>
                    <w:jc w:val="center"/>
                    <w:rPr>
                      <w:rFonts w:hint="default" w:ascii="Times New Roman" w:hAnsi="Times New Roman" w:cs="Times New Roman"/>
                    </w:rPr>
                  </w:pPr>
                  <w:r>
                    <w:rPr>
                      <w:rFonts w:hint="default" w:ascii="Times New Roman" w:hAnsi="Times New Roman" w:cs="Times New Roman"/>
                    </w:rPr>
                    <w:t>序号</w:t>
                  </w:r>
                </w:p>
              </w:tc>
              <w:tc>
                <w:tcPr>
                  <w:tcW w:w="2665" w:type="pct"/>
                  <w:vAlign w:val="center"/>
                </w:tcPr>
                <w:p w14:paraId="32B619C2">
                  <w:pPr>
                    <w:jc w:val="center"/>
                    <w:rPr>
                      <w:rFonts w:hint="default" w:ascii="Times New Roman" w:hAnsi="Times New Roman" w:cs="Times New Roman"/>
                    </w:rPr>
                  </w:pPr>
                  <w:r>
                    <w:rPr>
                      <w:rFonts w:hint="default" w:ascii="Times New Roman" w:hAnsi="Times New Roman" w:cs="Times New Roman"/>
                    </w:rPr>
                    <w:t>负面清单指南要求</w:t>
                  </w:r>
                </w:p>
              </w:tc>
              <w:tc>
                <w:tcPr>
                  <w:tcW w:w="1551" w:type="pct"/>
                  <w:vAlign w:val="center"/>
                </w:tcPr>
                <w:p w14:paraId="27200B3B">
                  <w:pPr>
                    <w:jc w:val="center"/>
                    <w:rPr>
                      <w:rFonts w:hint="default" w:ascii="Times New Roman" w:hAnsi="Times New Roman" w:cs="Times New Roman"/>
                    </w:rPr>
                  </w:pPr>
                  <w:r>
                    <w:rPr>
                      <w:rFonts w:hint="default" w:ascii="Times New Roman" w:hAnsi="Times New Roman" w:cs="Times New Roman"/>
                    </w:rPr>
                    <w:t>项目情况</w:t>
                  </w:r>
                </w:p>
              </w:tc>
              <w:tc>
                <w:tcPr>
                  <w:tcW w:w="499" w:type="pct"/>
                  <w:vAlign w:val="center"/>
                </w:tcPr>
                <w:p w14:paraId="7A75B696">
                  <w:pPr>
                    <w:jc w:val="center"/>
                    <w:rPr>
                      <w:rFonts w:hint="default" w:ascii="Times New Roman" w:hAnsi="Times New Roman" w:cs="Times New Roman"/>
                    </w:rPr>
                  </w:pPr>
                  <w:r>
                    <w:rPr>
                      <w:rFonts w:hint="default" w:ascii="Times New Roman" w:hAnsi="Times New Roman" w:cs="Times New Roman"/>
                      <w:szCs w:val="21"/>
                    </w:rPr>
                    <w:t>符合性</w:t>
                  </w:r>
                </w:p>
              </w:tc>
            </w:tr>
            <w:tr w14:paraId="4354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53BF9DDD">
                  <w:pPr>
                    <w:jc w:val="center"/>
                    <w:rPr>
                      <w:rFonts w:hint="default" w:ascii="Times New Roman" w:hAnsi="Times New Roman" w:cs="Times New Roman"/>
                    </w:rPr>
                  </w:pPr>
                  <w:r>
                    <w:rPr>
                      <w:rFonts w:hint="default" w:ascii="Times New Roman" w:hAnsi="Times New Roman" w:cs="Times New Roman"/>
                    </w:rPr>
                    <w:t>1</w:t>
                  </w:r>
                </w:p>
              </w:tc>
              <w:tc>
                <w:tcPr>
                  <w:tcW w:w="2665" w:type="pct"/>
                  <w:vAlign w:val="center"/>
                </w:tcPr>
                <w:p w14:paraId="0A9E557F">
                  <w:pPr>
                    <w:rPr>
                      <w:rFonts w:hint="default" w:ascii="Times New Roman" w:hAnsi="Times New Roman" w:cs="Times New Roman"/>
                    </w:rPr>
                  </w:pPr>
                  <w:r>
                    <w:rPr>
                      <w:rFonts w:hint="default" w:ascii="Times New Roman" w:hAnsi="Times New Roman" w:cs="Times New Roman"/>
                    </w:rPr>
                    <w:t>禁止建设不符合全国和省级港口布局规划以及港口总体规划的码头项目，禁止建设不符合《长江干线过江通道布局规划》的过长江通道项目</w:t>
                  </w:r>
                </w:p>
              </w:tc>
              <w:tc>
                <w:tcPr>
                  <w:tcW w:w="1551" w:type="pct"/>
                  <w:vAlign w:val="center"/>
                </w:tcPr>
                <w:p w14:paraId="1D944F02">
                  <w:pPr>
                    <w:rPr>
                      <w:rFonts w:hint="default" w:ascii="Times New Roman" w:hAnsi="Times New Roman" w:cs="Times New Roman"/>
                    </w:rPr>
                  </w:pPr>
                  <w:r>
                    <w:rPr>
                      <w:rFonts w:hint="default" w:ascii="Times New Roman" w:hAnsi="Times New Roman" w:cs="Times New Roman"/>
                    </w:rPr>
                    <w:t>本项目不属于码头项目和过长江通道项目</w:t>
                  </w:r>
                </w:p>
              </w:tc>
              <w:tc>
                <w:tcPr>
                  <w:tcW w:w="499" w:type="pct"/>
                  <w:vAlign w:val="center"/>
                </w:tcPr>
                <w:p w14:paraId="6E9E2110">
                  <w:pPr>
                    <w:jc w:val="center"/>
                    <w:rPr>
                      <w:rFonts w:hint="default" w:ascii="Times New Roman" w:hAnsi="Times New Roman" w:cs="Times New Roman"/>
                    </w:rPr>
                  </w:pPr>
                  <w:r>
                    <w:rPr>
                      <w:rFonts w:hint="default" w:ascii="Times New Roman" w:hAnsi="Times New Roman" w:cs="Times New Roman"/>
                    </w:rPr>
                    <w:t>符合</w:t>
                  </w:r>
                </w:p>
              </w:tc>
            </w:tr>
            <w:tr w14:paraId="6F51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DAC7D34">
                  <w:pPr>
                    <w:jc w:val="center"/>
                    <w:rPr>
                      <w:rFonts w:hint="default" w:ascii="Times New Roman" w:hAnsi="Times New Roman" w:cs="Times New Roman"/>
                    </w:rPr>
                  </w:pPr>
                  <w:r>
                    <w:rPr>
                      <w:rFonts w:hint="default" w:ascii="Times New Roman" w:hAnsi="Times New Roman" w:cs="Times New Roman"/>
                    </w:rPr>
                    <w:t>2</w:t>
                  </w:r>
                </w:p>
              </w:tc>
              <w:tc>
                <w:tcPr>
                  <w:tcW w:w="2665" w:type="pct"/>
                  <w:vAlign w:val="center"/>
                </w:tcPr>
                <w:p w14:paraId="7653C84A">
                  <w:pPr>
                    <w:rPr>
                      <w:rFonts w:hint="default" w:ascii="Times New Roman" w:hAnsi="Times New Roman" w:cs="Times New Roman"/>
                    </w:rPr>
                  </w:pPr>
                  <w:r>
                    <w:rPr>
                      <w:rFonts w:hint="default" w:ascii="Times New Roman" w:hAnsi="Times New Roman" w:cs="Times New Roman"/>
                      <w:szCs w:val="21"/>
                    </w:rPr>
                    <w:t>禁止在自然保护区</w:t>
                  </w:r>
                  <w:r>
                    <w:rPr>
                      <w:rFonts w:hint="default" w:ascii="Times New Roman" w:hAnsi="Times New Roman" w:cs="Times New Roman"/>
                    </w:rPr>
                    <w:t>核心区</w:t>
                  </w:r>
                  <w:r>
                    <w:rPr>
                      <w:rFonts w:hint="default" w:ascii="Times New Roman" w:hAnsi="Times New Roman" w:cs="Times New Roman"/>
                      <w:szCs w:val="21"/>
                    </w:rPr>
                    <w:t>、缓冲区的岸线和河段范围内投资建设旅游和生产经营项目。禁止在风景名胜区核心景区的岸线和河段范围内投资建设与风景名胜资源保护无关的项目</w:t>
                  </w:r>
                </w:p>
              </w:tc>
              <w:tc>
                <w:tcPr>
                  <w:tcW w:w="1551" w:type="pct"/>
                  <w:vAlign w:val="center"/>
                </w:tcPr>
                <w:p w14:paraId="460094FC">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不在</w:t>
                  </w:r>
                  <w:r>
                    <w:rPr>
                      <w:rFonts w:hint="default" w:ascii="Times New Roman" w:hAnsi="Times New Roman" w:cs="Times New Roman"/>
                      <w:szCs w:val="21"/>
                    </w:rPr>
                    <w:t>自然保护区、风景名胜区等范围内</w:t>
                  </w:r>
                </w:p>
              </w:tc>
              <w:tc>
                <w:tcPr>
                  <w:tcW w:w="499" w:type="pct"/>
                  <w:vAlign w:val="center"/>
                </w:tcPr>
                <w:p w14:paraId="1D2612A2">
                  <w:pPr>
                    <w:jc w:val="center"/>
                    <w:rPr>
                      <w:rFonts w:hint="default" w:ascii="Times New Roman" w:hAnsi="Times New Roman" w:cs="Times New Roman"/>
                    </w:rPr>
                  </w:pPr>
                  <w:r>
                    <w:rPr>
                      <w:rFonts w:hint="default" w:ascii="Times New Roman" w:hAnsi="Times New Roman" w:cs="Times New Roman"/>
                    </w:rPr>
                    <w:t>符合</w:t>
                  </w:r>
                </w:p>
              </w:tc>
            </w:tr>
            <w:tr w14:paraId="18D4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0E03CE9">
                  <w:pPr>
                    <w:jc w:val="center"/>
                    <w:rPr>
                      <w:rFonts w:hint="default" w:ascii="Times New Roman" w:hAnsi="Times New Roman" w:cs="Times New Roman"/>
                    </w:rPr>
                  </w:pPr>
                  <w:r>
                    <w:rPr>
                      <w:rFonts w:hint="default" w:ascii="Times New Roman" w:hAnsi="Times New Roman" w:cs="Times New Roman"/>
                    </w:rPr>
                    <w:t>3</w:t>
                  </w:r>
                </w:p>
              </w:tc>
              <w:tc>
                <w:tcPr>
                  <w:tcW w:w="2665" w:type="pct"/>
                  <w:vAlign w:val="center"/>
                </w:tcPr>
                <w:p w14:paraId="7727B521">
                  <w:pPr>
                    <w:rPr>
                      <w:rFonts w:hint="default" w:ascii="Times New Roman" w:hAnsi="Times New Roman" w:cs="Times New Roman"/>
                    </w:rPr>
                  </w:pPr>
                  <w:r>
                    <w:rPr>
                      <w:rFonts w:hint="default" w:ascii="Times New Roman" w:hAnsi="Times New Roman" w:cs="Times New Roman"/>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51" w:type="pct"/>
                  <w:vAlign w:val="center"/>
                </w:tcPr>
                <w:p w14:paraId="7FAFBB34">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不涉及饮用水水源保护区岸线及河段</w:t>
                  </w:r>
                </w:p>
              </w:tc>
              <w:tc>
                <w:tcPr>
                  <w:tcW w:w="499" w:type="pct"/>
                  <w:vAlign w:val="center"/>
                </w:tcPr>
                <w:p w14:paraId="45D019EE">
                  <w:pPr>
                    <w:jc w:val="center"/>
                    <w:rPr>
                      <w:rFonts w:hint="default" w:ascii="Times New Roman" w:hAnsi="Times New Roman" w:cs="Times New Roman"/>
                    </w:rPr>
                  </w:pPr>
                  <w:r>
                    <w:rPr>
                      <w:rFonts w:hint="default" w:ascii="Times New Roman" w:hAnsi="Times New Roman" w:cs="Times New Roman"/>
                    </w:rPr>
                    <w:t>符合</w:t>
                  </w:r>
                </w:p>
              </w:tc>
            </w:tr>
            <w:tr w14:paraId="1825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048D0E2">
                  <w:pPr>
                    <w:jc w:val="center"/>
                    <w:rPr>
                      <w:rFonts w:hint="default" w:ascii="Times New Roman" w:hAnsi="Times New Roman" w:cs="Times New Roman"/>
                    </w:rPr>
                  </w:pPr>
                  <w:r>
                    <w:rPr>
                      <w:rFonts w:hint="default" w:ascii="Times New Roman" w:hAnsi="Times New Roman" w:cs="Times New Roman"/>
                    </w:rPr>
                    <w:t>4</w:t>
                  </w:r>
                </w:p>
              </w:tc>
              <w:tc>
                <w:tcPr>
                  <w:tcW w:w="2665" w:type="pct"/>
                  <w:vAlign w:val="center"/>
                </w:tcPr>
                <w:p w14:paraId="026B959A">
                  <w:pPr>
                    <w:rPr>
                      <w:rFonts w:hint="default" w:ascii="Times New Roman" w:hAnsi="Times New Roman" w:cs="Times New Roman"/>
                    </w:rPr>
                  </w:pPr>
                  <w:r>
                    <w:rPr>
                      <w:rFonts w:hint="default" w:ascii="Times New Roman" w:hAnsi="Times New Roman" w:cs="Times New Roman"/>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51" w:type="pct"/>
                  <w:vAlign w:val="center"/>
                </w:tcPr>
                <w:p w14:paraId="06D49194">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w:t>
                  </w:r>
                  <w:r>
                    <w:rPr>
                      <w:rFonts w:hint="default" w:ascii="Times New Roman" w:hAnsi="Times New Roman" w:cs="Times New Roman"/>
                      <w:szCs w:val="21"/>
                    </w:rPr>
                    <w:t>水产种质资源保护区岸线和河段；不涉及国家湿地公园岸线和河段</w:t>
                  </w:r>
                </w:p>
              </w:tc>
              <w:tc>
                <w:tcPr>
                  <w:tcW w:w="499" w:type="pct"/>
                  <w:vAlign w:val="center"/>
                </w:tcPr>
                <w:p w14:paraId="3724F5CD">
                  <w:pPr>
                    <w:jc w:val="center"/>
                    <w:rPr>
                      <w:rFonts w:hint="default" w:ascii="Times New Roman" w:hAnsi="Times New Roman" w:cs="Times New Roman"/>
                    </w:rPr>
                  </w:pPr>
                  <w:r>
                    <w:rPr>
                      <w:rFonts w:hint="default" w:ascii="Times New Roman" w:hAnsi="Times New Roman" w:cs="Times New Roman"/>
                    </w:rPr>
                    <w:t>符合</w:t>
                  </w:r>
                </w:p>
              </w:tc>
            </w:tr>
            <w:tr w14:paraId="6328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4FEB3E93">
                  <w:pPr>
                    <w:jc w:val="center"/>
                    <w:rPr>
                      <w:rFonts w:hint="default" w:ascii="Times New Roman" w:hAnsi="Times New Roman" w:cs="Times New Roman"/>
                    </w:rPr>
                  </w:pPr>
                  <w:r>
                    <w:rPr>
                      <w:rFonts w:hint="default" w:ascii="Times New Roman" w:hAnsi="Times New Roman" w:cs="Times New Roman"/>
                    </w:rPr>
                    <w:t>5</w:t>
                  </w:r>
                </w:p>
              </w:tc>
              <w:tc>
                <w:tcPr>
                  <w:tcW w:w="2665" w:type="pct"/>
                  <w:vAlign w:val="center"/>
                </w:tcPr>
                <w:p w14:paraId="4F15FF66">
                  <w:pPr>
                    <w:rPr>
                      <w:rFonts w:hint="default" w:ascii="Times New Roman" w:hAnsi="Times New Roman" w:cs="Times New Roman"/>
                    </w:rPr>
                  </w:pPr>
                  <w:r>
                    <w:rPr>
                      <w:rFonts w:hint="default" w:ascii="Times New Roman" w:hAnsi="Times New Roman" w:cs="Times New Roman"/>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51" w:type="pct"/>
                  <w:vAlign w:val="center"/>
                </w:tcPr>
                <w:p w14:paraId="09F87D25">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w:t>
                  </w:r>
                  <w:r>
                    <w:rPr>
                      <w:rFonts w:hint="default" w:ascii="Times New Roman" w:hAnsi="Times New Roman" w:cs="Times New Roman"/>
                      <w:szCs w:val="21"/>
                    </w:rPr>
                    <w:t>长江流域河湖岸线</w:t>
                  </w:r>
                </w:p>
              </w:tc>
              <w:tc>
                <w:tcPr>
                  <w:tcW w:w="499" w:type="pct"/>
                  <w:vAlign w:val="center"/>
                </w:tcPr>
                <w:p w14:paraId="73515281">
                  <w:pPr>
                    <w:jc w:val="center"/>
                    <w:rPr>
                      <w:rFonts w:hint="default" w:ascii="Times New Roman" w:hAnsi="Times New Roman" w:cs="Times New Roman"/>
                    </w:rPr>
                  </w:pPr>
                  <w:r>
                    <w:rPr>
                      <w:rFonts w:hint="default" w:ascii="Times New Roman" w:hAnsi="Times New Roman" w:cs="Times New Roman"/>
                    </w:rPr>
                    <w:t>符合</w:t>
                  </w:r>
                </w:p>
              </w:tc>
            </w:tr>
            <w:tr w14:paraId="5317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5EA5DC14">
                  <w:pPr>
                    <w:jc w:val="center"/>
                    <w:rPr>
                      <w:rFonts w:hint="default" w:ascii="Times New Roman" w:hAnsi="Times New Roman" w:cs="Times New Roman"/>
                    </w:rPr>
                  </w:pPr>
                  <w:r>
                    <w:rPr>
                      <w:rFonts w:hint="default" w:ascii="Times New Roman" w:hAnsi="Times New Roman" w:cs="Times New Roman"/>
                    </w:rPr>
                    <w:t>6</w:t>
                  </w:r>
                </w:p>
              </w:tc>
              <w:tc>
                <w:tcPr>
                  <w:tcW w:w="2665" w:type="pct"/>
                  <w:vAlign w:val="center"/>
                </w:tcPr>
                <w:p w14:paraId="52ACB11C">
                  <w:pPr>
                    <w:rPr>
                      <w:rFonts w:hint="default" w:ascii="Times New Roman" w:hAnsi="Times New Roman" w:cs="Times New Roman"/>
                    </w:rPr>
                  </w:pPr>
                  <w:r>
                    <w:rPr>
                      <w:rFonts w:hint="default" w:ascii="Times New Roman" w:hAnsi="Times New Roman" w:cs="Times New Roman"/>
                      <w:szCs w:val="21"/>
                    </w:rPr>
                    <w:t>禁止未经许可在长江干支流及湖泊新设、改设或扩大排污口</w:t>
                  </w:r>
                </w:p>
              </w:tc>
              <w:tc>
                <w:tcPr>
                  <w:tcW w:w="1551" w:type="pct"/>
                  <w:vAlign w:val="center"/>
                </w:tcPr>
                <w:p w14:paraId="176C8B64">
                  <w:pPr>
                    <w:rPr>
                      <w:rFonts w:hint="default" w:ascii="Times New Roman" w:hAnsi="Times New Roman" w:cs="Times New Roman"/>
                    </w:rPr>
                  </w:pPr>
                  <w:r>
                    <w:rPr>
                      <w:rFonts w:hint="default" w:ascii="Times New Roman" w:hAnsi="Times New Roman" w:cs="Times New Roman"/>
                    </w:rPr>
                    <w:t>本项目废水为间接排放，不涉及</w:t>
                  </w:r>
                  <w:r>
                    <w:rPr>
                      <w:rFonts w:hint="default" w:ascii="Times New Roman" w:hAnsi="Times New Roman" w:cs="Times New Roman"/>
                      <w:szCs w:val="21"/>
                    </w:rPr>
                    <w:t>排污口设置</w:t>
                  </w:r>
                </w:p>
              </w:tc>
              <w:tc>
                <w:tcPr>
                  <w:tcW w:w="499" w:type="pct"/>
                  <w:vAlign w:val="center"/>
                </w:tcPr>
                <w:p w14:paraId="6016D5F5">
                  <w:pPr>
                    <w:jc w:val="center"/>
                    <w:rPr>
                      <w:rFonts w:hint="default" w:ascii="Times New Roman" w:hAnsi="Times New Roman" w:cs="Times New Roman"/>
                    </w:rPr>
                  </w:pPr>
                  <w:r>
                    <w:rPr>
                      <w:rFonts w:hint="default" w:ascii="Times New Roman" w:hAnsi="Times New Roman" w:cs="Times New Roman"/>
                    </w:rPr>
                    <w:t>符合</w:t>
                  </w:r>
                </w:p>
              </w:tc>
            </w:tr>
            <w:tr w14:paraId="32FF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1AA33362">
                  <w:pPr>
                    <w:jc w:val="center"/>
                    <w:rPr>
                      <w:rFonts w:hint="default" w:ascii="Times New Roman" w:hAnsi="Times New Roman" w:cs="Times New Roman"/>
                    </w:rPr>
                  </w:pPr>
                  <w:r>
                    <w:rPr>
                      <w:rFonts w:hint="default" w:ascii="Times New Roman" w:hAnsi="Times New Roman" w:cs="Times New Roman"/>
                    </w:rPr>
                    <w:t>7</w:t>
                  </w:r>
                </w:p>
              </w:tc>
              <w:tc>
                <w:tcPr>
                  <w:tcW w:w="2665" w:type="pct"/>
                  <w:vAlign w:val="center"/>
                </w:tcPr>
                <w:p w14:paraId="265974E8">
                  <w:pPr>
                    <w:rPr>
                      <w:rFonts w:hint="default" w:ascii="Times New Roman" w:hAnsi="Times New Roman" w:cs="Times New Roman"/>
                    </w:rPr>
                  </w:pPr>
                  <w:r>
                    <w:rPr>
                      <w:rFonts w:hint="default" w:ascii="Times New Roman" w:hAnsi="Times New Roman" w:cs="Times New Roman"/>
                    </w:rPr>
                    <w:t>禁止在“</w:t>
                  </w:r>
                  <w:r>
                    <w:rPr>
                      <w:rFonts w:hint="default" w:ascii="Times New Roman" w:hAnsi="Times New Roman" w:cs="Times New Roman"/>
                      <w:szCs w:val="21"/>
                    </w:rPr>
                    <w:t>一江一口两湖七河</w:t>
                  </w:r>
                  <w:r>
                    <w:rPr>
                      <w:rFonts w:hint="default" w:ascii="Times New Roman" w:hAnsi="Times New Roman" w:cs="Times New Roman"/>
                    </w:rPr>
                    <w:t>”和</w:t>
                  </w:r>
                  <w:r>
                    <w:rPr>
                      <w:rFonts w:hint="default" w:ascii="Times New Roman" w:hAnsi="Times New Roman" w:cs="Times New Roman"/>
                      <w:szCs w:val="21"/>
                    </w:rPr>
                    <w:t>332个水生生物保护区开展生产性捕捞</w:t>
                  </w:r>
                </w:p>
              </w:tc>
              <w:tc>
                <w:tcPr>
                  <w:tcW w:w="1551" w:type="pct"/>
                  <w:vAlign w:val="center"/>
                </w:tcPr>
                <w:p w14:paraId="605E92C3">
                  <w:pPr>
                    <w:jc w:val="center"/>
                    <w:rPr>
                      <w:rFonts w:hint="default" w:ascii="Times New Roman" w:hAnsi="Times New Roman" w:cs="Times New Roman"/>
                    </w:rPr>
                  </w:pPr>
                  <w:r>
                    <w:rPr>
                      <w:rFonts w:hint="default" w:ascii="Times New Roman" w:hAnsi="Times New Roman" w:cs="Times New Roman"/>
                    </w:rPr>
                    <w:t>本项目不涉及</w:t>
                  </w:r>
                </w:p>
              </w:tc>
              <w:tc>
                <w:tcPr>
                  <w:tcW w:w="499" w:type="pct"/>
                  <w:vAlign w:val="center"/>
                </w:tcPr>
                <w:p w14:paraId="2FF91AC1">
                  <w:pPr>
                    <w:jc w:val="center"/>
                    <w:rPr>
                      <w:rFonts w:hint="default" w:ascii="Times New Roman" w:hAnsi="Times New Roman" w:cs="Times New Roman"/>
                    </w:rPr>
                  </w:pPr>
                  <w:r>
                    <w:rPr>
                      <w:rFonts w:hint="default" w:ascii="Times New Roman" w:hAnsi="Times New Roman" w:cs="Times New Roman"/>
                    </w:rPr>
                    <w:t>符合</w:t>
                  </w:r>
                </w:p>
              </w:tc>
            </w:tr>
            <w:tr w14:paraId="052C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2BE5734">
                  <w:pPr>
                    <w:jc w:val="center"/>
                    <w:rPr>
                      <w:rFonts w:hint="default" w:ascii="Times New Roman" w:hAnsi="Times New Roman" w:cs="Times New Roman"/>
                    </w:rPr>
                  </w:pPr>
                  <w:r>
                    <w:rPr>
                      <w:rFonts w:hint="default" w:ascii="Times New Roman" w:hAnsi="Times New Roman" w:cs="Times New Roman"/>
                    </w:rPr>
                    <w:t>8</w:t>
                  </w:r>
                </w:p>
              </w:tc>
              <w:tc>
                <w:tcPr>
                  <w:tcW w:w="2665" w:type="pct"/>
                  <w:vAlign w:val="center"/>
                </w:tcPr>
                <w:p w14:paraId="34D3DB2F">
                  <w:pPr>
                    <w:rPr>
                      <w:rFonts w:hint="default" w:ascii="Times New Roman" w:hAnsi="Times New Roman" w:cs="Times New Roman"/>
                    </w:rPr>
                  </w:pPr>
                  <w:r>
                    <w:rPr>
                      <w:rFonts w:hint="default" w:ascii="Times New Roman" w:hAnsi="Times New Roman" w:cs="Times New Roman"/>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51" w:type="pct"/>
                  <w:vAlign w:val="center"/>
                </w:tcPr>
                <w:p w14:paraId="60A25BA6">
                  <w:pPr>
                    <w:rPr>
                      <w:rFonts w:hint="default" w:ascii="Times New Roman" w:hAnsi="Times New Roman" w:cs="Times New Roman"/>
                    </w:rPr>
                  </w:pPr>
                  <w:r>
                    <w:rPr>
                      <w:rFonts w:hint="default" w:ascii="Times New Roman" w:hAnsi="Times New Roman" w:cs="Times New Roman"/>
                      <w:szCs w:val="21"/>
                    </w:rPr>
                    <w:t>本项目位于重庆西彭工业园区西彭组团D标准分区，</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不属于化工项目、也不属于</w:t>
                  </w:r>
                  <w:r>
                    <w:rPr>
                      <w:rFonts w:hint="default" w:ascii="Times New Roman" w:hAnsi="Times New Roman" w:cs="Times New Roman"/>
                      <w:szCs w:val="21"/>
                    </w:rPr>
                    <w:t>尾矿库、冶炼渣库和磷石膏库项目</w:t>
                  </w:r>
                </w:p>
              </w:tc>
              <w:tc>
                <w:tcPr>
                  <w:tcW w:w="499" w:type="pct"/>
                  <w:vAlign w:val="center"/>
                </w:tcPr>
                <w:p w14:paraId="62785A91">
                  <w:pPr>
                    <w:jc w:val="center"/>
                    <w:rPr>
                      <w:rFonts w:hint="default" w:ascii="Times New Roman" w:hAnsi="Times New Roman" w:cs="Times New Roman"/>
                    </w:rPr>
                  </w:pPr>
                  <w:r>
                    <w:rPr>
                      <w:rFonts w:hint="default" w:ascii="Times New Roman" w:hAnsi="Times New Roman" w:cs="Times New Roman"/>
                    </w:rPr>
                    <w:t>符合</w:t>
                  </w:r>
                </w:p>
              </w:tc>
            </w:tr>
            <w:tr w14:paraId="1058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6027240C">
                  <w:pPr>
                    <w:jc w:val="center"/>
                    <w:rPr>
                      <w:rFonts w:hint="default" w:ascii="Times New Roman" w:hAnsi="Times New Roman" w:cs="Times New Roman"/>
                    </w:rPr>
                  </w:pPr>
                  <w:r>
                    <w:rPr>
                      <w:rFonts w:hint="default" w:ascii="Times New Roman" w:hAnsi="Times New Roman" w:cs="Times New Roman"/>
                    </w:rPr>
                    <w:t>9</w:t>
                  </w:r>
                </w:p>
              </w:tc>
              <w:tc>
                <w:tcPr>
                  <w:tcW w:w="2665" w:type="pct"/>
                  <w:vAlign w:val="center"/>
                </w:tcPr>
                <w:p w14:paraId="3BD0AFC2">
                  <w:pPr>
                    <w:rPr>
                      <w:rFonts w:hint="default" w:ascii="Times New Roman" w:hAnsi="Times New Roman" w:cs="Times New Roman"/>
                    </w:rPr>
                  </w:pPr>
                  <w:r>
                    <w:rPr>
                      <w:rFonts w:hint="default" w:ascii="Times New Roman" w:hAnsi="Times New Roman" w:cs="Times New Roman"/>
                      <w:szCs w:val="21"/>
                    </w:rPr>
                    <w:t>禁止在合规园区外新建、扩建钢铁、石化、化工、焦化、建材、有色、制浆造纸等高污染项目</w:t>
                  </w:r>
                </w:p>
              </w:tc>
              <w:tc>
                <w:tcPr>
                  <w:tcW w:w="1551" w:type="pct"/>
                  <w:vAlign w:val="center"/>
                </w:tcPr>
                <w:p w14:paraId="38C37D7F">
                  <w:pPr>
                    <w:rPr>
                      <w:rFonts w:hint="default" w:ascii="Times New Roman" w:hAnsi="Times New Roman" w:cs="Times New Roman"/>
                    </w:rPr>
                  </w:pPr>
                  <w:r>
                    <w:rPr>
                      <w:rFonts w:hint="default" w:ascii="Times New Roman" w:hAnsi="Times New Roman" w:cs="Times New Roman"/>
                      <w:szCs w:val="21"/>
                    </w:rPr>
                    <w:t>本项目位于重庆西彭工业园区西彭组团D标准分区，</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w:t>
                  </w:r>
                  <w:r>
                    <w:rPr>
                      <w:rFonts w:hint="default" w:ascii="Times New Roman" w:hAnsi="Times New Roman" w:cs="Times New Roman"/>
                      <w:szCs w:val="21"/>
                    </w:rPr>
                    <w:t>钢铁、石化、化工、焦化、建材、有色、制浆造纸等高污染项目</w:t>
                  </w:r>
                </w:p>
              </w:tc>
              <w:tc>
                <w:tcPr>
                  <w:tcW w:w="499" w:type="pct"/>
                  <w:vAlign w:val="center"/>
                </w:tcPr>
                <w:p w14:paraId="0AC458D6">
                  <w:pPr>
                    <w:jc w:val="center"/>
                    <w:rPr>
                      <w:rFonts w:hint="default" w:ascii="Times New Roman" w:hAnsi="Times New Roman" w:cs="Times New Roman"/>
                    </w:rPr>
                  </w:pPr>
                  <w:r>
                    <w:rPr>
                      <w:rFonts w:hint="default" w:ascii="Times New Roman" w:hAnsi="Times New Roman" w:cs="Times New Roman"/>
                    </w:rPr>
                    <w:t>符合</w:t>
                  </w:r>
                </w:p>
              </w:tc>
            </w:tr>
            <w:tr w14:paraId="7154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7245F67">
                  <w:pPr>
                    <w:jc w:val="center"/>
                    <w:rPr>
                      <w:rFonts w:hint="default" w:ascii="Times New Roman" w:hAnsi="Times New Roman" w:cs="Times New Roman"/>
                    </w:rPr>
                  </w:pPr>
                  <w:r>
                    <w:rPr>
                      <w:rFonts w:hint="default" w:ascii="Times New Roman" w:hAnsi="Times New Roman" w:cs="Times New Roman"/>
                    </w:rPr>
                    <w:t>10</w:t>
                  </w:r>
                </w:p>
              </w:tc>
              <w:tc>
                <w:tcPr>
                  <w:tcW w:w="2665" w:type="pct"/>
                  <w:vAlign w:val="center"/>
                </w:tcPr>
                <w:p w14:paraId="05A4AC37">
                  <w:pPr>
                    <w:rPr>
                      <w:rFonts w:hint="default" w:ascii="Times New Roman" w:hAnsi="Times New Roman" w:cs="Times New Roman"/>
                      <w:szCs w:val="21"/>
                    </w:rPr>
                  </w:pPr>
                  <w:r>
                    <w:rPr>
                      <w:rFonts w:hint="default" w:ascii="Times New Roman" w:hAnsi="Times New Roman" w:cs="Times New Roman"/>
                      <w:szCs w:val="21"/>
                    </w:rPr>
                    <w:t>禁止新建、扩建不符合国家石化、现代煤化工等产业布局规划的项目</w:t>
                  </w:r>
                </w:p>
              </w:tc>
              <w:tc>
                <w:tcPr>
                  <w:tcW w:w="1551" w:type="pct"/>
                  <w:vAlign w:val="center"/>
                </w:tcPr>
                <w:p w14:paraId="7F644B88">
                  <w:pPr>
                    <w:rPr>
                      <w:rFonts w:hint="default" w:ascii="Times New Roman" w:hAnsi="Times New Roman" w:cs="Times New Roman"/>
                    </w:rPr>
                  </w:pPr>
                  <w:r>
                    <w:rPr>
                      <w:rFonts w:hint="default" w:ascii="Times New Roman" w:hAnsi="Times New Roman" w:cs="Times New Roman"/>
                    </w:rPr>
                    <w:t>本项目不属于</w:t>
                  </w:r>
                  <w:r>
                    <w:rPr>
                      <w:rFonts w:hint="default" w:ascii="Times New Roman" w:hAnsi="Times New Roman" w:cs="Times New Roman"/>
                      <w:szCs w:val="21"/>
                    </w:rPr>
                    <w:t>石化、现代煤化工等项目</w:t>
                  </w:r>
                </w:p>
              </w:tc>
              <w:tc>
                <w:tcPr>
                  <w:tcW w:w="499" w:type="pct"/>
                  <w:vAlign w:val="center"/>
                </w:tcPr>
                <w:p w14:paraId="40B52764">
                  <w:pPr>
                    <w:jc w:val="center"/>
                    <w:rPr>
                      <w:rFonts w:hint="default" w:ascii="Times New Roman" w:hAnsi="Times New Roman" w:cs="Times New Roman"/>
                    </w:rPr>
                  </w:pPr>
                  <w:r>
                    <w:rPr>
                      <w:rFonts w:hint="default" w:ascii="Times New Roman" w:hAnsi="Times New Roman" w:cs="Times New Roman"/>
                    </w:rPr>
                    <w:t>符合</w:t>
                  </w:r>
                </w:p>
              </w:tc>
            </w:tr>
            <w:tr w14:paraId="07BF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624C24AA">
                  <w:pPr>
                    <w:jc w:val="center"/>
                    <w:rPr>
                      <w:rFonts w:hint="default" w:ascii="Times New Roman" w:hAnsi="Times New Roman" w:cs="Times New Roman"/>
                    </w:rPr>
                  </w:pPr>
                  <w:r>
                    <w:rPr>
                      <w:rFonts w:hint="default" w:ascii="Times New Roman" w:hAnsi="Times New Roman" w:cs="Times New Roman"/>
                    </w:rPr>
                    <w:t>11</w:t>
                  </w:r>
                </w:p>
              </w:tc>
              <w:tc>
                <w:tcPr>
                  <w:tcW w:w="2665" w:type="pct"/>
                  <w:vAlign w:val="center"/>
                </w:tcPr>
                <w:p w14:paraId="2C920542">
                  <w:pPr>
                    <w:rPr>
                      <w:rFonts w:hint="default" w:ascii="Times New Roman" w:hAnsi="Times New Roman" w:cs="Times New Roman"/>
                      <w:szCs w:val="21"/>
                    </w:rPr>
                  </w:pPr>
                  <w:r>
                    <w:rPr>
                      <w:rFonts w:hint="default" w:ascii="Times New Roman" w:hAnsi="Times New Roman" w:cs="Times New Roman"/>
                      <w:szCs w:val="21"/>
                    </w:rPr>
                    <w:t>禁止新建、扩建法律法规和相关政策明令禁止的落后产能项目。禁止新建、扩建不符合国家产能置换要求的严重过剩产能行业的项目。禁止新建、扩建不符合要求的高耗能高排放项目</w:t>
                  </w:r>
                </w:p>
              </w:tc>
              <w:tc>
                <w:tcPr>
                  <w:tcW w:w="1551" w:type="pct"/>
                  <w:vAlign w:val="center"/>
                </w:tcPr>
                <w:p w14:paraId="43D74F2B">
                  <w:pPr>
                    <w:rPr>
                      <w:rFonts w:hint="default" w:ascii="Times New Roman" w:hAnsi="Times New Roman" w:cs="Times New Roman"/>
                    </w:rPr>
                  </w:pPr>
                  <w:r>
                    <w:rPr>
                      <w:rFonts w:hint="default" w:ascii="Times New Roman" w:hAnsi="Times New Roman" w:cs="Times New Roman"/>
                    </w:rPr>
                    <w:t>本项目不属于</w:t>
                  </w:r>
                  <w:r>
                    <w:rPr>
                      <w:rFonts w:hint="default" w:ascii="Times New Roman" w:hAnsi="Times New Roman" w:cs="Times New Roman"/>
                      <w:szCs w:val="21"/>
                    </w:rPr>
                    <w:t>落后产能项目、严重过剩产能行业及高耗能高排放项目</w:t>
                  </w:r>
                </w:p>
              </w:tc>
              <w:tc>
                <w:tcPr>
                  <w:tcW w:w="499" w:type="pct"/>
                  <w:vAlign w:val="center"/>
                </w:tcPr>
                <w:p w14:paraId="34AC0348">
                  <w:pPr>
                    <w:jc w:val="center"/>
                    <w:rPr>
                      <w:rFonts w:hint="default" w:ascii="Times New Roman" w:hAnsi="Times New Roman" w:cs="Times New Roman"/>
                    </w:rPr>
                  </w:pPr>
                  <w:r>
                    <w:rPr>
                      <w:rFonts w:hint="default" w:ascii="Times New Roman" w:hAnsi="Times New Roman" w:cs="Times New Roman"/>
                    </w:rPr>
                    <w:t>符合</w:t>
                  </w:r>
                </w:p>
              </w:tc>
            </w:tr>
          </w:tbl>
          <w:p w14:paraId="744D5A22">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根据表1.</w:t>
            </w:r>
            <w:r>
              <w:rPr>
                <w:rFonts w:hint="eastAsia" w:ascii="Times New Roman" w:hAnsi="Times New Roman" w:cs="Times New Roman"/>
                <w:sz w:val="24"/>
                <w:lang w:val="en-US" w:eastAsia="zh-CN"/>
              </w:rPr>
              <w:t>2</w:t>
            </w:r>
            <w:r>
              <w:rPr>
                <w:rFonts w:hint="default" w:ascii="Times New Roman" w:hAnsi="Times New Roman" w:cs="Times New Roman"/>
                <w:sz w:val="24"/>
              </w:rPr>
              <w:t>-</w:t>
            </w:r>
            <w:r>
              <w:rPr>
                <w:rFonts w:hint="eastAsia" w:ascii="Times New Roman" w:hAnsi="Times New Roman" w:cs="Times New Roman"/>
                <w:sz w:val="24"/>
                <w:lang w:val="en-US" w:eastAsia="zh-CN"/>
              </w:rPr>
              <w:t>3</w:t>
            </w:r>
            <w:r>
              <w:rPr>
                <w:rFonts w:hint="default" w:ascii="Times New Roman" w:hAnsi="Times New Roman" w:cs="Times New Roman"/>
                <w:sz w:val="24"/>
              </w:rPr>
              <w:t>分析可知，本项目不属于长江经济带发展负面清单中指出的禁止建设类项目，符合《长江经济带发展负面清单指南（试行，2022年版）》中的要求。</w:t>
            </w:r>
          </w:p>
          <w:p w14:paraId="5E0EAF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rPr>
            </w:pPr>
            <w:r>
              <w:rPr>
                <w:rFonts w:hint="eastAsia" w:ascii="Times New Roman" w:hAnsi="Times New Roman" w:cs="Times New Roman"/>
                <w:b/>
                <w:sz w:val="24"/>
                <w:lang w:val="en-US" w:eastAsia="zh-CN"/>
              </w:rPr>
              <w:t>3）</w:t>
            </w:r>
            <w:r>
              <w:rPr>
                <w:rFonts w:hint="default" w:ascii="Times New Roman" w:hAnsi="Times New Roman" w:cs="Times New Roman"/>
                <w:b/>
                <w:sz w:val="24"/>
              </w:rPr>
              <w:t>与《四川省、重庆市长江经济带发展负面清单实施细则（试行，2022年版）》的符合性分析</w:t>
            </w:r>
          </w:p>
          <w:p w14:paraId="59ED915F">
            <w:pPr>
              <w:spacing w:line="360" w:lineRule="auto"/>
              <w:jc w:val="center"/>
              <w:rPr>
                <w:rFonts w:hint="default" w:ascii="Times New Roman" w:hAnsi="Times New Roman" w:cs="Times New Roman"/>
                <w:b/>
                <w:sz w:val="24"/>
              </w:rPr>
            </w:pPr>
            <w:r>
              <w:rPr>
                <w:rFonts w:hint="default" w:ascii="Times New Roman" w:hAnsi="Times New Roman" w:cs="Times New Roman"/>
                <w:b/>
                <w:sz w:val="24"/>
              </w:rPr>
              <w:t>表1.</w:t>
            </w:r>
            <w:r>
              <w:rPr>
                <w:rFonts w:hint="eastAsia" w:ascii="Times New Roman" w:hAnsi="Times New Roman" w:cs="Times New Roman"/>
                <w:b/>
                <w:sz w:val="24"/>
                <w:lang w:val="en-US" w:eastAsia="zh-CN"/>
              </w:rPr>
              <w:t>2</w:t>
            </w:r>
            <w:r>
              <w:rPr>
                <w:rFonts w:hint="default" w:ascii="Times New Roman" w:hAnsi="Times New Roman" w:cs="Times New Roman"/>
                <w:b/>
                <w:sz w:val="24"/>
              </w:rPr>
              <w:t>-</w:t>
            </w:r>
            <w:r>
              <w:rPr>
                <w:rFonts w:hint="eastAsia" w:ascii="Times New Roman" w:hAnsi="Times New Roman" w:cs="Times New Roman"/>
                <w:b/>
                <w:sz w:val="24"/>
                <w:lang w:val="en-US" w:eastAsia="zh-CN"/>
              </w:rPr>
              <w:t>4</w:t>
            </w:r>
            <w:r>
              <w:rPr>
                <w:rFonts w:hint="default" w:ascii="Times New Roman" w:hAnsi="Times New Roman" w:cs="Times New Roman"/>
                <w:b/>
                <w:sz w:val="24"/>
              </w:rPr>
              <w:t xml:space="preserve">  与《四川省、重庆市长江经济带发展负面清单实施细则（试行，2022年版）》符合性分析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191"/>
              <w:gridCol w:w="2361"/>
              <w:gridCol w:w="814"/>
            </w:tblGrid>
            <w:tr w14:paraId="7B29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B1D26E8">
                  <w:pPr>
                    <w:jc w:val="center"/>
                    <w:rPr>
                      <w:rFonts w:hint="default" w:ascii="Times New Roman" w:hAnsi="Times New Roman" w:cs="Times New Roman"/>
                    </w:rPr>
                  </w:pPr>
                  <w:r>
                    <w:rPr>
                      <w:rFonts w:hint="default" w:ascii="Times New Roman" w:hAnsi="Times New Roman" w:cs="Times New Roman"/>
                    </w:rPr>
                    <w:t>序号</w:t>
                  </w:r>
                </w:p>
              </w:tc>
              <w:tc>
                <w:tcPr>
                  <w:tcW w:w="2599" w:type="pct"/>
                  <w:vAlign w:val="center"/>
                </w:tcPr>
                <w:p w14:paraId="668622F6">
                  <w:pPr>
                    <w:jc w:val="center"/>
                    <w:rPr>
                      <w:rFonts w:hint="default" w:ascii="Times New Roman" w:hAnsi="Times New Roman" w:cs="Times New Roman"/>
                    </w:rPr>
                  </w:pPr>
                  <w:r>
                    <w:rPr>
                      <w:rFonts w:hint="default" w:ascii="Times New Roman" w:hAnsi="Times New Roman" w:cs="Times New Roman"/>
                    </w:rPr>
                    <w:t>管控要求</w:t>
                  </w:r>
                </w:p>
              </w:tc>
              <w:tc>
                <w:tcPr>
                  <w:tcW w:w="1464" w:type="pct"/>
                  <w:vAlign w:val="center"/>
                </w:tcPr>
                <w:p w14:paraId="15F33B95">
                  <w:pPr>
                    <w:jc w:val="center"/>
                    <w:rPr>
                      <w:rFonts w:hint="default" w:ascii="Times New Roman" w:hAnsi="Times New Roman" w:cs="Times New Roman"/>
                    </w:rPr>
                  </w:pPr>
                  <w:r>
                    <w:rPr>
                      <w:rFonts w:hint="default" w:ascii="Times New Roman" w:hAnsi="Times New Roman" w:cs="Times New Roman"/>
                    </w:rPr>
                    <w:t>项目情况</w:t>
                  </w:r>
                </w:p>
              </w:tc>
              <w:tc>
                <w:tcPr>
                  <w:tcW w:w="505" w:type="pct"/>
                  <w:vAlign w:val="center"/>
                </w:tcPr>
                <w:p w14:paraId="03A8BF38">
                  <w:pPr>
                    <w:jc w:val="center"/>
                    <w:rPr>
                      <w:rFonts w:hint="default" w:ascii="Times New Roman" w:hAnsi="Times New Roman" w:cs="Times New Roman"/>
                    </w:rPr>
                  </w:pPr>
                  <w:r>
                    <w:rPr>
                      <w:rFonts w:hint="default" w:ascii="Times New Roman" w:hAnsi="Times New Roman" w:cs="Times New Roman"/>
                      <w:szCs w:val="21"/>
                    </w:rPr>
                    <w:t>符合性</w:t>
                  </w:r>
                </w:p>
              </w:tc>
            </w:tr>
            <w:tr w14:paraId="2F3A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6B274F2">
                  <w:pPr>
                    <w:jc w:val="center"/>
                    <w:rPr>
                      <w:rFonts w:hint="default" w:ascii="Times New Roman" w:hAnsi="Times New Roman" w:cs="Times New Roman"/>
                    </w:rPr>
                  </w:pPr>
                  <w:r>
                    <w:rPr>
                      <w:rFonts w:hint="default" w:ascii="Times New Roman" w:hAnsi="Times New Roman" w:cs="Times New Roman"/>
                    </w:rPr>
                    <w:t>1</w:t>
                  </w:r>
                </w:p>
              </w:tc>
              <w:tc>
                <w:tcPr>
                  <w:tcW w:w="2599" w:type="pct"/>
                  <w:vAlign w:val="center"/>
                </w:tcPr>
                <w:p w14:paraId="28E3077F">
                  <w:pPr>
                    <w:rPr>
                      <w:rFonts w:hint="default" w:ascii="Times New Roman" w:hAnsi="Times New Roman" w:cs="Times New Roman"/>
                    </w:rPr>
                  </w:pPr>
                  <w:r>
                    <w:rPr>
                      <w:rFonts w:hint="default" w:ascii="Times New Roman" w:hAnsi="Times New Roman" w:cs="Times New Roman"/>
                    </w:rPr>
                    <w:t>禁止新建、改建和扩建不符合全国港口布局规划，以及《重庆港总体规划（2035年）》等省级港口布局规划及市级港口总体规划的码头项目</w:t>
                  </w:r>
                </w:p>
              </w:tc>
              <w:tc>
                <w:tcPr>
                  <w:tcW w:w="1464" w:type="pct"/>
                  <w:vAlign w:val="center"/>
                </w:tcPr>
                <w:p w14:paraId="34098339">
                  <w:pPr>
                    <w:rPr>
                      <w:rFonts w:hint="default" w:ascii="Times New Roman" w:hAnsi="Times New Roman" w:cs="Times New Roman"/>
                    </w:rPr>
                  </w:pPr>
                  <w:r>
                    <w:rPr>
                      <w:rFonts w:hint="default" w:ascii="Times New Roman" w:hAnsi="Times New Roman" w:cs="Times New Roman"/>
                    </w:rPr>
                    <w:t>本项目不属于码头项目</w:t>
                  </w:r>
                </w:p>
              </w:tc>
              <w:tc>
                <w:tcPr>
                  <w:tcW w:w="505" w:type="pct"/>
                  <w:vAlign w:val="center"/>
                </w:tcPr>
                <w:p w14:paraId="2455767D">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3F7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C31B8F5">
                  <w:pPr>
                    <w:jc w:val="center"/>
                    <w:rPr>
                      <w:rFonts w:hint="default" w:ascii="Times New Roman" w:hAnsi="Times New Roman" w:cs="Times New Roman"/>
                    </w:rPr>
                  </w:pPr>
                  <w:r>
                    <w:rPr>
                      <w:rFonts w:hint="default" w:ascii="Times New Roman" w:hAnsi="Times New Roman" w:cs="Times New Roman"/>
                    </w:rPr>
                    <w:t>2</w:t>
                  </w:r>
                </w:p>
              </w:tc>
              <w:tc>
                <w:tcPr>
                  <w:tcW w:w="2599" w:type="pct"/>
                  <w:vAlign w:val="center"/>
                </w:tcPr>
                <w:p w14:paraId="3DB3F46F">
                  <w:pPr>
                    <w:rPr>
                      <w:rFonts w:hint="default" w:ascii="Times New Roman" w:hAnsi="Times New Roman" w:cs="Times New Roman"/>
                    </w:rPr>
                  </w:pPr>
                  <w:r>
                    <w:rPr>
                      <w:rFonts w:hint="default" w:ascii="Times New Roman" w:hAnsi="Times New Roman" w:cs="Times New Roman"/>
                    </w:rPr>
                    <w:t>禁止新建、改建和扩建不符合《长江干线过江通道布局规划（2020-2035年）》的过长江通道项目（含桥梁、隧道），国家发展改革委同意过长江通道线位调整的除外</w:t>
                  </w:r>
                </w:p>
              </w:tc>
              <w:tc>
                <w:tcPr>
                  <w:tcW w:w="1464" w:type="pct"/>
                  <w:vAlign w:val="center"/>
                </w:tcPr>
                <w:p w14:paraId="67537464">
                  <w:pPr>
                    <w:rPr>
                      <w:rFonts w:hint="default" w:ascii="Times New Roman" w:hAnsi="Times New Roman" w:cs="Times New Roman"/>
                    </w:rPr>
                  </w:pPr>
                  <w:r>
                    <w:rPr>
                      <w:rFonts w:hint="default" w:ascii="Times New Roman" w:hAnsi="Times New Roman" w:cs="Times New Roman"/>
                    </w:rPr>
                    <w:t>本项目不属于过长江通道项目</w:t>
                  </w:r>
                </w:p>
              </w:tc>
              <w:tc>
                <w:tcPr>
                  <w:tcW w:w="505" w:type="pct"/>
                  <w:vAlign w:val="center"/>
                </w:tcPr>
                <w:p w14:paraId="6C75B1C3">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56AB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1B1240D">
                  <w:pPr>
                    <w:jc w:val="center"/>
                    <w:rPr>
                      <w:rFonts w:hint="default" w:ascii="Times New Roman" w:hAnsi="Times New Roman" w:cs="Times New Roman"/>
                    </w:rPr>
                  </w:pPr>
                  <w:r>
                    <w:rPr>
                      <w:rFonts w:hint="default" w:ascii="Times New Roman" w:hAnsi="Times New Roman" w:cs="Times New Roman"/>
                    </w:rPr>
                    <w:t>3</w:t>
                  </w:r>
                </w:p>
              </w:tc>
              <w:tc>
                <w:tcPr>
                  <w:tcW w:w="2599" w:type="pct"/>
                  <w:vAlign w:val="center"/>
                </w:tcPr>
                <w:p w14:paraId="3373E715">
                  <w:pPr>
                    <w:rPr>
                      <w:rFonts w:hint="default" w:ascii="Times New Roman" w:hAnsi="Times New Roman" w:cs="Times New Roman"/>
                    </w:rPr>
                  </w:pPr>
                  <w:r>
                    <w:rPr>
                      <w:rFonts w:hint="default" w:ascii="Times New Roman" w:hAnsi="Times New Roman" w:cs="Times New Roman"/>
                    </w:rPr>
                    <w:t>禁止在自然保护区核心区、缓冲区的岸线和河段范围内投资建设旅游和生产经营项目。自然保护区的内部未分区的，依照核心区和缓冲区的规定管控</w:t>
                  </w:r>
                </w:p>
              </w:tc>
              <w:tc>
                <w:tcPr>
                  <w:tcW w:w="1464" w:type="pct"/>
                  <w:vAlign w:val="center"/>
                </w:tcPr>
                <w:p w14:paraId="368FB441">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不涉及自然保护区</w:t>
                  </w:r>
                </w:p>
              </w:tc>
              <w:tc>
                <w:tcPr>
                  <w:tcW w:w="505" w:type="pct"/>
                  <w:vAlign w:val="center"/>
                </w:tcPr>
                <w:p w14:paraId="169140D7">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257E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DD1DBC5">
                  <w:pPr>
                    <w:jc w:val="center"/>
                    <w:rPr>
                      <w:rFonts w:hint="default" w:ascii="Times New Roman" w:hAnsi="Times New Roman" w:cs="Times New Roman"/>
                    </w:rPr>
                  </w:pPr>
                  <w:r>
                    <w:rPr>
                      <w:rFonts w:hint="default" w:ascii="Times New Roman" w:hAnsi="Times New Roman" w:cs="Times New Roman"/>
                    </w:rPr>
                    <w:t>4</w:t>
                  </w:r>
                </w:p>
              </w:tc>
              <w:tc>
                <w:tcPr>
                  <w:tcW w:w="2599" w:type="pct"/>
                  <w:vAlign w:val="center"/>
                </w:tcPr>
                <w:p w14:paraId="21BD91D4">
                  <w:pPr>
                    <w:rPr>
                      <w:rFonts w:hint="default" w:ascii="Times New Roman" w:hAnsi="Times New Roman" w:cs="Times New Roman"/>
                    </w:rPr>
                  </w:pPr>
                  <w:r>
                    <w:rPr>
                      <w:rFonts w:hint="default" w:ascii="Times New Roman" w:hAnsi="Times New Roman" w:cs="Times New Roman"/>
                    </w:rPr>
                    <w:t>禁止违反风景名胜区规划，在风景名胜区内设立各类开发区。禁止在风景名胜区核心景区的岸线和河段范围内建设宾馆、招待所、培训中心、疗养院以及与风景名胜资源保护无关的项目</w:t>
                  </w:r>
                </w:p>
              </w:tc>
              <w:tc>
                <w:tcPr>
                  <w:tcW w:w="1464" w:type="pct"/>
                  <w:vAlign w:val="center"/>
                </w:tcPr>
                <w:p w14:paraId="1FF3D9AA">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不涉及风景名胜区</w:t>
                  </w:r>
                </w:p>
              </w:tc>
              <w:tc>
                <w:tcPr>
                  <w:tcW w:w="505" w:type="pct"/>
                  <w:vAlign w:val="center"/>
                </w:tcPr>
                <w:p w14:paraId="703DC6E3">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0A6A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182C1D7">
                  <w:pPr>
                    <w:jc w:val="center"/>
                    <w:rPr>
                      <w:rFonts w:hint="default" w:ascii="Times New Roman" w:hAnsi="Times New Roman" w:cs="Times New Roman"/>
                    </w:rPr>
                  </w:pPr>
                  <w:r>
                    <w:rPr>
                      <w:rFonts w:hint="default" w:ascii="Times New Roman" w:hAnsi="Times New Roman" w:cs="Times New Roman"/>
                    </w:rPr>
                    <w:t>5</w:t>
                  </w:r>
                </w:p>
              </w:tc>
              <w:tc>
                <w:tcPr>
                  <w:tcW w:w="2599" w:type="pct"/>
                  <w:vAlign w:val="center"/>
                </w:tcPr>
                <w:p w14:paraId="6A205DE6">
                  <w:pPr>
                    <w:rPr>
                      <w:rFonts w:hint="default" w:ascii="Times New Roman" w:hAnsi="Times New Roman" w:cs="Times New Roman"/>
                    </w:rPr>
                  </w:pPr>
                  <w:r>
                    <w:rPr>
                      <w:rFonts w:hint="default" w:ascii="Times New Roman" w:hAnsi="Times New Roman" w:cs="Times New Roman"/>
                    </w:rPr>
                    <w:t>禁止在饮用水水源准保护区的岸线和河段范围内新建、扩建对水体污染严重的建设项目，禁止改建增加排污量的建设项目</w:t>
                  </w:r>
                </w:p>
              </w:tc>
              <w:tc>
                <w:tcPr>
                  <w:tcW w:w="1464" w:type="pct"/>
                  <w:vMerge w:val="restart"/>
                  <w:vAlign w:val="center"/>
                </w:tcPr>
                <w:p w14:paraId="33B72A6E">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不涉及饮用水水源保护区岸线和河段</w:t>
                  </w:r>
                </w:p>
              </w:tc>
              <w:tc>
                <w:tcPr>
                  <w:tcW w:w="505" w:type="pct"/>
                  <w:vAlign w:val="center"/>
                </w:tcPr>
                <w:p w14:paraId="74982CCA">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0500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A8969B9">
                  <w:pPr>
                    <w:jc w:val="center"/>
                    <w:rPr>
                      <w:rFonts w:hint="default" w:ascii="Times New Roman" w:hAnsi="Times New Roman" w:cs="Times New Roman"/>
                    </w:rPr>
                  </w:pPr>
                  <w:r>
                    <w:rPr>
                      <w:rFonts w:hint="default" w:ascii="Times New Roman" w:hAnsi="Times New Roman" w:cs="Times New Roman"/>
                    </w:rPr>
                    <w:t>6</w:t>
                  </w:r>
                </w:p>
              </w:tc>
              <w:tc>
                <w:tcPr>
                  <w:tcW w:w="2599" w:type="pct"/>
                  <w:vAlign w:val="center"/>
                </w:tcPr>
                <w:p w14:paraId="08A576CC">
                  <w:pPr>
                    <w:rPr>
                      <w:rFonts w:hint="default" w:ascii="Times New Roman" w:hAnsi="Times New Roman" w:cs="Times New Roman"/>
                    </w:rPr>
                  </w:pPr>
                  <w:r>
                    <w:rPr>
                      <w:rFonts w:hint="default" w:ascii="Times New Roman" w:hAnsi="Times New Roman" w:cs="Times New Roman"/>
                    </w:rPr>
                    <w:t>饮用水水源二级保护区的岸线和河段范围内，除遵守准保护区规定外，禁止新建、改建、扩建排放污染物的投资建设项目；禁止从事对水体有污染的水产养殖等活动</w:t>
                  </w:r>
                </w:p>
              </w:tc>
              <w:tc>
                <w:tcPr>
                  <w:tcW w:w="1464" w:type="pct"/>
                  <w:vMerge w:val="continue"/>
                  <w:vAlign w:val="center"/>
                </w:tcPr>
                <w:p w14:paraId="0166E8FF">
                  <w:pPr>
                    <w:rPr>
                      <w:rFonts w:hint="default" w:ascii="Times New Roman" w:hAnsi="Times New Roman" w:cs="Times New Roman"/>
                    </w:rPr>
                  </w:pPr>
                </w:p>
              </w:tc>
              <w:tc>
                <w:tcPr>
                  <w:tcW w:w="505" w:type="pct"/>
                  <w:vAlign w:val="center"/>
                </w:tcPr>
                <w:p w14:paraId="743B9CAB">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009B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F0F75D3">
                  <w:pPr>
                    <w:jc w:val="center"/>
                    <w:rPr>
                      <w:rFonts w:hint="default" w:ascii="Times New Roman" w:hAnsi="Times New Roman" w:cs="Times New Roman"/>
                    </w:rPr>
                  </w:pPr>
                  <w:r>
                    <w:rPr>
                      <w:rFonts w:hint="default" w:ascii="Times New Roman" w:hAnsi="Times New Roman" w:cs="Times New Roman"/>
                    </w:rPr>
                    <w:t>7</w:t>
                  </w:r>
                </w:p>
              </w:tc>
              <w:tc>
                <w:tcPr>
                  <w:tcW w:w="2599" w:type="pct"/>
                  <w:vAlign w:val="center"/>
                </w:tcPr>
                <w:p w14:paraId="5AB7D6F9">
                  <w:pPr>
                    <w:rPr>
                      <w:rFonts w:hint="default" w:ascii="Times New Roman" w:hAnsi="Times New Roman" w:cs="Times New Roman"/>
                    </w:rPr>
                  </w:pPr>
                  <w:r>
                    <w:rPr>
                      <w:rFonts w:hint="default" w:ascii="Times New Roman" w:hAnsi="Times New Roman" w:cs="Times New Roma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64" w:type="pct"/>
                  <w:vMerge w:val="continue"/>
                  <w:vAlign w:val="center"/>
                </w:tcPr>
                <w:p w14:paraId="3C548FA4">
                  <w:pPr>
                    <w:rPr>
                      <w:rFonts w:hint="default" w:ascii="Times New Roman" w:hAnsi="Times New Roman" w:cs="Times New Roman"/>
                    </w:rPr>
                  </w:pPr>
                </w:p>
              </w:tc>
              <w:tc>
                <w:tcPr>
                  <w:tcW w:w="505" w:type="pct"/>
                  <w:vAlign w:val="center"/>
                </w:tcPr>
                <w:p w14:paraId="3BA8F913">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E23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0C8FBFE3">
                  <w:pPr>
                    <w:jc w:val="center"/>
                    <w:rPr>
                      <w:rFonts w:hint="default" w:ascii="Times New Roman" w:hAnsi="Times New Roman" w:cs="Times New Roman"/>
                    </w:rPr>
                  </w:pPr>
                  <w:r>
                    <w:rPr>
                      <w:rFonts w:hint="default" w:ascii="Times New Roman" w:hAnsi="Times New Roman" w:cs="Times New Roman"/>
                    </w:rPr>
                    <w:t>8</w:t>
                  </w:r>
                </w:p>
              </w:tc>
              <w:tc>
                <w:tcPr>
                  <w:tcW w:w="2599" w:type="pct"/>
                  <w:vAlign w:val="center"/>
                </w:tcPr>
                <w:p w14:paraId="01609C92">
                  <w:pPr>
                    <w:rPr>
                      <w:rFonts w:hint="default" w:ascii="Times New Roman" w:hAnsi="Times New Roman" w:cs="Times New Roman"/>
                    </w:rPr>
                  </w:pPr>
                  <w:r>
                    <w:rPr>
                      <w:rFonts w:hint="default" w:ascii="Times New Roman" w:hAnsi="Times New Roman" w:cs="Times New Roman"/>
                    </w:rPr>
                    <w:t>禁止在水产种质资源保护区岸线和河段范围内新建围湖造田、围湖造地或挖沙采石等投资建设项目</w:t>
                  </w:r>
                </w:p>
              </w:tc>
              <w:tc>
                <w:tcPr>
                  <w:tcW w:w="1464" w:type="pct"/>
                  <w:vAlign w:val="center"/>
                </w:tcPr>
                <w:p w14:paraId="0F927A02">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不涉及水产种质资源保护区岸线和河段</w:t>
                  </w:r>
                </w:p>
              </w:tc>
              <w:tc>
                <w:tcPr>
                  <w:tcW w:w="505" w:type="pct"/>
                  <w:vAlign w:val="center"/>
                </w:tcPr>
                <w:p w14:paraId="0262F162">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3E53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F842FCB">
                  <w:pPr>
                    <w:jc w:val="center"/>
                    <w:rPr>
                      <w:rFonts w:hint="default" w:ascii="Times New Roman" w:hAnsi="Times New Roman" w:cs="Times New Roman"/>
                    </w:rPr>
                  </w:pPr>
                  <w:r>
                    <w:rPr>
                      <w:rFonts w:hint="default" w:ascii="Times New Roman" w:hAnsi="Times New Roman" w:cs="Times New Roman"/>
                    </w:rPr>
                    <w:t>9</w:t>
                  </w:r>
                </w:p>
              </w:tc>
              <w:tc>
                <w:tcPr>
                  <w:tcW w:w="2599" w:type="pct"/>
                  <w:vAlign w:val="center"/>
                </w:tcPr>
                <w:p w14:paraId="42598CB3">
                  <w:pPr>
                    <w:rPr>
                      <w:rFonts w:hint="default" w:ascii="Times New Roman" w:hAnsi="Times New Roman" w:cs="Times New Roman"/>
                    </w:rPr>
                  </w:pPr>
                  <w:r>
                    <w:rPr>
                      <w:rFonts w:hint="default" w:ascii="Times New Roman" w:hAnsi="Times New Roman" w:cs="Times New Roma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464" w:type="pct"/>
                  <w:vAlign w:val="center"/>
                </w:tcPr>
                <w:p w14:paraId="707C2635">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不涉及国家湿地公园岸线和河段</w:t>
                  </w:r>
                </w:p>
              </w:tc>
              <w:tc>
                <w:tcPr>
                  <w:tcW w:w="505" w:type="pct"/>
                  <w:vAlign w:val="center"/>
                </w:tcPr>
                <w:p w14:paraId="242C1C24">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7AAA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027ABA8B">
                  <w:pPr>
                    <w:jc w:val="center"/>
                    <w:rPr>
                      <w:rFonts w:hint="default" w:ascii="Times New Roman" w:hAnsi="Times New Roman" w:cs="Times New Roman"/>
                    </w:rPr>
                  </w:pPr>
                  <w:r>
                    <w:rPr>
                      <w:rFonts w:hint="default" w:ascii="Times New Roman" w:hAnsi="Times New Roman" w:cs="Times New Roman"/>
                    </w:rPr>
                    <w:t>10</w:t>
                  </w:r>
                </w:p>
              </w:tc>
              <w:tc>
                <w:tcPr>
                  <w:tcW w:w="2599" w:type="pct"/>
                  <w:vAlign w:val="center"/>
                </w:tcPr>
                <w:p w14:paraId="6F64CAED">
                  <w:pPr>
                    <w:rPr>
                      <w:rFonts w:hint="default" w:ascii="Times New Roman" w:hAnsi="Times New Roman" w:cs="Times New Roman"/>
                    </w:rPr>
                  </w:pPr>
                  <w:r>
                    <w:rPr>
                      <w:rFonts w:hint="default" w:ascii="Times New Roman" w:hAnsi="Times New Roman" w:cs="Times New Roma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64" w:type="pct"/>
                  <w:vAlign w:val="center"/>
                </w:tcPr>
                <w:p w14:paraId="2B50C015">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不利用、占用长江流域河湖岸线</w:t>
                  </w:r>
                </w:p>
              </w:tc>
              <w:tc>
                <w:tcPr>
                  <w:tcW w:w="505" w:type="pct"/>
                  <w:vAlign w:val="center"/>
                </w:tcPr>
                <w:p w14:paraId="4F36F15B">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311D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9101C77">
                  <w:pPr>
                    <w:jc w:val="center"/>
                    <w:rPr>
                      <w:rFonts w:hint="default" w:ascii="Times New Roman" w:hAnsi="Times New Roman" w:cs="Times New Roman"/>
                    </w:rPr>
                  </w:pPr>
                  <w:r>
                    <w:rPr>
                      <w:rFonts w:hint="default" w:ascii="Times New Roman" w:hAnsi="Times New Roman" w:cs="Times New Roman"/>
                    </w:rPr>
                    <w:t>11</w:t>
                  </w:r>
                </w:p>
              </w:tc>
              <w:tc>
                <w:tcPr>
                  <w:tcW w:w="2599" w:type="pct"/>
                  <w:vAlign w:val="center"/>
                </w:tcPr>
                <w:p w14:paraId="03DC3BAC">
                  <w:pPr>
                    <w:rPr>
                      <w:rFonts w:hint="default" w:ascii="Times New Roman" w:hAnsi="Times New Roman" w:cs="Times New Roman"/>
                    </w:rPr>
                  </w:pPr>
                  <w:r>
                    <w:rPr>
                      <w:rFonts w:hint="default" w:ascii="Times New Roman" w:hAnsi="Times New Roman" w:cs="Times New Roman"/>
                    </w:rPr>
                    <w:t>禁止在《全国重要江河湖泊水功能区划》划定的河段及湖泊保护区、保留区内投资建设不利于水资源及自然生态保护的项目</w:t>
                  </w:r>
                </w:p>
              </w:tc>
              <w:tc>
                <w:tcPr>
                  <w:tcW w:w="1464" w:type="pct"/>
                  <w:vAlign w:val="center"/>
                </w:tcPr>
                <w:p w14:paraId="7D8849B1">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不涉及《全国重要江河湖泊水功能区划》划定的河段及湖泊保护区、保留区</w:t>
                  </w:r>
                </w:p>
              </w:tc>
              <w:tc>
                <w:tcPr>
                  <w:tcW w:w="505" w:type="pct"/>
                  <w:vAlign w:val="center"/>
                </w:tcPr>
                <w:p w14:paraId="68393CD3">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10C5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C3AAA73">
                  <w:pPr>
                    <w:jc w:val="center"/>
                    <w:rPr>
                      <w:rFonts w:hint="default" w:ascii="Times New Roman" w:hAnsi="Times New Roman" w:cs="Times New Roman"/>
                    </w:rPr>
                  </w:pPr>
                  <w:r>
                    <w:rPr>
                      <w:rFonts w:hint="default" w:ascii="Times New Roman" w:hAnsi="Times New Roman" w:cs="Times New Roman"/>
                    </w:rPr>
                    <w:t>12</w:t>
                  </w:r>
                </w:p>
              </w:tc>
              <w:tc>
                <w:tcPr>
                  <w:tcW w:w="2599" w:type="pct"/>
                  <w:vAlign w:val="center"/>
                </w:tcPr>
                <w:p w14:paraId="4B9EFF8C">
                  <w:pPr>
                    <w:rPr>
                      <w:rFonts w:hint="default" w:ascii="Times New Roman" w:hAnsi="Times New Roman" w:cs="Times New Roman"/>
                    </w:rPr>
                  </w:pPr>
                  <w:r>
                    <w:rPr>
                      <w:rFonts w:hint="default" w:ascii="Times New Roman" w:hAnsi="Times New Roman" w:cs="Times New Roman"/>
                    </w:rPr>
                    <w:t>禁止在长江流域江河、湖泊新设、改设或者扩大排污口，经有管辖权的生态环境主管部门或者长江流域生态环境监督管理机构同意的除外</w:t>
                  </w:r>
                </w:p>
              </w:tc>
              <w:tc>
                <w:tcPr>
                  <w:tcW w:w="1464" w:type="pct"/>
                  <w:vAlign w:val="center"/>
                </w:tcPr>
                <w:p w14:paraId="2DB6268C">
                  <w:pPr>
                    <w:rPr>
                      <w:rFonts w:hint="default" w:ascii="Times New Roman" w:hAnsi="Times New Roman" w:cs="Times New Roman"/>
                    </w:rPr>
                  </w:pPr>
                  <w:r>
                    <w:rPr>
                      <w:rFonts w:hint="default" w:ascii="Times New Roman" w:hAnsi="Times New Roman" w:cs="Times New Roman"/>
                    </w:rPr>
                    <w:t>本项目废水为间接排放，不涉及</w:t>
                  </w:r>
                  <w:r>
                    <w:rPr>
                      <w:rFonts w:hint="default" w:ascii="Times New Roman" w:hAnsi="Times New Roman" w:cs="Times New Roman"/>
                      <w:szCs w:val="21"/>
                    </w:rPr>
                    <w:t>排污口设置</w:t>
                  </w:r>
                </w:p>
              </w:tc>
              <w:tc>
                <w:tcPr>
                  <w:tcW w:w="505" w:type="pct"/>
                  <w:vAlign w:val="center"/>
                </w:tcPr>
                <w:p w14:paraId="176D14C9">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1C4A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91B1005">
                  <w:pPr>
                    <w:jc w:val="center"/>
                    <w:rPr>
                      <w:rFonts w:hint="default" w:ascii="Times New Roman" w:hAnsi="Times New Roman" w:cs="Times New Roman"/>
                    </w:rPr>
                  </w:pPr>
                  <w:r>
                    <w:rPr>
                      <w:rFonts w:hint="default" w:ascii="Times New Roman" w:hAnsi="Times New Roman" w:cs="Times New Roman"/>
                    </w:rPr>
                    <w:t>13</w:t>
                  </w:r>
                </w:p>
              </w:tc>
              <w:tc>
                <w:tcPr>
                  <w:tcW w:w="2599" w:type="pct"/>
                  <w:vAlign w:val="center"/>
                </w:tcPr>
                <w:p w14:paraId="3F5B78F9">
                  <w:pPr>
                    <w:rPr>
                      <w:rFonts w:hint="default" w:ascii="Times New Roman" w:hAnsi="Times New Roman" w:cs="Times New Roman"/>
                    </w:rPr>
                  </w:pPr>
                  <w:r>
                    <w:rPr>
                      <w:rFonts w:hint="default" w:ascii="Times New Roman" w:hAnsi="Times New Roman" w:cs="Times New Roman"/>
                    </w:rPr>
                    <w:t>禁止在长江干流、大渡河、岷江、赤水河、沱江、嘉陵江、乌江、汉江和51个（四川省45个、重庆市6个）水生生物保护区开展生产性捕捞</w:t>
                  </w:r>
                </w:p>
              </w:tc>
              <w:tc>
                <w:tcPr>
                  <w:tcW w:w="1464" w:type="pct"/>
                  <w:vAlign w:val="center"/>
                </w:tcPr>
                <w:p w14:paraId="5A8E5187">
                  <w:pPr>
                    <w:rPr>
                      <w:rFonts w:hint="default" w:ascii="Times New Roman" w:hAnsi="Times New Roman" w:cs="Times New Roman"/>
                    </w:rPr>
                  </w:pPr>
                  <w:r>
                    <w:rPr>
                      <w:rFonts w:hint="default" w:ascii="Times New Roman" w:hAnsi="Times New Roman" w:cs="Times New Roman"/>
                    </w:rPr>
                    <w:t>本项目不涉及</w:t>
                  </w:r>
                  <w:r>
                    <w:rPr>
                      <w:rFonts w:hint="default" w:ascii="Times New Roman" w:hAnsi="Times New Roman" w:cs="Times New Roman"/>
                      <w:szCs w:val="21"/>
                    </w:rPr>
                    <w:t>生产性捕捞</w:t>
                  </w:r>
                </w:p>
              </w:tc>
              <w:tc>
                <w:tcPr>
                  <w:tcW w:w="505" w:type="pct"/>
                  <w:vAlign w:val="center"/>
                </w:tcPr>
                <w:p w14:paraId="67F423FE">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3E90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A9EE496">
                  <w:pPr>
                    <w:jc w:val="center"/>
                    <w:rPr>
                      <w:rFonts w:hint="default" w:ascii="Times New Roman" w:hAnsi="Times New Roman" w:cs="Times New Roman"/>
                    </w:rPr>
                  </w:pPr>
                  <w:r>
                    <w:rPr>
                      <w:rFonts w:hint="default" w:ascii="Times New Roman" w:hAnsi="Times New Roman" w:cs="Times New Roman"/>
                    </w:rPr>
                    <w:t>14</w:t>
                  </w:r>
                </w:p>
              </w:tc>
              <w:tc>
                <w:tcPr>
                  <w:tcW w:w="2599" w:type="pct"/>
                  <w:vAlign w:val="center"/>
                </w:tcPr>
                <w:p w14:paraId="437C45CB">
                  <w:pPr>
                    <w:rPr>
                      <w:rFonts w:hint="default" w:ascii="Times New Roman" w:hAnsi="Times New Roman" w:cs="Times New Roman"/>
                    </w:rPr>
                  </w:pPr>
                  <w:r>
                    <w:rPr>
                      <w:rFonts w:hint="default" w:ascii="Times New Roman" w:hAnsi="Times New Roman" w:cs="Times New Roman"/>
                    </w:rPr>
                    <w:t>禁止在长江干支流、重要湖泊岸线一公里范围内新建、扩建化工园区和化工项目</w:t>
                  </w:r>
                </w:p>
              </w:tc>
              <w:tc>
                <w:tcPr>
                  <w:tcW w:w="1464" w:type="pct"/>
                  <w:vAlign w:val="center"/>
                </w:tcPr>
                <w:p w14:paraId="26910A48">
                  <w:pPr>
                    <w:rPr>
                      <w:rFonts w:hint="default" w:ascii="Times New Roman" w:hAnsi="Times New Roman" w:cs="Times New Roman"/>
                    </w:rPr>
                  </w:pPr>
                  <w:r>
                    <w:rPr>
                      <w:rFonts w:hint="default" w:ascii="Times New Roman" w:hAnsi="Times New Roman" w:cs="Times New Roman"/>
                      <w:szCs w:val="21"/>
                    </w:rPr>
                    <w:t>本项目位于重庆西彭工业园区西彭组团D标准分区，</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不属于化工项目</w:t>
                  </w:r>
                </w:p>
              </w:tc>
              <w:tc>
                <w:tcPr>
                  <w:tcW w:w="505" w:type="pct"/>
                  <w:vAlign w:val="center"/>
                </w:tcPr>
                <w:p w14:paraId="3475B720">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516B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4B3748C">
                  <w:pPr>
                    <w:jc w:val="center"/>
                    <w:rPr>
                      <w:rFonts w:hint="default" w:ascii="Times New Roman" w:hAnsi="Times New Roman" w:cs="Times New Roman"/>
                    </w:rPr>
                  </w:pPr>
                  <w:r>
                    <w:rPr>
                      <w:rFonts w:hint="default" w:ascii="Times New Roman" w:hAnsi="Times New Roman" w:cs="Times New Roman"/>
                    </w:rPr>
                    <w:t>15</w:t>
                  </w:r>
                </w:p>
              </w:tc>
              <w:tc>
                <w:tcPr>
                  <w:tcW w:w="2599" w:type="pct"/>
                  <w:vAlign w:val="center"/>
                </w:tcPr>
                <w:p w14:paraId="457C7584">
                  <w:pPr>
                    <w:rPr>
                      <w:rFonts w:hint="default" w:ascii="Times New Roman" w:hAnsi="Times New Roman" w:cs="Times New Roman"/>
                    </w:rPr>
                  </w:pPr>
                  <w:r>
                    <w:rPr>
                      <w:rFonts w:hint="default" w:ascii="Times New Roman" w:hAnsi="Times New Roman" w:cs="Times New Roman"/>
                    </w:rPr>
                    <w:t>禁止在长江干流岸线三公里范围内和重要支流岸线一公里范围内新建、改建、扩建尾矿库、冶炼渣库、磷石膏库，以提升安全、生态环境保护水平为目的的改建除外</w:t>
                  </w:r>
                </w:p>
              </w:tc>
              <w:tc>
                <w:tcPr>
                  <w:tcW w:w="1464" w:type="pct"/>
                  <w:vAlign w:val="center"/>
                </w:tcPr>
                <w:p w14:paraId="0D42FE65">
                  <w:pPr>
                    <w:rPr>
                      <w:rFonts w:hint="default" w:ascii="Times New Roman" w:hAnsi="Times New Roman" w:cs="Times New Roman"/>
                    </w:rPr>
                  </w:pPr>
                  <w:r>
                    <w:rPr>
                      <w:rFonts w:hint="default" w:ascii="Times New Roman" w:hAnsi="Times New Roman" w:cs="Times New Roman"/>
                      <w:szCs w:val="21"/>
                    </w:rPr>
                    <w:t>本项目位于重庆西彭工业园区西彭组团D标准分区，</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w:t>
                  </w:r>
                  <w:r>
                    <w:rPr>
                      <w:rFonts w:hint="default" w:ascii="Times New Roman" w:hAnsi="Times New Roman" w:cs="Times New Roman"/>
                      <w:szCs w:val="21"/>
                    </w:rPr>
                    <w:t>尾矿库、冶炼渣库和磷石膏库</w:t>
                  </w:r>
                </w:p>
              </w:tc>
              <w:tc>
                <w:tcPr>
                  <w:tcW w:w="505" w:type="pct"/>
                  <w:vAlign w:val="center"/>
                </w:tcPr>
                <w:p w14:paraId="46B28930">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740E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3665AD3">
                  <w:pPr>
                    <w:jc w:val="center"/>
                    <w:rPr>
                      <w:rFonts w:hint="default" w:ascii="Times New Roman" w:hAnsi="Times New Roman" w:cs="Times New Roman"/>
                    </w:rPr>
                  </w:pPr>
                  <w:r>
                    <w:rPr>
                      <w:rFonts w:hint="default" w:ascii="Times New Roman" w:hAnsi="Times New Roman" w:cs="Times New Roman"/>
                    </w:rPr>
                    <w:t>16</w:t>
                  </w:r>
                </w:p>
              </w:tc>
              <w:tc>
                <w:tcPr>
                  <w:tcW w:w="2599" w:type="pct"/>
                  <w:vAlign w:val="center"/>
                </w:tcPr>
                <w:p w14:paraId="00B38711">
                  <w:pPr>
                    <w:rPr>
                      <w:rFonts w:hint="default" w:ascii="Times New Roman" w:hAnsi="Times New Roman" w:cs="Times New Roman"/>
                    </w:rPr>
                  </w:pPr>
                  <w:r>
                    <w:rPr>
                      <w:rFonts w:hint="default" w:ascii="Times New Roman" w:hAnsi="Times New Roman" w:cs="Times New Roman"/>
                    </w:rPr>
                    <w:t>禁止在生态保护红线区域、永久基本农田集中区域和其他需要特别保护的区域内选址建设尾矿库、冶炼渣库、磷石膏库</w:t>
                  </w:r>
                </w:p>
              </w:tc>
              <w:tc>
                <w:tcPr>
                  <w:tcW w:w="1464" w:type="pct"/>
                  <w:vAlign w:val="center"/>
                </w:tcPr>
                <w:p w14:paraId="51BD6559">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不属于</w:t>
                  </w:r>
                  <w:r>
                    <w:rPr>
                      <w:rFonts w:hint="default" w:ascii="Times New Roman" w:hAnsi="Times New Roman" w:cs="Times New Roman"/>
                      <w:szCs w:val="21"/>
                    </w:rPr>
                    <w:t>尾矿库、冶炼渣库和磷石膏库</w:t>
                  </w:r>
                </w:p>
              </w:tc>
              <w:tc>
                <w:tcPr>
                  <w:tcW w:w="505" w:type="pct"/>
                  <w:vAlign w:val="center"/>
                </w:tcPr>
                <w:p w14:paraId="5511A7DB">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D2D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071F3301">
                  <w:pPr>
                    <w:jc w:val="center"/>
                    <w:rPr>
                      <w:rFonts w:hint="default" w:ascii="Times New Roman" w:hAnsi="Times New Roman" w:cs="Times New Roman"/>
                    </w:rPr>
                  </w:pPr>
                  <w:r>
                    <w:rPr>
                      <w:rFonts w:hint="default" w:ascii="Times New Roman" w:hAnsi="Times New Roman" w:cs="Times New Roman"/>
                    </w:rPr>
                    <w:t>17</w:t>
                  </w:r>
                </w:p>
              </w:tc>
              <w:tc>
                <w:tcPr>
                  <w:tcW w:w="2599" w:type="pct"/>
                  <w:vAlign w:val="center"/>
                </w:tcPr>
                <w:p w14:paraId="0D980A4D">
                  <w:pPr>
                    <w:rPr>
                      <w:rFonts w:hint="default" w:ascii="Times New Roman" w:hAnsi="Times New Roman" w:cs="Times New Roman"/>
                    </w:rPr>
                  </w:pPr>
                  <w:r>
                    <w:rPr>
                      <w:rFonts w:hint="default" w:ascii="Times New Roman" w:hAnsi="Times New Roman" w:cs="Times New Roman"/>
                    </w:rPr>
                    <w:t>禁止在合规园区外新建、扩建钢铁、石化、化工、焦化、建材、有色、制浆造纸等高污染项目</w:t>
                  </w:r>
                </w:p>
              </w:tc>
              <w:tc>
                <w:tcPr>
                  <w:tcW w:w="1464" w:type="pct"/>
                  <w:vAlign w:val="center"/>
                </w:tcPr>
                <w:p w14:paraId="4569DA95">
                  <w:pPr>
                    <w:rPr>
                      <w:rFonts w:hint="default" w:ascii="Times New Roman" w:hAnsi="Times New Roman" w:cs="Times New Roman"/>
                    </w:rPr>
                  </w:pPr>
                  <w:r>
                    <w:rPr>
                      <w:rFonts w:hint="default" w:ascii="Times New Roman" w:hAnsi="Times New Roman" w:cs="Times New Roman"/>
                      <w:szCs w:val="21"/>
                    </w:rPr>
                    <w:t>本项目位于重庆西彭工业园区西彭组团D标准分区，</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szCs w:val="21"/>
                    </w:rPr>
                    <w:t>不属于钢铁、石化、化工、焦化、建材、有色、制浆造纸等高污染项目</w:t>
                  </w:r>
                </w:p>
              </w:tc>
              <w:tc>
                <w:tcPr>
                  <w:tcW w:w="505" w:type="pct"/>
                  <w:vAlign w:val="center"/>
                </w:tcPr>
                <w:p w14:paraId="012542A7">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070B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E271A7D">
                  <w:pPr>
                    <w:jc w:val="center"/>
                    <w:rPr>
                      <w:rFonts w:hint="default" w:ascii="Times New Roman" w:hAnsi="Times New Roman" w:cs="Times New Roman"/>
                    </w:rPr>
                  </w:pPr>
                  <w:r>
                    <w:rPr>
                      <w:rFonts w:hint="default" w:ascii="Times New Roman" w:hAnsi="Times New Roman" w:cs="Times New Roman"/>
                    </w:rPr>
                    <w:t>18</w:t>
                  </w:r>
                </w:p>
              </w:tc>
              <w:tc>
                <w:tcPr>
                  <w:tcW w:w="2599" w:type="pct"/>
                  <w:vAlign w:val="center"/>
                </w:tcPr>
                <w:p w14:paraId="2279C7BB">
                  <w:pPr>
                    <w:rPr>
                      <w:rFonts w:hint="default" w:ascii="Times New Roman" w:hAnsi="Times New Roman" w:cs="Times New Roman"/>
                    </w:rPr>
                  </w:pPr>
                  <w:r>
                    <w:rPr>
                      <w:rFonts w:hint="default" w:ascii="Times New Roman" w:hAnsi="Times New Roman" w:cs="Times New Roman"/>
                    </w:rPr>
                    <w:t>禁止新建、扩建不符合国家石化、现代煤化工等产业布局规划的项目：</w:t>
                  </w:r>
                </w:p>
                <w:p w14:paraId="52C825E5">
                  <w:pPr>
                    <w:rPr>
                      <w:rFonts w:hint="default" w:ascii="Times New Roman" w:hAnsi="Times New Roman" w:cs="Times New Roman"/>
                    </w:rPr>
                  </w:pPr>
                  <w:r>
                    <w:rPr>
                      <w:rFonts w:hint="default" w:ascii="Times New Roman" w:hAnsi="Times New Roman" w:cs="Times New Roman"/>
                    </w:rPr>
                    <w:t>①严格控制新增炼油产能，未列入《石化产业规划布局方案（修订版）》的新增炼油产能一律不得建设。</w:t>
                  </w:r>
                </w:p>
                <w:p w14:paraId="192A8B87">
                  <w:pPr>
                    <w:rPr>
                      <w:rFonts w:hint="default" w:ascii="Times New Roman" w:hAnsi="Times New Roman" w:cs="Times New Roman"/>
                    </w:rPr>
                  </w:pPr>
                  <w:r>
                    <w:rPr>
                      <w:rFonts w:hint="default" w:ascii="Times New Roman" w:hAnsi="Times New Roman" w:cs="Times New Roman"/>
                    </w:rPr>
                    <w:t>②新建煤制烯烃、煤制芳烃项目必须列入《现代煤化工产业创新发展布局方案》，必须符合《现代煤化工建设项目环境准入条件（试行）》要求</w:t>
                  </w:r>
                </w:p>
              </w:tc>
              <w:tc>
                <w:tcPr>
                  <w:tcW w:w="1464" w:type="pct"/>
                  <w:vAlign w:val="center"/>
                </w:tcPr>
                <w:p w14:paraId="71C25173">
                  <w:pPr>
                    <w:rPr>
                      <w:rFonts w:hint="default" w:ascii="Times New Roman" w:hAnsi="Times New Roman" w:cs="Times New Roman"/>
                    </w:rPr>
                  </w:pPr>
                  <w:r>
                    <w:rPr>
                      <w:rFonts w:hint="default" w:ascii="Times New Roman" w:hAnsi="Times New Roman" w:cs="Times New Roman"/>
                      <w:szCs w:val="21"/>
                    </w:rPr>
                    <w:t>本项目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w:t>
                  </w:r>
                  <w:r>
                    <w:rPr>
                      <w:rFonts w:hint="default" w:ascii="Times New Roman" w:hAnsi="Times New Roman" w:cs="Times New Roman"/>
                      <w:szCs w:val="21"/>
                    </w:rPr>
                    <w:t>石化、现代煤化工等项目</w:t>
                  </w:r>
                </w:p>
              </w:tc>
              <w:tc>
                <w:tcPr>
                  <w:tcW w:w="505" w:type="pct"/>
                  <w:vAlign w:val="center"/>
                </w:tcPr>
                <w:p w14:paraId="35A44347">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B1F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9355679">
                  <w:pPr>
                    <w:jc w:val="center"/>
                    <w:rPr>
                      <w:rFonts w:hint="default" w:ascii="Times New Roman" w:hAnsi="Times New Roman" w:cs="Times New Roman"/>
                    </w:rPr>
                  </w:pPr>
                  <w:r>
                    <w:rPr>
                      <w:rFonts w:hint="default" w:ascii="Times New Roman" w:hAnsi="Times New Roman" w:cs="Times New Roman"/>
                    </w:rPr>
                    <w:t>19</w:t>
                  </w:r>
                </w:p>
              </w:tc>
              <w:tc>
                <w:tcPr>
                  <w:tcW w:w="2599" w:type="pct"/>
                  <w:vAlign w:val="center"/>
                </w:tcPr>
                <w:p w14:paraId="1B6FB5C9">
                  <w:pPr>
                    <w:rPr>
                      <w:rFonts w:hint="default" w:ascii="Times New Roman" w:hAnsi="Times New Roman" w:cs="Times New Roman"/>
                    </w:rPr>
                  </w:pPr>
                  <w:r>
                    <w:rPr>
                      <w:rFonts w:hint="default" w:ascii="Times New Roman" w:hAnsi="Times New Roman" w:cs="Times New Roma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64" w:type="pct"/>
                  <w:vAlign w:val="center"/>
                </w:tcPr>
                <w:p w14:paraId="19479911">
                  <w:pPr>
                    <w:rPr>
                      <w:rFonts w:hint="default" w:ascii="Times New Roman" w:hAnsi="Times New Roman" w:cs="Times New Roman"/>
                    </w:rPr>
                  </w:pPr>
                  <w:r>
                    <w:rPr>
                      <w:rFonts w:hint="default" w:ascii="Times New Roman" w:hAnsi="Times New Roman" w:cs="Times New Roman"/>
                    </w:rPr>
                    <w:t>本项目不属于落后产能项目</w:t>
                  </w:r>
                </w:p>
              </w:tc>
              <w:tc>
                <w:tcPr>
                  <w:tcW w:w="505" w:type="pct"/>
                  <w:vAlign w:val="center"/>
                </w:tcPr>
                <w:p w14:paraId="718187A8">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69DF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19CF28F">
                  <w:pPr>
                    <w:jc w:val="center"/>
                    <w:rPr>
                      <w:rFonts w:hint="default" w:ascii="Times New Roman" w:hAnsi="Times New Roman" w:cs="Times New Roman"/>
                    </w:rPr>
                  </w:pPr>
                  <w:r>
                    <w:rPr>
                      <w:rFonts w:hint="default" w:ascii="Times New Roman" w:hAnsi="Times New Roman" w:cs="Times New Roman"/>
                    </w:rPr>
                    <w:t>20</w:t>
                  </w:r>
                </w:p>
              </w:tc>
              <w:tc>
                <w:tcPr>
                  <w:tcW w:w="2599" w:type="pct"/>
                  <w:vAlign w:val="center"/>
                </w:tcPr>
                <w:p w14:paraId="4671A390">
                  <w:pPr>
                    <w:rPr>
                      <w:rFonts w:hint="default" w:ascii="Times New Roman" w:hAnsi="Times New Roman" w:cs="Times New Roman"/>
                    </w:rPr>
                  </w:pPr>
                  <w:r>
                    <w:rPr>
                      <w:rFonts w:hint="default" w:ascii="Times New Roman" w:hAnsi="Times New Roman" w:cs="Times New Roman"/>
                    </w:rPr>
                    <w:t>禁止新建、扩建不符合国家产能置换要求的严重过剩产能行业的项目。对于不符合国家产能置换要求的严重过剩产能行业，不得以其他任何名义、任何方式备案新增产能项目</w:t>
                  </w:r>
                </w:p>
              </w:tc>
              <w:tc>
                <w:tcPr>
                  <w:tcW w:w="1464" w:type="pct"/>
                  <w:vAlign w:val="center"/>
                </w:tcPr>
                <w:p w14:paraId="319548A1">
                  <w:pPr>
                    <w:rPr>
                      <w:rFonts w:hint="default" w:ascii="Times New Roman" w:hAnsi="Times New Roman" w:cs="Times New Roman"/>
                    </w:rPr>
                  </w:pPr>
                  <w:r>
                    <w:rPr>
                      <w:rFonts w:hint="default" w:ascii="Times New Roman" w:hAnsi="Times New Roman" w:cs="Times New Roman"/>
                    </w:rPr>
                    <w:t>本项目不属于严重过剩产能行业项目</w:t>
                  </w:r>
                </w:p>
              </w:tc>
              <w:tc>
                <w:tcPr>
                  <w:tcW w:w="505" w:type="pct"/>
                  <w:vAlign w:val="center"/>
                </w:tcPr>
                <w:p w14:paraId="564A3886">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2908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572B5E6">
                  <w:pPr>
                    <w:jc w:val="center"/>
                    <w:rPr>
                      <w:rFonts w:hint="default" w:ascii="Times New Roman" w:hAnsi="Times New Roman" w:cs="Times New Roman"/>
                    </w:rPr>
                  </w:pPr>
                  <w:r>
                    <w:rPr>
                      <w:rFonts w:hint="default" w:ascii="Times New Roman" w:hAnsi="Times New Roman" w:cs="Times New Roman"/>
                    </w:rPr>
                    <w:t>21</w:t>
                  </w:r>
                </w:p>
              </w:tc>
              <w:tc>
                <w:tcPr>
                  <w:tcW w:w="2599" w:type="pct"/>
                  <w:vAlign w:val="center"/>
                </w:tcPr>
                <w:p w14:paraId="4B6E038C">
                  <w:pPr>
                    <w:rPr>
                      <w:rFonts w:hint="default" w:ascii="Times New Roman" w:hAnsi="Times New Roman" w:cs="Times New Roman"/>
                    </w:rPr>
                  </w:pPr>
                  <w:r>
                    <w:rPr>
                      <w:rFonts w:hint="default" w:ascii="Times New Roman" w:hAnsi="Times New Roman" w:cs="Times New Roman"/>
                    </w:rPr>
                    <w:t>禁止建设以下燃油汽车投资项目（不在中国境内销售产品的投资项目除外）</w:t>
                  </w:r>
                </w:p>
                <w:p w14:paraId="5EB61114">
                  <w:pPr>
                    <w:rPr>
                      <w:rFonts w:hint="default" w:ascii="Times New Roman" w:hAnsi="Times New Roman" w:cs="Times New Roman"/>
                    </w:rPr>
                  </w:pPr>
                  <w:r>
                    <w:rPr>
                      <w:rFonts w:hint="default" w:ascii="Times New Roman" w:hAnsi="Times New Roman" w:cs="Times New Roman"/>
                    </w:rPr>
                    <w:t>①新建独立燃油汽车企业；</w:t>
                  </w:r>
                </w:p>
                <w:p w14:paraId="4BFA6F09">
                  <w:pPr>
                    <w:rPr>
                      <w:rFonts w:hint="default" w:ascii="Times New Roman" w:hAnsi="Times New Roman" w:cs="Times New Roman"/>
                    </w:rPr>
                  </w:pPr>
                  <w:r>
                    <w:rPr>
                      <w:rFonts w:hint="default" w:ascii="Times New Roman" w:hAnsi="Times New Roman" w:cs="Times New Roman"/>
                    </w:rPr>
                    <w:t>②现有汽车企业跨乘用车、商用车类别建设燃油汽车生产能力；</w:t>
                  </w:r>
                </w:p>
                <w:p w14:paraId="13F86B82">
                  <w:pPr>
                    <w:rPr>
                      <w:rFonts w:hint="default" w:ascii="Times New Roman" w:hAnsi="Times New Roman" w:cs="Times New Roman"/>
                    </w:rPr>
                  </w:pPr>
                  <w:r>
                    <w:rPr>
                      <w:rFonts w:hint="default" w:ascii="Times New Roman" w:hAnsi="Times New Roman" w:cs="Times New Roman"/>
                    </w:rPr>
                    <w:t>③外省现有燃油汽车企业整体搬迁至本省（列入国家级区域发展规划或不改变企业股权结构的项目除外）；</w:t>
                  </w:r>
                </w:p>
                <w:p w14:paraId="48DB7ADD">
                  <w:pPr>
                    <w:rPr>
                      <w:rFonts w:hint="default" w:ascii="Times New Roman" w:hAnsi="Times New Roman" w:cs="Times New Roman"/>
                    </w:rPr>
                  </w:pPr>
                  <w:r>
                    <w:rPr>
                      <w:rFonts w:hint="default" w:ascii="Times New Roman" w:hAnsi="Times New Roman" w:cs="Times New Roman"/>
                    </w:rPr>
                    <w:t>④对行业管理部门特别公示的燃油汽车企业进行投资（企业原有股东投资或将该企业转为非独立法人的投资项目除外）</w:t>
                  </w:r>
                </w:p>
              </w:tc>
              <w:tc>
                <w:tcPr>
                  <w:tcW w:w="1464" w:type="pct"/>
                  <w:vAlign w:val="center"/>
                </w:tcPr>
                <w:p w14:paraId="2F821800">
                  <w:pPr>
                    <w:rPr>
                      <w:rFonts w:hint="default" w:ascii="Times New Roman" w:hAnsi="Times New Roman" w:cs="Times New Roman"/>
                    </w:rPr>
                  </w:pPr>
                  <w:r>
                    <w:rPr>
                      <w:rFonts w:hint="default" w:ascii="Times New Roman" w:hAnsi="Times New Roman" w:cs="Times New Roman"/>
                      <w:szCs w:val="21"/>
                    </w:rPr>
                    <w:t>本项目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汽车零部件表面喷粉项目</w:t>
                  </w:r>
                  <w:r>
                    <w:rPr>
                      <w:rFonts w:hint="default" w:ascii="Times New Roman" w:hAnsi="Times New Roman" w:cs="Times New Roman"/>
                      <w:sz w:val="21"/>
                      <w:szCs w:val="18"/>
                    </w:rPr>
                    <w:t>，</w:t>
                  </w:r>
                  <w:r>
                    <w:rPr>
                      <w:rFonts w:hint="default" w:ascii="Times New Roman" w:hAnsi="Times New Roman" w:cs="Times New Roman"/>
                    </w:rPr>
                    <w:t>不属于燃油汽车投资项目</w:t>
                  </w:r>
                </w:p>
              </w:tc>
              <w:tc>
                <w:tcPr>
                  <w:tcW w:w="505" w:type="pct"/>
                  <w:vAlign w:val="center"/>
                </w:tcPr>
                <w:p w14:paraId="10AEDC88">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5D50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1CA69AC">
                  <w:pPr>
                    <w:jc w:val="center"/>
                    <w:rPr>
                      <w:rFonts w:hint="default" w:ascii="Times New Roman" w:hAnsi="Times New Roman" w:cs="Times New Roman"/>
                    </w:rPr>
                  </w:pPr>
                  <w:r>
                    <w:rPr>
                      <w:rFonts w:hint="default" w:ascii="Times New Roman" w:hAnsi="Times New Roman" w:cs="Times New Roman"/>
                    </w:rPr>
                    <w:t>22</w:t>
                  </w:r>
                </w:p>
              </w:tc>
              <w:tc>
                <w:tcPr>
                  <w:tcW w:w="2599" w:type="pct"/>
                  <w:vAlign w:val="center"/>
                </w:tcPr>
                <w:p w14:paraId="240BBF69">
                  <w:pPr>
                    <w:rPr>
                      <w:rFonts w:hint="default" w:ascii="Times New Roman" w:hAnsi="Times New Roman" w:cs="Times New Roman"/>
                    </w:rPr>
                  </w:pPr>
                  <w:r>
                    <w:rPr>
                      <w:rFonts w:hint="default" w:ascii="Times New Roman" w:hAnsi="Times New Roman" w:cs="Times New Roman"/>
                    </w:rPr>
                    <w:t>禁止新建、扩建不符合要求的高耗能、高排放、低水平项目</w:t>
                  </w:r>
                </w:p>
              </w:tc>
              <w:tc>
                <w:tcPr>
                  <w:tcW w:w="1464" w:type="pct"/>
                  <w:vAlign w:val="center"/>
                </w:tcPr>
                <w:p w14:paraId="1AC7C3BB">
                  <w:pPr>
                    <w:rPr>
                      <w:rFonts w:hint="default" w:ascii="Times New Roman" w:hAnsi="Times New Roman" w:cs="Times New Roman"/>
                    </w:rPr>
                  </w:pPr>
                  <w:r>
                    <w:rPr>
                      <w:rFonts w:hint="default" w:ascii="Times New Roman" w:hAnsi="Times New Roman" w:cs="Times New Roman"/>
                    </w:rPr>
                    <w:t>本项目不属于高耗能、高排放、低水平项目</w:t>
                  </w:r>
                </w:p>
              </w:tc>
              <w:tc>
                <w:tcPr>
                  <w:tcW w:w="505" w:type="pct"/>
                  <w:vAlign w:val="center"/>
                </w:tcPr>
                <w:p w14:paraId="6B991922">
                  <w:pPr>
                    <w:jc w:val="center"/>
                    <w:rPr>
                      <w:rFonts w:hint="default" w:ascii="Times New Roman" w:hAnsi="Times New Roman" w:cs="Times New Roman"/>
                      <w:szCs w:val="21"/>
                    </w:rPr>
                  </w:pPr>
                  <w:r>
                    <w:rPr>
                      <w:rFonts w:hint="default" w:ascii="Times New Roman" w:hAnsi="Times New Roman" w:cs="Times New Roman"/>
                      <w:szCs w:val="21"/>
                    </w:rPr>
                    <w:t>符合</w:t>
                  </w:r>
                </w:p>
              </w:tc>
            </w:tr>
          </w:tbl>
          <w:p w14:paraId="5DC3D2F2">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根据表1.</w:t>
            </w:r>
            <w:r>
              <w:rPr>
                <w:rFonts w:hint="eastAsia" w:ascii="Times New Roman" w:hAnsi="Times New Roman" w:cs="Times New Roman"/>
                <w:sz w:val="24"/>
                <w:lang w:val="en-US" w:eastAsia="zh-CN"/>
              </w:rPr>
              <w:t>2</w:t>
            </w:r>
            <w:r>
              <w:rPr>
                <w:rFonts w:hint="default" w:ascii="Times New Roman" w:hAnsi="Times New Roman" w:cs="Times New Roman"/>
                <w:sz w:val="24"/>
              </w:rPr>
              <w:t>-</w:t>
            </w:r>
            <w:r>
              <w:rPr>
                <w:rFonts w:hint="eastAsia" w:ascii="Times New Roman" w:hAnsi="Times New Roman" w:cs="Times New Roman"/>
                <w:sz w:val="24"/>
                <w:lang w:val="en-US" w:eastAsia="zh-CN"/>
              </w:rPr>
              <w:t>4</w:t>
            </w:r>
            <w:r>
              <w:rPr>
                <w:rFonts w:hint="default" w:ascii="Times New Roman" w:hAnsi="Times New Roman" w:cs="Times New Roman"/>
                <w:sz w:val="24"/>
              </w:rPr>
              <w:t>分析可知，本项目不属于《四川省、重庆市长江经济带发展负面清单实施细则（试行，2022年版）》禁止建设类项目，符合相关要求。</w:t>
            </w:r>
          </w:p>
          <w:p w14:paraId="10F8AA8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rPr>
            </w:pPr>
            <w:r>
              <w:rPr>
                <w:rFonts w:hint="eastAsia" w:ascii="Times New Roman" w:hAnsi="Times New Roman" w:cs="Times New Roman"/>
                <w:b/>
                <w:sz w:val="24"/>
                <w:lang w:val="en-US" w:eastAsia="zh-CN"/>
              </w:rPr>
              <w:t>4）</w:t>
            </w:r>
            <w:r>
              <w:rPr>
                <w:rFonts w:hint="default" w:ascii="Times New Roman" w:hAnsi="Times New Roman" w:cs="Times New Roman"/>
                <w:b/>
                <w:sz w:val="24"/>
              </w:rPr>
              <w:t>与《中华人民共和国长江保护法》的符合性分析</w:t>
            </w:r>
          </w:p>
          <w:p w14:paraId="4CFFE0A7">
            <w:pPr>
              <w:spacing w:line="360" w:lineRule="auto"/>
              <w:jc w:val="center"/>
              <w:rPr>
                <w:rFonts w:hint="default" w:ascii="Times New Roman" w:hAnsi="Times New Roman" w:cs="Times New Roman"/>
                <w:b/>
                <w:sz w:val="24"/>
              </w:rPr>
            </w:pPr>
            <w:r>
              <w:rPr>
                <w:rFonts w:hint="default" w:ascii="Times New Roman" w:hAnsi="Times New Roman" w:cs="Times New Roman"/>
                <w:b/>
                <w:sz w:val="24"/>
              </w:rPr>
              <w:t>表1.</w:t>
            </w:r>
            <w:r>
              <w:rPr>
                <w:rFonts w:hint="eastAsia" w:ascii="Times New Roman" w:hAnsi="Times New Roman" w:cs="Times New Roman"/>
                <w:b/>
                <w:sz w:val="24"/>
                <w:lang w:val="en-US" w:eastAsia="zh-CN"/>
              </w:rPr>
              <w:t>2</w:t>
            </w:r>
            <w:r>
              <w:rPr>
                <w:rFonts w:hint="default" w:ascii="Times New Roman" w:hAnsi="Times New Roman" w:cs="Times New Roman"/>
                <w:b/>
                <w:sz w:val="24"/>
              </w:rPr>
              <w:t>-</w:t>
            </w: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  与《中华人民共和国长江保护法》符合性分析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4102"/>
              <w:gridCol w:w="2501"/>
              <w:gridCol w:w="805"/>
            </w:tblGrid>
            <w:tr w14:paraId="7441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7F52FFF">
                  <w:pPr>
                    <w:jc w:val="center"/>
                    <w:rPr>
                      <w:rFonts w:hint="default" w:ascii="Times New Roman" w:hAnsi="Times New Roman" w:cs="Times New Roman"/>
                    </w:rPr>
                  </w:pPr>
                  <w:r>
                    <w:rPr>
                      <w:rFonts w:hint="default" w:ascii="Times New Roman" w:hAnsi="Times New Roman" w:cs="Times New Roman"/>
                    </w:rPr>
                    <w:t>序号</w:t>
                  </w:r>
                </w:p>
              </w:tc>
              <w:tc>
                <w:tcPr>
                  <w:tcW w:w="2544" w:type="pct"/>
                  <w:vAlign w:val="center"/>
                </w:tcPr>
                <w:p w14:paraId="043A265E">
                  <w:pPr>
                    <w:jc w:val="center"/>
                    <w:rPr>
                      <w:rFonts w:hint="default" w:ascii="Times New Roman" w:hAnsi="Times New Roman" w:cs="Times New Roman"/>
                    </w:rPr>
                  </w:pPr>
                  <w:r>
                    <w:rPr>
                      <w:rFonts w:hint="default" w:ascii="Times New Roman" w:hAnsi="Times New Roman" w:cs="Times New Roman"/>
                    </w:rPr>
                    <w:t>相关要求</w:t>
                  </w:r>
                </w:p>
              </w:tc>
              <w:tc>
                <w:tcPr>
                  <w:tcW w:w="1551" w:type="pct"/>
                  <w:vAlign w:val="center"/>
                </w:tcPr>
                <w:p w14:paraId="485FB7B0">
                  <w:pPr>
                    <w:jc w:val="center"/>
                    <w:rPr>
                      <w:rFonts w:hint="default" w:ascii="Times New Roman" w:hAnsi="Times New Roman" w:cs="Times New Roman"/>
                    </w:rPr>
                  </w:pPr>
                  <w:r>
                    <w:rPr>
                      <w:rFonts w:hint="default" w:ascii="Times New Roman" w:hAnsi="Times New Roman" w:cs="Times New Roman"/>
                    </w:rPr>
                    <w:t>项目情况</w:t>
                  </w:r>
                </w:p>
              </w:tc>
              <w:tc>
                <w:tcPr>
                  <w:tcW w:w="499" w:type="pct"/>
                  <w:vAlign w:val="center"/>
                </w:tcPr>
                <w:p w14:paraId="4B043AD3">
                  <w:pPr>
                    <w:jc w:val="center"/>
                    <w:rPr>
                      <w:rFonts w:hint="default" w:ascii="Times New Roman" w:hAnsi="Times New Roman" w:cs="Times New Roman"/>
                    </w:rPr>
                  </w:pPr>
                  <w:r>
                    <w:rPr>
                      <w:rFonts w:hint="default" w:ascii="Times New Roman" w:hAnsi="Times New Roman" w:cs="Times New Roman"/>
                      <w:szCs w:val="21"/>
                    </w:rPr>
                    <w:t>符合性</w:t>
                  </w:r>
                </w:p>
              </w:tc>
            </w:tr>
            <w:tr w14:paraId="199C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7516D25">
                  <w:pPr>
                    <w:jc w:val="center"/>
                    <w:rPr>
                      <w:rFonts w:hint="default" w:ascii="Times New Roman" w:hAnsi="Times New Roman" w:cs="Times New Roman"/>
                    </w:rPr>
                  </w:pPr>
                  <w:r>
                    <w:rPr>
                      <w:rFonts w:hint="default" w:ascii="Times New Roman" w:hAnsi="Times New Roman" w:cs="Times New Roman"/>
                    </w:rPr>
                    <w:t>1</w:t>
                  </w:r>
                </w:p>
              </w:tc>
              <w:tc>
                <w:tcPr>
                  <w:tcW w:w="2544" w:type="pct"/>
                  <w:vAlign w:val="center"/>
                </w:tcPr>
                <w:p w14:paraId="4AF8649F">
                  <w:pPr>
                    <w:rPr>
                      <w:rFonts w:hint="default" w:ascii="Times New Roman" w:hAnsi="Times New Roman" w:cs="Times New Roman"/>
                    </w:rPr>
                  </w:pPr>
                  <w:r>
                    <w:rPr>
                      <w:rFonts w:hint="default" w:ascii="Times New Roman" w:hAnsi="Times New Roman" w:cs="Times New Roman"/>
                    </w:rPr>
                    <w:t>禁止在长江流域重点生态功能区布局对生态系统有严重影响的产业。禁止重污染企业和项目向长江中上游转</w:t>
                  </w:r>
                </w:p>
              </w:tc>
              <w:tc>
                <w:tcPr>
                  <w:tcW w:w="1551" w:type="pct"/>
                  <w:vAlign w:val="center"/>
                </w:tcPr>
                <w:p w14:paraId="55BA2C60">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不在长江流域重点生态功能区内，且不属于对生态系统有严重影响的产业</w:t>
                  </w:r>
                </w:p>
              </w:tc>
              <w:tc>
                <w:tcPr>
                  <w:tcW w:w="499" w:type="pct"/>
                  <w:vAlign w:val="center"/>
                </w:tcPr>
                <w:p w14:paraId="1F162CE3">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B24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9A8D8BE">
                  <w:pPr>
                    <w:jc w:val="center"/>
                    <w:rPr>
                      <w:rFonts w:hint="default" w:ascii="Times New Roman" w:hAnsi="Times New Roman" w:cs="Times New Roman"/>
                    </w:rPr>
                  </w:pPr>
                  <w:r>
                    <w:rPr>
                      <w:rFonts w:hint="default" w:ascii="Times New Roman" w:hAnsi="Times New Roman" w:cs="Times New Roman"/>
                    </w:rPr>
                    <w:t>2</w:t>
                  </w:r>
                </w:p>
              </w:tc>
              <w:tc>
                <w:tcPr>
                  <w:tcW w:w="2544" w:type="pct"/>
                  <w:vAlign w:val="center"/>
                </w:tcPr>
                <w:p w14:paraId="34C96C34">
                  <w:pPr>
                    <w:rPr>
                      <w:rFonts w:hint="default" w:ascii="Times New Roman" w:hAnsi="Times New Roman" w:cs="Times New Roman"/>
                    </w:rPr>
                  </w:pPr>
                  <w:r>
                    <w:rPr>
                      <w:rFonts w:hint="default" w:ascii="Times New Roman" w:hAnsi="Times New Roman" w:cs="Times New Roman"/>
                      <w:szCs w:val="21"/>
                    </w:rPr>
                    <w:t>禁止在长江干支流岸线一公里范围内新建、扩建化工园区和化工项目</w:t>
                  </w:r>
                </w:p>
              </w:tc>
              <w:tc>
                <w:tcPr>
                  <w:tcW w:w="1551" w:type="pct"/>
                  <w:vAlign w:val="center"/>
                </w:tcPr>
                <w:p w14:paraId="36B59BB1">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不在长江干支流岸线一公里范围内，不属于化工项目</w:t>
                  </w:r>
                </w:p>
              </w:tc>
              <w:tc>
                <w:tcPr>
                  <w:tcW w:w="499" w:type="pct"/>
                  <w:vAlign w:val="center"/>
                </w:tcPr>
                <w:p w14:paraId="55CE95EE">
                  <w:pPr>
                    <w:jc w:val="center"/>
                    <w:rPr>
                      <w:rFonts w:hint="default" w:ascii="Times New Roman" w:hAnsi="Times New Roman" w:cs="Times New Roman"/>
                    </w:rPr>
                  </w:pPr>
                  <w:r>
                    <w:rPr>
                      <w:rFonts w:hint="default" w:ascii="Times New Roman" w:hAnsi="Times New Roman" w:cs="Times New Roman"/>
                      <w:szCs w:val="21"/>
                    </w:rPr>
                    <w:t>符合</w:t>
                  </w:r>
                </w:p>
              </w:tc>
            </w:tr>
            <w:tr w14:paraId="250B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BC2DEEF">
                  <w:pPr>
                    <w:jc w:val="center"/>
                    <w:rPr>
                      <w:rFonts w:hint="default" w:ascii="Times New Roman" w:hAnsi="Times New Roman" w:cs="Times New Roman"/>
                    </w:rPr>
                  </w:pPr>
                  <w:r>
                    <w:rPr>
                      <w:rFonts w:hint="default" w:ascii="Times New Roman" w:hAnsi="Times New Roman" w:cs="Times New Roman"/>
                    </w:rPr>
                    <w:t>3</w:t>
                  </w:r>
                </w:p>
              </w:tc>
              <w:tc>
                <w:tcPr>
                  <w:tcW w:w="2544" w:type="pct"/>
                  <w:vAlign w:val="center"/>
                </w:tcPr>
                <w:p w14:paraId="5204FA76">
                  <w:pPr>
                    <w:rPr>
                      <w:rFonts w:hint="default" w:ascii="Times New Roman" w:hAnsi="Times New Roman" w:cs="Times New Roman"/>
                    </w:rPr>
                  </w:pPr>
                  <w:r>
                    <w:rPr>
                      <w:rFonts w:hint="default" w:ascii="Times New Roman" w:hAnsi="Times New Roman" w:cs="Times New Roman"/>
                      <w:szCs w:val="21"/>
                    </w:rPr>
                    <w:t>禁止在长江干流岸线三公里范围内和重要支流岸线一公里范围内新建、改建、扩建尾矿库；但是以提升安全、生态环境保护水平为目的的改建除外</w:t>
                  </w:r>
                </w:p>
              </w:tc>
              <w:tc>
                <w:tcPr>
                  <w:tcW w:w="1551" w:type="pct"/>
                  <w:vAlign w:val="center"/>
                </w:tcPr>
                <w:p w14:paraId="3A56EE17">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不属于尾矿库项目</w:t>
                  </w:r>
                </w:p>
              </w:tc>
              <w:tc>
                <w:tcPr>
                  <w:tcW w:w="499" w:type="pct"/>
                  <w:vAlign w:val="center"/>
                </w:tcPr>
                <w:p w14:paraId="0C9797FD">
                  <w:pPr>
                    <w:jc w:val="center"/>
                    <w:rPr>
                      <w:rFonts w:hint="default" w:ascii="Times New Roman" w:hAnsi="Times New Roman" w:cs="Times New Roman"/>
                    </w:rPr>
                  </w:pPr>
                  <w:r>
                    <w:rPr>
                      <w:rFonts w:hint="default" w:ascii="Times New Roman" w:hAnsi="Times New Roman" w:cs="Times New Roman"/>
                      <w:szCs w:val="21"/>
                    </w:rPr>
                    <w:t>符合</w:t>
                  </w:r>
                </w:p>
              </w:tc>
            </w:tr>
            <w:tr w14:paraId="04EC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D0D45A5">
                  <w:pPr>
                    <w:jc w:val="center"/>
                    <w:rPr>
                      <w:rFonts w:hint="default" w:ascii="Times New Roman" w:hAnsi="Times New Roman" w:cs="Times New Roman"/>
                    </w:rPr>
                  </w:pPr>
                  <w:r>
                    <w:rPr>
                      <w:rFonts w:hint="default" w:ascii="Times New Roman" w:hAnsi="Times New Roman" w:cs="Times New Roman"/>
                    </w:rPr>
                    <w:t>4</w:t>
                  </w:r>
                </w:p>
              </w:tc>
              <w:tc>
                <w:tcPr>
                  <w:tcW w:w="2544" w:type="pct"/>
                  <w:vAlign w:val="center"/>
                </w:tcPr>
                <w:p w14:paraId="3068D703">
                  <w:pPr>
                    <w:rPr>
                      <w:rFonts w:hint="default" w:ascii="Times New Roman" w:hAnsi="Times New Roman" w:cs="Times New Roman"/>
                      <w:szCs w:val="21"/>
                    </w:rPr>
                  </w:pPr>
                  <w:r>
                    <w:rPr>
                      <w:rFonts w:hint="default" w:ascii="Times New Roman" w:hAnsi="Times New Roman" w:cs="Times New Roman"/>
                      <w:szCs w:val="21"/>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严格限制在长江流域生态保护红线、自然保护地、水生生物重要栖息地水域实施航道整治工程；确需整治的，应当经科学论证并依法办理相关手续</w:t>
                  </w:r>
                </w:p>
              </w:tc>
              <w:tc>
                <w:tcPr>
                  <w:tcW w:w="1551" w:type="pct"/>
                  <w:vAlign w:val="center"/>
                </w:tcPr>
                <w:p w14:paraId="18880A27">
                  <w:pPr>
                    <w:rPr>
                      <w:rFonts w:hint="default" w:ascii="Times New Roman" w:hAnsi="Times New Roman" w:cs="Times New Roman"/>
                      <w:szCs w:val="21"/>
                    </w:rPr>
                  </w:pPr>
                  <w:r>
                    <w:rPr>
                      <w:rFonts w:hint="default" w:ascii="Times New Roman" w:hAnsi="Times New Roman" w:cs="Times New Roman"/>
                      <w:szCs w:val="21"/>
                    </w:rPr>
                    <w:t>本项目位于重庆西彭工业园区西彭组团D标准分区，不涉及生态保护红线、自然保护地、水生生物重要栖息地水域等区域，不属于通航等行业</w:t>
                  </w:r>
                </w:p>
              </w:tc>
              <w:tc>
                <w:tcPr>
                  <w:tcW w:w="499" w:type="pct"/>
                  <w:vAlign w:val="center"/>
                </w:tcPr>
                <w:p w14:paraId="5B90235C">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15E3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06093935">
                  <w:pPr>
                    <w:jc w:val="center"/>
                    <w:rPr>
                      <w:rFonts w:hint="default" w:ascii="Times New Roman" w:hAnsi="Times New Roman" w:cs="Times New Roman"/>
                    </w:rPr>
                  </w:pPr>
                  <w:r>
                    <w:rPr>
                      <w:rFonts w:hint="default" w:ascii="Times New Roman" w:hAnsi="Times New Roman" w:cs="Times New Roman"/>
                    </w:rPr>
                    <w:t>5</w:t>
                  </w:r>
                </w:p>
              </w:tc>
              <w:tc>
                <w:tcPr>
                  <w:tcW w:w="2544" w:type="pct"/>
                  <w:vAlign w:val="center"/>
                </w:tcPr>
                <w:p w14:paraId="639C70FB">
                  <w:pPr>
                    <w:rPr>
                      <w:rFonts w:hint="default" w:ascii="Times New Roman" w:hAnsi="Times New Roman" w:cs="Times New Roman"/>
                      <w:szCs w:val="21"/>
                    </w:rPr>
                  </w:pPr>
                  <w:r>
                    <w:rPr>
                      <w:rFonts w:hint="default" w:ascii="Times New Roman" w:hAnsi="Times New Roman" w:cs="Times New Roman"/>
                      <w:kern w:val="0"/>
                      <w:szCs w:val="22"/>
                    </w:rPr>
                    <w:t>禁止在长江流域开放水域养殖、投放外来物种或者其他非本地物种种质资源</w:t>
                  </w:r>
                </w:p>
              </w:tc>
              <w:tc>
                <w:tcPr>
                  <w:tcW w:w="1551" w:type="pct"/>
                  <w:vAlign w:val="center"/>
                </w:tcPr>
                <w:p w14:paraId="1374131E">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不属于养殖行业</w:t>
                  </w:r>
                </w:p>
              </w:tc>
              <w:tc>
                <w:tcPr>
                  <w:tcW w:w="499" w:type="pct"/>
                  <w:vAlign w:val="center"/>
                </w:tcPr>
                <w:p w14:paraId="5F0E76B8">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7A64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3E03F8E">
                  <w:pPr>
                    <w:jc w:val="center"/>
                    <w:rPr>
                      <w:rFonts w:hint="default" w:ascii="Times New Roman" w:hAnsi="Times New Roman" w:cs="Times New Roman"/>
                    </w:rPr>
                  </w:pPr>
                  <w:r>
                    <w:rPr>
                      <w:rFonts w:hint="default" w:ascii="Times New Roman" w:hAnsi="Times New Roman" w:cs="Times New Roman"/>
                    </w:rPr>
                    <w:t>6</w:t>
                  </w:r>
                </w:p>
              </w:tc>
              <w:tc>
                <w:tcPr>
                  <w:tcW w:w="2544" w:type="pct"/>
                  <w:vAlign w:val="center"/>
                </w:tcPr>
                <w:p w14:paraId="7A6D56B9">
                  <w:pPr>
                    <w:rPr>
                      <w:rFonts w:hint="default" w:ascii="Times New Roman" w:hAnsi="Times New Roman" w:cs="Times New Roman"/>
                      <w:szCs w:val="21"/>
                    </w:rPr>
                  </w:pPr>
                  <w:r>
                    <w:rPr>
                      <w:rFonts w:hint="default" w:ascii="Times New Roman" w:hAnsi="Times New Roman" w:cs="Times New Roman"/>
                      <w:kern w:val="0"/>
                      <w:szCs w:val="22"/>
                    </w:rPr>
                    <w:t>磷矿开采加工、磷肥和含磷农药制造等企业，应当按照排污许可要求，采取有效措施控制总磷排放浓度和排放总量；对排污口和周边环境进行总磷监测，依法公开监测信息</w:t>
                  </w:r>
                </w:p>
              </w:tc>
              <w:tc>
                <w:tcPr>
                  <w:tcW w:w="1551" w:type="pct"/>
                  <w:vAlign w:val="center"/>
                </w:tcPr>
                <w:p w14:paraId="47E0CB31">
                  <w:pPr>
                    <w:rPr>
                      <w:rFonts w:hint="default" w:ascii="Times New Roman" w:hAnsi="Times New Roman" w:cs="Times New Roman"/>
                    </w:rPr>
                  </w:pPr>
                  <w:r>
                    <w:rPr>
                      <w:rFonts w:hint="default" w:ascii="Times New Roman" w:hAnsi="Times New Roman" w:cs="Times New Roman"/>
                    </w:rPr>
                    <w:t>本项目不属于</w:t>
                  </w:r>
                  <w:r>
                    <w:rPr>
                      <w:rFonts w:hint="default" w:ascii="Times New Roman" w:hAnsi="Times New Roman" w:cs="Times New Roman"/>
                      <w:kern w:val="0"/>
                      <w:szCs w:val="22"/>
                    </w:rPr>
                    <w:t>磷矿开采加工、磷肥和含磷农药制造等行业</w:t>
                  </w:r>
                </w:p>
              </w:tc>
              <w:tc>
                <w:tcPr>
                  <w:tcW w:w="499" w:type="pct"/>
                  <w:vAlign w:val="center"/>
                </w:tcPr>
                <w:p w14:paraId="26F65718">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4C16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A172EE2">
                  <w:pPr>
                    <w:jc w:val="center"/>
                    <w:rPr>
                      <w:rFonts w:hint="default" w:ascii="Times New Roman" w:hAnsi="Times New Roman" w:cs="Times New Roman"/>
                    </w:rPr>
                  </w:pPr>
                  <w:r>
                    <w:rPr>
                      <w:rFonts w:hint="default" w:ascii="Times New Roman" w:hAnsi="Times New Roman" w:cs="Times New Roman"/>
                    </w:rPr>
                    <w:t>7</w:t>
                  </w:r>
                </w:p>
              </w:tc>
              <w:tc>
                <w:tcPr>
                  <w:tcW w:w="2544" w:type="pct"/>
                  <w:vAlign w:val="center"/>
                </w:tcPr>
                <w:p w14:paraId="2AAAA284">
                  <w:pPr>
                    <w:rPr>
                      <w:rFonts w:hint="default" w:ascii="Times New Roman" w:hAnsi="Times New Roman" w:cs="Times New Roman"/>
                      <w:kern w:val="0"/>
                      <w:szCs w:val="22"/>
                    </w:rPr>
                  </w:pPr>
                  <w:r>
                    <w:rPr>
                      <w:rFonts w:hint="default" w:ascii="Times New Roman" w:hAnsi="Times New Roman" w:cs="Times New Roman"/>
                      <w:kern w:val="0"/>
                      <w:szCs w:val="22"/>
                    </w:rPr>
                    <w:t>禁止在</w:t>
                  </w:r>
                  <w:r>
                    <w:rPr>
                      <w:rFonts w:hint="default" w:ascii="Times New Roman" w:hAnsi="Times New Roman" w:cs="Times New Roman"/>
                      <w:szCs w:val="22"/>
                    </w:rPr>
                    <w:t>长江流域水上运输剧毒化学品和国家规定禁止通过内河运输的其他危险化学品</w:t>
                  </w:r>
                </w:p>
              </w:tc>
              <w:tc>
                <w:tcPr>
                  <w:tcW w:w="1551" w:type="pct"/>
                  <w:vAlign w:val="center"/>
                </w:tcPr>
                <w:p w14:paraId="550F9E3D">
                  <w:pPr>
                    <w:rPr>
                      <w:rFonts w:hint="default" w:ascii="Times New Roman" w:hAnsi="Times New Roman" w:cs="Times New Roman"/>
                    </w:rPr>
                  </w:pPr>
                  <w:r>
                    <w:rPr>
                      <w:rFonts w:hint="default" w:ascii="Times New Roman" w:hAnsi="Times New Roman" w:cs="Times New Roman"/>
                    </w:rPr>
                    <w:t>本项目不涉及在长江</w:t>
                  </w:r>
                  <w:r>
                    <w:rPr>
                      <w:rFonts w:hint="default" w:ascii="Times New Roman" w:hAnsi="Times New Roman" w:cs="Times New Roman"/>
                      <w:szCs w:val="22"/>
                    </w:rPr>
                    <w:t>流域水上运输剧毒化学品和国家规定禁止通过内河运输的其他危险化学品</w:t>
                  </w:r>
                </w:p>
              </w:tc>
              <w:tc>
                <w:tcPr>
                  <w:tcW w:w="499" w:type="pct"/>
                  <w:vAlign w:val="center"/>
                </w:tcPr>
                <w:p w14:paraId="0EBD650E">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649A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F999FF1">
                  <w:pPr>
                    <w:jc w:val="center"/>
                    <w:rPr>
                      <w:rFonts w:hint="default" w:ascii="Times New Roman" w:hAnsi="Times New Roman" w:cs="Times New Roman"/>
                    </w:rPr>
                  </w:pPr>
                  <w:r>
                    <w:rPr>
                      <w:rFonts w:hint="default" w:ascii="Times New Roman" w:hAnsi="Times New Roman" w:cs="Times New Roman"/>
                    </w:rPr>
                    <w:t>8</w:t>
                  </w:r>
                </w:p>
              </w:tc>
              <w:tc>
                <w:tcPr>
                  <w:tcW w:w="2544" w:type="pct"/>
                  <w:vAlign w:val="center"/>
                </w:tcPr>
                <w:p w14:paraId="1160AB51">
                  <w:pPr>
                    <w:rPr>
                      <w:rFonts w:hint="default" w:ascii="Times New Roman" w:hAnsi="Times New Roman" w:cs="Times New Roman"/>
                      <w:szCs w:val="21"/>
                    </w:rPr>
                  </w:pPr>
                  <w:r>
                    <w:rPr>
                      <w:rFonts w:hint="default" w:ascii="Times New Roman" w:hAnsi="Times New Roman" w:cs="Times New Roman"/>
                      <w:kern w:val="0"/>
                      <w:szCs w:val="22"/>
                    </w:rPr>
                    <w:t>禁止违法利用、占用长江流域河湖岸线</w:t>
                  </w:r>
                </w:p>
              </w:tc>
              <w:tc>
                <w:tcPr>
                  <w:tcW w:w="1551" w:type="pct"/>
                  <w:vAlign w:val="center"/>
                </w:tcPr>
                <w:p w14:paraId="5E06C35C">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不涉及利用</w:t>
                  </w:r>
                  <w:r>
                    <w:rPr>
                      <w:rFonts w:hint="default" w:ascii="Times New Roman" w:hAnsi="Times New Roman" w:cs="Times New Roman"/>
                      <w:kern w:val="0"/>
                      <w:szCs w:val="22"/>
                    </w:rPr>
                    <w:t>、占用长江流域河湖岸线</w:t>
                  </w:r>
                </w:p>
              </w:tc>
              <w:tc>
                <w:tcPr>
                  <w:tcW w:w="499" w:type="pct"/>
                  <w:vAlign w:val="center"/>
                </w:tcPr>
                <w:p w14:paraId="11BF14D1">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5F23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2131ED3">
                  <w:pPr>
                    <w:jc w:val="center"/>
                    <w:rPr>
                      <w:rFonts w:hint="default" w:ascii="Times New Roman" w:hAnsi="Times New Roman" w:cs="Times New Roman"/>
                    </w:rPr>
                  </w:pPr>
                  <w:r>
                    <w:rPr>
                      <w:rFonts w:hint="default" w:ascii="Times New Roman" w:hAnsi="Times New Roman" w:cs="Times New Roman"/>
                    </w:rPr>
                    <w:t>9</w:t>
                  </w:r>
                </w:p>
              </w:tc>
              <w:tc>
                <w:tcPr>
                  <w:tcW w:w="2544" w:type="pct"/>
                  <w:vAlign w:val="center"/>
                </w:tcPr>
                <w:p w14:paraId="18DD553D">
                  <w:pPr>
                    <w:rPr>
                      <w:rFonts w:hint="default" w:ascii="Times New Roman" w:hAnsi="Times New Roman" w:cs="Times New Roman"/>
                      <w:szCs w:val="21"/>
                    </w:rPr>
                  </w:pPr>
                  <w:r>
                    <w:rPr>
                      <w:rFonts w:hint="default" w:ascii="Times New Roman" w:hAnsi="Times New Roman" w:cs="Times New Roman"/>
                      <w:kern w:val="0"/>
                      <w:szCs w:val="22"/>
                    </w:rPr>
                    <w:t>禁止在长江流域水土流失严重、生态脆弱的区域开展可能造成水土流失的生产建设活动。确因国家发展战略和国计民生需要建设的，应当经科学论证，并依法办理审批手续</w:t>
                  </w:r>
                </w:p>
              </w:tc>
              <w:tc>
                <w:tcPr>
                  <w:tcW w:w="1551" w:type="pct"/>
                  <w:vAlign w:val="center"/>
                </w:tcPr>
                <w:p w14:paraId="61864868">
                  <w:pPr>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szCs w:val="21"/>
                    </w:rPr>
                    <w:t>位于重庆西彭工业园区西彭组团D标准分区，</w:t>
                  </w:r>
                  <w:r>
                    <w:rPr>
                      <w:rFonts w:hint="default" w:ascii="Times New Roman" w:hAnsi="Times New Roman" w:cs="Times New Roman"/>
                    </w:rPr>
                    <w:t>选址不属于</w:t>
                  </w:r>
                  <w:r>
                    <w:rPr>
                      <w:rFonts w:hint="default" w:ascii="Times New Roman" w:hAnsi="Times New Roman" w:cs="Times New Roman"/>
                      <w:kern w:val="0"/>
                      <w:szCs w:val="22"/>
                    </w:rPr>
                    <w:t>长江流域水土流失严重、生态脆弱的区域</w:t>
                  </w:r>
                </w:p>
              </w:tc>
              <w:tc>
                <w:tcPr>
                  <w:tcW w:w="499" w:type="pct"/>
                  <w:vAlign w:val="center"/>
                </w:tcPr>
                <w:p w14:paraId="14DE85BB">
                  <w:pPr>
                    <w:jc w:val="center"/>
                    <w:rPr>
                      <w:rFonts w:hint="default" w:ascii="Times New Roman" w:hAnsi="Times New Roman" w:cs="Times New Roman"/>
                      <w:szCs w:val="21"/>
                    </w:rPr>
                  </w:pPr>
                  <w:r>
                    <w:rPr>
                      <w:rFonts w:hint="default" w:ascii="Times New Roman" w:hAnsi="Times New Roman" w:cs="Times New Roman"/>
                      <w:szCs w:val="21"/>
                    </w:rPr>
                    <w:t>符合</w:t>
                  </w:r>
                </w:p>
              </w:tc>
            </w:tr>
            <w:tr w14:paraId="039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D1F9F23">
                  <w:pPr>
                    <w:jc w:val="center"/>
                    <w:rPr>
                      <w:rFonts w:hint="default" w:ascii="Times New Roman" w:hAnsi="Times New Roman" w:cs="Times New Roman"/>
                    </w:rPr>
                  </w:pPr>
                  <w:r>
                    <w:rPr>
                      <w:rFonts w:hint="default" w:ascii="Times New Roman" w:hAnsi="Times New Roman" w:cs="Times New Roman"/>
                    </w:rPr>
                    <w:t>10</w:t>
                  </w:r>
                </w:p>
              </w:tc>
              <w:tc>
                <w:tcPr>
                  <w:tcW w:w="2544" w:type="pct"/>
                  <w:vAlign w:val="center"/>
                </w:tcPr>
                <w:p w14:paraId="01E667AB">
                  <w:pPr>
                    <w:rPr>
                      <w:rFonts w:hint="default" w:ascii="Times New Roman" w:hAnsi="Times New Roman" w:cs="Times New Roman"/>
                      <w:szCs w:val="21"/>
                    </w:rPr>
                  </w:pPr>
                  <w:r>
                    <w:rPr>
                      <w:rFonts w:hint="default" w:ascii="Times New Roman" w:hAnsi="Times New Roman" w:cs="Times New Roman"/>
                      <w:szCs w:val="21"/>
                    </w:rPr>
                    <w:t>推动钢铁、石油、化工、有色金属、建材、船舶等产业升级改造，提升技术装备水平；推动造纸、制革、电镀、印染、有色金属、农药、氮肥、焦化、原料药制造等企业实施清洁化改造。企业应当通过技术创新减少资源消耗和污染物排放。采取措施加快重点地区危险化学品生产企业搬迁改造</w:t>
                  </w:r>
                </w:p>
              </w:tc>
              <w:tc>
                <w:tcPr>
                  <w:tcW w:w="1551" w:type="pct"/>
                  <w:vAlign w:val="center"/>
                </w:tcPr>
                <w:p w14:paraId="6F8187BA">
                  <w:pPr>
                    <w:rPr>
                      <w:rFonts w:hint="default" w:ascii="Times New Roman" w:hAnsi="Times New Roman" w:cs="Times New Roman"/>
                    </w:rPr>
                  </w:pPr>
                  <w:r>
                    <w:rPr>
                      <w:rFonts w:hint="default" w:ascii="Times New Roman" w:hAnsi="Times New Roman" w:cs="Times New Roman"/>
                    </w:rPr>
                    <w:t>本项目不涉及限值类、淘汰类设备使用，不涉及</w:t>
                  </w:r>
                  <w:r>
                    <w:rPr>
                      <w:rFonts w:hint="default" w:ascii="Times New Roman" w:hAnsi="Times New Roman" w:cs="Times New Roman"/>
                      <w:szCs w:val="21"/>
                    </w:rPr>
                    <w:t>危险化学品生产</w:t>
                  </w:r>
                </w:p>
              </w:tc>
              <w:tc>
                <w:tcPr>
                  <w:tcW w:w="499" w:type="pct"/>
                  <w:vAlign w:val="center"/>
                </w:tcPr>
                <w:p w14:paraId="31AC29D6">
                  <w:pPr>
                    <w:jc w:val="center"/>
                    <w:rPr>
                      <w:rFonts w:hint="default" w:ascii="Times New Roman" w:hAnsi="Times New Roman" w:cs="Times New Roman"/>
                      <w:szCs w:val="21"/>
                    </w:rPr>
                  </w:pPr>
                  <w:r>
                    <w:rPr>
                      <w:rFonts w:hint="default" w:ascii="Times New Roman" w:hAnsi="Times New Roman" w:cs="Times New Roman"/>
                      <w:szCs w:val="21"/>
                    </w:rPr>
                    <w:t>符合</w:t>
                  </w:r>
                </w:p>
              </w:tc>
            </w:tr>
          </w:tbl>
          <w:p w14:paraId="77F97AC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根据上表分析可知，本项目满足《中华人民共和国长江保护法》的相关要求。</w:t>
            </w:r>
          </w:p>
          <w:p w14:paraId="14C34A2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color w:val="auto"/>
                <w:sz w:val="24"/>
                <w:szCs w:val="32"/>
                <w:lang w:val="en-US"/>
              </w:rPr>
            </w:pPr>
            <w:r>
              <w:rPr>
                <w:rFonts w:hint="eastAsia" w:ascii="Times New Roman" w:hAnsi="Times New Roman" w:eastAsia="宋体" w:cs="Times New Roman"/>
                <w:b/>
                <w:bCs w:val="0"/>
                <w:color w:val="auto"/>
                <w:kern w:val="2"/>
                <w:sz w:val="24"/>
                <w:szCs w:val="24"/>
                <w:lang w:val="en-US" w:eastAsia="zh-CN" w:bidi="ar-SA"/>
              </w:rPr>
              <w:t>5）与《重庆市水生态环境保护“十四五”规划（2021~2025 年）》 符合性分析</w:t>
            </w:r>
          </w:p>
          <w:p w14:paraId="0E2BA0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根据《重庆市生态环境局关于印发《重庆市水生态环境保护“十四五” 规划（2021~2025年）》的函》（渝环函〔2022〕347号），《重庆市水生态环境保护</w:t>
            </w:r>
            <w:r>
              <w:rPr>
                <w:rFonts w:hint="eastAsia" w:ascii="Times New Roman" w:hAnsi="Times New Roman" w:cs="Times New Roman"/>
                <w:color w:val="auto"/>
                <w:sz w:val="24"/>
                <w:szCs w:val="32"/>
                <w:lang w:eastAsia="zh-CN"/>
              </w:rPr>
              <w:t>“</w:t>
            </w:r>
            <w:r>
              <w:rPr>
                <w:rFonts w:hint="default" w:ascii="Times New Roman" w:hAnsi="Times New Roman" w:cs="Times New Roman"/>
                <w:color w:val="auto"/>
                <w:sz w:val="24"/>
                <w:szCs w:val="32"/>
              </w:rPr>
              <w:t>十四五</w:t>
            </w:r>
            <w:r>
              <w:rPr>
                <w:rFonts w:hint="eastAsia" w:ascii="Times New Roman" w:hAnsi="Times New Roman" w:cs="Times New Roman"/>
                <w:color w:val="auto"/>
                <w:sz w:val="24"/>
                <w:szCs w:val="32"/>
                <w:lang w:eastAsia="zh-CN"/>
              </w:rPr>
              <w:t>”</w:t>
            </w:r>
            <w:r>
              <w:rPr>
                <w:rFonts w:hint="default" w:ascii="Times New Roman" w:hAnsi="Times New Roman" w:cs="Times New Roman"/>
                <w:color w:val="auto"/>
                <w:sz w:val="24"/>
                <w:szCs w:val="32"/>
              </w:rPr>
              <w:t>规划（2021~2025年）》提出：</w:t>
            </w:r>
          </w:p>
          <w:p w14:paraId="5E5909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强化生态空间管控。严格落实岸线空间管控，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禁止在长江流域重点生态功能区布局对生态系统有严重影响的产业。禁止市外重污染企业和项目向我市转移。除在安全或者产业布局等方面有特殊要求的项目外，新建有污染物排放的工业项目应当进入工业集聚区，新建化工项目应当进入全市统一布局的化工产业集聚区。</w:t>
            </w:r>
          </w:p>
          <w:p w14:paraId="1CB0BC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符合性分析：项目位于重庆市西彭工业园区</w:t>
            </w:r>
            <w:r>
              <w:rPr>
                <w:rFonts w:hint="eastAsia" w:ascii="Times New Roman" w:hAnsi="Times New Roman" w:cs="Times New Roman"/>
                <w:color w:val="auto"/>
                <w:sz w:val="24"/>
                <w:szCs w:val="32"/>
                <w:lang w:val="en-US" w:eastAsia="zh-CN"/>
              </w:rPr>
              <w:t>D</w:t>
            </w:r>
            <w:r>
              <w:rPr>
                <w:rFonts w:hint="default" w:ascii="Times New Roman" w:hAnsi="Times New Roman" w:cs="Times New Roman"/>
                <w:color w:val="auto"/>
                <w:sz w:val="24"/>
                <w:szCs w:val="32"/>
              </w:rPr>
              <w:t>标准分区，不属于化工、尾矿库项目，占地不涉及重点生态功能区。符合规划要求。</w:t>
            </w:r>
          </w:p>
          <w:p w14:paraId="305C6A4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color w:val="FF0000"/>
                <w:sz w:val="24"/>
                <w:szCs w:val="24"/>
              </w:rPr>
            </w:pPr>
            <w:r>
              <w:rPr>
                <w:rFonts w:hint="eastAsia" w:ascii="Times New Roman" w:hAnsi="Times New Roman" w:cs="Times New Roman"/>
                <w:b/>
                <w:color w:val="FF0000"/>
                <w:sz w:val="24"/>
                <w:szCs w:val="24"/>
                <w:lang w:val="en-US" w:eastAsia="zh-CN"/>
              </w:rPr>
              <w:t>6）</w:t>
            </w:r>
            <w:r>
              <w:rPr>
                <w:rFonts w:hint="default" w:ascii="Times New Roman" w:hAnsi="Times New Roman" w:cs="Times New Roman"/>
                <w:b/>
                <w:color w:val="FF0000"/>
                <w:sz w:val="24"/>
                <w:szCs w:val="24"/>
              </w:rPr>
              <w:t>与《重庆市生态环境保护</w:t>
            </w:r>
            <w:r>
              <w:rPr>
                <w:rFonts w:hint="eastAsia" w:ascii="Times New Roman" w:hAnsi="Times New Roman" w:cs="Times New Roman"/>
                <w:b/>
                <w:color w:val="FF0000"/>
                <w:sz w:val="24"/>
                <w:szCs w:val="24"/>
                <w:lang w:eastAsia="zh-CN"/>
              </w:rPr>
              <w:t>“</w:t>
            </w:r>
            <w:r>
              <w:rPr>
                <w:rFonts w:hint="default" w:ascii="Times New Roman" w:hAnsi="Times New Roman" w:cs="Times New Roman"/>
                <w:b/>
                <w:color w:val="FF0000"/>
                <w:sz w:val="24"/>
                <w:szCs w:val="24"/>
              </w:rPr>
              <w:t>十四五</w:t>
            </w:r>
            <w:r>
              <w:rPr>
                <w:rFonts w:hint="eastAsia" w:ascii="Times New Roman" w:hAnsi="Times New Roman" w:cs="Times New Roman"/>
                <w:b/>
                <w:color w:val="FF0000"/>
                <w:sz w:val="24"/>
                <w:szCs w:val="24"/>
                <w:lang w:eastAsia="zh-CN"/>
              </w:rPr>
              <w:t>”</w:t>
            </w:r>
            <w:r>
              <w:rPr>
                <w:rFonts w:hint="default" w:ascii="Times New Roman" w:hAnsi="Times New Roman" w:cs="Times New Roman"/>
                <w:b/>
                <w:color w:val="FF0000"/>
                <w:sz w:val="24"/>
                <w:szCs w:val="24"/>
              </w:rPr>
              <w:t>规划（2021~2025年）》（渝府发〔2022〕11号）符合性分析</w:t>
            </w:r>
          </w:p>
          <w:p w14:paraId="0BF6245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center"/>
              <w:textAlignment w:val="auto"/>
              <w:rPr>
                <w:rFonts w:hint="default" w:ascii="Times New Roman" w:hAnsi="Times New Roman" w:cs="Times New Roman"/>
                <w:b w:val="0"/>
                <w:bCs/>
                <w:color w:val="FF0000"/>
                <w:sz w:val="24"/>
                <w:szCs w:val="24"/>
              </w:rPr>
            </w:pPr>
            <w:r>
              <w:rPr>
                <w:rFonts w:hint="default" w:ascii="Times New Roman" w:hAnsi="Times New Roman" w:cs="Times New Roman"/>
                <w:b w:val="0"/>
                <w:bCs/>
                <w:color w:val="FF0000"/>
                <w:sz w:val="24"/>
                <w:szCs w:val="24"/>
              </w:rPr>
              <w:t>《重庆市生态环境保护</w:t>
            </w:r>
            <w:r>
              <w:rPr>
                <w:rFonts w:hint="eastAsia" w:ascii="Times New Roman" w:hAnsi="Times New Roman" w:cs="Times New Roman"/>
                <w:b w:val="0"/>
                <w:bCs/>
                <w:color w:val="FF0000"/>
                <w:sz w:val="24"/>
                <w:szCs w:val="24"/>
                <w:lang w:eastAsia="zh-CN"/>
              </w:rPr>
              <w:t>“</w:t>
            </w:r>
            <w:r>
              <w:rPr>
                <w:rFonts w:hint="default" w:ascii="Times New Roman" w:hAnsi="Times New Roman" w:cs="Times New Roman"/>
                <w:b w:val="0"/>
                <w:bCs/>
                <w:color w:val="FF0000"/>
                <w:sz w:val="24"/>
                <w:szCs w:val="24"/>
              </w:rPr>
              <w:t>十四五</w:t>
            </w:r>
            <w:r>
              <w:rPr>
                <w:rFonts w:hint="eastAsia" w:ascii="Times New Roman" w:hAnsi="Times New Roman" w:cs="Times New Roman"/>
                <w:b w:val="0"/>
                <w:bCs/>
                <w:color w:val="FF0000"/>
                <w:sz w:val="24"/>
                <w:szCs w:val="24"/>
                <w:lang w:eastAsia="zh-CN"/>
              </w:rPr>
              <w:t>”</w:t>
            </w:r>
            <w:r>
              <w:rPr>
                <w:rFonts w:hint="default" w:ascii="Times New Roman" w:hAnsi="Times New Roman" w:cs="Times New Roman"/>
                <w:b w:val="0"/>
                <w:bCs/>
                <w:color w:val="FF0000"/>
                <w:sz w:val="24"/>
                <w:szCs w:val="24"/>
              </w:rPr>
              <w:t>规划（2021~2025年）》（渝府发〔2022〕</w:t>
            </w:r>
          </w:p>
          <w:p w14:paraId="51E35194">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imes New Roman" w:hAnsi="Times New Roman" w:cs="Times New Roman"/>
                <w:b w:val="0"/>
                <w:bCs/>
                <w:color w:val="FF0000"/>
                <w:sz w:val="24"/>
                <w:szCs w:val="24"/>
              </w:rPr>
            </w:pPr>
            <w:r>
              <w:rPr>
                <w:rFonts w:hint="default" w:ascii="Times New Roman" w:hAnsi="Times New Roman" w:cs="Times New Roman"/>
                <w:b w:val="0"/>
                <w:bCs/>
                <w:color w:val="FF0000"/>
                <w:sz w:val="24"/>
                <w:szCs w:val="24"/>
              </w:rPr>
              <w:t>11号）于2022年1月7日开始执行，对比该文件，本项目符合性分析如下：</w:t>
            </w:r>
          </w:p>
          <w:p w14:paraId="7DF96F7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b/>
                <w:color w:val="FF0000"/>
                <w:sz w:val="24"/>
                <w:szCs w:val="24"/>
              </w:rPr>
            </w:pPr>
            <w:r>
              <w:rPr>
                <w:rFonts w:hint="default" w:ascii="Times New Roman" w:hAnsi="Times New Roman" w:cs="Times New Roman"/>
                <w:b/>
                <w:color w:val="FF0000"/>
                <w:sz w:val="24"/>
                <w:szCs w:val="24"/>
              </w:rPr>
              <w:t>表1</w:t>
            </w:r>
            <w:r>
              <w:rPr>
                <w:rFonts w:hint="eastAsia" w:ascii="Times New Roman" w:hAnsi="Times New Roman" w:cs="Times New Roman"/>
                <w:b/>
                <w:color w:val="FF0000"/>
                <w:sz w:val="24"/>
                <w:szCs w:val="24"/>
                <w:lang w:val="en-US" w:eastAsia="zh-CN"/>
              </w:rPr>
              <w:t>.2-6项目</w:t>
            </w:r>
            <w:r>
              <w:rPr>
                <w:rFonts w:hint="default" w:ascii="Times New Roman" w:hAnsi="Times New Roman" w:cs="Times New Roman"/>
                <w:b/>
                <w:color w:val="FF0000"/>
                <w:sz w:val="24"/>
                <w:szCs w:val="24"/>
              </w:rPr>
              <w:t>与（渝府发〔2022〕11号）符合性分析</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1"/>
              <w:gridCol w:w="2458"/>
              <w:gridCol w:w="720"/>
            </w:tblGrid>
            <w:tr w14:paraId="45E61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2A7EB15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要求</w:t>
                  </w:r>
                </w:p>
              </w:tc>
              <w:tc>
                <w:tcPr>
                  <w:tcW w:w="1526" w:type="pct"/>
                  <w:tcBorders>
                    <w:tl2br w:val="nil"/>
                    <w:tr2bl w:val="nil"/>
                  </w:tcBorders>
                  <w:noWrap w:val="0"/>
                  <w:vAlign w:val="center"/>
                </w:tcPr>
                <w:p w14:paraId="26F3D7E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本项目情况</w:t>
                  </w:r>
                </w:p>
              </w:tc>
              <w:tc>
                <w:tcPr>
                  <w:tcW w:w="447" w:type="pct"/>
                  <w:tcBorders>
                    <w:tl2br w:val="nil"/>
                    <w:tr2bl w:val="nil"/>
                  </w:tcBorders>
                  <w:noWrap w:val="0"/>
                  <w:vAlign w:val="center"/>
                </w:tcPr>
                <w:p w14:paraId="214878F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符合性</w:t>
                  </w:r>
                </w:p>
              </w:tc>
            </w:tr>
            <w:tr w14:paraId="37E7B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43389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改善水环境质量</w:t>
                  </w:r>
                  <w:r>
                    <w:rPr>
                      <w:rFonts w:hint="eastAsia" w:ascii="Times New Roman" w:hAnsi="Times New Roman" w:eastAsia="宋体" w:cs="Times New Roman"/>
                      <w:b w:val="0"/>
                      <w:bCs w:val="0"/>
                      <w:color w:val="auto"/>
                      <w:spacing w:val="-2"/>
                      <w:sz w:val="21"/>
                      <w:szCs w:val="21"/>
                      <w:lang w:eastAsia="zh-CN"/>
                    </w:rPr>
                    <w:t>：加强河流水质目标管理，加强重点水环境综合治理，修复水生态扩大水环境容量，严格保护饮用水水源地水质安全</w:t>
                  </w:r>
                </w:p>
              </w:tc>
              <w:tc>
                <w:tcPr>
                  <w:tcW w:w="1526" w:type="pct"/>
                  <w:tcBorders>
                    <w:tl2br w:val="nil"/>
                    <w:tr2bl w:val="nil"/>
                  </w:tcBorders>
                  <w:noWrap w:val="0"/>
                  <w:vAlign w:val="center"/>
                </w:tcPr>
                <w:p w14:paraId="60FF47F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本项目用水来源于市政自来水管网，运营期产生的生活污水依托森迪产业园生化池处理达标后排入西彭工业园区污水处理厂。</w:t>
                  </w:r>
                </w:p>
              </w:tc>
              <w:tc>
                <w:tcPr>
                  <w:tcW w:w="447" w:type="pct"/>
                  <w:tcBorders>
                    <w:tl2br w:val="nil"/>
                    <w:tr2bl w:val="nil"/>
                  </w:tcBorders>
                  <w:noWrap w:val="0"/>
                  <w:vAlign w:val="center"/>
                </w:tcPr>
                <w:p w14:paraId="7ACC66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13C78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6B1B5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提升大气环境质量</w:t>
                  </w:r>
                  <w:r>
                    <w:rPr>
                      <w:rFonts w:hint="eastAsia" w:ascii="Times New Roman" w:hAnsi="Times New Roman" w:eastAsia="宋体" w:cs="Times New Roman"/>
                      <w:b w:val="0"/>
                      <w:bCs w:val="0"/>
                      <w:color w:val="auto"/>
                      <w:spacing w:val="-2"/>
                      <w:sz w:val="21"/>
                      <w:szCs w:val="21"/>
                      <w:lang w:eastAsia="zh-CN"/>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526" w:type="pct"/>
                  <w:tcBorders>
                    <w:tl2br w:val="nil"/>
                    <w:tr2bl w:val="nil"/>
                  </w:tcBorders>
                  <w:noWrap w:val="0"/>
                  <w:vAlign w:val="center"/>
                </w:tcPr>
                <w:p w14:paraId="6B1D707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本项目</w:t>
                  </w:r>
                  <w:r>
                    <w:rPr>
                      <w:rFonts w:hint="eastAsia" w:ascii="Times New Roman" w:hAnsi="Times New Roman" w:eastAsia="宋体" w:cs="Times New Roman"/>
                      <w:b w:val="0"/>
                      <w:bCs w:val="0"/>
                      <w:color w:val="auto"/>
                      <w:spacing w:val="-2"/>
                      <w:sz w:val="21"/>
                      <w:szCs w:val="21"/>
                      <w:lang w:val="en-US" w:eastAsia="zh-CN"/>
                    </w:rPr>
                    <w:t>不涉及高</w:t>
                  </w:r>
                  <w:r>
                    <w:rPr>
                      <w:rFonts w:hint="eastAsia" w:ascii="Times New Roman" w:hAnsi="Times New Roman" w:eastAsia="宋体" w:cs="Times New Roman"/>
                      <w:b w:val="0"/>
                      <w:bCs w:val="0"/>
                      <w:color w:val="auto"/>
                      <w:spacing w:val="-2"/>
                      <w:sz w:val="21"/>
                      <w:szCs w:val="21"/>
                      <w:lang w:eastAsia="zh-CN"/>
                    </w:rPr>
                    <w:t>VOCs含量产品</w:t>
                  </w:r>
                  <w:r>
                    <w:rPr>
                      <w:rFonts w:hint="eastAsia" w:ascii="Times New Roman" w:hAnsi="Times New Roman" w:eastAsia="宋体" w:cs="Times New Roman"/>
                      <w:b w:val="0"/>
                      <w:bCs w:val="0"/>
                      <w:color w:val="auto"/>
                      <w:spacing w:val="-2"/>
                      <w:sz w:val="21"/>
                      <w:szCs w:val="21"/>
                      <w:lang w:val="en-US" w:eastAsia="zh-CN"/>
                    </w:rPr>
                    <w:t>及原辅料的使用，生产产生的少量有机废气经收集处理后达标排放，无组织排放量较少</w:t>
                  </w:r>
                </w:p>
              </w:tc>
              <w:tc>
                <w:tcPr>
                  <w:tcW w:w="447" w:type="pct"/>
                  <w:tcBorders>
                    <w:tl2br w:val="nil"/>
                    <w:tr2bl w:val="nil"/>
                  </w:tcBorders>
                  <w:noWrap w:val="0"/>
                  <w:vAlign w:val="center"/>
                </w:tcPr>
                <w:p w14:paraId="2D816D4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2257C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478622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协同防治土壤和地下水污染</w:t>
                  </w:r>
                  <w:r>
                    <w:rPr>
                      <w:rFonts w:hint="eastAsia" w:ascii="Times New Roman" w:hAnsi="Times New Roman" w:eastAsia="宋体" w:cs="Times New Roman"/>
                      <w:b w:val="0"/>
                      <w:bCs w:val="0"/>
                      <w:color w:val="auto"/>
                      <w:spacing w:val="-2"/>
                      <w:sz w:val="21"/>
                      <w:szCs w:val="21"/>
                      <w:lang w:eastAsia="zh-CN"/>
                    </w:rPr>
                    <w:t>：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w:t>
                  </w:r>
                  <w:r>
                    <w:rPr>
                      <w:rFonts w:hint="eastAsia" w:ascii="Times New Roman" w:hAnsi="Times New Roman" w:eastAsia="宋体" w:cs="Times New Roman"/>
                      <w:b w:val="0"/>
                      <w:bCs w:val="0"/>
                      <w:color w:val="auto"/>
                      <w:spacing w:val="-2"/>
                      <w:sz w:val="21"/>
                      <w:szCs w:val="21"/>
                      <w:lang w:val="en-US" w:eastAsia="zh-CN"/>
                    </w:rPr>
                    <w:t>；</w:t>
                  </w:r>
                  <w:r>
                    <w:rPr>
                      <w:rFonts w:hint="eastAsia" w:ascii="Times New Roman" w:hAnsi="Times New Roman" w:eastAsia="宋体" w:cs="Times New Roman"/>
                      <w:b w:val="0"/>
                      <w:bCs w:val="0"/>
                      <w:color w:val="auto"/>
                      <w:spacing w:val="-2"/>
                      <w:sz w:val="21"/>
                      <w:szCs w:val="21"/>
                      <w:lang w:eastAsia="zh-CN"/>
                    </w:rPr>
                    <w:t>实施重点区域土壤污染综合防控。选择典型行业和企业，开展企业用地及周边农用地土壤污染状况调查，掌握典型行业企业生产经营活动对企业用地及周边农用地土壤生态环境的影响。根据土壤污染状况详查结果，识别土壤环境问题突出的重点区域、重点行业和优先管控污染物。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物处置场、垃圾填埋场等为重点，开展防渗情况检测评估，统筹推进地下水安全源头预防和风险管控。建立地下水监测网络，开展地下水污染防治分区划分，公布地下水污染地块清单。开展地下水污染修复试点，实施地表水—地下水、土壤—地下水、区域—地块地下水污染协同防治。探索地下水污染防治的管理模式和技术路径，保持地下水环境质量总体稳定。</w:t>
                  </w:r>
                </w:p>
              </w:tc>
              <w:tc>
                <w:tcPr>
                  <w:tcW w:w="1526" w:type="pct"/>
                  <w:tcBorders>
                    <w:tl2br w:val="nil"/>
                    <w:tr2bl w:val="nil"/>
                  </w:tcBorders>
                  <w:noWrap w:val="0"/>
                  <w:vAlign w:val="center"/>
                </w:tcPr>
                <w:p w14:paraId="134EB0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rPr>
                  </w:pPr>
                  <w:r>
                    <w:rPr>
                      <w:rFonts w:hint="eastAsia" w:ascii="Times New Roman" w:hAnsi="Times New Roman" w:eastAsia="宋体" w:cs="Times New Roman"/>
                      <w:color w:val="auto"/>
                      <w:sz w:val="21"/>
                      <w:szCs w:val="21"/>
                      <w:lang w:val="en-US" w:eastAsia="zh-CN"/>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noWrap w:val="0"/>
                  <w:vAlign w:val="center"/>
                </w:tcPr>
                <w:p w14:paraId="295F423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742B4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78216C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管控噪声环境影响</w:t>
                  </w:r>
                  <w:r>
                    <w:rPr>
                      <w:rFonts w:hint="eastAsia" w:ascii="Times New Roman" w:hAnsi="Times New Roman" w:eastAsia="宋体" w:cs="Times New Roman"/>
                      <w:b w:val="0"/>
                      <w:bCs w:val="0"/>
                      <w:color w:val="auto"/>
                      <w:spacing w:val="-2"/>
                      <w:sz w:val="21"/>
                      <w:szCs w:val="21"/>
                      <w:lang w:eastAsia="zh-CN"/>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526" w:type="pct"/>
                  <w:tcBorders>
                    <w:tl2br w:val="nil"/>
                    <w:tr2bl w:val="nil"/>
                  </w:tcBorders>
                  <w:noWrap w:val="0"/>
                  <w:vAlign w:val="center"/>
                </w:tcPr>
                <w:p w14:paraId="68D5B25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本项目将严格落实施工期噪声监管措施；主要生产设备布局远离噪声敏感点，并采取相应的降噪措施，避免出现噪声扰民事件。本项目所在地属于3类声功能区</w:t>
                  </w:r>
                </w:p>
              </w:tc>
              <w:tc>
                <w:tcPr>
                  <w:tcW w:w="447" w:type="pct"/>
                  <w:tcBorders>
                    <w:tl2br w:val="nil"/>
                    <w:tr2bl w:val="nil"/>
                  </w:tcBorders>
                  <w:noWrap w:val="0"/>
                  <w:vAlign w:val="center"/>
                </w:tcPr>
                <w:p w14:paraId="6C29226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6CE20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noWrap w:val="0"/>
                  <w:vAlign w:val="center"/>
                </w:tcPr>
                <w:p w14:paraId="618AB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健全环境风险防控体系</w:t>
                  </w:r>
                  <w:r>
                    <w:rPr>
                      <w:rFonts w:hint="eastAsia" w:ascii="Times New Roman" w:hAnsi="Times New Roman" w:eastAsia="宋体" w:cs="Times New Roman"/>
                      <w:b w:val="0"/>
                      <w:bCs w:val="0"/>
                      <w:color w:val="auto"/>
                      <w:spacing w:val="-2"/>
                      <w:sz w:val="21"/>
                      <w:szCs w:val="21"/>
                      <w:lang w:eastAsia="zh-CN"/>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p w14:paraId="6580A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eastAsia="zh-CN"/>
                    </w:rPr>
                    <w:t>完善环境风险预警体系。加强环境风险隐患排查整治，定期开展环境安全排查整治专项行动，建立环境风险隐患排查档案，实行销号制度。强化区域环境风险防范预警体系建设，完善部门协同和信息共享机制。强化化工园区涉水突发环境事件四级环境风险防范体系建设。持续推进重点化工园区（化工集中区）建设有毒有害气体监测预警体系和水质生物毒性预警体系。</w:t>
                  </w:r>
                </w:p>
                <w:p w14:paraId="311C2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eastAsia="zh-CN"/>
                    </w:rPr>
                    <w:t>强化应急响应管理。按照政府主导、企业主体、部门联动、专家支持、社会救援的突发环境事件应急处置机制，积极推动企业环境应急专业救援队伍参与全市环境应急抢险救援工作。重点企业和乡镇级以上人民政府应当制定突发环境事件应急预案。定期组织开展突发环境事件应急演练，妥善处置突发环境事件。推进基层环境应急能力建设，推动环境应急信息化、智慧化管理，完善环境风险管理应急指挥体系。完善环境应急物资储备网络，加强特征污染物应急物资储备。</w:t>
                  </w:r>
                </w:p>
                <w:p w14:paraId="3ABEB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eastAsia="zh-CN"/>
                    </w:rPr>
                    <w:t>加强生态环境与健康风险管理。以在校青少年和农村居民等人群为重点，向公众、家庭、单位（企业）普及生态环境与健康相关的防护和应对知识，提升生态环境与健康素养。开展重点区域、流域、行业生态环境与健康风险调查监测，建立完善生态环境与健康风险监测网络。</w:t>
                  </w:r>
                </w:p>
              </w:tc>
              <w:tc>
                <w:tcPr>
                  <w:tcW w:w="1526" w:type="pct"/>
                  <w:tcBorders>
                    <w:tl2br w:val="nil"/>
                    <w:tr2bl w:val="nil"/>
                  </w:tcBorders>
                  <w:noWrap w:val="0"/>
                  <w:vAlign w:val="center"/>
                </w:tcPr>
                <w:p w14:paraId="7176F15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本项目无重大风险，评价要求企业应自主组织开展应急预案培训、宣传及演练。</w:t>
                  </w:r>
                </w:p>
              </w:tc>
              <w:tc>
                <w:tcPr>
                  <w:tcW w:w="447" w:type="pct"/>
                  <w:tcBorders>
                    <w:tl2br w:val="nil"/>
                    <w:tr2bl w:val="nil"/>
                  </w:tcBorders>
                  <w:noWrap w:val="0"/>
                  <w:vAlign w:val="center"/>
                </w:tcPr>
                <w:p w14:paraId="6965C6C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bl>
          <w:p w14:paraId="21AF0448">
            <w:pPr>
              <w:keepNext/>
              <w:keepLines w:val="0"/>
              <w:pageBreakBefore w:val="0"/>
              <w:widowControl w:val="0"/>
              <w:kinsoku/>
              <w:wordWrap/>
              <w:overflowPunct w:val="0"/>
              <w:topLinePunct w:val="0"/>
              <w:autoSpaceDE/>
              <w:autoSpaceDN/>
              <w:bidi w:val="0"/>
              <w:adjustRightInd w:val="0"/>
              <w:snapToGrid w:val="0"/>
              <w:spacing w:before="0" w:after="0" w:line="460" w:lineRule="exact"/>
              <w:ind w:left="0" w:firstLine="480" w:firstLineChars="200"/>
              <w:jc w:val="both"/>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由上表分析可知，本项目建设符合《重庆市生态环境保护“十四五”规划</w:t>
            </w:r>
          </w:p>
          <w:p w14:paraId="7A15A56A">
            <w:pPr>
              <w:keepNext/>
              <w:keepLines w:val="0"/>
              <w:pageBreakBefore w:val="0"/>
              <w:widowControl w:val="0"/>
              <w:kinsoku/>
              <w:wordWrap/>
              <w:overflowPunct w:val="0"/>
              <w:topLinePunct w:val="0"/>
              <w:autoSpaceDE/>
              <w:autoSpaceDN/>
              <w:bidi w:val="0"/>
              <w:adjustRightInd w:val="0"/>
              <w:snapToGrid w:val="0"/>
              <w:spacing w:before="0" w:after="0" w:line="460" w:lineRule="exact"/>
              <w:jc w:val="both"/>
              <w:textAlignment w:val="auto"/>
              <w:outlineLvl w:val="9"/>
              <w:rPr>
                <w:rFonts w:hint="default" w:ascii="Times New Roman" w:hAnsi="Times New Roman" w:cs="Times New Roman"/>
                <w:b/>
                <w:bCs/>
                <w:color w:val="auto"/>
                <w:sz w:val="24"/>
                <w:szCs w:val="24"/>
                <w:lang w:val="en-US" w:eastAsia="zh-CN"/>
              </w:rPr>
            </w:pPr>
            <w:r>
              <w:rPr>
                <w:rFonts w:hint="default" w:ascii="Times New Roman" w:hAnsi="Times New Roman" w:cs="Times New Roman"/>
                <w:b w:val="0"/>
                <w:bCs w:val="0"/>
                <w:color w:val="auto"/>
                <w:sz w:val="24"/>
                <w:szCs w:val="24"/>
                <w:lang w:val="en-US" w:eastAsia="zh-CN"/>
              </w:rPr>
              <w:t>（2021~2025年）》（渝府发〔2022〕11号）。</w:t>
            </w:r>
          </w:p>
          <w:p w14:paraId="36BF7953">
            <w:pPr>
              <w:keepNext/>
              <w:keepLines w:val="0"/>
              <w:pageBreakBefore w:val="0"/>
              <w:widowControl w:val="0"/>
              <w:kinsoku/>
              <w:wordWrap/>
              <w:overflowPunct w:val="0"/>
              <w:topLinePunct w:val="0"/>
              <w:autoSpaceDE/>
              <w:autoSpaceDN/>
              <w:bidi w:val="0"/>
              <w:adjustRightInd w:val="0"/>
              <w:snapToGrid w:val="0"/>
              <w:spacing w:before="0" w:after="0" w:line="460" w:lineRule="exact"/>
              <w:ind w:left="0" w:firstLine="482" w:firstLineChars="200"/>
              <w:jc w:val="both"/>
              <w:textAlignment w:val="auto"/>
              <w:outlineLvl w:val="9"/>
              <w:rPr>
                <w:rFonts w:hint="default" w:ascii="Times New Roman" w:hAnsi="Times New Roman" w:cs="Times New Roman"/>
                <w:b/>
                <w:bCs/>
                <w:color w:val="FF0000"/>
                <w:sz w:val="24"/>
                <w:szCs w:val="24"/>
              </w:rPr>
            </w:pPr>
            <w:r>
              <w:rPr>
                <w:rFonts w:hint="eastAsia" w:ascii="Times New Roman" w:hAnsi="Times New Roman" w:cs="Times New Roman"/>
                <w:b/>
                <w:bCs/>
                <w:color w:val="FF0000"/>
                <w:sz w:val="24"/>
                <w:szCs w:val="24"/>
                <w:lang w:val="en-US" w:eastAsia="zh-CN"/>
              </w:rPr>
              <w:t>7）</w:t>
            </w:r>
            <w:r>
              <w:rPr>
                <w:rFonts w:hint="default" w:ascii="Times New Roman" w:hAnsi="Times New Roman" w:cs="Times New Roman"/>
                <w:b/>
                <w:bCs/>
                <w:color w:val="FF0000"/>
                <w:sz w:val="24"/>
                <w:szCs w:val="24"/>
              </w:rPr>
              <w:t>与《重庆市九龙坡区生态环境保护“十四五”规划》（九龙坡府办发〔2022〕1号）符合性分析</w:t>
            </w:r>
          </w:p>
          <w:p w14:paraId="2FF189D1">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center"/>
              <w:textAlignment w:val="auto"/>
              <w:rPr>
                <w:rFonts w:hint="default" w:ascii="Times New Roman" w:hAnsi="Times New Roman" w:cs="Times New Roman"/>
                <w:b w:val="0"/>
                <w:bCs/>
                <w:color w:val="FF0000"/>
                <w:sz w:val="24"/>
                <w:szCs w:val="24"/>
              </w:rPr>
            </w:pPr>
            <w:r>
              <w:rPr>
                <w:rFonts w:hint="default" w:ascii="Times New Roman" w:hAnsi="Times New Roman" w:cs="Times New Roman"/>
                <w:b w:val="0"/>
                <w:bCs/>
                <w:color w:val="FF0000"/>
                <w:sz w:val="24"/>
                <w:szCs w:val="24"/>
              </w:rPr>
              <w:t>《重庆市九龙坡区生态环境保护</w:t>
            </w:r>
            <w:r>
              <w:rPr>
                <w:rFonts w:hint="eastAsia" w:ascii="Times New Roman" w:hAnsi="Times New Roman" w:cs="Times New Roman"/>
                <w:b w:val="0"/>
                <w:bCs/>
                <w:color w:val="FF0000"/>
                <w:sz w:val="24"/>
                <w:szCs w:val="24"/>
                <w:lang w:eastAsia="zh-CN"/>
              </w:rPr>
              <w:t>“</w:t>
            </w:r>
            <w:r>
              <w:rPr>
                <w:rFonts w:hint="default" w:ascii="Times New Roman" w:hAnsi="Times New Roman" w:cs="Times New Roman"/>
                <w:b w:val="0"/>
                <w:bCs/>
                <w:color w:val="FF0000"/>
                <w:sz w:val="24"/>
                <w:szCs w:val="24"/>
              </w:rPr>
              <w:t>十四五</w:t>
            </w:r>
            <w:r>
              <w:rPr>
                <w:rFonts w:hint="eastAsia" w:ascii="Times New Roman" w:hAnsi="Times New Roman" w:cs="Times New Roman"/>
                <w:b w:val="0"/>
                <w:bCs/>
                <w:color w:val="FF0000"/>
                <w:sz w:val="24"/>
                <w:szCs w:val="24"/>
                <w:lang w:eastAsia="zh-CN"/>
              </w:rPr>
              <w:t>”</w:t>
            </w:r>
            <w:r>
              <w:rPr>
                <w:rFonts w:hint="default" w:ascii="Times New Roman" w:hAnsi="Times New Roman" w:cs="Times New Roman"/>
                <w:b w:val="0"/>
                <w:bCs/>
                <w:color w:val="FF0000"/>
                <w:sz w:val="24"/>
                <w:szCs w:val="24"/>
              </w:rPr>
              <w:t>规划》（九龙坡府办发〔2022〕</w:t>
            </w:r>
          </w:p>
          <w:p w14:paraId="0A5E4E2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cs="Times New Roman"/>
                <w:b w:val="0"/>
                <w:bCs/>
                <w:color w:val="FF0000"/>
                <w:sz w:val="24"/>
                <w:szCs w:val="24"/>
              </w:rPr>
            </w:pPr>
            <w:r>
              <w:rPr>
                <w:rFonts w:hint="default" w:ascii="Times New Roman" w:hAnsi="Times New Roman" w:cs="Times New Roman"/>
                <w:b w:val="0"/>
                <w:bCs/>
                <w:color w:val="FF0000"/>
                <w:sz w:val="24"/>
                <w:szCs w:val="24"/>
              </w:rPr>
              <w:t>1号）于2022年1月7日开始执行，对比该文件，本项目符合性分析如下：</w:t>
            </w:r>
          </w:p>
          <w:p w14:paraId="2A0912AB">
            <w:pPr>
              <w:keepLines w:val="0"/>
              <w:pageBreakBefore w:val="0"/>
              <w:widowControl w:val="0"/>
              <w:kinsoku/>
              <w:wordWrap/>
              <w:topLinePunct w:val="0"/>
              <w:autoSpaceDE/>
              <w:autoSpaceDN/>
              <w:bidi w:val="0"/>
              <w:spacing w:line="460" w:lineRule="exact"/>
              <w:jc w:val="center"/>
              <w:textAlignment w:val="auto"/>
              <w:rPr>
                <w:rFonts w:hint="default" w:ascii="Times New Roman" w:hAnsi="Times New Roman" w:eastAsia="宋体" w:cs="Times New Roman"/>
                <w:b/>
                <w:color w:val="FF0000"/>
                <w:sz w:val="24"/>
                <w:szCs w:val="24"/>
                <w:lang w:eastAsia="zh-CN"/>
              </w:rPr>
            </w:pPr>
            <w:r>
              <w:rPr>
                <w:rFonts w:hint="default" w:ascii="Times New Roman" w:hAnsi="Times New Roman" w:cs="Times New Roman"/>
                <w:b/>
                <w:color w:val="FF0000"/>
                <w:sz w:val="24"/>
                <w:szCs w:val="24"/>
              </w:rPr>
              <w:t>表</w:t>
            </w:r>
            <w:r>
              <w:rPr>
                <w:rFonts w:hint="default" w:ascii="Times New Roman" w:hAnsi="Times New Roman" w:cs="Times New Roman"/>
                <w:b/>
                <w:color w:val="FF0000"/>
                <w:sz w:val="24"/>
                <w:szCs w:val="24"/>
                <w:lang w:val="en-US" w:eastAsia="zh-CN"/>
              </w:rPr>
              <w:t>1</w:t>
            </w:r>
            <w:r>
              <w:rPr>
                <w:rFonts w:hint="eastAsia" w:ascii="Times New Roman" w:hAnsi="Times New Roman" w:cs="Times New Roman"/>
                <w:b/>
                <w:color w:val="FF0000"/>
                <w:sz w:val="24"/>
                <w:szCs w:val="24"/>
                <w:lang w:val="en-US" w:eastAsia="zh-CN"/>
              </w:rPr>
              <w:t>.2</w:t>
            </w:r>
            <w:r>
              <w:rPr>
                <w:rFonts w:hint="default" w:ascii="Times New Roman" w:hAnsi="Times New Roman" w:cs="Times New Roman"/>
                <w:b/>
                <w:color w:val="FF0000"/>
                <w:sz w:val="24"/>
                <w:szCs w:val="24"/>
                <w:lang w:val="en-US" w:eastAsia="zh-CN"/>
              </w:rPr>
              <w:t>-</w:t>
            </w:r>
            <w:r>
              <w:rPr>
                <w:rFonts w:hint="eastAsia" w:ascii="Times New Roman" w:hAnsi="Times New Roman" w:cs="Times New Roman"/>
                <w:b/>
                <w:color w:val="FF0000"/>
                <w:sz w:val="24"/>
                <w:szCs w:val="24"/>
                <w:lang w:val="en-US" w:eastAsia="zh-CN"/>
              </w:rPr>
              <w:t>7</w:t>
            </w:r>
            <w:r>
              <w:rPr>
                <w:rFonts w:hint="default" w:ascii="Times New Roman" w:hAnsi="Times New Roman" w:cs="Times New Roman"/>
                <w:b/>
                <w:color w:val="FF0000"/>
                <w:sz w:val="24"/>
                <w:szCs w:val="24"/>
              </w:rPr>
              <w:t>与（九龙坡府办发〔2022〕1号）符合性分析（摘录）</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18"/>
              <w:gridCol w:w="2211"/>
              <w:gridCol w:w="720"/>
            </w:tblGrid>
            <w:tr w14:paraId="7EFF3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33781D0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要求</w:t>
                  </w:r>
                </w:p>
              </w:tc>
              <w:tc>
                <w:tcPr>
                  <w:tcW w:w="1373" w:type="pct"/>
                  <w:tcBorders>
                    <w:tl2br w:val="nil"/>
                    <w:tr2bl w:val="nil"/>
                  </w:tcBorders>
                  <w:noWrap w:val="0"/>
                  <w:vAlign w:val="center"/>
                </w:tcPr>
                <w:p w14:paraId="418F26B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本项目情况</w:t>
                  </w:r>
                </w:p>
              </w:tc>
              <w:tc>
                <w:tcPr>
                  <w:tcW w:w="447" w:type="pct"/>
                  <w:tcBorders>
                    <w:tl2br w:val="nil"/>
                    <w:tr2bl w:val="nil"/>
                  </w:tcBorders>
                  <w:noWrap w:val="0"/>
                  <w:vAlign w:val="center"/>
                </w:tcPr>
                <w:p w14:paraId="0B5850C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FF0000"/>
                      <w:spacing w:val="-2"/>
                      <w:sz w:val="21"/>
                      <w:szCs w:val="21"/>
                    </w:rPr>
                  </w:pPr>
                  <w:r>
                    <w:rPr>
                      <w:rFonts w:hint="default" w:ascii="Times New Roman" w:hAnsi="Times New Roman" w:eastAsia="宋体" w:cs="Times New Roman"/>
                      <w:b w:val="0"/>
                      <w:bCs w:val="0"/>
                      <w:color w:val="FF0000"/>
                      <w:spacing w:val="-2"/>
                      <w:sz w:val="21"/>
                      <w:szCs w:val="21"/>
                    </w:rPr>
                    <w:t>符合性</w:t>
                  </w:r>
                </w:p>
              </w:tc>
            </w:tr>
            <w:tr w14:paraId="33D04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71F5AB43">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FF0000"/>
                      <w:spacing w:val="-2"/>
                      <w:sz w:val="21"/>
                      <w:szCs w:val="21"/>
                      <w:lang w:eastAsia="zh-CN"/>
                    </w:rPr>
                  </w:pPr>
                  <w:r>
                    <w:rPr>
                      <w:rFonts w:hint="default" w:ascii="Times New Roman" w:hAnsi="Times New Roman" w:eastAsia="宋体" w:cs="Times New Roman"/>
                      <w:b w:val="0"/>
                      <w:bCs w:val="0"/>
                      <w:color w:val="FF0000"/>
                      <w:spacing w:val="-2"/>
                      <w:sz w:val="21"/>
                      <w:szCs w:val="21"/>
                    </w:rPr>
                    <w:t>改善水环境质量</w:t>
                  </w:r>
                  <w:r>
                    <w:rPr>
                      <w:rFonts w:hint="eastAsia" w:ascii="Times New Roman" w:hAnsi="Times New Roman" w:eastAsia="宋体" w:cs="Times New Roman"/>
                      <w:b w:val="0"/>
                      <w:bCs w:val="0"/>
                      <w:color w:val="FF0000"/>
                      <w:spacing w:val="-2"/>
                      <w:sz w:val="21"/>
                      <w:szCs w:val="21"/>
                      <w:lang w:eastAsia="zh-CN"/>
                    </w:rPr>
                    <w:t>：整治污水偷排直排乱排问题；完善污水收集和处理措施；修复水生态扩大水环境容量；持续改善河流湖库水环境质量；保障集中式饮用水水源水质安全。</w:t>
                  </w:r>
                </w:p>
              </w:tc>
              <w:tc>
                <w:tcPr>
                  <w:tcW w:w="1373" w:type="pct"/>
                  <w:tcBorders>
                    <w:tl2br w:val="nil"/>
                    <w:tr2bl w:val="nil"/>
                  </w:tcBorders>
                  <w:noWrap w:val="0"/>
                  <w:vAlign w:val="center"/>
                </w:tcPr>
                <w:p w14:paraId="733782A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cs="Times New Roman" w:eastAsiaTheme="minorEastAsia"/>
                      <w:b w:val="0"/>
                      <w:bCs w:val="0"/>
                      <w:color w:val="FF0000"/>
                      <w:spacing w:val="-2"/>
                      <w:sz w:val="21"/>
                      <w:szCs w:val="21"/>
                      <w:lang w:val="en-US" w:eastAsia="zh-CN"/>
                    </w:rPr>
                  </w:pPr>
                  <w:r>
                    <w:rPr>
                      <w:rFonts w:hint="eastAsia" w:ascii="Times New Roman" w:hAnsi="Times New Roman" w:eastAsia="宋体" w:cs="Times New Roman"/>
                      <w:b w:val="0"/>
                      <w:bCs w:val="0"/>
                      <w:color w:val="FF0000"/>
                      <w:spacing w:val="-2"/>
                      <w:sz w:val="21"/>
                      <w:szCs w:val="21"/>
                      <w:lang w:val="en-US" w:eastAsia="zh-CN"/>
                    </w:rPr>
                    <w:t>本项目用水来源于市政自来水管网，运营期产生的生活污水依托森迪产业园生化池处理达标后排入市政污水管网</w:t>
                  </w:r>
                  <w:r>
                    <w:rPr>
                      <w:rFonts w:hint="eastAsia"/>
                      <w:color w:val="FF0000"/>
                    </w:rPr>
                    <w:t>接入</w:t>
                  </w:r>
                  <w:r>
                    <w:rPr>
                      <w:rFonts w:hint="eastAsia"/>
                      <w:color w:val="FF0000"/>
                      <w:lang w:eastAsia="zh-CN"/>
                    </w:rPr>
                    <w:t>西彭工业园区污水处理厂处置。</w:t>
                  </w:r>
                </w:p>
              </w:tc>
              <w:tc>
                <w:tcPr>
                  <w:tcW w:w="447" w:type="pct"/>
                  <w:tcBorders>
                    <w:tl2br w:val="nil"/>
                    <w:tr2bl w:val="nil"/>
                  </w:tcBorders>
                  <w:noWrap w:val="0"/>
                  <w:vAlign w:val="center"/>
                </w:tcPr>
                <w:p w14:paraId="46D99B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FF0000"/>
                      <w:spacing w:val="-2"/>
                      <w:sz w:val="21"/>
                      <w:szCs w:val="21"/>
                      <w:lang w:val="en-US" w:eastAsia="zh-CN"/>
                    </w:rPr>
                  </w:pPr>
                  <w:r>
                    <w:rPr>
                      <w:rFonts w:hint="eastAsia" w:ascii="Times New Roman" w:hAnsi="Times New Roman" w:eastAsia="宋体" w:cs="Times New Roman"/>
                      <w:b w:val="0"/>
                      <w:bCs w:val="0"/>
                      <w:color w:val="FF0000"/>
                      <w:spacing w:val="-2"/>
                      <w:sz w:val="21"/>
                      <w:szCs w:val="21"/>
                      <w:lang w:val="en-US" w:eastAsia="zh-CN"/>
                    </w:rPr>
                    <w:t>符合</w:t>
                  </w:r>
                </w:p>
              </w:tc>
            </w:tr>
            <w:tr w14:paraId="2A2B6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048E4ACE">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val="en-US" w:eastAsia="zh-CN"/>
                    </w:rPr>
                    <w:t>改善</w:t>
                  </w:r>
                  <w:r>
                    <w:rPr>
                      <w:rFonts w:hint="default" w:ascii="Times New Roman" w:hAnsi="Times New Roman" w:eastAsia="宋体" w:cs="Times New Roman"/>
                      <w:b w:val="0"/>
                      <w:bCs w:val="0"/>
                      <w:color w:val="auto"/>
                      <w:spacing w:val="-2"/>
                      <w:sz w:val="21"/>
                      <w:szCs w:val="21"/>
                    </w:rPr>
                    <w:t>大气环境质量</w:t>
                  </w:r>
                  <w:r>
                    <w:rPr>
                      <w:rFonts w:hint="eastAsia" w:ascii="Times New Roman" w:hAnsi="Times New Roman" w:eastAsia="宋体" w:cs="Times New Roman"/>
                      <w:b w:val="0"/>
                      <w:bCs w:val="0"/>
                      <w:color w:val="auto"/>
                      <w:spacing w:val="-2"/>
                      <w:sz w:val="21"/>
                      <w:szCs w:val="21"/>
                      <w:lang w:eastAsia="zh-CN"/>
                    </w:rPr>
                    <w:t>：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x综合整治，完成重点监管企业VOCx销号式综合整治。严格落实VOCx含量限值标准，大力推进低（无VOCx含量原辅料替代，将生产和使用高VOCx含量产品的企业列入强制性清洁生产审核名单。将VOCx纳入大气环境监测指标体系和污染物减排总量控制体系。</w:t>
                  </w:r>
                </w:p>
              </w:tc>
              <w:tc>
                <w:tcPr>
                  <w:tcW w:w="1373" w:type="pct"/>
                  <w:tcBorders>
                    <w:tl2br w:val="nil"/>
                    <w:tr2bl w:val="nil"/>
                  </w:tcBorders>
                  <w:noWrap w:val="0"/>
                  <w:vAlign w:val="center"/>
                </w:tcPr>
                <w:p w14:paraId="75DA536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本项目</w:t>
                  </w:r>
                  <w:r>
                    <w:rPr>
                      <w:rFonts w:hint="eastAsia" w:ascii="Times New Roman" w:hAnsi="Times New Roman" w:eastAsia="宋体" w:cs="Times New Roman"/>
                      <w:b w:val="0"/>
                      <w:bCs w:val="0"/>
                      <w:color w:val="auto"/>
                      <w:spacing w:val="-2"/>
                      <w:sz w:val="21"/>
                      <w:szCs w:val="21"/>
                      <w:lang w:val="en-US" w:eastAsia="zh-CN"/>
                    </w:rPr>
                    <w:t>不涉及高</w:t>
                  </w:r>
                  <w:r>
                    <w:rPr>
                      <w:rFonts w:hint="eastAsia" w:ascii="Times New Roman" w:hAnsi="Times New Roman" w:eastAsia="宋体" w:cs="Times New Roman"/>
                      <w:b w:val="0"/>
                      <w:bCs w:val="0"/>
                      <w:color w:val="auto"/>
                      <w:spacing w:val="-2"/>
                      <w:sz w:val="21"/>
                      <w:szCs w:val="21"/>
                      <w:lang w:eastAsia="zh-CN"/>
                    </w:rPr>
                    <w:t>VOCs含量产品</w:t>
                  </w:r>
                  <w:r>
                    <w:rPr>
                      <w:rFonts w:hint="eastAsia" w:ascii="Times New Roman" w:hAnsi="Times New Roman" w:eastAsia="宋体" w:cs="Times New Roman"/>
                      <w:b w:val="0"/>
                      <w:bCs w:val="0"/>
                      <w:color w:val="auto"/>
                      <w:spacing w:val="-2"/>
                      <w:sz w:val="21"/>
                      <w:szCs w:val="21"/>
                      <w:lang w:val="en-US" w:eastAsia="zh-CN"/>
                    </w:rPr>
                    <w:t>及原辅料的使用，生产产生的少量有机废气经收集处理后达标排放</w:t>
                  </w:r>
                </w:p>
              </w:tc>
              <w:tc>
                <w:tcPr>
                  <w:tcW w:w="447" w:type="pct"/>
                  <w:tcBorders>
                    <w:tl2br w:val="nil"/>
                    <w:tr2bl w:val="nil"/>
                  </w:tcBorders>
                  <w:noWrap w:val="0"/>
                  <w:vAlign w:val="center"/>
                </w:tcPr>
                <w:p w14:paraId="5F8BE61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2FA05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39AB09A0">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协同防治土壤和地下水污染</w:t>
                  </w:r>
                  <w:r>
                    <w:rPr>
                      <w:rFonts w:hint="eastAsia" w:ascii="Times New Roman" w:hAnsi="Times New Roman" w:eastAsia="宋体" w:cs="Times New Roman"/>
                      <w:b w:val="0"/>
                      <w:bCs w:val="0"/>
                      <w:color w:val="auto"/>
                      <w:spacing w:val="-2"/>
                      <w:sz w:val="21"/>
                      <w:szCs w:val="21"/>
                      <w:lang w:eastAsia="zh-CN"/>
                    </w:rPr>
                    <w:t>：1）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2）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3）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4）推进固体废弃物减量化、无害化、资源化处置和利用。</w:t>
                  </w:r>
                </w:p>
                <w:p w14:paraId="7943B746">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eastAsia="zh-CN"/>
                    </w:rPr>
                    <w:t>开展一般工业固体废物和非正规固体废物堆存场所排查整治，有效防控环境风险。5）防控危险废物污染环境风险。支持大型企业自行利用处置危险废物，支持工业园区配套建设危险废物末段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权过程信息追踪。</w:t>
                  </w:r>
                </w:p>
              </w:tc>
              <w:tc>
                <w:tcPr>
                  <w:tcW w:w="1373" w:type="pct"/>
                  <w:tcBorders>
                    <w:tl2br w:val="nil"/>
                    <w:tr2bl w:val="nil"/>
                  </w:tcBorders>
                  <w:noWrap w:val="0"/>
                  <w:vAlign w:val="center"/>
                </w:tcPr>
                <w:p w14:paraId="6ADC67C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rPr>
                  </w:pPr>
                  <w:r>
                    <w:rPr>
                      <w:rFonts w:hint="eastAsia" w:ascii="Times New Roman" w:hAnsi="Times New Roman" w:eastAsia="宋体" w:cs="Times New Roman"/>
                      <w:color w:val="auto"/>
                      <w:sz w:val="21"/>
                      <w:szCs w:val="21"/>
                      <w:lang w:val="en-US" w:eastAsia="zh-CN"/>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noWrap w:val="0"/>
                  <w:vAlign w:val="center"/>
                </w:tcPr>
                <w:p w14:paraId="3BC2CDB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4E89C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5348E09E">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rPr>
                    <w:t>管控噪声环境影响</w:t>
                  </w:r>
                  <w:r>
                    <w:rPr>
                      <w:rFonts w:hint="eastAsia" w:ascii="Times New Roman" w:hAnsi="Times New Roman" w:eastAsia="宋体" w:cs="Times New Roman"/>
                      <w:b w:val="0"/>
                      <w:bCs w:val="0"/>
                      <w:color w:val="auto"/>
                      <w:spacing w:val="-2"/>
                      <w:sz w:val="21"/>
                      <w:szCs w:val="21"/>
                      <w:lang w:eastAsia="zh-CN"/>
                    </w:rPr>
                    <w:t>：1）加强建筑施工噪监管。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2）强化工业企业噪声监管。工业企业合理布局生产设施、改进生产工艺、使用低噪声设备，采取消声、隔声、减振等措施，消除或减轻噪声对周围生活环境的影响，确保厂界噪声达标。新建、扩建、改建的项目严格将防治噪声污染入环境影响评价和“三同时”内容。</w:t>
                  </w:r>
                </w:p>
              </w:tc>
              <w:tc>
                <w:tcPr>
                  <w:tcW w:w="1373" w:type="pct"/>
                  <w:tcBorders>
                    <w:tl2br w:val="nil"/>
                    <w:tr2bl w:val="nil"/>
                  </w:tcBorders>
                  <w:noWrap w:val="0"/>
                  <w:vAlign w:val="center"/>
                </w:tcPr>
                <w:p w14:paraId="6F4F398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本项目将严格落实施工期噪声监管措施；主要生产设备布局远离噪声敏感点，并采取相应的降噪措施，避免出现噪声扰民事件。本项目所在地属于3类声功能区</w:t>
                  </w:r>
                </w:p>
              </w:tc>
              <w:tc>
                <w:tcPr>
                  <w:tcW w:w="447" w:type="pct"/>
                  <w:tcBorders>
                    <w:tl2br w:val="nil"/>
                    <w:tr2bl w:val="nil"/>
                  </w:tcBorders>
                  <w:noWrap w:val="0"/>
                  <w:vAlign w:val="center"/>
                </w:tcPr>
                <w:p w14:paraId="5675477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r w14:paraId="21635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noWrap w:val="0"/>
                  <w:vAlign w:val="center"/>
                </w:tcPr>
                <w:p w14:paraId="54ECA01C">
                  <w:pPr>
                    <w:keepNext w:val="0"/>
                    <w:keepLines w:val="0"/>
                    <w:pageBreakBefore w:val="0"/>
                    <w:widowControl w:val="0"/>
                    <w:kinsoku/>
                    <w:wordWrap/>
                    <w:overflowPunct/>
                    <w:topLinePunct w:val="0"/>
                    <w:autoSpaceDE/>
                    <w:autoSpaceDN/>
                    <w:bidi w:val="0"/>
                    <w:adjustRightInd w:val="0"/>
                    <w:snapToGrid w:val="0"/>
                    <w:spacing w:line="240" w:lineRule="auto"/>
                    <w:ind w:firstLine="412" w:firstLineChars="200"/>
                    <w:jc w:val="both"/>
                    <w:textAlignment w:val="auto"/>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eastAsia="宋体" w:cs="Times New Roman"/>
                      <w:b w:val="0"/>
                      <w:bCs w:val="0"/>
                      <w:color w:val="auto"/>
                      <w:spacing w:val="-2"/>
                      <w:sz w:val="21"/>
                      <w:szCs w:val="21"/>
                      <w:lang w:val="en-US" w:eastAsia="zh-CN"/>
                    </w:rPr>
                    <w:t>加强环境风险防控与管理</w:t>
                  </w:r>
                  <w:r>
                    <w:rPr>
                      <w:rFonts w:hint="eastAsia" w:ascii="Times New Roman" w:hAnsi="Times New Roman" w:eastAsia="宋体" w:cs="Times New Roman"/>
                      <w:b w:val="0"/>
                      <w:bCs w:val="0"/>
                      <w:color w:val="auto"/>
                      <w:spacing w:val="-2"/>
                      <w:sz w:val="21"/>
                      <w:szCs w:val="21"/>
                      <w:lang w:eastAsia="zh-CN"/>
                    </w:rPr>
                    <w:t>：1）加强环境风险评估。落实企业突发环境事件风险评估制度，实现重点企业突发环境事件应急预案备案全覆盖，推进突发环境事件风险分类分级管理，严格监管较大及以上环境风险。2）细化风险防范主体责任。全免推进环境风险企业“一源一事一案”及风险信息登记制度，督促企业落实环境应急管理规定、完善环境应急设备、开展应急岗位培训和应急演练，细化企业环境风险防范主体责任，推进境风险防控应急体系建设。3）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公园区环境风险防控和突发环境事件的应对能力。4）强化应急响应管理。建立政府主导、企业主体、部门联动、专家支持、社会救援的突发环境事件应急处置机制。积极推进企业环境应急专业救援队伍参与全区环境应急抢险救援工作。</w:t>
                  </w:r>
                </w:p>
              </w:tc>
              <w:tc>
                <w:tcPr>
                  <w:tcW w:w="1373" w:type="pct"/>
                  <w:tcBorders>
                    <w:tl2br w:val="nil"/>
                    <w:tr2bl w:val="nil"/>
                  </w:tcBorders>
                  <w:noWrap w:val="0"/>
                  <w:vAlign w:val="center"/>
                </w:tcPr>
                <w:p w14:paraId="73F1BDA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本项目无重大风险，评价要求企业应自主组织开展应急预案培训、宣传及演练。</w:t>
                  </w:r>
                </w:p>
              </w:tc>
              <w:tc>
                <w:tcPr>
                  <w:tcW w:w="447" w:type="pct"/>
                  <w:tcBorders>
                    <w:tl2br w:val="nil"/>
                    <w:tr2bl w:val="nil"/>
                  </w:tcBorders>
                  <w:noWrap w:val="0"/>
                  <w:vAlign w:val="center"/>
                </w:tcPr>
                <w:p w14:paraId="4A39500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符合</w:t>
                  </w:r>
                </w:p>
              </w:tc>
            </w:tr>
          </w:tbl>
          <w:p w14:paraId="0C7B7279">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由上表分析可知，本项目建设符合《重庆市九龙坡区生态环境保护“十四五”规划》（九龙坡府办发〔2022〕1号）。</w:t>
            </w:r>
          </w:p>
          <w:p w14:paraId="073EF7E8">
            <w:pPr>
              <w:spacing w:line="360" w:lineRule="auto"/>
              <w:ind w:firstLine="482" w:firstLineChars="200"/>
              <w:rPr>
                <w:rFonts w:hint="eastAsia" w:ascii="Times New Roman" w:hAnsi="Times New Roman" w:cs="Times New Roman"/>
                <w:b/>
                <w:bCs/>
                <w:sz w:val="24"/>
              </w:rPr>
            </w:pPr>
            <w:r>
              <w:rPr>
                <w:rFonts w:hint="eastAsia" w:ascii="Times New Roman" w:hAnsi="Times New Roman" w:cs="Times New Roman"/>
                <w:b/>
                <w:bCs/>
                <w:sz w:val="24"/>
                <w:lang w:val="en-US" w:eastAsia="zh-CN"/>
              </w:rPr>
              <w:t>8）与</w:t>
            </w:r>
            <w:r>
              <w:rPr>
                <w:rFonts w:hint="eastAsia" w:ascii="Times New Roman" w:hAnsi="Times New Roman" w:cs="Times New Roman"/>
                <w:b/>
                <w:bCs/>
                <w:sz w:val="24"/>
              </w:rPr>
              <w:t>《挥发性有机物（VOC</w:t>
            </w:r>
            <w:r>
              <w:rPr>
                <w:rFonts w:hint="eastAsia" w:ascii="Times New Roman" w:hAnsi="Times New Roman" w:cs="Times New Roman"/>
                <w:b/>
                <w:bCs/>
                <w:sz w:val="24"/>
                <w:vertAlign w:val="subscript"/>
                <w:lang w:val="en-US" w:eastAsia="zh-CN"/>
              </w:rPr>
              <w:t>S</w:t>
            </w:r>
            <w:r>
              <w:rPr>
                <w:rFonts w:hint="eastAsia" w:ascii="Times New Roman" w:hAnsi="Times New Roman" w:cs="Times New Roman"/>
                <w:b/>
                <w:bCs/>
                <w:sz w:val="24"/>
              </w:rPr>
              <w:t>）污染防治技术政策》</w:t>
            </w:r>
            <w:r>
              <w:rPr>
                <w:rFonts w:hint="eastAsia" w:ascii="Times New Roman" w:hAnsi="Times New Roman" w:cs="Times New Roman"/>
                <w:b/>
                <w:bCs/>
                <w:sz w:val="24"/>
                <w:lang w:val="en-US" w:eastAsia="zh-CN"/>
              </w:rPr>
              <w:t>的</w:t>
            </w:r>
            <w:r>
              <w:rPr>
                <w:rFonts w:hint="eastAsia" w:ascii="Times New Roman" w:hAnsi="Times New Roman" w:cs="Times New Roman"/>
                <w:b/>
                <w:bCs/>
                <w:sz w:val="24"/>
              </w:rPr>
              <w:t>符合性分析</w:t>
            </w:r>
          </w:p>
          <w:p w14:paraId="50D643F6">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项目与</w:t>
            </w:r>
            <w:r>
              <w:rPr>
                <w:rFonts w:hint="eastAsia" w:ascii="Times New Roman" w:hAnsi="Times New Roman" w:cs="Times New Roman"/>
                <w:sz w:val="24"/>
              </w:rPr>
              <w:t>《挥发性有机物（VOC</w:t>
            </w:r>
            <w:r>
              <w:rPr>
                <w:rFonts w:hint="eastAsia" w:ascii="Times New Roman" w:hAnsi="Times New Roman" w:cs="Times New Roman"/>
                <w:sz w:val="24"/>
                <w:vertAlign w:val="subscript"/>
                <w:lang w:val="en-US" w:eastAsia="zh-CN"/>
              </w:rPr>
              <w:t>S</w:t>
            </w:r>
            <w:r>
              <w:rPr>
                <w:rFonts w:hint="eastAsia" w:ascii="Times New Roman" w:hAnsi="Times New Roman" w:cs="Times New Roman"/>
                <w:sz w:val="24"/>
              </w:rPr>
              <w:t>）污染防治技术政策》</w:t>
            </w:r>
            <w:r>
              <w:rPr>
                <w:rFonts w:hint="eastAsia" w:ascii="Times New Roman" w:hAnsi="Times New Roman" w:cs="Times New Roman"/>
                <w:sz w:val="24"/>
                <w:lang w:val="en-US" w:eastAsia="zh-CN"/>
              </w:rPr>
              <w:t>的符合性分析见表1.2-8。</w:t>
            </w:r>
          </w:p>
          <w:p w14:paraId="548BD5C2">
            <w:pPr>
              <w:spacing w:line="360" w:lineRule="auto"/>
              <w:ind w:firstLine="480" w:firstLineChars="200"/>
              <w:rPr>
                <w:rFonts w:hint="default" w:ascii="Times New Roman" w:hAnsi="Times New Roman" w:cs="Times New Roman"/>
                <w:sz w:val="24"/>
              </w:rPr>
            </w:pPr>
            <w:bookmarkStart w:id="1" w:name="_Ref17685"/>
            <w:r>
              <w:rPr>
                <w:rFonts w:hint="default" w:ascii="Times New Roman" w:hAnsi="Times New Roman" w:cs="Times New Roman"/>
                <w:sz w:val="24"/>
              </w:rPr>
              <w:t>表</w:t>
            </w:r>
            <w:bookmarkEnd w:id="1"/>
            <w:r>
              <w:rPr>
                <w:rFonts w:hint="eastAsia" w:ascii="Times New Roman" w:hAnsi="Times New Roman" w:cs="Times New Roman"/>
                <w:sz w:val="24"/>
                <w:lang w:val="en-US" w:eastAsia="zh-CN"/>
              </w:rPr>
              <w:t>1.2-8</w:t>
            </w:r>
            <w:r>
              <w:rPr>
                <w:rFonts w:hint="eastAsia" w:ascii="Times New Roman" w:hAnsi="Times New Roman" w:cs="Times New Roman"/>
                <w:sz w:val="24"/>
              </w:rPr>
              <w:t xml:space="preserve">  与《挥发性有机物（VOC</w:t>
            </w:r>
            <w:r>
              <w:rPr>
                <w:rFonts w:hint="eastAsia" w:ascii="Times New Roman" w:hAnsi="Times New Roman" w:cs="Times New Roman"/>
                <w:sz w:val="24"/>
                <w:vertAlign w:val="subscript"/>
                <w:lang w:val="en-US" w:eastAsia="zh-CN"/>
              </w:rPr>
              <w:t>S</w:t>
            </w:r>
            <w:r>
              <w:rPr>
                <w:rFonts w:hint="eastAsia" w:ascii="Times New Roman" w:hAnsi="Times New Roman" w:cs="Times New Roman"/>
                <w:sz w:val="24"/>
              </w:rPr>
              <w:t>）污染防治技术政策》符合性</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14"/>
              <w:gridCol w:w="5327"/>
              <w:gridCol w:w="1184"/>
              <w:gridCol w:w="537"/>
            </w:tblGrid>
            <w:tr w14:paraId="4D57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628" w:type="pct"/>
                  <w:vAlign w:val="center"/>
                </w:tcPr>
                <w:p w14:paraId="036E7A99">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303" w:type="pct"/>
                  <w:vAlign w:val="center"/>
                </w:tcPr>
                <w:p w14:paraId="27CB3736">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与项目相关要求</w:t>
                  </w:r>
                </w:p>
              </w:tc>
              <w:tc>
                <w:tcPr>
                  <w:tcW w:w="734" w:type="pct"/>
                  <w:vAlign w:val="center"/>
                </w:tcPr>
                <w:p w14:paraId="3C237A55">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本项目</w:t>
                  </w:r>
                </w:p>
              </w:tc>
              <w:tc>
                <w:tcPr>
                  <w:tcW w:w="333" w:type="pct"/>
                  <w:vAlign w:val="center"/>
                </w:tcPr>
                <w:p w14:paraId="7BC35EEE">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032C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Align w:val="center"/>
                </w:tcPr>
                <w:p w14:paraId="70C6B68D">
                  <w:pPr>
                    <w:pStyle w:val="35"/>
                    <w:spacing w:before="31"/>
                    <w:rPr>
                      <w:rFonts w:hint="default" w:ascii="Times New Roman" w:hAnsi="Times New Roman" w:cs="Times New Roman"/>
                      <w:color w:val="auto"/>
                    </w:rPr>
                  </w:pPr>
                  <w:r>
                    <w:rPr>
                      <w:rFonts w:hint="default" w:ascii="Times New Roman" w:hAnsi="Times New Roman" w:cs="Times New Roman"/>
                      <w:color w:val="auto"/>
                    </w:rPr>
                    <w:t>源头和过程控制</w:t>
                  </w:r>
                </w:p>
              </w:tc>
              <w:tc>
                <w:tcPr>
                  <w:tcW w:w="3303" w:type="pct"/>
                  <w:vAlign w:val="center"/>
                </w:tcPr>
                <w:p w14:paraId="7860780E">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在涂装、印刷、粘合、工业清洗等含VOC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产品的使用过程中的VOC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污染防治技术措施包括：</w:t>
                  </w:r>
                </w:p>
                <w:p w14:paraId="542E853F">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1.鼓励使用通过环境标志产品认证的环保型涂料、油墨、胶粘剂和清洗剂；</w:t>
                  </w:r>
                </w:p>
                <w:p w14:paraId="5CD5FEB7">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2.根据涂装工艺的不同，鼓励使用水性涂料、高固份涂料、粉末涂料、紫外光固化（UV）涂料等环保型涂料；推广采用静电喷涂、淋涂、辊涂、浸涂等效率较高的涂装工艺；应尽量避免无VOC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净化、回收措施的露天喷涂作业；</w:t>
                  </w:r>
                </w:p>
                <w:p w14:paraId="38F2362D">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3.在印刷工艺中推广使用水性油墨，印铁制罐行业鼓励使用紫外光固化（UV）油墨，书刊印刷行业鼓励使用预涂膜技术；</w:t>
                  </w:r>
                </w:p>
                <w:p w14:paraId="4CE0A883">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4.鼓励在人造板、制鞋、皮革制品、包装材料等粘合过程中使用水基型、热熔型等环保型胶粘剂，在复合膜的生产中推广无溶剂复合及共挤出复合技术；</w:t>
                  </w:r>
                </w:p>
                <w:p w14:paraId="5040636B">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5.淘汰以三氟三氯乙烷、甲基氯仿和四氯化碳为清洗剂或溶剂的生产工艺。清洗过程中产生的废溶剂宜密闭收集，有回收价值的废溶剂经处理后回用，其他废溶剂应妥善处置；</w:t>
                  </w:r>
                </w:p>
                <w:p w14:paraId="3017E6DF">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6.含VOC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产品的使用过程中，应采取废气收集措施，提高废气收集效率，减少废气的无组织排放与逸散，并对收集后的废气进行回收或处理后达标排放。</w:t>
                  </w:r>
                </w:p>
              </w:tc>
              <w:tc>
                <w:tcPr>
                  <w:tcW w:w="734" w:type="pct"/>
                  <w:vAlign w:val="center"/>
                </w:tcPr>
                <w:p w14:paraId="6A06EB13">
                  <w:pPr>
                    <w:pStyle w:val="35"/>
                    <w:spacing w:before="3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项目使用塑粉</w:t>
                  </w:r>
                  <w:r>
                    <w:rPr>
                      <w:rFonts w:hint="eastAsia" w:ascii="Times New Roman" w:hAnsi="Times New Roman" w:cs="Times New Roman"/>
                      <w:color w:val="auto"/>
                      <w:lang w:val="en-US" w:eastAsia="zh-CN"/>
                    </w:rPr>
                    <w:t>作为喷涂原料，属于粉末涂料，采用静电喷涂工艺；生产过程中产生的VOCs废气收集后进入“干式过滤+活性炭”装置处置后排放。</w:t>
                  </w:r>
                </w:p>
              </w:tc>
              <w:tc>
                <w:tcPr>
                  <w:tcW w:w="333" w:type="pct"/>
                  <w:vAlign w:val="center"/>
                </w:tcPr>
                <w:p w14:paraId="339A9121">
                  <w:pPr>
                    <w:pStyle w:val="35"/>
                    <w:spacing w:before="31"/>
                    <w:rPr>
                      <w:rFonts w:hint="default" w:ascii="Times New Roman" w:hAnsi="Times New Roman" w:cs="Times New Roman"/>
                      <w:color w:val="auto"/>
                    </w:rPr>
                  </w:pPr>
                  <w:r>
                    <w:rPr>
                      <w:rFonts w:hint="default" w:ascii="Times New Roman" w:hAnsi="Times New Roman" w:cs="Times New Roman"/>
                      <w:color w:val="auto"/>
                    </w:rPr>
                    <w:t>符合</w:t>
                  </w:r>
                </w:p>
              </w:tc>
            </w:tr>
            <w:tr w14:paraId="6B57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32" w:hRule="atLeast"/>
              </w:trPr>
              <w:tc>
                <w:tcPr>
                  <w:tcW w:w="628" w:type="pct"/>
                  <w:vMerge w:val="restart"/>
                  <w:vAlign w:val="center"/>
                </w:tcPr>
                <w:p w14:paraId="559A85F6">
                  <w:pPr>
                    <w:pStyle w:val="35"/>
                    <w:spacing w:before="31"/>
                    <w:rPr>
                      <w:rFonts w:hint="default" w:ascii="Times New Roman" w:hAnsi="Times New Roman" w:cs="Times New Roman"/>
                      <w:color w:val="auto"/>
                    </w:rPr>
                  </w:pPr>
                  <w:r>
                    <w:rPr>
                      <w:rFonts w:hint="default" w:ascii="Times New Roman" w:hAnsi="Times New Roman" w:cs="Times New Roman"/>
                      <w:color w:val="auto"/>
                    </w:rPr>
                    <w:t>末端治理与综合利用</w:t>
                  </w:r>
                </w:p>
              </w:tc>
              <w:tc>
                <w:tcPr>
                  <w:tcW w:w="3303" w:type="pct"/>
                  <w:vAlign w:val="center"/>
                </w:tcPr>
                <w:p w14:paraId="0F3534CD">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在工业生产过程中鼓励VOC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的回收利用，并优先鼓励在生产系统内回用。对于含高浓度VOC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的废气，宜优先采用冷凝回收、吸附回收技术进行回收利用，并辅助以其他治理技术实现达标排放。对于含中等浓度VOC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的废气，可采用吸附技术回收有机溶剂，或采用催化燃烧和热力焚烧技术净化后达标排放。当采用催化燃烧和热力焚烧技术进行净化时，应进行余热回收利用。对于含低浓度VOC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的废气，有回收价值时可采用吸附技术、吸收技术对有机溶剂回收后达标排放；不宜回收时，可采用吸附浓缩燃烧技术、生物技术、吸收技术、等离子体技术或紫外光高级氧化技术等净化后达标排放。</w:t>
                  </w:r>
                </w:p>
                <w:p w14:paraId="2970C78C">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含有有机卤素成分VOC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734" w:type="pct"/>
                  <w:vAlign w:val="center"/>
                </w:tcPr>
                <w:p w14:paraId="708C34A4">
                  <w:pPr>
                    <w:pStyle w:val="35"/>
                    <w:spacing w:before="3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项目排放低浓度有机废气，可采取吸附技术。</w:t>
                  </w:r>
                </w:p>
              </w:tc>
              <w:tc>
                <w:tcPr>
                  <w:tcW w:w="333" w:type="pct"/>
                  <w:vAlign w:val="center"/>
                </w:tcPr>
                <w:p w14:paraId="62F17174">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r w14:paraId="12F2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30BB7240">
                  <w:pPr>
                    <w:pStyle w:val="35"/>
                    <w:spacing w:before="31"/>
                    <w:jc w:val="both"/>
                    <w:rPr>
                      <w:rFonts w:hint="default" w:ascii="Times New Roman" w:hAnsi="Times New Roman" w:cs="Times New Roman"/>
                      <w:color w:val="auto"/>
                    </w:rPr>
                  </w:pPr>
                </w:p>
              </w:tc>
              <w:tc>
                <w:tcPr>
                  <w:tcW w:w="3303" w:type="pct"/>
                  <w:vAlign w:val="center"/>
                </w:tcPr>
                <w:p w14:paraId="1B79948A">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严格控制VOC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处理过程中产生的二次污染，对于催化燃烧和热力焚烧过程中产生的含硫、氮、氯等无机废气，以及吸附、吸收、冷凝、生物等治理过程中所产生的含有机物废水，应处理后达标排放。</w:t>
                  </w:r>
                </w:p>
              </w:tc>
              <w:tc>
                <w:tcPr>
                  <w:tcW w:w="734" w:type="pct"/>
                  <w:vAlign w:val="center"/>
                </w:tcPr>
                <w:p w14:paraId="001C6991">
                  <w:pPr>
                    <w:pStyle w:val="35"/>
                    <w:spacing w:before="3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不涉及</w:t>
                  </w:r>
                </w:p>
              </w:tc>
              <w:tc>
                <w:tcPr>
                  <w:tcW w:w="333" w:type="pct"/>
                  <w:vAlign w:val="center"/>
                </w:tcPr>
                <w:p w14:paraId="7B5EA846">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r w14:paraId="1944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250C0225">
                  <w:pPr>
                    <w:pStyle w:val="35"/>
                    <w:spacing w:before="31"/>
                    <w:jc w:val="both"/>
                    <w:rPr>
                      <w:rFonts w:hint="default" w:ascii="Times New Roman" w:hAnsi="Times New Roman" w:cs="Times New Roman"/>
                      <w:color w:val="auto"/>
                    </w:rPr>
                  </w:pPr>
                </w:p>
              </w:tc>
              <w:tc>
                <w:tcPr>
                  <w:tcW w:w="3303" w:type="pct"/>
                  <w:vAlign w:val="center"/>
                </w:tcPr>
                <w:p w14:paraId="358C3505">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对于不能再生的过滤材料、吸附剂及催化剂等净化材料，应按照国家固体废物管理的相关规定处理处置。</w:t>
                  </w:r>
                </w:p>
              </w:tc>
              <w:tc>
                <w:tcPr>
                  <w:tcW w:w="734" w:type="pct"/>
                  <w:vAlign w:val="center"/>
                </w:tcPr>
                <w:p w14:paraId="487819FC">
                  <w:pPr>
                    <w:pStyle w:val="35"/>
                    <w:spacing w:before="3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项目更换的活性炭交危废单位处置。</w:t>
                  </w:r>
                </w:p>
              </w:tc>
              <w:tc>
                <w:tcPr>
                  <w:tcW w:w="333" w:type="pct"/>
                  <w:vAlign w:val="center"/>
                </w:tcPr>
                <w:p w14:paraId="30F53D99">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r w14:paraId="53FC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restart"/>
                  <w:vAlign w:val="center"/>
                </w:tcPr>
                <w:p w14:paraId="6D507024">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运行与监测</w:t>
                  </w:r>
                </w:p>
              </w:tc>
              <w:tc>
                <w:tcPr>
                  <w:tcW w:w="3303" w:type="pct"/>
                  <w:vAlign w:val="center"/>
                </w:tcPr>
                <w:p w14:paraId="055C3062">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鼓励企业自行开展VOC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监测，并及时主动向当地环保行政主管部门报送监测结果。</w:t>
                  </w:r>
                </w:p>
              </w:tc>
              <w:tc>
                <w:tcPr>
                  <w:tcW w:w="734" w:type="pct"/>
                  <w:vAlign w:val="center"/>
                </w:tcPr>
                <w:p w14:paraId="24066C6E">
                  <w:pPr>
                    <w:pStyle w:val="35"/>
                    <w:spacing w:before="3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严格按照监测要求执行自行监测。</w:t>
                  </w:r>
                </w:p>
              </w:tc>
              <w:tc>
                <w:tcPr>
                  <w:tcW w:w="333" w:type="pct"/>
                  <w:vAlign w:val="center"/>
                </w:tcPr>
                <w:p w14:paraId="284E00D3">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r w14:paraId="647A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7E205223">
                  <w:pPr>
                    <w:pStyle w:val="35"/>
                    <w:spacing w:before="31"/>
                    <w:jc w:val="both"/>
                    <w:rPr>
                      <w:rFonts w:hint="default" w:ascii="Times New Roman" w:hAnsi="Times New Roman" w:cs="Times New Roman"/>
                      <w:color w:val="auto"/>
                    </w:rPr>
                  </w:pPr>
                </w:p>
              </w:tc>
              <w:tc>
                <w:tcPr>
                  <w:tcW w:w="3303" w:type="pct"/>
                  <w:vAlign w:val="center"/>
                </w:tcPr>
                <w:p w14:paraId="4E5BA6F1">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企业应建立健全VOC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治理设施的运行维护规程和台帐等日常管理制度，并根据工艺要求定期对各类设备、电气、自控仪表等进行检修维护，确保设施的稳定运行。</w:t>
                  </w:r>
                </w:p>
              </w:tc>
              <w:tc>
                <w:tcPr>
                  <w:tcW w:w="734" w:type="pct"/>
                  <w:vAlign w:val="center"/>
                </w:tcPr>
                <w:p w14:paraId="16BF8032">
                  <w:pPr>
                    <w:pStyle w:val="35"/>
                    <w:spacing w:before="3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企业加强废气治理设备运行管理，</w:t>
                  </w:r>
                  <w:r>
                    <w:rPr>
                      <w:rFonts w:hint="default" w:ascii="Times New Roman" w:hAnsi="Times New Roman" w:cs="Times New Roman"/>
                      <w:color w:val="auto"/>
                    </w:rPr>
                    <w:t>建立健全VOC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治理设施的运行维护规程和台帐</w:t>
                  </w:r>
                  <w:r>
                    <w:rPr>
                      <w:rFonts w:hint="default" w:ascii="Times New Roman" w:hAnsi="Times New Roman" w:cs="Times New Roman"/>
                      <w:color w:val="auto"/>
                      <w:lang w:eastAsia="zh-CN"/>
                    </w:rPr>
                    <w:t>。</w:t>
                  </w:r>
                </w:p>
              </w:tc>
              <w:tc>
                <w:tcPr>
                  <w:tcW w:w="333" w:type="pct"/>
                  <w:vAlign w:val="center"/>
                </w:tcPr>
                <w:p w14:paraId="3B652536">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r w14:paraId="705D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34BE5C42">
                  <w:pPr>
                    <w:pStyle w:val="35"/>
                    <w:spacing w:before="31"/>
                    <w:jc w:val="both"/>
                    <w:rPr>
                      <w:rFonts w:hint="default" w:ascii="Times New Roman" w:hAnsi="Times New Roman" w:cs="Times New Roman"/>
                      <w:color w:val="auto"/>
                    </w:rPr>
                  </w:pPr>
                </w:p>
              </w:tc>
              <w:tc>
                <w:tcPr>
                  <w:tcW w:w="3303" w:type="pct"/>
                  <w:vAlign w:val="center"/>
                </w:tcPr>
                <w:p w14:paraId="30C08883">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当采用吸附回收（浓缩）、催化燃烧、热力焚烧、等离子体等方法进行末端治理时，应编制本单位事故火灾、爆炸等应急救援预案，配备应急救援人员和器材，并开展应急演练。</w:t>
                  </w:r>
                </w:p>
              </w:tc>
              <w:tc>
                <w:tcPr>
                  <w:tcW w:w="734" w:type="pct"/>
                  <w:vAlign w:val="center"/>
                </w:tcPr>
                <w:p w14:paraId="6AF90CD5">
                  <w:pPr>
                    <w:pStyle w:val="35"/>
                    <w:spacing w:before="3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不涉及</w:t>
                  </w:r>
                </w:p>
              </w:tc>
              <w:tc>
                <w:tcPr>
                  <w:tcW w:w="333" w:type="pct"/>
                  <w:vAlign w:val="center"/>
                </w:tcPr>
                <w:p w14:paraId="70085D71">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符合</w:t>
                  </w:r>
                </w:p>
              </w:tc>
            </w:tr>
          </w:tbl>
          <w:p w14:paraId="5AF941FF">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由上表，项目符合《挥发性有机物（VOC</w:t>
            </w:r>
            <w:r>
              <w:rPr>
                <w:rFonts w:hint="eastAsia" w:ascii="Times New Roman" w:hAnsi="Times New Roman" w:cs="Times New Roman"/>
                <w:sz w:val="24"/>
                <w:vertAlign w:val="subscript"/>
                <w:lang w:val="en-US" w:eastAsia="zh-CN"/>
              </w:rPr>
              <w:t>S</w:t>
            </w:r>
            <w:r>
              <w:rPr>
                <w:rFonts w:hint="eastAsia" w:ascii="Times New Roman" w:hAnsi="Times New Roman" w:cs="Times New Roman"/>
                <w:sz w:val="24"/>
                <w:lang w:val="en-US" w:eastAsia="zh-CN"/>
              </w:rPr>
              <w:t>）污染防治技术政策》文件要求。</w:t>
            </w:r>
          </w:p>
          <w:p w14:paraId="018C0CAE">
            <w:pPr>
              <w:spacing w:line="360" w:lineRule="auto"/>
              <w:ind w:firstLine="482" w:firstLineChars="200"/>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9）与《挥发性有机物无组织排放控制标准》（GB37822-2019）的符合性</w:t>
            </w:r>
          </w:p>
          <w:p w14:paraId="60420A2F">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项目与《挥发性有机物无组织排放控制标准》（GB37822-2019）的符合性分析见1.2-9。</w:t>
            </w:r>
          </w:p>
          <w:p w14:paraId="17DB77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sz w:val="24"/>
                <w:lang w:val="en-US" w:eastAsia="zh-CN"/>
              </w:rPr>
            </w:pPr>
            <w:bookmarkStart w:id="2" w:name="_Ref17397"/>
            <w:r>
              <w:rPr>
                <w:rFonts w:hint="eastAsia" w:ascii="Times New Roman" w:hAnsi="Times New Roman" w:cs="Times New Roman"/>
                <w:b/>
                <w:bCs/>
                <w:sz w:val="24"/>
                <w:lang w:val="en-US" w:eastAsia="zh-CN"/>
              </w:rPr>
              <w:t>表</w:t>
            </w:r>
            <w:bookmarkEnd w:id="2"/>
            <w:r>
              <w:rPr>
                <w:rFonts w:hint="eastAsia" w:ascii="Times New Roman" w:hAnsi="Times New Roman" w:cs="Times New Roman"/>
                <w:b/>
                <w:bCs/>
                <w:sz w:val="24"/>
                <w:lang w:val="en-US" w:eastAsia="zh-CN"/>
              </w:rPr>
              <w:t>1.2-9 与《挥发性有机物无组织排放控制标准》（GB37822-2019）符合性</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6"/>
              <w:gridCol w:w="5633"/>
              <w:gridCol w:w="936"/>
              <w:gridCol w:w="537"/>
            </w:tblGrid>
            <w:tr w14:paraId="6328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593" w:type="pct"/>
                  <w:vAlign w:val="center"/>
                </w:tcPr>
                <w:p w14:paraId="0C133E9A">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492" w:type="pct"/>
                  <w:vAlign w:val="center"/>
                </w:tcPr>
                <w:p w14:paraId="68503360">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与项目相关要求</w:t>
                  </w:r>
                </w:p>
              </w:tc>
              <w:tc>
                <w:tcPr>
                  <w:tcW w:w="580" w:type="pct"/>
                  <w:vAlign w:val="center"/>
                </w:tcPr>
                <w:p w14:paraId="34FD04BE">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本项目</w:t>
                  </w:r>
                </w:p>
              </w:tc>
              <w:tc>
                <w:tcPr>
                  <w:tcW w:w="333" w:type="pct"/>
                  <w:vAlign w:val="center"/>
                </w:tcPr>
                <w:p w14:paraId="156BD372">
                  <w:pPr>
                    <w:pStyle w:val="35"/>
                    <w:spacing w:before="31"/>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581D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6F57F5EF">
                  <w:pPr>
                    <w:pStyle w:val="35"/>
                    <w:spacing w:before="31"/>
                    <w:rPr>
                      <w:rFonts w:hint="default" w:ascii="Times New Roman" w:hAnsi="Times New Roman" w:cs="Times New Roman"/>
                      <w:color w:val="auto"/>
                    </w:rPr>
                  </w:pPr>
                  <w:r>
                    <w:rPr>
                      <w:rFonts w:hint="default" w:ascii="Times New Roman" w:hAnsi="Times New Roman" w:cs="Times New Roman"/>
                      <w:color w:val="auto"/>
                    </w:rPr>
                    <w:t>VOC</w:t>
                  </w:r>
                  <w:r>
                    <w:rPr>
                      <w:rFonts w:hint="default" w:ascii="Times New Roman" w:hAnsi="Times New Roman" w:cs="Times New Roman"/>
                      <w:color w:val="auto"/>
                      <w:vertAlign w:val="subscript"/>
                    </w:rPr>
                    <w:t>S</w:t>
                  </w:r>
                  <w:r>
                    <w:rPr>
                      <w:rFonts w:hint="default" w:ascii="Times New Roman" w:hAnsi="Times New Roman" w:cs="Times New Roman"/>
                      <w:color w:val="auto"/>
                    </w:rPr>
                    <w:t>物料储存无组织排放控制要求</w:t>
                  </w:r>
                </w:p>
              </w:tc>
              <w:tc>
                <w:tcPr>
                  <w:tcW w:w="3492" w:type="pct"/>
                  <w:vAlign w:val="center"/>
                </w:tcPr>
                <w:p w14:paraId="357138E9">
                  <w:pPr>
                    <w:pStyle w:val="35"/>
                    <w:spacing w:before="31"/>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1.VOC</w:t>
                  </w:r>
                  <w:r>
                    <w:rPr>
                      <w:rFonts w:hint="default" w:ascii="Times New Roman" w:hAnsi="Times New Roman" w:cs="Times New Roman"/>
                      <w:color w:val="auto"/>
                      <w:highlight w:val="none"/>
                      <w:vertAlign w:val="subscript"/>
                    </w:rPr>
                    <w:t>S</w:t>
                  </w:r>
                  <w:r>
                    <w:rPr>
                      <w:rFonts w:hint="default" w:ascii="Times New Roman" w:hAnsi="Times New Roman" w:cs="Times New Roman"/>
                      <w:color w:val="auto"/>
                      <w:highlight w:val="none"/>
                    </w:rPr>
                    <w:t>物料应储存于密闭的容器、包装袋、储罐、储库、料仓中。2.盛装VOC</w:t>
                  </w:r>
                  <w:r>
                    <w:rPr>
                      <w:rFonts w:hint="default" w:ascii="Times New Roman" w:hAnsi="Times New Roman" w:cs="Times New Roman"/>
                      <w:color w:val="auto"/>
                      <w:highlight w:val="none"/>
                      <w:vertAlign w:val="subscript"/>
                    </w:rPr>
                    <w:t>S</w:t>
                  </w:r>
                  <w:r>
                    <w:rPr>
                      <w:rFonts w:hint="default" w:ascii="Times New Roman" w:hAnsi="Times New Roman" w:cs="Times New Roman"/>
                      <w:color w:val="auto"/>
                      <w:highlight w:val="none"/>
                    </w:rPr>
                    <w:t>物料的容器或包装袋应存放于室内，或存放于设置有雨棚、遮阳和防渗设施的专用场地。3.盛装VOC</w:t>
                  </w:r>
                  <w:r>
                    <w:rPr>
                      <w:rFonts w:hint="default" w:ascii="Times New Roman" w:hAnsi="Times New Roman" w:cs="Times New Roman"/>
                      <w:color w:val="auto"/>
                      <w:highlight w:val="none"/>
                      <w:vertAlign w:val="subscript"/>
                    </w:rPr>
                    <w:t>S</w:t>
                  </w:r>
                  <w:r>
                    <w:rPr>
                      <w:rFonts w:hint="default" w:ascii="Times New Roman" w:hAnsi="Times New Roman" w:cs="Times New Roman"/>
                      <w:color w:val="auto"/>
                      <w:highlight w:val="none"/>
                    </w:rPr>
                    <w:t>物料的容器或包装袋在非取用状态时应加盖、封口，保持密闭。VOC</w:t>
                  </w:r>
                  <w:r>
                    <w:rPr>
                      <w:rFonts w:hint="default" w:ascii="Times New Roman" w:hAnsi="Times New Roman" w:cs="Times New Roman"/>
                      <w:color w:val="auto"/>
                      <w:highlight w:val="none"/>
                      <w:vertAlign w:val="subscript"/>
                    </w:rPr>
                    <w:t>S</w:t>
                  </w:r>
                  <w:r>
                    <w:rPr>
                      <w:rFonts w:hint="default" w:ascii="Times New Roman" w:hAnsi="Times New Roman" w:cs="Times New Roman"/>
                      <w:color w:val="auto"/>
                      <w:highlight w:val="none"/>
                    </w:rPr>
                    <w:t>物料储罐应密封良好，其中挥发性有机液体储罐应符合挥发性有机液体储罐规定。4.VOC</w:t>
                  </w:r>
                  <w:r>
                    <w:rPr>
                      <w:rFonts w:hint="default" w:ascii="Times New Roman" w:hAnsi="Times New Roman" w:cs="Times New Roman"/>
                      <w:color w:val="auto"/>
                      <w:highlight w:val="none"/>
                      <w:vertAlign w:val="subscript"/>
                    </w:rPr>
                    <w:t>S</w:t>
                  </w:r>
                  <w:r>
                    <w:rPr>
                      <w:rFonts w:hint="default" w:ascii="Times New Roman" w:hAnsi="Times New Roman" w:cs="Times New Roman"/>
                      <w:color w:val="auto"/>
                      <w:highlight w:val="none"/>
                    </w:rPr>
                    <w:t>物料储库、料仓应满足对密闭空间的要求。</w:t>
                  </w:r>
                </w:p>
              </w:tc>
              <w:tc>
                <w:tcPr>
                  <w:tcW w:w="580" w:type="pct"/>
                  <w:vMerge w:val="restart"/>
                  <w:vAlign w:val="center"/>
                </w:tcPr>
                <w:p w14:paraId="11FA2398">
                  <w:pPr>
                    <w:pStyle w:val="35"/>
                    <w:spacing w:before="31"/>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eastAsia" w:ascii="Times New Roman" w:hAnsi="Times New Roman" w:cs="Times New Roman"/>
                      <w:color w:val="auto"/>
                      <w:highlight w:val="none"/>
                      <w:lang w:eastAsia="zh-CN"/>
                    </w:rPr>
                    <w:t>生产原料为塑粉，属于粉末涂料，采用袋装。</w:t>
                  </w:r>
                </w:p>
              </w:tc>
              <w:tc>
                <w:tcPr>
                  <w:tcW w:w="333" w:type="pct"/>
                  <w:vMerge w:val="restart"/>
                  <w:vAlign w:val="center"/>
                </w:tcPr>
                <w:p w14:paraId="2D4D7968">
                  <w:pPr>
                    <w:pStyle w:val="35"/>
                    <w:spacing w:before="31"/>
                    <w:rPr>
                      <w:rFonts w:hint="default" w:ascii="Times New Roman" w:hAnsi="Times New Roman" w:cs="Times New Roman"/>
                      <w:color w:val="auto"/>
                    </w:rPr>
                  </w:pPr>
                  <w:r>
                    <w:rPr>
                      <w:rFonts w:hint="default" w:ascii="Times New Roman" w:hAnsi="Times New Roman" w:cs="Times New Roman"/>
                      <w:color w:val="auto"/>
                    </w:rPr>
                    <w:t>符合</w:t>
                  </w:r>
                </w:p>
              </w:tc>
            </w:tr>
            <w:tr w14:paraId="1E27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76447D4D">
                  <w:pPr>
                    <w:pStyle w:val="35"/>
                    <w:spacing w:before="31"/>
                    <w:rPr>
                      <w:rFonts w:hint="default" w:ascii="Times New Roman" w:hAnsi="Times New Roman" w:cs="Times New Roman"/>
                      <w:color w:val="auto"/>
                    </w:rPr>
                  </w:pPr>
                  <w:r>
                    <w:rPr>
                      <w:rFonts w:hint="default" w:ascii="Times New Roman" w:hAnsi="Times New Roman" w:cs="Times New Roman"/>
                      <w:color w:val="auto"/>
                    </w:rPr>
                    <w:t>VOC</w:t>
                  </w:r>
                  <w:r>
                    <w:rPr>
                      <w:rFonts w:hint="default" w:ascii="Times New Roman" w:hAnsi="Times New Roman" w:cs="Times New Roman"/>
                      <w:color w:val="auto"/>
                      <w:vertAlign w:val="subscript"/>
                    </w:rPr>
                    <w:t>S</w:t>
                  </w:r>
                  <w:r>
                    <w:rPr>
                      <w:rFonts w:hint="default" w:ascii="Times New Roman" w:hAnsi="Times New Roman" w:cs="Times New Roman"/>
                      <w:color w:val="auto"/>
                    </w:rPr>
                    <w:t>物料转移和输送无组织排放控制要求</w:t>
                  </w:r>
                </w:p>
              </w:tc>
              <w:tc>
                <w:tcPr>
                  <w:tcW w:w="3492" w:type="pct"/>
                  <w:vAlign w:val="center"/>
                </w:tcPr>
                <w:p w14:paraId="2009E331">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1.液态VOC</w:t>
                  </w:r>
                  <w:r>
                    <w:rPr>
                      <w:rFonts w:hint="default" w:ascii="Times New Roman" w:hAnsi="Times New Roman" w:cs="Times New Roman"/>
                      <w:color w:val="auto"/>
                      <w:vertAlign w:val="subscript"/>
                    </w:rPr>
                    <w:t>S</w:t>
                  </w:r>
                  <w:r>
                    <w:rPr>
                      <w:rFonts w:hint="default" w:ascii="Times New Roman" w:hAnsi="Times New Roman" w:cs="Times New Roman"/>
                      <w:color w:val="auto"/>
                    </w:rPr>
                    <w:t>物料应采用密闭管道输送。采用非管道输送方式转移液态VOC</w:t>
                  </w:r>
                  <w:r>
                    <w:rPr>
                      <w:rFonts w:hint="default" w:ascii="Times New Roman" w:hAnsi="Times New Roman" w:cs="Times New Roman"/>
                      <w:color w:val="auto"/>
                      <w:vertAlign w:val="subscript"/>
                    </w:rPr>
                    <w:t>S</w:t>
                  </w:r>
                  <w:r>
                    <w:rPr>
                      <w:rFonts w:hint="default" w:ascii="Times New Roman" w:hAnsi="Times New Roman" w:cs="Times New Roman"/>
                      <w:color w:val="auto"/>
                    </w:rPr>
                    <w:t>物料时，应采用密闭容器、罐车；2.粉状、粒状VOC</w:t>
                  </w:r>
                  <w:r>
                    <w:rPr>
                      <w:rFonts w:hint="default" w:ascii="Times New Roman" w:hAnsi="Times New Roman" w:cs="Times New Roman"/>
                      <w:color w:val="auto"/>
                      <w:vertAlign w:val="subscript"/>
                    </w:rPr>
                    <w:t>S</w:t>
                  </w:r>
                  <w:r>
                    <w:rPr>
                      <w:rFonts w:hint="default" w:ascii="Times New Roman" w:hAnsi="Times New Roman" w:cs="Times New Roman"/>
                      <w:color w:val="auto"/>
                    </w:rPr>
                    <w:t>物料应采用气力输送设备、管状带式输送机、螺旋输送机等密闭输送方式，或者采用密闭的包装袋、容器或罐车进行物料转移。</w:t>
                  </w:r>
                </w:p>
              </w:tc>
              <w:tc>
                <w:tcPr>
                  <w:tcW w:w="580" w:type="pct"/>
                  <w:vMerge w:val="continue"/>
                  <w:vAlign w:val="center"/>
                </w:tcPr>
                <w:p w14:paraId="1A675524">
                  <w:pPr>
                    <w:pStyle w:val="35"/>
                    <w:spacing w:before="31"/>
                    <w:jc w:val="both"/>
                    <w:rPr>
                      <w:rFonts w:hint="default" w:ascii="Times New Roman" w:hAnsi="Times New Roman" w:cs="Times New Roman"/>
                      <w:color w:val="auto"/>
                    </w:rPr>
                  </w:pPr>
                </w:p>
              </w:tc>
              <w:tc>
                <w:tcPr>
                  <w:tcW w:w="333" w:type="pct"/>
                  <w:vMerge w:val="continue"/>
                  <w:vAlign w:val="center"/>
                </w:tcPr>
                <w:p w14:paraId="1432AE8F">
                  <w:pPr>
                    <w:pStyle w:val="35"/>
                    <w:spacing w:before="31"/>
                    <w:rPr>
                      <w:rFonts w:hint="default" w:ascii="Times New Roman" w:hAnsi="Times New Roman" w:cs="Times New Roman"/>
                      <w:color w:val="auto"/>
                    </w:rPr>
                  </w:pPr>
                </w:p>
              </w:tc>
            </w:tr>
            <w:tr w14:paraId="29B8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4688BE15">
                  <w:pPr>
                    <w:pStyle w:val="35"/>
                    <w:spacing w:before="31"/>
                    <w:rPr>
                      <w:rFonts w:hint="default" w:ascii="Times New Roman" w:hAnsi="Times New Roman" w:cs="Times New Roman"/>
                      <w:color w:val="auto"/>
                    </w:rPr>
                  </w:pPr>
                  <w:r>
                    <w:rPr>
                      <w:rFonts w:hint="default" w:ascii="Times New Roman" w:hAnsi="Times New Roman" w:cs="Times New Roman"/>
                      <w:color w:val="auto"/>
                    </w:rPr>
                    <w:t>工艺过程VOC</w:t>
                  </w:r>
                  <w:r>
                    <w:rPr>
                      <w:rFonts w:hint="default" w:ascii="Times New Roman" w:hAnsi="Times New Roman" w:cs="Times New Roman"/>
                      <w:color w:val="auto"/>
                      <w:vertAlign w:val="subscript"/>
                    </w:rPr>
                    <w:t>S</w:t>
                  </w:r>
                  <w:r>
                    <w:rPr>
                      <w:rFonts w:hint="default" w:ascii="Times New Roman" w:hAnsi="Times New Roman" w:cs="Times New Roman"/>
                      <w:color w:val="auto"/>
                    </w:rPr>
                    <w:t>无组织排放控制要求</w:t>
                  </w:r>
                </w:p>
              </w:tc>
              <w:tc>
                <w:tcPr>
                  <w:tcW w:w="3492" w:type="pct"/>
                  <w:vAlign w:val="center"/>
                </w:tcPr>
                <w:p w14:paraId="54C85E15">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1.含VOC</w:t>
                  </w:r>
                  <w:r>
                    <w:rPr>
                      <w:rFonts w:hint="default" w:ascii="Times New Roman" w:hAnsi="Times New Roman" w:cs="Times New Roman"/>
                      <w:color w:val="auto"/>
                      <w:vertAlign w:val="subscript"/>
                    </w:rPr>
                    <w:t>S</w:t>
                  </w:r>
                  <w:r>
                    <w:rPr>
                      <w:rFonts w:hint="default" w:ascii="Times New Roman" w:hAnsi="Times New Roman" w:cs="Times New Roman"/>
                      <w:color w:val="auto"/>
                    </w:rPr>
                    <w:t>产品的使用过程：VOC</w:t>
                  </w:r>
                  <w:r>
                    <w:rPr>
                      <w:rFonts w:hint="default" w:ascii="Times New Roman" w:hAnsi="Times New Roman" w:cs="Times New Roman"/>
                      <w:color w:val="auto"/>
                      <w:vertAlign w:val="subscript"/>
                    </w:rPr>
                    <w:t>S</w:t>
                  </w:r>
                  <w:r>
                    <w:rPr>
                      <w:rFonts w:hint="default" w:ascii="Times New Roman" w:hAnsi="Times New Roman" w:cs="Times New Roman"/>
                      <w:color w:val="auto"/>
                    </w:rPr>
                    <w:t>质量占比大于等于10%的含VOC</w:t>
                  </w:r>
                  <w:r>
                    <w:rPr>
                      <w:rFonts w:hint="default" w:ascii="Times New Roman" w:hAnsi="Times New Roman" w:cs="Times New Roman"/>
                      <w:color w:val="auto"/>
                      <w:vertAlign w:val="subscript"/>
                    </w:rPr>
                    <w:t>S</w:t>
                  </w:r>
                  <w:r>
                    <w:rPr>
                      <w:rFonts w:hint="default" w:ascii="Times New Roman" w:hAnsi="Times New Roman" w:cs="Times New Roman"/>
                      <w:color w:val="auto"/>
                    </w:rPr>
                    <w:t>产品，其使用过程应采用密闭设备或在密闭空间内操作，废气应排至VOC</w:t>
                  </w:r>
                  <w:r>
                    <w:rPr>
                      <w:rFonts w:hint="default" w:ascii="Times New Roman" w:hAnsi="Times New Roman" w:cs="Times New Roman"/>
                      <w:color w:val="auto"/>
                      <w:vertAlign w:val="subscript"/>
                    </w:rPr>
                    <w:t>S</w:t>
                  </w:r>
                  <w:r>
                    <w:rPr>
                      <w:rFonts w:hint="default" w:ascii="Times New Roman" w:hAnsi="Times New Roman" w:cs="Times New Roman"/>
                      <w:color w:val="auto"/>
                    </w:rPr>
                    <w:t>废气收集处理系统；无法密闭的，应采取局部气体收集措施，废气应排至VOC</w:t>
                  </w:r>
                  <w:r>
                    <w:rPr>
                      <w:rFonts w:hint="default" w:ascii="Times New Roman" w:hAnsi="Times New Roman" w:cs="Times New Roman"/>
                      <w:color w:val="auto"/>
                      <w:vertAlign w:val="subscript"/>
                    </w:rPr>
                    <w:t>S</w:t>
                  </w:r>
                  <w:r>
                    <w:rPr>
                      <w:rFonts w:hint="default" w:ascii="Times New Roman" w:hAnsi="Times New Roman" w:cs="Times New Roman"/>
                      <w:color w:val="auto"/>
                    </w:rPr>
                    <w:t>废气收集处理系统。2.有机聚合物产品用于制品生产的过程：在混合/混炼、塑炼/塑化/熔化、加工成型（挤出、注射、压制、压延、发泡、纺丝等）等作业中应采用密闭设备或在密闭空间内操作，废气应排至VOC</w:t>
                  </w:r>
                  <w:r>
                    <w:rPr>
                      <w:rFonts w:hint="default" w:ascii="Times New Roman" w:hAnsi="Times New Roman" w:cs="Times New Roman"/>
                      <w:color w:val="auto"/>
                      <w:vertAlign w:val="subscript"/>
                    </w:rPr>
                    <w:t>S</w:t>
                  </w:r>
                  <w:r>
                    <w:rPr>
                      <w:rFonts w:hint="default" w:ascii="Times New Roman" w:hAnsi="Times New Roman" w:cs="Times New Roman"/>
                      <w:color w:val="auto"/>
                    </w:rPr>
                    <w:t>废气收集处理系统；无法密闭的，应采取局部气体收集措施，废气应排至VOC</w:t>
                  </w:r>
                  <w:r>
                    <w:rPr>
                      <w:rFonts w:hint="default" w:ascii="Times New Roman" w:hAnsi="Times New Roman" w:cs="Times New Roman"/>
                      <w:color w:val="auto"/>
                      <w:vertAlign w:val="subscript"/>
                    </w:rPr>
                    <w:t>S</w:t>
                  </w:r>
                  <w:r>
                    <w:rPr>
                      <w:rFonts w:hint="default" w:ascii="Times New Roman" w:hAnsi="Times New Roman" w:cs="Times New Roman"/>
                      <w:color w:val="auto"/>
                    </w:rPr>
                    <w:t>废气收集处理系统。</w:t>
                  </w:r>
                </w:p>
              </w:tc>
              <w:tc>
                <w:tcPr>
                  <w:tcW w:w="580" w:type="pct"/>
                  <w:vMerge w:val="restart"/>
                  <w:vAlign w:val="center"/>
                </w:tcPr>
                <w:p w14:paraId="65F773E6">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项目喷粉固化废气，设置集气罩收集处置，控制风速不低于0.3m/s。NMHC初始排放速率远低于2kg/h，无须设置处置效率大于80%</w:t>
                  </w:r>
                  <w:r>
                    <w:rPr>
                      <w:rFonts w:hint="eastAsia" w:ascii="Times New Roman" w:hAnsi="Times New Roman" w:cs="Times New Roman"/>
                      <w:color w:val="auto"/>
                      <w:lang w:eastAsia="zh-CN"/>
                    </w:rPr>
                    <w:t>的处理设施</w:t>
                  </w:r>
                  <w:r>
                    <w:rPr>
                      <w:rFonts w:hint="default" w:ascii="Times New Roman" w:hAnsi="Times New Roman" w:cs="Times New Roman"/>
                      <w:color w:val="auto"/>
                    </w:rPr>
                    <w:t>，</w:t>
                  </w:r>
                  <w:r>
                    <w:rPr>
                      <w:rFonts w:hint="eastAsia" w:ascii="Times New Roman" w:hAnsi="Times New Roman" w:cs="Times New Roman"/>
                      <w:color w:val="auto"/>
                      <w:lang w:eastAsia="zh-CN"/>
                    </w:rPr>
                    <w:t>本项目</w:t>
                  </w:r>
                  <w:r>
                    <w:rPr>
                      <w:rFonts w:hint="default" w:ascii="Times New Roman" w:hAnsi="Times New Roman" w:cs="Times New Roman"/>
                      <w:color w:val="auto"/>
                    </w:rPr>
                    <w:t>采用活性炭吸附装置处置可行。</w:t>
                  </w:r>
                </w:p>
              </w:tc>
              <w:tc>
                <w:tcPr>
                  <w:tcW w:w="333" w:type="pct"/>
                  <w:vMerge w:val="continue"/>
                  <w:vAlign w:val="center"/>
                </w:tcPr>
                <w:p w14:paraId="2541AC5A">
                  <w:pPr>
                    <w:pStyle w:val="35"/>
                    <w:spacing w:before="31"/>
                    <w:rPr>
                      <w:rFonts w:hint="default" w:ascii="Times New Roman" w:hAnsi="Times New Roman" w:cs="Times New Roman"/>
                      <w:color w:val="auto"/>
                    </w:rPr>
                  </w:pPr>
                </w:p>
              </w:tc>
            </w:tr>
            <w:tr w14:paraId="51DA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1D82A077">
                  <w:pPr>
                    <w:pStyle w:val="35"/>
                    <w:spacing w:before="31"/>
                    <w:rPr>
                      <w:rFonts w:hint="default" w:ascii="Times New Roman" w:hAnsi="Times New Roman" w:cs="Times New Roman"/>
                      <w:color w:val="auto"/>
                    </w:rPr>
                  </w:pPr>
                  <w:r>
                    <w:rPr>
                      <w:rFonts w:hint="default" w:ascii="Times New Roman" w:hAnsi="Times New Roman" w:cs="Times New Roman"/>
                      <w:color w:val="auto"/>
                    </w:rPr>
                    <w:t>废气收集系统要求</w:t>
                  </w:r>
                </w:p>
              </w:tc>
              <w:tc>
                <w:tcPr>
                  <w:tcW w:w="3492" w:type="pct"/>
                  <w:vAlign w:val="center"/>
                </w:tcPr>
                <w:p w14:paraId="129F2769">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1.企业应考虑生产工艺、操作方式、废气性质、处理方法等因素，对VOC</w:t>
                  </w:r>
                  <w:r>
                    <w:rPr>
                      <w:rFonts w:hint="default" w:ascii="Times New Roman" w:hAnsi="Times New Roman" w:cs="Times New Roman"/>
                      <w:color w:val="auto"/>
                      <w:vertAlign w:val="subscript"/>
                    </w:rPr>
                    <w:t>S</w:t>
                  </w:r>
                  <w:r>
                    <w:rPr>
                      <w:rFonts w:hint="default" w:ascii="Times New Roman" w:hAnsi="Times New Roman" w:cs="Times New Roman"/>
                      <w:color w:val="auto"/>
                    </w:rPr>
                    <w:t>废气进行分类收集。2.废气收集系统排风罩（集气罩）的设置应符合GB/T 16758的规定。采用外部排风罩的，应按GB/T 16758、AQ/T 4274—2016 规定的方法测量控制风速，测量点应选取在距排风罩开口面最远处的VOC</w:t>
                  </w:r>
                  <w:r>
                    <w:rPr>
                      <w:rFonts w:hint="default" w:ascii="Times New Roman" w:hAnsi="Times New Roman" w:cs="Times New Roman"/>
                      <w:color w:val="auto"/>
                      <w:vertAlign w:val="subscript"/>
                    </w:rPr>
                    <w:t>S</w:t>
                  </w:r>
                  <w:r>
                    <w:rPr>
                      <w:rFonts w:hint="default" w:ascii="Times New Roman" w:hAnsi="Times New Roman" w:cs="Times New Roman"/>
                      <w:color w:val="auto"/>
                    </w:rPr>
                    <w:t>无组织排放位置，控制风速不应低于0.3m/s（行业相关规范有具体规定的，按相关规定执行）</w:t>
                  </w:r>
                </w:p>
              </w:tc>
              <w:tc>
                <w:tcPr>
                  <w:tcW w:w="580" w:type="pct"/>
                  <w:vMerge w:val="continue"/>
                  <w:vAlign w:val="center"/>
                </w:tcPr>
                <w:p w14:paraId="59ADDBB0">
                  <w:pPr>
                    <w:pStyle w:val="35"/>
                    <w:spacing w:before="31"/>
                    <w:jc w:val="both"/>
                    <w:rPr>
                      <w:rFonts w:hint="default" w:ascii="Times New Roman" w:hAnsi="Times New Roman" w:cs="Times New Roman"/>
                      <w:color w:val="auto"/>
                    </w:rPr>
                  </w:pPr>
                </w:p>
              </w:tc>
              <w:tc>
                <w:tcPr>
                  <w:tcW w:w="333" w:type="pct"/>
                  <w:vMerge w:val="continue"/>
                  <w:vAlign w:val="center"/>
                </w:tcPr>
                <w:p w14:paraId="3BCF0925">
                  <w:pPr>
                    <w:pStyle w:val="35"/>
                    <w:spacing w:before="31"/>
                    <w:rPr>
                      <w:rFonts w:hint="default" w:ascii="Times New Roman" w:hAnsi="Times New Roman" w:cs="Times New Roman"/>
                      <w:color w:val="auto"/>
                    </w:rPr>
                  </w:pPr>
                </w:p>
              </w:tc>
            </w:tr>
            <w:tr w14:paraId="76F2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4C91A486">
                  <w:pPr>
                    <w:pStyle w:val="35"/>
                    <w:spacing w:before="31"/>
                    <w:rPr>
                      <w:rFonts w:hint="default" w:ascii="Times New Roman" w:hAnsi="Times New Roman" w:cs="Times New Roman"/>
                      <w:color w:val="auto"/>
                    </w:rPr>
                  </w:pPr>
                  <w:r>
                    <w:rPr>
                      <w:rFonts w:hint="default" w:ascii="Times New Roman" w:hAnsi="Times New Roman" w:cs="Times New Roman"/>
                      <w:color w:val="auto"/>
                    </w:rPr>
                    <w:t>VOC</w:t>
                  </w:r>
                  <w:r>
                    <w:rPr>
                      <w:rFonts w:hint="default" w:ascii="Times New Roman" w:hAnsi="Times New Roman" w:cs="Times New Roman"/>
                      <w:color w:val="auto"/>
                      <w:vertAlign w:val="subscript"/>
                    </w:rPr>
                    <w:t>S</w:t>
                  </w:r>
                  <w:r>
                    <w:rPr>
                      <w:rFonts w:hint="default" w:ascii="Times New Roman" w:hAnsi="Times New Roman" w:cs="Times New Roman"/>
                      <w:color w:val="auto"/>
                    </w:rPr>
                    <w:t>排放控制要求</w:t>
                  </w:r>
                </w:p>
              </w:tc>
              <w:tc>
                <w:tcPr>
                  <w:tcW w:w="3492" w:type="pct"/>
                  <w:vAlign w:val="center"/>
                </w:tcPr>
                <w:p w14:paraId="0AA0424F">
                  <w:pPr>
                    <w:pStyle w:val="35"/>
                    <w:spacing w:before="31"/>
                    <w:jc w:val="left"/>
                    <w:rPr>
                      <w:rFonts w:hint="default" w:ascii="Times New Roman" w:hAnsi="Times New Roman" w:cs="Times New Roman"/>
                      <w:color w:val="auto"/>
                    </w:rPr>
                  </w:pPr>
                  <w:r>
                    <w:rPr>
                      <w:rFonts w:hint="default" w:ascii="Times New Roman" w:hAnsi="Times New Roman" w:cs="Times New Roman"/>
                      <w:color w:val="auto"/>
                    </w:rPr>
                    <w:t>VOC</w:t>
                  </w:r>
                  <w:r>
                    <w:rPr>
                      <w:rFonts w:hint="default" w:ascii="Times New Roman" w:hAnsi="Times New Roman" w:cs="Times New Roman"/>
                      <w:color w:val="auto"/>
                      <w:vertAlign w:val="subscript"/>
                    </w:rPr>
                    <w:t>S</w:t>
                  </w:r>
                  <w:r>
                    <w:rPr>
                      <w:rFonts w:hint="default" w:ascii="Times New Roman" w:hAnsi="Times New Roman" w:cs="Times New Roman"/>
                      <w:color w:val="auto"/>
                    </w:rPr>
                    <w:t>废气收集处理系统污染物排放应符合GB 16297或相关行业排放标准的规定。收集的废气中NMHC初始排放速率≥3kg/h时，应配置VOC</w:t>
                  </w:r>
                  <w:r>
                    <w:rPr>
                      <w:rFonts w:hint="default" w:ascii="Times New Roman" w:hAnsi="Times New Roman" w:cs="Times New Roman"/>
                      <w:color w:val="auto"/>
                      <w:vertAlign w:val="subscript"/>
                    </w:rPr>
                    <w:t>S</w:t>
                  </w:r>
                  <w:r>
                    <w:rPr>
                      <w:rFonts w:hint="default" w:ascii="Times New Roman" w:hAnsi="Times New Roman" w:cs="Times New Roman"/>
                      <w:color w:val="auto"/>
                    </w:rPr>
                    <w:t>处理设施，处理效率不应低于80%；对于重点地区，收集的废气中NMHC初始排放速率≥2kg/h时，应配置VOC</w:t>
                  </w:r>
                  <w:r>
                    <w:rPr>
                      <w:rFonts w:hint="default" w:ascii="Times New Roman" w:hAnsi="Times New Roman" w:cs="Times New Roman"/>
                      <w:color w:val="auto"/>
                      <w:vertAlign w:val="subscript"/>
                    </w:rPr>
                    <w:t>S</w:t>
                  </w:r>
                  <w:r>
                    <w:rPr>
                      <w:rFonts w:hint="default" w:ascii="Times New Roman" w:hAnsi="Times New Roman" w:cs="Times New Roman"/>
                      <w:color w:val="auto"/>
                    </w:rPr>
                    <w:t>处理设施，处理效率不应低于80%；采用的原辅材料符合国家有关低VOC</w:t>
                  </w:r>
                  <w:r>
                    <w:rPr>
                      <w:rFonts w:hint="default" w:ascii="Times New Roman" w:hAnsi="Times New Roman" w:cs="Times New Roman"/>
                      <w:color w:val="auto"/>
                      <w:vertAlign w:val="subscript"/>
                    </w:rPr>
                    <w:t>S</w:t>
                  </w:r>
                  <w:r>
                    <w:rPr>
                      <w:rFonts w:hint="default" w:ascii="Times New Roman" w:hAnsi="Times New Roman" w:cs="Times New Roman"/>
                      <w:color w:val="auto"/>
                    </w:rPr>
                    <w:t>含量产品规定的除外。排气筒高度不低于15m（因安全考虑或有特殊工艺要求的除外），具体高度以及与周围建筑物的相对高度关系应根据环境影响评价文件确定。</w:t>
                  </w:r>
                </w:p>
              </w:tc>
              <w:tc>
                <w:tcPr>
                  <w:tcW w:w="580" w:type="pct"/>
                  <w:vMerge w:val="continue"/>
                  <w:vAlign w:val="center"/>
                </w:tcPr>
                <w:p w14:paraId="052F466E">
                  <w:pPr>
                    <w:pStyle w:val="35"/>
                    <w:spacing w:before="31"/>
                    <w:jc w:val="both"/>
                    <w:rPr>
                      <w:rFonts w:hint="default" w:ascii="Times New Roman" w:hAnsi="Times New Roman" w:cs="Times New Roman"/>
                      <w:color w:val="auto"/>
                    </w:rPr>
                  </w:pPr>
                </w:p>
              </w:tc>
              <w:tc>
                <w:tcPr>
                  <w:tcW w:w="333" w:type="pct"/>
                  <w:vMerge w:val="continue"/>
                  <w:vAlign w:val="center"/>
                </w:tcPr>
                <w:p w14:paraId="330D544A">
                  <w:pPr>
                    <w:pStyle w:val="35"/>
                    <w:spacing w:before="31"/>
                    <w:rPr>
                      <w:rFonts w:hint="default" w:ascii="Times New Roman" w:hAnsi="Times New Roman" w:cs="Times New Roman"/>
                      <w:color w:val="auto"/>
                    </w:rPr>
                  </w:pPr>
                </w:p>
              </w:tc>
            </w:tr>
            <w:tr w14:paraId="4978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6CFA0C27">
                  <w:pPr>
                    <w:pStyle w:val="35"/>
                    <w:spacing w:before="31"/>
                    <w:rPr>
                      <w:rFonts w:hint="default" w:ascii="Times New Roman" w:hAnsi="Times New Roman" w:cs="Times New Roman"/>
                      <w:color w:val="auto"/>
                    </w:rPr>
                  </w:pPr>
                  <w:r>
                    <w:rPr>
                      <w:rFonts w:hint="default" w:ascii="Times New Roman" w:hAnsi="Times New Roman" w:cs="Times New Roman"/>
                      <w:color w:val="auto"/>
                    </w:rPr>
                    <w:t>记录要求</w:t>
                  </w:r>
                </w:p>
              </w:tc>
              <w:tc>
                <w:tcPr>
                  <w:tcW w:w="3492" w:type="pct"/>
                  <w:vAlign w:val="center"/>
                </w:tcPr>
                <w:p w14:paraId="2FF0CE26">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企业应建立台账，记录废气收集系统、VOC</w:t>
                  </w:r>
                  <w:r>
                    <w:rPr>
                      <w:rFonts w:hint="default" w:ascii="Times New Roman" w:hAnsi="Times New Roman" w:cs="Times New Roman"/>
                      <w:color w:val="auto"/>
                      <w:vertAlign w:val="subscript"/>
                    </w:rPr>
                    <w:t>S</w:t>
                  </w:r>
                  <w:r>
                    <w:rPr>
                      <w:rFonts w:hint="default" w:ascii="Times New Roman" w:hAnsi="Times New Roman" w:cs="Times New Roman"/>
                      <w:color w:val="auto"/>
                    </w:rPr>
                    <w:t>处理设施的主要运行和维护信息，如运行时间、废气处理量、操作温度、停留时间、吸附剂再生/更换周期和更换量、催化剂更换周期和更换量、吸收液pH值等关键运行参数。台账保存期限不少于3年。</w:t>
                  </w:r>
                </w:p>
              </w:tc>
              <w:tc>
                <w:tcPr>
                  <w:tcW w:w="580" w:type="pct"/>
                  <w:vAlign w:val="center"/>
                </w:tcPr>
                <w:p w14:paraId="0C7A4E66">
                  <w:pPr>
                    <w:pStyle w:val="35"/>
                    <w:spacing w:before="31"/>
                    <w:jc w:val="both"/>
                    <w:rPr>
                      <w:rFonts w:hint="default" w:ascii="Times New Roman" w:hAnsi="Times New Roman" w:cs="Times New Roman"/>
                      <w:color w:val="auto"/>
                    </w:rPr>
                  </w:pPr>
                  <w:r>
                    <w:rPr>
                      <w:rFonts w:hint="default" w:ascii="Times New Roman" w:hAnsi="Times New Roman" w:cs="Times New Roman"/>
                      <w:color w:val="auto"/>
                    </w:rPr>
                    <w:t>企业应严格执行台账管理。</w:t>
                  </w:r>
                </w:p>
              </w:tc>
              <w:tc>
                <w:tcPr>
                  <w:tcW w:w="333" w:type="pct"/>
                  <w:vAlign w:val="center"/>
                </w:tcPr>
                <w:p w14:paraId="23672D85">
                  <w:pPr>
                    <w:pStyle w:val="35"/>
                    <w:spacing w:before="31"/>
                    <w:rPr>
                      <w:rFonts w:hint="default" w:ascii="Times New Roman" w:hAnsi="Times New Roman" w:cs="Times New Roman"/>
                      <w:color w:val="auto"/>
                    </w:rPr>
                  </w:pPr>
                  <w:r>
                    <w:rPr>
                      <w:rFonts w:hint="default" w:ascii="Times New Roman" w:hAnsi="Times New Roman" w:cs="Times New Roman"/>
                      <w:color w:val="auto"/>
                    </w:rPr>
                    <w:t>符合</w:t>
                  </w:r>
                </w:p>
              </w:tc>
            </w:tr>
          </w:tbl>
          <w:p w14:paraId="1545D08D">
            <w:pPr>
              <w:pStyle w:val="3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由上表，拟建项目符合《挥发性有机物无组织排放控制标准》（GB37822-2019）文件要求。</w:t>
            </w:r>
          </w:p>
          <w:p w14:paraId="5A353D39">
            <w:pPr>
              <w:keepNext w:val="0"/>
              <w:keepLines w:val="0"/>
              <w:pageBreakBefore w:val="0"/>
              <w:widowControl w:val="0"/>
              <w:kinsoku/>
              <w:wordWrap/>
              <w:overflowPunct/>
              <w:topLinePunct w:val="0"/>
              <w:autoSpaceDE/>
              <w:autoSpaceDN/>
              <w:bidi w:val="0"/>
              <w:adjustRightInd/>
              <w:snapToGrid/>
              <w:spacing w:before="32" w:beforeLines="10" w:line="372" w:lineRule="auto"/>
              <w:ind w:firstLine="480" w:firstLineChars="200"/>
              <w:jc w:val="both"/>
              <w:textAlignment w:val="auto"/>
              <w:rPr>
                <w:rFonts w:hint="eastAsia" w:ascii="Times New Roman" w:hAnsi="Times New Roman" w:eastAsia="宋体"/>
                <w:b w:val="0"/>
                <w:bCs w:val="0"/>
                <w:color w:val="auto"/>
                <w:sz w:val="24"/>
                <w:szCs w:val="24"/>
                <w:highlight w:val="none"/>
                <w:vertAlign w:val="baseline"/>
                <w:lang w:val="en-US" w:eastAsia="zh-CN"/>
              </w:rPr>
            </w:pPr>
            <w:r>
              <w:rPr>
                <w:rFonts w:hint="eastAsia" w:ascii="Times New Roman" w:hAnsi="Times New Roman" w:eastAsia="宋体"/>
                <w:b w:val="0"/>
                <w:bCs w:val="0"/>
                <w:color w:val="auto"/>
                <w:sz w:val="24"/>
                <w:szCs w:val="24"/>
                <w:highlight w:val="none"/>
                <w:vertAlign w:val="baseline"/>
                <w:lang w:val="en-US" w:eastAsia="zh-CN"/>
              </w:rPr>
              <w:t>综上分析，本项目不属于淘汰类、禁止新建、扩建类及限制类项目，故本项目符合产业政策及相关环保政策要求。</w:t>
            </w:r>
          </w:p>
          <w:p w14:paraId="30C5A3F6">
            <w:pPr>
              <w:keepNext w:val="0"/>
              <w:keepLines w:val="0"/>
              <w:pageBreakBefore w:val="0"/>
              <w:widowControl w:val="0"/>
              <w:kinsoku/>
              <w:wordWrap/>
              <w:overflowPunct/>
              <w:topLinePunct w:val="0"/>
              <w:autoSpaceDE/>
              <w:autoSpaceDN/>
              <w:bidi w:val="0"/>
              <w:adjustRightInd/>
              <w:snapToGrid/>
              <w:spacing w:line="368" w:lineRule="auto"/>
              <w:ind w:firstLine="480" w:firstLineChars="200"/>
              <w:jc w:val="both"/>
              <w:textAlignment w:val="auto"/>
              <w:rPr>
                <w:rFonts w:hint="eastAsia" w:ascii="Times New Roman" w:hAnsi="Times New Roman" w:eastAsia="宋体"/>
                <w:b w:val="0"/>
                <w:bCs w:val="0"/>
                <w:color w:val="auto"/>
                <w:sz w:val="24"/>
                <w:szCs w:val="24"/>
                <w:highlight w:val="none"/>
                <w:vertAlign w:val="baseline"/>
                <w:lang w:val="en-US" w:eastAsia="zh-CN"/>
              </w:rPr>
            </w:pPr>
          </w:p>
          <w:p w14:paraId="25D48575">
            <w:pPr>
              <w:keepNext w:val="0"/>
              <w:keepLines w:val="0"/>
              <w:pageBreakBefore w:val="0"/>
              <w:widowControl w:val="0"/>
              <w:kinsoku/>
              <w:wordWrap/>
              <w:overflowPunct/>
              <w:topLinePunct w:val="0"/>
              <w:autoSpaceDE/>
              <w:autoSpaceDN/>
              <w:bidi w:val="0"/>
              <w:adjustRightInd/>
              <w:snapToGrid/>
              <w:spacing w:line="368" w:lineRule="auto"/>
              <w:ind w:firstLine="480" w:firstLineChars="200"/>
              <w:jc w:val="both"/>
              <w:textAlignment w:val="auto"/>
              <w:rPr>
                <w:rFonts w:hint="eastAsia" w:ascii="Times New Roman" w:hAnsi="Times New Roman" w:eastAsia="宋体"/>
                <w:b w:val="0"/>
                <w:bCs w:val="0"/>
                <w:color w:val="auto"/>
                <w:sz w:val="24"/>
                <w:szCs w:val="24"/>
                <w:highlight w:val="none"/>
                <w:vertAlign w:val="baseline"/>
                <w:lang w:val="en-US" w:eastAsia="zh-CN"/>
              </w:rPr>
            </w:pPr>
          </w:p>
          <w:p w14:paraId="215A0334">
            <w:pPr>
              <w:keepNext w:val="0"/>
              <w:keepLines w:val="0"/>
              <w:pageBreakBefore w:val="0"/>
              <w:widowControl w:val="0"/>
              <w:kinsoku/>
              <w:wordWrap/>
              <w:overflowPunct/>
              <w:topLinePunct w:val="0"/>
              <w:autoSpaceDE/>
              <w:autoSpaceDN/>
              <w:bidi w:val="0"/>
              <w:adjustRightInd/>
              <w:snapToGrid/>
              <w:spacing w:line="372" w:lineRule="auto"/>
              <w:ind w:firstLine="482" w:firstLineChars="200"/>
              <w:jc w:val="both"/>
              <w:textAlignment w:val="auto"/>
              <w:rPr>
                <w:rFonts w:hint="eastAsia" w:ascii="Times New Roman" w:hAnsi="Times New Roman" w:eastAsia="宋体"/>
                <w:b/>
                <w:bCs/>
                <w:color w:val="auto"/>
                <w:sz w:val="24"/>
                <w:szCs w:val="24"/>
                <w:highlight w:val="none"/>
                <w:vertAlign w:val="baseline"/>
                <w:lang w:val="en-US" w:eastAsia="zh-CN"/>
              </w:rPr>
            </w:pPr>
          </w:p>
        </w:tc>
      </w:tr>
    </w:tbl>
    <w:p w14:paraId="6D7D3D63">
      <w:pPr>
        <w:pStyle w:val="6"/>
        <w:rPr>
          <w:rFonts w:hint="eastAsia"/>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081FEBF9">
      <w:pPr>
        <w:jc w:val="center"/>
        <w:outlineLvl w:val="0"/>
        <w:rPr>
          <w:rFonts w:hint="eastAsia" w:ascii="Times New Roman" w:hAnsi="Times New Roman" w:eastAsia="黑体"/>
          <w:color w:val="auto"/>
          <w:sz w:val="30"/>
          <w:szCs w:val="30"/>
          <w:highlight w:val="none"/>
          <w:lang w:val="en-US" w:eastAsia="zh-CN"/>
        </w:rPr>
      </w:pPr>
      <w:bookmarkStart w:id="3" w:name="_Toc13467"/>
      <w:r>
        <w:rPr>
          <w:rFonts w:hint="eastAsia" w:ascii="Times New Roman" w:hAnsi="Times New Roman" w:eastAsia="黑体"/>
          <w:color w:val="auto"/>
          <w:sz w:val="30"/>
          <w:szCs w:val="30"/>
          <w:highlight w:val="none"/>
          <w:lang w:val="en-US" w:eastAsia="zh-CN"/>
        </w:rPr>
        <w:t>二、建设项目工程分析</w:t>
      </w:r>
      <w:bookmarkEnd w:id="3"/>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0"/>
        <w:gridCol w:w="8502"/>
      </w:tblGrid>
      <w:tr w14:paraId="2BFD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60" w:type="pct"/>
            <w:vAlign w:val="center"/>
          </w:tcPr>
          <w:p w14:paraId="5B1C50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建设</w:t>
            </w:r>
          </w:p>
          <w:p w14:paraId="1499B6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内容</w:t>
            </w:r>
          </w:p>
        </w:tc>
        <w:tc>
          <w:tcPr>
            <w:tcW w:w="4639" w:type="pct"/>
            <w:vAlign w:val="center"/>
          </w:tcPr>
          <w:p w14:paraId="6189D12B">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jc w:val="both"/>
              <w:textAlignment w:val="auto"/>
              <w:rPr>
                <w:rFonts w:hint="default"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2.1项目由来</w:t>
            </w:r>
          </w:p>
          <w:p w14:paraId="61869E2D">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eastAsia="宋体"/>
                <w:color w:val="auto"/>
                <w:sz w:val="24"/>
                <w:szCs w:val="24"/>
                <w:highlight w:val="none"/>
                <w:vertAlign w:val="baseline"/>
                <w:lang w:val="en-US" w:eastAsia="zh-CN"/>
              </w:rPr>
              <w:t>重庆市成吉思机械制造有限公司（以下简称“建设单位”）是一家从事汽车配件生产加工的企业。建设单位于2021年租赁位于重庆市九龙城区西彭镇森迪大道1号森迪安防产业园（一期工程）的2#厂房（建筑面积约6133.64m</w:t>
            </w:r>
            <w:r>
              <w:rPr>
                <w:rFonts w:hint="eastAsia" w:ascii="Times New Roman" w:hAnsi="Times New Roman" w:eastAsia="宋体"/>
                <w:color w:val="auto"/>
                <w:sz w:val="24"/>
                <w:szCs w:val="24"/>
                <w:highlight w:val="none"/>
                <w:vertAlign w:val="superscript"/>
                <w:lang w:val="en-US" w:eastAsia="zh-CN"/>
              </w:rPr>
              <w:t>2</w:t>
            </w:r>
            <w:r>
              <w:rPr>
                <w:rFonts w:hint="eastAsia" w:ascii="Times New Roman" w:hAnsi="Times New Roman" w:eastAsia="宋体"/>
                <w:color w:val="auto"/>
                <w:sz w:val="24"/>
                <w:szCs w:val="24"/>
                <w:highlight w:val="none"/>
                <w:vertAlign w:val="baseline"/>
                <w:lang w:val="en-US" w:eastAsia="zh-CN"/>
              </w:rPr>
              <w:t>），实施“汽车冲焊零部件生产项目”（以下简称“现有工程”），进行汽车零部件冲压件、焊接件等的生产加工活动，并配套建设储运工程、辅助工程、环保工程等设施，年产汽车冲焊零部件约25万件。2022年8月16日重庆市九龙坡区生态环境局以《重庆市建设项目环境影响评价文件批准书》</w:t>
            </w:r>
            <w:r>
              <w:rPr>
                <w:rFonts w:hint="eastAsia" w:ascii="Times New Roman" w:hAnsi="Times New Roman" w:cs="宋体"/>
                <w:color w:val="auto"/>
                <w:sz w:val="24"/>
                <w:szCs w:val="24"/>
                <w:highlight w:val="none"/>
                <w:lang w:val="en-US" w:eastAsia="zh-CN"/>
              </w:rPr>
              <w:t>（渝（九）环准〔2022〕055号）批准现有工程建设。</w:t>
            </w:r>
          </w:p>
          <w:p w14:paraId="1736D4EE">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2023年4月20日，建设单位组织验收组对“汽车冲焊零部件生产项目”进行竣工环境保护验收，并取得专家组意见，现有工程通过专家组验收。</w:t>
            </w:r>
          </w:p>
          <w:p w14:paraId="6A8E98BC">
            <w:pPr>
              <w:spacing w:line="360" w:lineRule="auto"/>
              <w:ind w:firstLine="480" w:firstLineChars="200"/>
              <w:rPr>
                <w:rFonts w:hint="default" w:ascii="Times New Roman" w:hAnsi="Times New Roman" w:cs="Times New Roman"/>
                <w:sz w:val="24"/>
                <w:szCs w:val="36"/>
                <w:highlight w:val="none"/>
                <w:lang w:eastAsia="zh-CN"/>
              </w:rPr>
            </w:pPr>
            <w:r>
              <w:rPr>
                <w:rFonts w:hint="eastAsia" w:ascii="Times New Roman" w:hAnsi="Times New Roman" w:cs="宋体"/>
                <w:color w:val="auto"/>
                <w:sz w:val="24"/>
                <w:szCs w:val="24"/>
                <w:highlight w:val="none"/>
                <w:lang w:val="en-US" w:eastAsia="zh-CN"/>
              </w:rPr>
              <w:t>现由于市场原因，建设单位新租用重庆贵玲机械制造有限公司位于森迪安防产业园（一期工程）10#标准厂房（位于现有工程西侧），建筑面积3633.32m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宋体"/>
                <w:color w:val="auto"/>
                <w:sz w:val="24"/>
                <w:szCs w:val="24"/>
                <w:highlight w:val="none"/>
                <w:lang w:val="en-US" w:eastAsia="zh-CN"/>
              </w:rPr>
              <w:t>，共计4F</w:t>
            </w:r>
            <w:r>
              <w:rPr>
                <w:rFonts w:hint="eastAsia" w:ascii="Times New Roman" w:hAnsi="Times New Roman" w:cs="Times New Roman"/>
                <w:color w:val="auto"/>
                <w:sz w:val="24"/>
                <w:szCs w:val="24"/>
                <w:highlight w:val="none"/>
                <w:lang w:val="en-US" w:eastAsia="zh-CN"/>
              </w:rPr>
              <w:t>，</w:t>
            </w:r>
            <w:r>
              <w:rPr>
                <w:rFonts w:hint="eastAsia" w:ascii="Times New Roman" w:hAnsi="Times New Roman" w:cs="宋体"/>
                <w:color w:val="auto"/>
                <w:sz w:val="24"/>
                <w:szCs w:val="24"/>
                <w:highlight w:val="none"/>
                <w:lang w:val="en-US" w:eastAsia="zh-CN"/>
              </w:rPr>
              <w:t>拟用于实施“汽车冲焊零部件加工项目”（以下称“本项目”或“扩建项目”</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，1F（</w:t>
            </w:r>
            <w:r>
              <w:rPr>
                <w:rFonts w:hint="eastAsia" w:ascii="Times New Roman" w:hAnsi="Times New Roman" w:cs="宋体"/>
                <w:color w:val="auto"/>
                <w:sz w:val="24"/>
                <w:szCs w:val="24"/>
                <w:highlight w:val="none"/>
                <w:lang w:val="en-US" w:eastAsia="zh-CN"/>
              </w:rPr>
              <w:t>建筑面积约890m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宋体"/>
                <w:color w:val="auto"/>
                <w:sz w:val="24"/>
                <w:szCs w:val="24"/>
                <w:highlight w:val="none"/>
                <w:lang w:val="en-US" w:eastAsia="zh-CN"/>
              </w:rPr>
              <w:t>新建2台抛丸机、1条喷粉线，对现有工程生产的部分产品进行</w:t>
            </w:r>
            <w:r>
              <w:rPr>
                <w:rFonts w:hint="eastAsia" w:ascii="Times New Roman" w:hAnsi="Times New Roman" w:cs="宋体"/>
                <w:color w:val="FF0000"/>
                <w:sz w:val="24"/>
                <w:szCs w:val="24"/>
                <w:highlight w:val="none"/>
                <w:lang w:val="en-US" w:eastAsia="zh-CN"/>
              </w:rPr>
              <w:t>抛丸、喷粉、固化加工</w:t>
            </w:r>
            <w:r>
              <w:rPr>
                <w:rFonts w:hint="eastAsia" w:ascii="Times New Roman" w:hAnsi="Times New Roman" w:cs="宋体"/>
                <w:color w:val="auto"/>
                <w:sz w:val="24"/>
                <w:szCs w:val="24"/>
                <w:highlight w:val="none"/>
                <w:lang w:val="en-US" w:eastAsia="zh-CN"/>
              </w:rPr>
              <w:t>，生产规模为</w:t>
            </w:r>
            <w:r>
              <w:rPr>
                <w:rFonts w:hint="default" w:ascii="Times New Roman" w:hAnsi="Times New Roman" w:cs="Times New Roman"/>
                <w:color w:val="auto"/>
                <w:sz w:val="24"/>
                <w:szCs w:val="24"/>
                <w:highlight w:val="none"/>
                <w:lang w:val="en-US" w:eastAsia="zh-CN"/>
              </w:rPr>
              <w:t>年加工汽车冲焊件10万件</w:t>
            </w:r>
            <w:r>
              <w:rPr>
                <w:rFonts w:hint="eastAsia" w:ascii="Times New Roman" w:hAnsi="Times New Roman" w:cs="Times New Roman"/>
                <w:color w:val="auto"/>
                <w:sz w:val="24"/>
                <w:szCs w:val="24"/>
                <w:highlight w:val="none"/>
                <w:lang w:val="en-US" w:eastAsia="zh-CN"/>
              </w:rPr>
              <w:t>；2~4F作为预留厂房</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sz w:val="24"/>
              </w:rPr>
              <w:t>已</w:t>
            </w:r>
            <w:r>
              <w:rPr>
                <w:rFonts w:hint="default" w:ascii="Times New Roman" w:hAnsi="Times New Roman" w:cs="Times New Roman"/>
                <w:sz w:val="24"/>
                <w:lang w:val="en-US" w:eastAsia="zh-CN"/>
              </w:rPr>
              <w:t>取得</w:t>
            </w:r>
            <w:r>
              <w:rPr>
                <w:rFonts w:hint="default" w:ascii="Times New Roman" w:hAnsi="Times New Roman" w:cs="Times New Roman"/>
                <w:sz w:val="24"/>
              </w:rPr>
              <w:t>重庆市九龙坡区发展和改革委员会</w:t>
            </w:r>
            <w:r>
              <w:rPr>
                <w:rFonts w:hint="default" w:ascii="Times New Roman" w:hAnsi="Times New Roman" w:cs="Times New Roman"/>
                <w:sz w:val="24"/>
                <w:lang w:val="en-US" w:eastAsia="zh-CN"/>
              </w:rPr>
              <w:t>下发的</w:t>
            </w:r>
            <w:r>
              <w:rPr>
                <w:rFonts w:hint="default" w:ascii="Times New Roman" w:hAnsi="Times New Roman" w:cs="Times New Roman"/>
                <w:spacing w:val="6"/>
                <w:sz w:val="24"/>
              </w:rPr>
              <w:t>《</w:t>
            </w:r>
            <w:r>
              <w:rPr>
                <w:rFonts w:hint="default" w:ascii="Times New Roman" w:hAnsi="Times New Roman" w:cs="Times New Roman"/>
                <w:sz w:val="24"/>
              </w:rPr>
              <w:t>重庆市企业投资项目备案证</w:t>
            </w:r>
            <w:r>
              <w:rPr>
                <w:rFonts w:hint="default" w:ascii="Times New Roman" w:hAnsi="Times New Roman" w:cs="Times New Roman"/>
                <w:spacing w:val="6"/>
                <w:sz w:val="24"/>
              </w:rPr>
              <w:t>》（</w:t>
            </w:r>
            <w:r>
              <w:rPr>
                <w:rFonts w:hint="default" w:ascii="Times New Roman" w:hAnsi="Times New Roman" w:cs="Times New Roman"/>
                <w:sz w:val="24"/>
              </w:rPr>
              <w:t>代码</w:t>
            </w:r>
            <w:r>
              <w:rPr>
                <w:rFonts w:hint="default" w:ascii="Times New Roman" w:hAnsi="Times New Roman" w:cs="Times New Roman"/>
                <w:sz w:val="24"/>
                <w:highlight w:val="none"/>
              </w:rPr>
              <w:t>：</w:t>
            </w:r>
            <w:r>
              <w:rPr>
                <w:rFonts w:hint="default" w:ascii="Times New Roman" w:hAnsi="Times New Roman" w:cs="Times New Roman"/>
                <w:sz w:val="24"/>
                <w:szCs w:val="36"/>
                <w:highlight w:val="none"/>
                <w:lang w:eastAsia="zh-CN"/>
              </w:rPr>
              <w:t>2411-500107-04-05-663054</w:t>
            </w:r>
            <w:r>
              <w:rPr>
                <w:rFonts w:hint="default" w:ascii="Times New Roman" w:hAnsi="Times New Roman" w:cs="Times New Roman"/>
                <w:spacing w:val="6"/>
                <w:sz w:val="24"/>
                <w:highlight w:val="none"/>
              </w:rPr>
              <w:t>）。</w:t>
            </w:r>
          </w:p>
          <w:p w14:paraId="09576E75">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default" w:ascii="Times New Roman" w:hAnsi="Times New Roman" w:cs="Times New Roman"/>
                <w:b/>
                <w:bCs/>
                <w:sz w:val="24"/>
              </w:rPr>
            </w:pPr>
            <w:r>
              <w:rPr>
                <w:rFonts w:hint="default" w:ascii="Times New Roman" w:hAnsi="Times New Roman" w:eastAsia="宋体"/>
                <w:color w:val="auto"/>
                <w:sz w:val="24"/>
                <w:szCs w:val="24"/>
                <w:highlight w:val="none"/>
                <w:vertAlign w:val="baseline"/>
                <w:lang w:val="en-US" w:eastAsia="zh-CN"/>
              </w:rPr>
              <w:t>根据《中华人民共和国环境保护法》、《中华人民共和国环境影响评价法》、《建设项目环境保护管理条例》、《建设项目环境影响评价分类管理名录》等规定，本项目应进行环境影响评价。同时，根据《建设项目环境影响评价分类管理名录》（2021年版）：本项目属于</w:t>
            </w:r>
            <w:r>
              <w:rPr>
                <w:rFonts w:hint="eastAsia" w:ascii="Times New Roman" w:hAnsi="Times New Roman" w:eastAsia="宋体"/>
                <w:color w:val="auto"/>
                <w:sz w:val="24"/>
                <w:szCs w:val="24"/>
                <w:highlight w:val="none"/>
                <w:vertAlign w:val="baseline"/>
                <w:lang w:val="en-US" w:eastAsia="zh-CN"/>
              </w:rPr>
              <w:t>三十</w:t>
            </w:r>
            <w:r>
              <w:rPr>
                <w:rFonts w:hint="default" w:ascii="Times New Roman" w:hAnsi="Times New Roman" w:eastAsia="宋体"/>
                <w:color w:val="auto"/>
                <w:sz w:val="24"/>
                <w:szCs w:val="24"/>
                <w:highlight w:val="none"/>
                <w:vertAlign w:val="baseline"/>
                <w:lang w:val="en-US" w:eastAsia="zh-CN"/>
              </w:rPr>
              <w:t>、</w:t>
            </w:r>
            <w:r>
              <w:rPr>
                <w:rFonts w:hint="eastAsia" w:ascii="Times New Roman" w:hAnsi="Times New Roman" w:eastAsia="宋体"/>
                <w:color w:val="auto"/>
                <w:sz w:val="24"/>
                <w:szCs w:val="24"/>
                <w:highlight w:val="none"/>
                <w:vertAlign w:val="baseline"/>
                <w:lang w:val="en-US" w:eastAsia="zh-CN"/>
              </w:rPr>
              <w:t>金属制品业 “67金属表面处理及热处理加工”。对照《重庆市不纳入环境影响评价管理的建设项目名录（2023年版）》（</w:t>
            </w:r>
            <w:bookmarkStart w:id="4" w:name="gwz"/>
            <w:r>
              <w:rPr>
                <w:rFonts w:hint="eastAsia" w:ascii="Times New Roman" w:hAnsi="Times New Roman" w:eastAsia="宋体"/>
                <w:color w:val="auto"/>
                <w:sz w:val="24"/>
                <w:szCs w:val="24"/>
                <w:highlight w:val="none"/>
                <w:vertAlign w:val="baseline"/>
                <w:lang w:val="en-US" w:eastAsia="zh-CN"/>
              </w:rPr>
              <w:t>渝环规</w:t>
            </w:r>
            <w:bookmarkEnd w:id="4"/>
            <w:r>
              <w:rPr>
                <w:rFonts w:hint="eastAsia" w:ascii="Times New Roman" w:hAnsi="Times New Roman" w:eastAsia="宋体"/>
                <w:color w:val="auto"/>
                <w:sz w:val="24"/>
                <w:szCs w:val="24"/>
                <w:highlight w:val="none"/>
                <w:vertAlign w:val="baseline"/>
                <w:lang w:val="en-US" w:eastAsia="zh-CN"/>
              </w:rPr>
              <w:t>〔</w:t>
            </w:r>
            <w:bookmarkStart w:id="5" w:name="gwnh"/>
            <w:r>
              <w:rPr>
                <w:rFonts w:hint="default" w:ascii="Times New Roman" w:hAnsi="Times New Roman" w:eastAsia="宋体"/>
                <w:color w:val="auto"/>
                <w:sz w:val="24"/>
                <w:szCs w:val="24"/>
                <w:highlight w:val="none"/>
                <w:vertAlign w:val="baseline"/>
                <w:lang w:val="en-US" w:eastAsia="zh-CN"/>
              </w:rPr>
              <w:t>2023</w:t>
            </w:r>
            <w:bookmarkEnd w:id="5"/>
            <w:r>
              <w:rPr>
                <w:rFonts w:hint="eastAsia" w:ascii="Times New Roman" w:hAnsi="Times New Roman" w:eastAsia="宋体"/>
                <w:color w:val="auto"/>
                <w:sz w:val="24"/>
                <w:szCs w:val="24"/>
                <w:highlight w:val="none"/>
                <w:vertAlign w:val="baseline"/>
                <w:lang w:val="en-US" w:eastAsia="zh-CN"/>
              </w:rPr>
              <w:t>〕</w:t>
            </w:r>
            <w:bookmarkStart w:id="6" w:name="gwqh"/>
            <w:r>
              <w:rPr>
                <w:rFonts w:hint="eastAsia" w:ascii="Times New Roman" w:hAnsi="Times New Roman" w:eastAsia="宋体"/>
                <w:color w:val="auto"/>
                <w:sz w:val="24"/>
                <w:szCs w:val="24"/>
                <w:highlight w:val="none"/>
                <w:vertAlign w:val="baseline"/>
                <w:lang w:val="en-US" w:eastAsia="zh-CN"/>
              </w:rPr>
              <w:t>8</w:t>
            </w:r>
            <w:bookmarkEnd w:id="6"/>
            <w:r>
              <w:rPr>
                <w:rFonts w:hint="eastAsia" w:ascii="Times New Roman" w:hAnsi="Times New Roman" w:eastAsia="宋体"/>
                <w:color w:val="auto"/>
                <w:sz w:val="24"/>
                <w:szCs w:val="24"/>
                <w:highlight w:val="none"/>
                <w:vertAlign w:val="baseline"/>
                <w:lang w:val="en-US" w:eastAsia="zh-CN"/>
              </w:rPr>
              <w:t>号</w:t>
            </w:r>
            <w:r>
              <w:rPr>
                <w:rFonts w:hint="eastAsia" w:ascii="Times New Roman" w:hAnsi="Times New Roman" w:cs="Times New Roman"/>
                <w:sz w:val="24"/>
                <w:lang w:eastAsia="zh-CN"/>
              </w:rPr>
              <w:t>），本项目主要生产工艺涉及</w:t>
            </w:r>
            <w:r>
              <w:rPr>
                <w:rFonts w:hint="eastAsia" w:ascii="Times New Roman" w:hAnsi="Times New Roman" w:cs="Times New Roman"/>
                <w:color w:val="FF0000"/>
                <w:sz w:val="24"/>
                <w:lang w:eastAsia="zh-CN"/>
              </w:rPr>
              <w:t>抛丸、喷粉、热烘干固化</w:t>
            </w:r>
            <w:r>
              <w:rPr>
                <w:rFonts w:hint="eastAsia" w:ascii="Times New Roman" w:hAnsi="Times New Roman" w:cs="Times New Roman"/>
                <w:sz w:val="24"/>
                <w:lang w:eastAsia="zh-CN"/>
              </w:rPr>
              <w:t>，不属于文件所列二十三</w:t>
            </w:r>
            <w:r>
              <w:rPr>
                <w:rFonts w:hint="eastAsia" w:ascii="Times New Roman" w:hAnsi="Times New Roman" w:cs="Times New Roman"/>
                <w:sz w:val="24"/>
                <w:lang w:val="en-US" w:eastAsia="zh-CN"/>
              </w:rPr>
              <w:t xml:space="preserve"> </w:t>
            </w:r>
            <w:r>
              <w:rPr>
                <w:rFonts w:hint="eastAsia" w:ascii="Times New Roman" w:hAnsi="Times New Roman" w:cs="Times New Roman"/>
                <w:sz w:val="24"/>
                <w:lang w:eastAsia="zh-CN"/>
              </w:rPr>
              <w:t>金属</w:t>
            </w:r>
            <w:r>
              <w:rPr>
                <w:rFonts w:hint="eastAsia" w:ascii="Times New Roman" w:hAnsi="Times New Roman" w:eastAsia="宋体"/>
                <w:color w:val="auto"/>
                <w:sz w:val="24"/>
                <w:szCs w:val="24"/>
                <w:highlight w:val="none"/>
                <w:vertAlign w:val="baseline"/>
                <w:lang w:val="en-US" w:eastAsia="zh-CN"/>
              </w:rPr>
              <w:t>制品业33“50</w:t>
            </w:r>
            <w:r>
              <w:rPr>
                <w:rFonts w:hint="default" w:ascii="Times New Roman" w:hAnsi="Times New Roman" w:eastAsia="宋体"/>
                <w:color w:val="auto"/>
                <w:sz w:val="24"/>
                <w:szCs w:val="24"/>
                <w:highlight w:val="none"/>
                <w:vertAlign w:val="baseline"/>
                <w:lang w:val="en-US" w:eastAsia="zh-CN"/>
              </w:rPr>
              <w:t>仅有涂装工艺且年用非溶剂型低VOCs含量涂料10吨（不含）以下的金属表面处理及热处理加工；不涉及加热烘干且年用非溶剂型低VOCs含量涂料10吨（不含）以下的喷粉、喷塑（使用溶剂型涂料</w:t>
            </w:r>
            <w:r>
              <w:rPr>
                <w:rFonts w:hint="eastAsia" w:ascii="Times New Roman" w:hAnsi="Times New Roman" w:eastAsia="宋体"/>
                <w:color w:val="auto"/>
                <w:sz w:val="24"/>
                <w:szCs w:val="24"/>
                <w:highlight w:val="none"/>
                <w:vertAlign w:val="baseline"/>
                <w:lang w:val="en-US" w:eastAsia="zh-CN"/>
              </w:rPr>
              <w:t>、有机涂层</w:t>
            </w:r>
            <w:r>
              <w:rPr>
                <w:rFonts w:hint="default" w:ascii="Times New Roman" w:hAnsi="Times New Roman" w:eastAsia="宋体"/>
                <w:color w:val="auto"/>
                <w:sz w:val="24"/>
                <w:szCs w:val="24"/>
                <w:highlight w:val="none"/>
                <w:vertAlign w:val="baseline"/>
                <w:lang w:val="en-US" w:eastAsia="zh-CN"/>
              </w:rPr>
              <w:t>或涉及电镀</w:t>
            </w:r>
            <w:r>
              <w:rPr>
                <w:rFonts w:hint="eastAsia" w:ascii="Times New Roman" w:hAnsi="Times New Roman" w:eastAsia="宋体"/>
                <w:color w:val="auto"/>
                <w:sz w:val="24"/>
                <w:szCs w:val="24"/>
                <w:highlight w:val="none"/>
                <w:vertAlign w:val="baseline"/>
                <w:lang w:val="en-US" w:eastAsia="zh-CN"/>
              </w:rPr>
              <w:t>、钝化</w:t>
            </w:r>
            <w:r>
              <w:rPr>
                <w:rFonts w:hint="default" w:ascii="Times New Roman" w:hAnsi="Times New Roman" w:eastAsia="宋体"/>
                <w:color w:val="auto"/>
                <w:sz w:val="24"/>
                <w:szCs w:val="24"/>
                <w:highlight w:val="none"/>
                <w:vertAlign w:val="baseline"/>
                <w:lang w:val="en-US" w:eastAsia="zh-CN"/>
              </w:rPr>
              <w:t>工艺的除外）。</w:t>
            </w:r>
            <w:r>
              <w:rPr>
                <w:rFonts w:hint="eastAsia" w:ascii="Times New Roman" w:hAnsi="Times New Roman" w:eastAsia="宋体"/>
                <w:color w:val="auto"/>
                <w:sz w:val="24"/>
                <w:szCs w:val="24"/>
                <w:highlight w:val="none"/>
                <w:vertAlign w:val="baseline"/>
                <w:lang w:val="en-US" w:eastAsia="zh-CN"/>
              </w:rPr>
              <w:t>”，因此，本项目</w:t>
            </w:r>
            <w:r>
              <w:rPr>
                <w:rFonts w:hint="default" w:ascii="Times New Roman" w:hAnsi="Times New Roman" w:cs="Times New Roman"/>
                <w:spacing w:val="6"/>
                <w:sz w:val="24"/>
              </w:rPr>
              <w:t>应编制</w:t>
            </w:r>
            <w:r>
              <w:rPr>
                <w:rFonts w:hint="default" w:ascii="Times New Roman" w:hAnsi="Times New Roman" w:cs="Times New Roman"/>
                <w:b/>
                <w:bCs/>
                <w:sz w:val="24"/>
              </w:rPr>
              <w:t>环境影响报告表。</w:t>
            </w:r>
          </w:p>
          <w:p w14:paraId="3DEEA55C">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default" w:ascii="Times New Roman" w:hAnsi="Times New Roman" w:cs="Times New Roman"/>
                <w:sz w:val="24"/>
                <w:szCs w:val="21"/>
              </w:rPr>
            </w:pPr>
            <w:r>
              <w:rPr>
                <w:rFonts w:hint="default" w:ascii="Times New Roman" w:hAnsi="Times New Roman" w:cs="Times New Roman"/>
                <w:sz w:val="24"/>
              </w:rPr>
              <w:t>受</w:t>
            </w:r>
            <w:r>
              <w:rPr>
                <w:rFonts w:hint="eastAsia" w:ascii="Times New Roman" w:hAnsi="Times New Roman" w:cs="Times New Roman"/>
                <w:sz w:val="24"/>
                <w:lang w:eastAsia="zh-CN"/>
              </w:rPr>
              <w:t>重庆市成吉思机械制造</w:t>
            </w:r>
            <w:r>
              <w:rPr>
                <w:rFonts w:hint="default" w:ascii="Times New Roman" w:hAnsi="Times New Roman" w:cs="Times New Roman"/>
                <w:sz w:val="24"/>
                <w:lang w:eastAsia="zh-CN"/>
              </w:rPr>
              <w:t>有限公司</w:t>
            </w:r>
            <w:r>
              <w:rPr>
                <w:rFonts w:hint="default" w:ascii="Times New Roman" w:hAnsi="Times New Roman" w:cs="Times New Roman"/>
                <w:sz w:val="24"/>
              </w:rPr>
              <w:t>委托，</w:t>
            </w:r>
            <w:r>
              <w:rPr>
                <w:rFonts w:hint="default" w:ascii="Times New Roman" w:hAnsi="Times New Roman" w:cs="Times New Roman"/>
                <w:sz w:val="24"/>
                <w:lang w:eastAsia="zh-CN"/>
              </w:rPr>
              <w:t>重庆展亚环保工程有限公司</w:t>
            </w:r>
            <w:r>
              <w:rPr>
                <w:rFonts w:hint="default" w:ascii="Times New Roman" w:hAnsi="Times New Roman" w:cs="Times New Roman"/>
                <w:sz w:val="24"/>
              </w:rPr>
              <w:t>承担该建设项目的环境影响评价工作，编制了</w:t>
            </w:r>
            <w:r>
              <w:rPr>
                <w:rFonts w:hint="default" w:ascii="Times New Roman" w:hAnsi="Times New Roman" w:cs="Times New Roman"/>
                <w:sz w:val="24"/>
                <w:szCs w:val="21"/>
              </w:rPr>
              <w:t>《</w:t>
            </w:r>
            <w:r>
              <w:rPr>
                <w:rFonts w:hint="eastAsia" w:ascii="Times New Roman" w:hAnsi="Times New Roman" w:cs="Times New Roman"/>
                <w:sz w:val="24"/>
                <w:lang w:eastAsia="zh-CN"/>
              </w:rPr>
              <w:t>重庆市成吉思机械制造</w:t>
            </w:r>
            <w:r>
              <w:rPr>
                <w:rFonts w:hint="default" w:ascii="Times New Roman" w:hAnsi="Times New Roman" w:cs="Times New Roman"/>
                <w:sz w:val="24"/>
                <w:lang w:eastAsia="zh-CN"/>
              </w:rPr>
              <w:t>有限公司</w:t>
            </w:r>
            <w:r>
              <w:rPr>
                <w:rFonts w:hint="eastAsia" w:ascii="Times New Roman" w:hAnsi="Times New Roman" w:cs="宋体"/>
                <w:color w:val="auto"/>
                <w:sz w:val="24"/>
                <w:szCs w:val="24"/>
                <w:highlight w:val="none"/>
                <w:lang w:val="en-US" w:eastAsia="zh-CN"/>
              </w:rPr>
              <w:t>汽车冲焊零部件加工项目</w:t>
            </w:r>
            <w:r>
              <w:rPr>
                <w:rFonts w:hint="default" w:ascii="Times New Roman" w:hAnsi="Times New Roman" w:cs="Times New Roman"/>
                <w:sz w:val="24"/>
                <w:szCs w:val="21"/>
              </w:rPr>
              <w:t>环境影响报告表》。</w:t>
            </w:r>
          </w:p>
          <w:p w14:paraId="68667988">
            <w:pPr>
              <w:spacing w:line="360" w:lineRule="auto"/>
              <w:rPr>
                <w:sz w:val="24"/>
                <w:szCs w:val="21"/>
              </w:rPr>
            </w:pPr>
            <w:r>
              <w:rPr>
                <w:rFonts w:hint="eastAsia" w:ascii="Times New Roman" w:hAnsi="Times New Roman" w:eastAsia="宋体"/>
                <w:b/>
                <w:bCs/>
                <w:color w:val="auto"/>
                <w:sz w:val="24"/>
                <w:szCs w:val="24"/>
                <w:highlight w:val="none"/>
                <w:vertAlign w:val="baseline"/>
                <w:lang w:val="en-US" w:eastAsia="zh-CN"/>
              </w:rPr>
              <w:t>2.2、</w:t>
            </w:r>
            <w:r>
              <w:rPr>
                <w:rFonts w:hint="eastAsia"/>
                <w:b/>
                <w:sz w:val="24"/>
              </w:rPr>
              <w:t>项目基本情况</w:t>
            </w:r>
          </w:p>
          <w:p w14:paraId="027245FB">
            <w:pPr>
              <w:spacing w:line="360" w:lineRule="auto"/>
              <w:ind w:firstLine="480" w:firstLineChars="200"/>
              <w:rPr>
                <w:rFonts w:hint="eastAsia" w:ascii="Times New Roman" w:hAnsi="Times New Roman" w:cs="宋体"/>
                <w:color w:val="auto"/>
                <w:sz w:val="24"/>
                <w:szCs w:val="24"/>
                <w:highlight w:val="none"/>
                <w:lang w:val="en-US" w:eastAsia="zh-CN"/>
              </w:rPr>
            </w:pPr>
            <w:r>
              <w:rPr>
                <w:rFonts w:hint="default" w:ascii="Times New Roman" w:hAnsi="Times New Roman" w:cs="Times New Roman"/>
                <w:sz w:val="24"/>
                <w:szCs w:val="21"/>
              </w:rPr>
              <w:t>（1）项目名称：</w:t>
            </w:r>
            <w:r>
              <w:rPr>
                <w:rFonts w:hint="eastAsia" w:ascii="Times New Roman" w:hAnsi="Times New Roman" w:cs="宋体"/>
                <w:color w:val="auto"/>
                <w:sz w:val="24"/>
                <w:szCs w:val="24"/>
                <w:highlight w:val="none"/>
                <w:lang w:val="en-US" w:eastAsia="zh-CN"/>
              </w:rPr>
              <w:t>汽车冲焊零部件加工项目</w:t>
            </w:r>
          </w:p>
          <w:p w14:paraId="021F001E">
            <w:pPr>
              <w:spacing w:line="360" w:lineRule="auto"/>
              <w:ind w:firstLine="480" w:firstLineChars="200"/>
              <w:rPr>
                <w:rFonts w:hint="default" w:ascii="Times New Roman" w:hAnsi="Times New Roman" w:eastAsia="宋体" w:cs="Times New Roman"/>
                <w:sz w:val="24"/>
                <w:szCs w:val="21"/>
                <w:lang w:eastAsia="zh-CN"/>
              </w:rPr>
            </w:pPr>
            <w:r>
              <w:rPr>
                <w:rFonts w:hint="default" w:ascii="Times New Roman" w:hAnsi="Times New Roman" w:cs="Times New Roman"/>
                <w:sz w:val="24"/>
                <w:szCs w:val="21"/>
              </w:rPr>
              <w:t>（2）建设单位：</w:t>
            </w:r>
            <w:r>
              <w:rPr>
                <w:rFonts w:hint="eastAsia" w:ascii="Times New Roman" w:hAnsi="Times New Roman" w:cs="Times New Roman"/>
                <w:sz w:val="24"/>
                <w:lang w:eastAsia="zh-CN"/>
              </w:rPr>
              <w:t>重庆市成吉思机械制造</w:t>
            </w:r>
            <w:r>
              <w:rPr>
                <w:rFonts w:hint="default" w:ascii="Times New Roman" w:hAnsi="Times New Roman" w:cs="Times New Roman"/>
                <w:sz w:val="24"/>
                <w:lang w:eastAsia="zh-CN"/>
              </w:rPr>
              <w:t>有限公司</w:t>
            </w:r>
          </w:p>
          <w:p w14:paraId="2A7DBCFF">
            <w:pPr>
              <w:spacing w:line="360" w:lineRule="auto"/>
              <w:ind w:firstLine="480" w:firstLineChars="200"/>
              <w:rPr>
                <w:rFonts w:hint="default" w:ascii="Times New Roman" w:hAnsi="Times New Roman" w:eastAsia="宋体" w:cs="Times New Roman"/>
                <w:sz w:val="24"/>
                <w:szCs w:val="21"/>
                <w:lang w:eastAsia="zh-CN"/>
              </w:rPr>
            </w:pPr>
            <w:r>
              <w:rPr>
                <w:rFonts w:hint="default" w:ascii="Times New Roman" w:hAnsi="Times New Roman" w:cs="Times New Roman"/>
                <w:sz w:val="24"/>
                <w:szCs w:val="21"/>
              </w:rPr>
              <w:t>（3）建设地点：</w:t>
            </w:r>
            <w:r>
              <w:rPr>
                <w:rFonts w:hint="default" w:ascii="Times New Roman" w:hAnsi="Times New Roman" w:cs="Times New Roman"/>
                <w:sz w:val="24"/>
                <w:szCs w:val="36"/>
                <w:lang w:eastAsia="zh-CN"/>
              </w:rPr>
              <w:t>重庆市九龙坡区西彭镇森迪大道</w:t>
            </w:r>
            <w:r>
              <w:rPr>
                <w:rFonts w:hint="eastAsia" w:ascii="Times New Roman" w:hAnsi="Times New Roman" w:cs="Times New Roman"/>
                <w:sz w:val="24"/>
                <w:szCs w:val="36"/>
                <w:lang w:val="en-US" w:eastAsia="zh-CN"/>
              </w:rPr>
              <w:t>1</w:t>
            </w:r>
            <w:r>
              <w:rPr>
                <w:rFonts w:hint="default" w:ascii="Times New Roman" w:hAnsi="Times New Roman" w:cs="Times New Roman"/>
                <w:sz w:val="24"/>
                <w:szCs w:val="36"/>
                <w:lang w:eastAsia="zh-CN"/>
              </w:rPr>
              <w:t>号</w:t>
            </w:r>
          </w:p>
          <w:p w14:paraId="51CC2652">
            <w:pPr>
              <w:spacing w:line="360" w:lineRule="auto"/>
              <w:ind w:firstLine="480" w:firstLineChars="200"/>
              <w:rPr>
                <w:rFonts w:hint="eastAsia" w:ascii="Times New Roman" w:hAnsi="Times New Roman" w:cs="Times New Roman" w:eastAsiaTheme="minorEastAsia"/>
                <w:sz w:val="24"/>
                <w:szCs w:val="21"/>
                <w:lang w:eastAsia="zh-CN"/>
              </w:rPr>
            </w:pPr>
            <w:r>
              <w:rPr>
                <w:rFonts w:hint="default" w:ascii="Times New Roman" w:hAnsi="Times New Roman" w:cs="Times New Roman"/>
                <w:sz w:val="24"/>
                <w:szCs w:val="21"/>
              </w:rPr>
              <w:t>（4）建设性质：</w:t>
            </w:r>
            <w:r>
              <w:rPr>
                <w:rFonts w:hint="eastAsia" w:ascii="Times New Roman" w:hAnsi="Times New Roman" w:cs="Times New Roman"/>
                <w:sz w:val="24"/>
                <w:szCs w:val="21"/>
                <w:lang w:eastAsia="zh-CN"/>
              </w:rPr>
              <w:t>扩建</w:t>
            </w:r>
          </w:p>
          <w:p w14:paraId="2BEB507D">
            <w:pPr>
              <w:spacing w:line="360" w:lineRule="auto"/>
              <w:ind w:firstLine="480" w:firstLineChars="200"/>
              <w:rPr>
                <w:rFonts w:hint="default" w:ascii="Times New Roman" w:hAnsi="Times New Roman" w:cs="Times New Roman"/>
                <w:sz w:val="24"/>
                <w:szCs w:val="21"/>
                <w:vertAlign w:val="baseline"/>
              </w:rPr>
            </w:pPr>
            <w:r>
              <w:rPr>
                <w:rFonts w:hint="default" w:ascii="Times New Roman" w:hAnsi="Times New Roman" w:cs="Times New Roman"/>
                <w:sz w:val="24"/>
                <w:szCs w:val="21"/>
              </w:rPr>
              <w:t>（5）</w:t>
            </w:r>
            <w:r>
              <w:rPr>
                <w:rFonts w:hint="default" w:ascii="Times New Roman" w:hAnsi="Times New Roman" w:cs="Times New Roman"/>
                <w:sz w:val="24"/>
                <w:szCs w:val="21"/>
                <w:lang w:val="en-US" w:eastAsia="zh-CN"/>
              </w:rPr>
              <w:t>建筑</w:t>
            </w:r>
            <w:r>
              <w:rPr>
                <w:rFonts w:hint="default" w:ascii="Times New Roman" w:hAnsi="Times New Roman" w:cs="Times New Roman"/>
                <w:sz w:val="24"/>
                <w:szCs w:val="21"/>
              </w:rPr>
              <w:t>面积</w:t>
            </w:r>
            <w:r>
              <w:rPr>
                <w:rFonts w:hint="eastAsia" w:ascii="Times New Roman" w:hAnsi="Times New Roman" w:cs="Times New Roman"/>
                <w:sz w:val="24"/>
                <w:szCs w:val="21"/>
                <w:lang w:eastAsia="zh-CN"/>
              </w:rPr>
              <w:t>：</w:t>
            </w:r>
            <w:r>
              <w:rPr>
                <w:rFonts w:hint="eastAsia" w:ascii="Times New Roman" w:hAnsi="Times New Roman" w:cs="Times New Roman"/>
                <w:sz w:val="24"/>
                <w:szCs w:val="21"/>
                <w:lang w:val="en-US" w:eastAsia="zh-CN"/>
              </w:rPr>
              <w:t>3633.32</w:t>
            </w:r>
            <w:r>
              <w:rPr>
                <w:rFonts w:hint="default" w:ascii="Times New Roman" w:hAnsi="Times New Roman" w:cs="Times New Roman"/>
                <w:sz w:val="24"/>
                <w:lang w:bidi="en-US"/>
              </w:rPr>
              <w:t>m</w:t>
            </w:r>
            <w:r>
              <w:rPr>
                <w:rFonts w:hint="default" w:ascii="Times New Roman" w:hAnsi="Times New Roman" w:cs="Times New Roman"/>
                <w:sz w:val="24"/>
                <w:vertAlign w:val="superscript"/>
                <w:lang w:bidi="en-US"/>
              </w:rPr>
              <w:t>2</w:t>
            </w:r>
          </w:p>
          <w:p w14:paraId="616C1A6B">
            <w:pPr>
              <w:spacing w:line="360" w:lineRule="auto"/>
              <w:ind w:firstLine="480" w:firstLineChars="200"/>
              <w:rPr>
                <w:rFonts w:hint="default" w:ascii="Times New Roman" w:hAnsi="Times New Roman" w:cs="Times New Roman"/>
                <w:sz w:val="24"/>
                <w:szCs w:val="21"/>
              </w:rPr>
            </w:pPr>
            <w:r>
              <w:rPr>
                <w:rFonts w:hint="default" w:ascii="Times New Roman" w:hAnsi="Times New Roman" w:cs="Times New Roman"/>
                <w:sz w:val="24"/>
                <w:szCs w:val="21"/>
              </w:rPr>
              <w:t>（6）项目投资：总投资</w:t>
            </w:r>
            <w:r>
              <w:rPr>
                <w:rFonts w:hint="default" w:ascii="Times New Roman" w:hAnsi="Times New Roman" w:cs="Times New Roman"/>
                <w:sz w:val="24"/>
                <w:szCs w:val="36"/>
                <w:lang w:val="en-US" w:eastAsia="zh-CN"/>
              </w:rPr>
              <w:t>1</w:t>
            </w:r>
            <w:r>
              <w:rPr>
                <w:rFonts w:hint="default" w:ascii="Times New Roman" w:hAnsi="Times New Roman" w:cs="Times New Roman"/>
                <w:sz w:val="24"/>
                <w:szCs w:val="36"/>
              </w:rPr>
              <w:t>00</w:t>
            </w:r>
            <w:r>
              <w:rPr>
                <w:rFonts w:hint="default" w:ascii="Times New Roman" w:hAnsi="Times New Roman" w:cs="Times New Roman"/>
                <w:sz w:val="24"/>
                <w:szCs w:val="21"/>
              </w:rPr>
              <w:t>万元，其中环保投资</w:t>
            </w:r>
            <w:r>
              <w:rPr>
                <w:rFonts w:hint="eastAsia" w:ascii="Times New Roman" w:hAnsi="Times New Roman" w:cs="Times New Roman"/>
                <w:sz w:val="24"/>
                <w:szCs w:val="36"/>
                <w:lang w:val="en-US" w:eastAsia="zh-CN"/>
              </w:rPr>
              <w:t>15</w:t>
            </w:r>
            <w:r>
              <w:rPr>
                <w:rFonts w:hint="default" w:ascii="Times New Roman" w:hAnsi="Times New Roman" w:cs="Times New Roman"/>
                <w:sz w:val="24"/>
                <w:szCs w:val="21"/>
              </w:rPr>
              <w:t>万元，占总投资的</w:t>
            </w:r>
            <w:r>
              <w:rPr>
                <w:rFonts w:hint="eastAsia" w:ascii="Times New Roman" w:hAnsi="Times New Roman" w:cs="Times New Roman"/>
                <w:sz w:val="24"/>
                <w:szCs w:val="21"/>
                <w:lang w:val="en-US" w:eastAsia="zh-CN"/>
              </w:rPr>
              <w:t>15</w:t>
            </w:r>
            <w:r>
              <w:rPr>
                <w:rFonts w:hint="default" w:ascii="Times New Roman" w:hAnsi="Times New Roman" w:cs="Times New Roman"/>
                <w:sz w:val="24"/>
                <w:szCs w:val="21"/>
              </w:rPr>
              <w:t>%</w:t>
            </w:r>
          </w:p>
          <w:p w14:paraId="5563FAD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1"/>
              </w:rPr>
              <w:t>（7）建设内容及规模：</w:t>
            </w:r>
            <w:r>
              <w:rPr>
                <w:rFonts w:hint="default" w:ascii="Times New Roman" w:hAnsi="Times New Roman" w:cs="Times New Roman"/>
                <w:sz w:val="24"/>
                <w:lang w:val="en-US" w:eastAsia="zh-CN"/>
              </w:rPr>
              <w:t>拟</w:t>
            </w:r>
            <w:r>
              <w:rPr>
                <w:rFonts w:hint="default" w:ascii="Times New Roman" w:hAnsi="Times New Roman" w:cs="Times New Roman"/>
                <w:sz w:val="24"/>
              </w:rPr>
              <w:t>租赁</w:t>
            </w:r>
            <w:r>
              <w:rPr>
                <w:rFonts w:hint="eastAsia" w:ascii="Times New Roman" w:hAnsi="Times New Roman" w:cs="Times New Roman"/>
                <w:sz w:val="24"/>
                <w:szCs w:val="36"/>
                <w:lang w:eastAsia="zh-CN"/>
              </w:rPr>
              <w:t>重</w:t>
            </w:r>
            <w:r>
              <w:rPr>
                <w:rFonts w:hint="eastAsia" w:ascii="Times New Roman" w:hAnsi="Times New Roman" w:cs="宋体"/>
                <w:color w:val="auto"/>
                <w:sz w:val="24"/>
                <w:szCs w:val="24"/>
                <w:highlight w:val="none"/>
                <w:lang w:val="en-US" w:eastAsia="zh-CN"/>
              </w:rPr>
              <w:t>森迪安防产业园（一期工程）10#标准厂房（位于现有工程西侧），建筑面积3633.32m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宋体"/>
                <w:color w:val="auto"/>
                <w:sz w:val="24"/>
                <w:szCs w:val="24"/>
                <w:highlight w:val="none"/>
                <w:lang w:val="en-US" w:eastAsia="zh-CN"/>
              </w:rPr>
              <w:t>，共计4F</w:t>
            </w:r>
            <w:r>
              <w:rPr>
                <w:rFonts w:hint="default" w:ascii="Times New Roman" w:hAnsi="Times New Roman" w:cs="Times New Roman"/>
                <w:sz w:val="24"/>
              </w:rPr>
              <w:t>，</w:t>
            </w:r>
            <w:r>
              <w:rPr>
                <w:rFonts w:hint="eastAsia" w:ascii="Times New Roman" w:hAnsi="Times New Roman" w:cs="Times New Roman"/>
                <w:color w:val="auto"/>
                <w:sz w:val="24"/>
                <w:szCs w:val="24"/>
                <w:highlight w:val="none"/>
                <w:lang w:val="en-US" w:eastAsia="zh-CN"/>
              </w:rPr>
              <w:t>1F（</w:t>
            </w:r>
            <w:r>
              <w:rPr>
                <w:rFonts w:hint="eastAsia" w:ascii="Times New Roman" w:hAnsi="Times New Roman" w:cs="宋体"/>
                <w:color w:val="auto"/>
                <w:sz w:val="24"/>
                <w:szCs w:val="24"/>
                <w:highlight w:val="none"/>
                <w:lang w:val="en-US" w:eastAsia="zh-CN"/>
              </w:rPr>
              <w:t>建筑面积约890m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宋体"/>
                <w:color w:val="auto"/>
                <w:sz w:val="24"/>
                <w:szCs w:val="24"/>
                <w:highlight w:val="none"/>
                <w:lang w:val="en-US" w:eastAsia="zh-CN"/>
              </w:rPr>
              <w:t>布设</w:t>
            </w:r>
            <w:r>
              <w:rPr>
                <w:rFonts w:hint="eastAsia" w:ascii="Times New Roman" w:hAnsi="Times New Roman" w:cs="Times New Roman"/>
                <w:sz w:val="24"/>
                <w:lang w:val="en-US" w:eastAsia="zh-CN"/>
              </w:rPr>
              <w:t>1条喷粉线、2台抛丸机</w:t>
            </w:r>
            <w:r>
              <w:rPr>
                <w:rFonts w:hint="default" w:ascii="Times New Roman" w:hAnsi="Times New Roman" w:cs="Times New Roman"/>
                <w:sz w:val="24"/>
                <w:lang w:val="en-US" w:eastAsia="zh-CN"/>
              </w:rPr>
              <w:t>，</w:t>
            </w:r>
            <w:r>
              <w:rPr>
                <w:rFonts w:hint="eastAsia" w:ascii="Times New Roman" w:hAnsi="Times New Roman" w:cs="Times New Roman"/>
                <w:sz w:val="24"/>
                <w:szCs w:val="21"/>
                <w:lang w:eastAsia="zh-CN"/>
              </w:rPr>
              <w:t>对建设单位现有工程生产的部分汽车冲焊件进行抛丸、喷粉、固化加工</w:t>
            </w:r>
            <w:r>
              <w:rPr>
                <w:rFonts w:hint="default" w:ascii="Times New Roman" w:hAnsi="Times New Roman" w:cs="Times New Roman"/>
                <w:sz w:val="24"/>
                <w:szCs w:val="21"/>
                <w:lang w:eastAsia="zh-CN"/>
              </w:rPr>
              <w:t>，</w:t>
            </w:r>
            <w:r>
              <w:rPr>
                <w:rFonts w:hint="default" w:ascii="Times New Roman" w:hAnsi="Times New Roman" w:cs="Times New Roman"/>
                <w:sz w:val="24"/>
              </w:rPr>
              <w:t>建成后</w:t>
            </w:r>
            <w:r>
              <w:rPr>
                <w:rFonts w:hint="default" w:ascii="Times New Roman" w:hAnsi="Times New Roman" w:cs="Times New Roman"/>
                <w:sz w:val="24"/>
                <w:szCs w:val="21"/>
              </w:rPr>
              <w:t>年</w:t>
            </w:r>
            <w:r>
              <w:rPr>
                <w:rFonts w:hint="eastAsia" w:ascii="Times New Roman" w:hAnsi="Times New Roman" w:cs="Times New Roman"/>
                <w:sz w:val="24"/>
                <w:szCs w:val="21"/>
                <w:lang w:eastAsia="zh-CN"/>
              </w:rPr>
              <w:t>加工汽车冲焊件</w:t>
            </w:r>
            <w:r>
              <w:rPr>
                <w:rFonts w:hint="eastAsia" w:ascii="Times New Roman" w:hAnsi="Times New Roman" w:cs="Times New Roman"/>
                <w:sz w:val="24"/>
                <w:szCs w:val="21"/>
                <w:lang w:val="en-US" w:eastAsia="zh-CN"/>
              </w:rPr>
              <w:t>10万件，2~4F作为预留厂房</w:t>
            </w:r>
            <w:r>
              <w:rPr>
                <w:rFonts w:hint="default" w:ascii="Times New Roman" w:hAnsi="Times New Roman" w:cs="Times New Roman"/>
                <w:sz w:val="24"/>
              </w:rPr>
              <w:t>。</w:t>
            </w:r>
          </w:p>
          <w:p w14:paraId="0CE6370E">
            <w:pPr>
              <w:spacing w:line="360" w:lineRule="auto"/>
              <w:ind w:firstLine="480" w:firstLineChars="200"/>
              <w:rPr>
                <w:rFonts w:hint="default" w:ascii="Times New Roman" w:hAnsi="Times New Roman" w:eastAsia="宋体" w:cs="Times New Roman"/>
                <w:sz w:val="24"/>
                <w:szCs w:val="21"/>
                <w:lang w:val="en-US" w:eastAsia="zh-CN"/>
              </w:rPr>
            </w:pPr>
            <w:r>
              <w:rPr>
                <w:rFonts w:hint="default" w:ascii="Times New Roman" w:hAnsi="Times New Roman" w:cs="Times New Roman"/>
                <w:sz w:val="24"/>
                <w:szCs w:val="21"/>
              </w:rPr>
              <w:t>劳动定员及工作制度：项目</w:t>
            </w:r>
            <w:r>
              <w:rPr>
                <w:rFonts w:hint="eastAsia" w:ascii="Times New Roman" w:hAnsi="Times New Roman" w:cs="Times New Roman"/>
                <w:sz w:val="24"/>
                <w:szCs w:val="21"/>
                <w:lang w:eastAsia="zh-CN"/>
              </w:rPr>
              <w:t>新增</w:t>
            </w:r>
            <w:r>
              <w:rPr>
                <w:rFonts w:hint="default" w:ascii="Times New Roman" w:hAnsi="Times New Roman" w:cs="Times New Roman"/>
                <w:sz w:val="24"/>
                <w:szCs w:val="21"/>
              </w:rPr>
              <w:t>劳动定员1</w:t>
            </w:r>
            <w:r>
              <w:rPr>
                <w:rFonts w:hint="eastAsia" w:ascii="Times New Roman" w:hAnsi="Times New Roman" w:cs="Times New Roman"/>
                <w:sz w:val="24"/>
                <w:szCs w:val="21"/>
                <w:lang w:val="en-US" w:eastAsia="zh-CN"/>
              </w:rPr>
              <w:t>0</w:t>
            </w:r>
            <w:r>
              <w:rPr>
                <w:rFonts w:hint="default" w:ascii="Times New Roman" w:hAnsi="Times New Roman" w:cs="Times New Roman"/>
                <w:sz w:val="24"/>
                <w:szCs w:val="21"/>
              </w:rPr>
              <w:t>人，全年生产</w:t>
            </w:r>
            <w:r>
              <w:rPr>
                <w:rFonts w:hint="eastAsia" w:ascii="Times New Roman" w:hAnsi="Times New Roman" w:cs="Times New Roman"/>
                <w:sz w:val="24"/>
                <w:szCs w:val="21"/>
                <w:lang w:val="en-US" w:eastAsia="zh-CN"/>
              </w:rPr>
              <w:t>260</w:t>
            </w:r>
            <w:r>
              <w:rPr>
                <w:rFonts w:hint="default" w:ascii="Times New Roman" w:hAnsi="Times New Roman" w:cs="Times New Roman"/>
                <w:sz w:val="24"/>
                <w:szCs w:val="21"/>
              </w:rPr>
              <w:t>天，</w:t>
            </w:r>
            <w:r>
              <w:rPr>
                <w:rFonts w:hint="eastAsia" w:ascii="Times New Roman" w:hAnsi="Times New Roman" w:cs="Times New Roman"/>
                <w:sz w:val="24"/>
                <w:szCs w:val="21"/>
                <w:lang w:val="en-US" w:eastAsia="zh-CN"/>
              </w:rPr>
              <w:t>1</w:t>
            </w:r>
            <w:r>
              <w:rPr>
                <w:rFonts w:hint="default" w:ascii="Times New Roman" w:hAnsi="Times New Roman" w:cs="Times New Roman"/>
                <w:sz w:val="24"/>
                <w:szCs w:val="21"/>
              </w:rPr>
              <w:t>班制，8小时/班</w:t>
            </w:r>
            <w:r>
              <w:rPr>
                <w:rFonts w:hint="default" w:ascii="Times New Roman" w:hAnsi="Times New Roman" w:cs="Times New Roman"/>
                <w:sz w:val="24"/>
                <w:szCs w:val="21"/>
                <w:lang w:eastAsia="zh-CN"/>
              </w:rPr>
              <w:t>，</w:t>
            </w:r>
            <w:r>
              <w:rPr>
                <w:rFonts w:hint="default" w:ascii="Times New Roman" w:hAnsi="Times New Roman" w:cs="Times New Roman"/>
                <w:sz w:val="24"/>
                <w:szCs w:val="21"/>
                <w:lang w:val="en-US" w:eastAsia="zh-CN"/>
              </w:rPr>
              <w:t>不在厂区食宿。</w:t>
            </w:r>
          </w:p>
          <w:p w14:paraId="0635F71D">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2.3项目组成及内容</w:t>
            </w:r>
          </w:p>
          <w:p w14:paraId="407BCCD1">
            <w:pPr>
              <w:keepNext w:val="0"/>
              <w:keepLines w:val="0"/>
              <w:pageBreakBefore w:val="0"/>
              <w:widowControl w:val="0"/>
              <w:kinsoku/>
              <w:wordWrap/>
              <w:overflowPunct/>
              <w:topLinePunct w:val="0"/>
              <w:autoSpaceDE/>
              <w:autoSpaceDN/>
              <w:bidi w:val="0"/>
              <w:adjustRightInd/>
              <w:snapToGrid/>
              <w:spacing w:line="375" w:lineRule="auto"/>
              <w:ind w:firstLine="482" w:firstLineChars="200"/>
              <w:jc w:val="both"/>
              <w:textAlignment w:val="auto"/>
              <w:rPr>
                <w:rFonts w:hint="default"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2.3.1项目组成</w:t>
            </w:r>
          </w:p>
          <w:p w14:paraId="329E7E77">
            <w:pPr>
              <w:keepNext w:val="0"/>
              <w:keepLines w:val="0"/>
              <w:pageBreakBefore w:val="0"/>
              <w:widowControl w:val="0"/>
              <w:kinsoku/>
              <w:wordWrap/>
              <w:overflowPunct/>
              <w:topLinePunct w:val="0"/>
              <w:autoSpaceDE/>
              <w:autoSpaceDN/>
              <w:bidi w:val="0"/>
              <w:adjustRightInd/>
              <w:snapToGrid/>
              <w:spacing w:line="375"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扩建项目具体工程内容及规模见下表：</w:t>
            </w:r>
          </w:p>
          <w:p w14:paraId="55DFC9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表2-1  项目工程组成一览表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99"/>
              <w:gridCol w:w="1005"/>
              <w:gridCol w:w="5588"/>
              <w:gridCol w:w="793"/>
            </w:tblGrid>
            <w:tr w14:paraId="772AB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tcBorders>
                    <w:tl2br w:val="nil"/>
                    <w:tr2bl w:val="nil"/>
                  </w:tcBorders>
                  <w:vAlign w:val="center"/>
                </w:tcPr>
                <w:p w14:paraId="08BC71D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项目类别</w:t>
                  </w:r>
                </w:p>
              </w:tc>
              <w:tc>
                <w:tcPr>
                  <w:tcW w:w="599" w:type="pct"/>
                  <w:tcBorders>
                    <w:tl2br w:val="nil"/>
                    <w:tr2bl w:val="nil"/>
                  </w:tcBorders>
                  <w:vAlign w:val="center"/>
                </w:tcPr>
                <w:p w14:paraId="0B6D330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建设内容</w:t>
                  </w:r>
                </w:p>
              </w:tc>
              <w:tc>
                <w:tcPr>
                  <w:tcW w:w="3332" w:type="pct"/>
                  <w:tcBorders>
                    <w:tl2br w:val="nil"/>
                    <w:tr2bl w:val="nil"/>
                  </w:tcBorders>
                  <w:vAlign w:val="center"/>
                </w:tcPr>
                <w:p w14:paraId="6A874570">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规模及内容</w:t>
                  </w:r>
                </w:p>
              </w:tc>
              <w:tc>
                <w:tcPr>
                  <w:tcW w:w="472" w:type="pct"/>
                  <w:tcBorders>
                    <w:tl2br w:val="nil"/>
                    <w:tr2bl w:val="nil"/>
                  </w:tcBorders>
                  <w:vAlign w:val="center"/>
                </w:tcPr>
                <w:p w14:paraId="55F92289">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备注</w:t>
                  </w:r>
                </w:p>
              </w:tc>
            </w:tr>
            <w:tr w14:paraId="6E9FE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tcBorders>
                    <w:tl2br w:val="nil"/>
                    <w:tr2bl w:val="nil"/>
                  </w:tcBorders>
                  <w:vAlign w:val="center"/>
                </w:tcPr>
                <w:p w14:paraId="071A5D8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主体工程</w:t>
                  </w:r>
                </w:p>
              </w:tc>
              <w:tc>
                <w:tcPr>
                  <w:tcW w:w="599" w:type="pct"/>
                  <w:tcBorders>
                    <w:tl2br w:val="nil"/>
                    <w:tr2bl w:val="nil"/>
                  </w:tcBorders>
                  <w:vAlign w:val="center"/>
                </w:tcPr>
                <w:p w14:paraId="0BD36A4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生产厂房</w:t>
                  </w:r>
                </w:p>
              </w:tc>
              <w:tc>
                <w:tcPr>
                  <w:tcW w:w="3332" w:type="pct"/>
                  <w:tcBorders>
                    <w:tl2br w:val="nil"/>
                    <w:tr2bl w:val="nil"/>
                  </w:tcBorders>
                  <w:vAlign w:val="center"/>
                </w:tcPr>
                <w:p w14:paraId="063DAD5B">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砖混结构建筑，厂房高度21m，总建筑面积约3633.32m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，呈东西走向，1F用于布设生产内容，2~4F作为预留厂房。1F厂房内生产区域按功能划分为抛丸区、喷粉区等。</w:t>
                  </w:r>
                </w:p>
                <w:p w14:paraId="6A14A596">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抛丸区</w:t>
                  </w:r>
                  <w:r>
                    <w:rPr>
                      <w:rFonts w:hint="eastAsia" w:ascii="Times New Roman" w:hAnsi="Times New Roman" w:eastAsia="宋体"/>
                      <w:color w:val="auto"/>
                      <w:sz w:val="21"/>
                      <w:szCs w:val="21"/>
                      <w:highlight w:val="none"/>
                      <w:vertAlign w:val="baseline"/>
                      <w:lang w:val="en-US" w:eastAsia="zh-CN"/>
                    </w:rPr>
                    <w:t>：集中分布在厂房南侧，布置2台抛丸机对加工产品进行抛丸预处理，去除表面铁锈；</w:t>
                  </w:r>
                </w:p>
                <w:p w14:paraId="15B44D3A">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喷粉区</w:t>
                  </w:r>
                  <w:r>
                    <w:rPr>
                      <w:rFonts w:hint="eastAsia" w:ascii="Times New Roman" w:hAnsi="Times New Roman" w:eastAsia="宋体"/>
                      <w:color w:val="auto"/>
                      <w:sz w:val="21"/>
                      <w:szCs w:val="21"/>
                      <w:highlight w:val="none"/>
                      <w:vertAlign w:val="baseline"/>
                      <w:lang w:val="en-US" w:eastAsia="zh-CN"/>
                    </w:rPr>
                    <w:t>：设在厂房北侧，布置1个喷粉房、1条烘道、1台空压机等设备及相关配套辅助设备，进行喷粉加工处理；</w:t>
                  </w:r>
                </w:p>
                <w:p w14:paraId="16AD686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项目建成后预计年加工</w:t>
                  </w:r>
                  <w:r>
                    <w:rPr>
                      <w:rFonts w:hint="eastAsia" w:ascii="Times New Roman" w:hAnsi="Times New Roman" w:eastAsia="宋体" w:cs="宋体"/>
                      <w:color w:val="auto"/>
                      <w:kern w:val="0"/>
                      <w:sz w:val="21"/>
                      <w:szCs w:val="21"/>
                      <w:highlight w:val="none"/>
                      <w:lang w:val="en-US" w:eastAsia="zh-CN" w:bidi="ar"/>
                    </w:rPr>
                    <w:t>汽车冲焊零部件10</w:t>
                  </w:r>
                  <w:r>
                    <w:rPr>
                      <w:rFonts w:hint="eastAsia" w:ascii="Times New Roman" w:hAnsi="Times New Roman" w:eastAsia="宋体"/>
                      <w:color w:val="auto"/>
                      <w:sz w:val="21"/>
                      <w:szCs w:val="21"/>
                      <w:highlight w:val="none"/>
                      <w:vertAlign w:val="baseline"/>
                      <w:lang w:val="en-US" w:eastAsia="zh-CN"/>
                    </w:rPr>
                    <w:t>万件。</w:t>
                  </w:r>
                </w:p>
              </w:tc>
              <w:tc>
                <w:tcPr>
                  <w:tcW w:w="472" w:type="pct"/>
                  <w:tcBorders>
                    <w:tl2br w:val="nil"/>
                    <w:tr2bl w:val="nil"/>
                  </w:tcBorders>
                  <w:vAlign w:val="center"/>
                </w:tcPr>
                <w:p w14:paraId="49A1C95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厂房已建，新增设备</w:t>
                  </w:r>
                </w:p>
              </w:tc>
            </w:tr>
            <w:tr w14:paraId="4BC6C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tcBorders>
                    <w:tl2br w:val="nil"/>
                    <w:tr2bl w:val="nil"/>
                  </w:tcBorders>
                  <w:vAlign w:val="center"/>
                </w:tcPr>
                <w:p w14:paraId="473A6B30">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辅助工程</w:t>
                  </w:r>
                </w:p>
              </w:tc>
              <w:tc>
                <w:tcPr>
                  <w:tcW w:w="599" w:type="pct"/>
                  <w:tcBorders>
                    <w:tl2br w:val="nil"/>
                    <w:tr2bl w:val="nil"/>
                  </w:tcBorders>
                  <w:vAlign w:val="center"/>
                </w:tcPr>
                <w:p w14:paraId="4402B957">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办公区</w:t>
                  </w:r>
                </w:p>
              </w:tc>
              <w:tc>
                <w:tcPr>
                  <w:tcW w:w="3332" w:type="pct"/>
                  <w:tcBorders>
                    <w:tl2br w:val="nil"/>
                    <w:tr2bl w:val="nil"/>
                  </w:tcBorders>
                  <w:vAlign w:val="center"/>
                </w:tcPr>
                <w:p w14:paraId="45D195AE">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扩建项目办公区域依托现有工程，分为办公区域和生产办公室，办公区域位于现有工程（森迪安防产业园2#厂房，紧邻扩建项目东侧）厂房南部，建筑面积约300m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，主要用以日常办公；生产办公室位于2#厂房北部，建筑面积约150m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，主要用于生产调度等。</w:t>
                  </w:r>
                </w:p>
              </w:tc>
              <w:tc>
                <w:tcPr>
                  <w:tcW w:w="472" w:type="pct"/>
                  <w:tcBorders>
                    <w:tl2br w:val="nil"/>
                    <w:tr2bl w:val="nil"/>
                  </w:tcBorders>
                  <w:vAlign w:val="center"/>
                </w:tcPr>
                <w:p w14:paraId="765D172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0A280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restart"/>
                  <w:tcBorders>
                    <w:tl2br w:val="nil"/>
                    <w:tr2bl w:val="nil"/>
                  </w:tcBorders>
                  <w:vAlign w:val="center"/>
                </w:tcPr>
                <w:p w14:paraId="5A3D82CD">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储运工程</w:t>
                  </w:r>
                </w:p>
              </w:tc>
              <w:tc>
                <w:tcPr>
                  <w:tcW w:w="599" w:type="pct"/>
                  <w:tcBorders>
                    <w:tl2br w:val="nil"/>
                    <w:tr2bl w:val="nil"/>
                  </w:tcBorders>
                  <w:vAlign w:val="center"/>
                </w:tcPr>
                <w:p w14:paraId="6721C7A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原料区</w:t>
                  </w:r>
                </w:p>
              </w:tc>
              <w:tc>
                <w:tcPr>
                  <w:tcW w:w="3332" w:type="pct"/>
                  <w:tcBorders>
                    <w:tl2br w:val="nil"/>
                    <w:tr2bl w:val="nil"/>
                  </w:tcBorders>
                  <w:vAlign w:val="center"/>
                </w:tcPr>
                <w:p w14:paraId="34C331C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位于10#厂房西侧，面积约100m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，主要用于储存生产所用粉末涂料、钢丸等；</w:t>
                  </w:r>
                </w:p>
              </w:tc>
              <w:tc>
                <w:tcPr>
                  <w:tcW w:w="472" w:type="pct"/>
                  <w:tcBorders>
                    <w:tl2br w:val="nil"/>
                    <w:tr2bl w:val="nil"/>
                  </w:tcBorders>
                  <w:vAlign w:val="center"/>
                </w:tcPr>
                <w:p w14:paraId="5B10020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01223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96" w:type="pct"/>
                  <w:vMerge w:val="continue"/>
                  <w:tcBorders>
                    <w:tl2br w:val="nil"/>
                    <w:tr2bl w:val="nil"/>
                  </w:tcBorders>
                  <w:vAlign w:val="center"/>
                </w:tcPr>
                <w:p w14:paraId="7B1894A5">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599" w:type="pct"/>
                  <w:tcBorders>
                    <w:tl2br w:val="nil"/>
                    <w:tr2bl w:val="nil"/>
                  </w:tcBorders>
                  <w:vAlign w:val="center"/>
                </w:tcPr>
                <w:p w14:paraId="2F1D0A55">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油料区</w:t>
                  </w:r>
                </w:p>
              </w:tc>
              <w:tc>
                <w:tcPr>
                  <w:tcW w:w="3332" w:type="pct"/>
                  <w:tcBorders>
                    <w:tl2br w:val="nil"/>
                    <w:tr2bl w:val="nil"/>
                  </w:tcBorders>
                  <w:vAlign w:val="center"/>
                </w:tcPr>
                <w:p w14:paraId="5003B789">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依托现有工程存放，位于现有工程冲压区西南角，建筑面积约6m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，用于机油临时存储，油料区地面进行防渗处理，油料盛装容器下方区域均应设置防漏托盘；</w:t>
                  </w:r>
                </w:p>
              </w:tc>
              <w:tc>
                <w:tcPr>
                  <w:tcW w:w="472" w:type="pct"/>
                  <w:tcBorders>
                    <w:tl2br w:val="nil"/>
                    <w:tr2bl w:val="nil"/>
                  </w:tcBorders>
                  <w:vAlign w:val="center"/>
                </w:tcPr>
                <w:p w14:paraId="3D59D823">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Times New Roman"/>
                      <w:bCs/>
                      <w:iCs/>
                      <w:color w:val="auto"/>
                      <w:sz w:val="21"/>
                      <w:szCs w:val="21"/>
                      <w:highlight w:val="no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6B71D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67C3141D">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599" w:type="pct"/>
                  <w:tcBorders>
                    <w:tl2br w:val="nil"/>
                    <w:tr2bl w:val="nil"/>
                  </w:tcBorders>
                  <w:vAlign w:val="center"/>
                </w:tcPr>
                <w:p w14:paraId="592FAF5C">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成品库房</w:t>
                  </w:r>
                </w:p>
              </w:tc>
              <w:tc>
                <w:tcPr>
                  <w:tcW w:w="3332" w:type="pct"/>
                  <w:tcBorders>
                    <w:tl2br w:val="nil"/>
                    <w:tr2bl w:val="nil"/>
                  </w:tcBorders>
                  <w:vAlign w:val="center"/>
                </w:tcPr>
                <w:p w14:paraId="4EA500AD">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位于厂房南侧，建筑面积约300m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，用于成品存放；</w:t>
                  </w:r>
                </w:p>
              </w:tc>
              <w:tc>
                <w:tcPr>
                  <w:tcW w:w="472" w:type="pct"/>
                  <w:tcBorders>
                    <w:tl2br w:val="nil"/>
                    <w:tr2bl w:val="nil"/>
                  </w:tcBorders>
                  <w:vAlign w:val="center"/>
                </w:tcPr>
                <w:p w14:paraId="3AB08E94">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Times New Roman"/>
                      <w:bCs/>
                      <w:iCs/>
                      <w:color w:val="auto"/>
                      <w:sz w:val="21"/>
                      <w:szCs w:val="21"/>
                      <w:highlight w:val="no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1F247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restart"/>
                  <w:tcBorders>
                    <w:tl2br w:val="nil"/>
                    <w:tr2bl w:val="nil"/>
                  </w:tcBorders>
                  <w:vAlign w:val="center"/>
                </w:tcPr>
                <w:p w14:paraId="37EC9900">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rPr>
                    <w:t>公用工程</w:t>
                  </w:r>
                </w:p>
              </w:tc>
              <w:tc>
                <w:tcPr>
                  <w:tcW w:w="599" w:type="pct"/>
                  <w:tcBorders>
                    <w:tl2br w:val="nil"/>
                    <w:tr2bl w:val="nil"/>
                  </w:tcBorders>
                  <w:vAlign w:val="center"/>
                </w:tcPr>
                <w:p w14:paraId="26ED8E37">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rPr>
                    <w:t>给水</w:t>
                  </w:r>
                </w:p>
              </w:tc>
              <w:tc>
                <w:tcPr>
                  <w:tcW w:w="3332" w:type="pct"/>
                  <w:tcBorders>
                    <w:tl2br w:val="nil"/>
                    <w:tr2bl w:val="nil"/>
                  </w:tcBorders>
                  <w:vAlign w:val="center"/>
                </w:tcPr>
                <w:p w14:paraId="51496127">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rPr>
                    <w:t>依托</w:t>
                  </w:r>
                  <w:r>
                    <w:rPr>
                      <w:rFonts w:hint="eastAsia" w:ascii="Times New Roman" w:hAnsi="Times New Roman" w:eastAsia="宋体"/>
                      <w:color w:val="auto"/>
                      <w:kern w:val="44"/>
                      <w:sz w:val="21"/>
                      <w:szCs w:val="21"/>
                      <w:highlight w:val="none"/>
                      <w:lang w:val="en-US" w:eastAsia="zh-CN"/>
                    </w:rPr>
                    <w:t>森迪安防产业园</w:t>
                  </w:r>
                  <w:r>
                    <w:rPr>
                      <w:rFonts w:hint="eastAsia" w:ascii="Times New Roman" w:hAnsi="Times New Roman" w:eastAsia="宋体"/>
                      <w:color w:val="auto"/>
                      <w:kern w:val="44"/>
                      <w:sz w:val="21"/>
                      <w:szCs w:val="21"/>
                      <w:highlight w:val="none"/>
                      <w:lang w:eastAsia="zh-CN"/>
                    </w:rPr>
                    <w:t>现有供水系统（</w:t>
                  </w:r>
                  <w:r>
                    <w:rPr>
                      <w:rFonts w:hint="default" w:ascii="Times New Roman" w:hAnsi="Times New Roman" w:eastAsia="宋体"/>
                      <w:color w:val="auto"/>
                      <w:kern w:val="44"/>
                      <w:sz w:val="21"/>
                      <w:szCs w:val="21"/>
                      <w:highlight w:val="none"/>
                    </w:rPr>
                    <w:t>市政给水管网接入</w:t>
                  </w:r>
                  <w:r>
                    <w:rPr>
                      <w:rFonts w:hint="eastAsia" w:ascii="Times New Roman" w:hAnsi="Times New Roman" w:eastAsia="宋体"/>
                      <w:color w:val="auto"/>
                      <w:kern w:val="44"/>
                      <w:sz w:val="21"/>
                      <w:szCs w:val="21"/>
                      <w:highlight w:val="none"/>
                      <w:lang w:eastAsia="zh-CN"/>
                    </w:rPr>
                    <w:t>）；</w:t>
                  </w:r>
                </w:p>
              </w:tc>
              <w:tc>
                <w:tcPr>
                  <w:tcW w:w="472" w:type="pct"/>
                  <w:tcBorders>
                    <w:tl2br w:val="nil"/>
                    <w:tr2bl w:val="nil"/>
                  </w:tcBorders>
                  <w:vAlign w:val="center"/>
                </w:tcPr>
                <w:p w14:paraId="753DBCC7">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bCs/>
                      <w:iCs/>
                      <w:color w:val="auto"/>
                      <w:sz w:val="21"/>
                      <w:szCs w:val="21"/>
                      <w:highlight w:val="none"/>
                    </w:rPr>
                    <w:t>依托</w:t>
                  </w:r>
                </w:p>
              </w:tc>
            </w:tr>
            <w:tr w14:paraId="2EE2A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2285CC1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599" w:type="pct"/>
                  <w:tcBorders>
                    <w:tl2br w:val="nil"/>
                    <w:tr2bl w:val="nil"/>
                  </w:tcBorders>
                  <w:vAlign w:val="center"/>
                </w:tcPr>
                <w:p w14:paraId="14961521">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rPr>
                    <w:t>排水</w:t>
                  </w:r>
                </w:p>
              </w:tc>
              <w:tc>
                <w:tcPr>
                  <w:tcW w:w="3332" w:type="pct"/>
                  <w:tcBorders>
                    <w:tl2br w:val="nil"/>
                    <w:tr2bl w:val="nil"/>
                  </w:tcBorders>
                  <w:vAlign w:val="center"/>
                </w:tcPr>
                <w:p w14:paraId="5B3410EA">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lang w:val="en-US" w:eastAsia="zh-CN"/>
                    </w:rPr>
                    <w:t>采取</w:t>
                  </w:r>
                  <w:r>
                    <w:rPr>
                      <w:rFonts w:hint="eastAsia" w:ascii="Times New Roman" w:hAnsi="Times New Roman" w:eastAsia="宋体"/>
                      <w:color w:val="auto"/>
                      <w:kern w:val="44"/>
                      <w:sz w:val="21"/>
                      <w:szCs w:val="21"/>
                      <w:highlight w:val="none"/>
                      <w:lang w:eastAsia="zh-CN"/>
                    </w:rPr>
                    <w:t>雨污分流</w:t>
                  </w:r>
                  <w:r>
                    <w:rPr>
                      <w:rFonts w:hint="eastAsia" w:ascii="Times New Roman" w:hAnsi="Times New Roman" w:eastAsia="宋体"/>
                      <w:color w:val="auto"/>
                      <w:kern w:val="44"/>
                      <w:sz w:val="21"/>
                      <w:szCs w:val="21"/>
                      <w:highlight w:val="none"/>
                      <w:lang w:val="en-US" w:eastAsia="zh-CN"/>
                    </w:rPr>
                    <w:t>制</w:t>
                  </w:r>
                  <w:r>
                    <w:rPr>
                      <w:rFonts w:hint="eastAsia" w:ascii="Times New Roman" w:hAnsi="Times New Roman" w:eastAsia="宋体"/>
                      <w:color w:val="auto"/>
                      <w:kern w:val="44"/>
                      <w:sz w:val="21"/>
                      <w:szCs w:val="21"/>
                      <w:highlight w:val="none"/>
                      <w:lang w:eastAsia="zh-CN"/>
                    </w:rPr>
                    <w:t>。</w:t>
                  </w:r>
                  <w:r>
                    <w:rPr>
                      <w:rFonts w:hint="eastAsia" w:ascii="Times New Roman" w:hAnsi="Times New Roman" w:eastAsia="宋体"/>
                      <w:color w:val="auto"/>
                      <w:kern w:val="44"/>
                      <w:sz w:val="21"/>
                      <w:szCs w:val="21"/>
                      <w:highlight w:val="none"/>
                      <w:lang w:val="en-US" w:eastAsia="zh-CN"/>
                    </w:rPr>
                    <w:t>雨水主要为屋顶雨水，由现有收集系统进入森迪安防产业园现有雨水管网；运营期</w:t>
                  </w:r>
                  <w:r>
                    <w:rPr>
                      <w:rFonts w:hint="eastAsia" w:ascii="Times New Roman" w:hAnsi="Times New Roman" w:eastAsia="宋体"/>
                      <w:color w:val="auto"/>
                      <w:kern w:val="44"/>
                      <w:sz w:val="21"/>
                      <w:szCs w:val="21"/>
                      <w:highlight w:val="none"/>
                      <w:lang w:eastAsia="zh-CN"/>
                    </w:rPr>
                    <w:t>生活污水依托</w:t>
                  </w:r>
                  <w:r>
                    <w:rPr>
                      <w:rFonts w:hint="eastAsia" w:ascii="Times New Roman" w:hAnsi="Times New Roman" w:eastAsia="宋体"/>
                      <w:color w:val="auto"/>
                      <w:kern w:val="44"/>
                      <w:sz w:val="21"/>
                      <w:szCs w:val="21"/>
                      <w:highlight w:val="none"/>
                      <w:lang w:val="en-US" w:eastAsia="zh-CN"/>
                    </w:rPr>
                    <w:t>森迪安防产业园已建1#</w:t>
                  </w:r>
                  <w:r>
                    <w:rPr>
                      <w:rFonts w:hint="eastAsia" w:ascii="Times New Roman" w:hAnsi="Times New Roman" w:eastAsia="宋体"/>
                      <w:color w:val="auto"/>
                      <w:kern w:val="44"/>
                      <w:sz w:val="21"/>
                      <w:szCs w:val="21"/>
                      <w:highlight w:val="none"/>
                      <w:lang w:eastAsia="zh-CN"/>
                    </w:rPr>
                    <w:t>生化池</w:t>
                  </w:r>
                  <w:r>
                    <w:rPr>
                      <w:rFonts w:hint="eastAsia" w:ascii="Times New Roman" w:hAnsi="Times New Roman" w:eastAsia="宋体"/>
                      <w:color w:val="auto"/>
                      <w:kern w:val="44"/>
                      <w:sz w:val="21"/>
                      <w:szCs w:val="21"/>
                      <w:highlight w:val="none"/>
                      <w:lang w:val="en-US" w:eastAsia="zh-CN"/>
                    </w:rPr>
                    <w:t>进行预</w:t>
                  </w:r>
                  <w:r>
                    <w:rPr>
                      <w:rFonts w:hint="eastAsia" w:ascii="Times New Roman" w:hAnsi="Times New Roman" w:eastAsia="宋体"/>
                      <w:color w:val="auto"/>
                      <w:kern w:val="44"/>
                      <w:sz w:val="21"/>
                      <w:szCs w:val="21"/>
                      <w:highlight w:val="none"/>
                      <w:lang w:eastAsia="zh-CN"/>
                    </w:rPr>
                    <w:t>处理达标</w:t>
                  </w:r>
                  <w:r>
                    <w:rPr>
                      <w:rFonts w:hint="eastAsia" w:ascii="Times New Roman" w:hAnsi="Times New Roman" w:eastAsia="宋体"/>
                      <w:color w:val="auto"/>
                      <w:kern w:val="44"/>
                      <w:sz w:val="21"/>
                      <w:szCs w:val="21"/>
                      <w:highlight w:val="none"/>
                      <w:lang w:val="en-US" w:eastAsia="zh-CN"/>
                    </w:rPr>
                    <w:t>后</w:t>
                  </w:r>
                  <w:r>
                    <w:rPr>
                      <w:rFonts w:hint="eastAsia" w:ascii="Times New Roman" w:hAnsi="Times New Roman" w:eastAsia="宋体"/>
                      <w:color w:val="auto"/>
                      <w:kern w:val="44"/>
                      <w:sz w:val="21"/>
                      <w:szCs w:val="21"/>
                      <w:highlight w:val="none"/>
                      <w:lang w:eastAsia="zh-CN"/>
                    </w:rPr>
                    <w:t>，经</w:t>
                  </w:r>
                  <w:r>
                    <w:rPr>
                      <w:rFonts w:hint="eastAsia" w:ascii="Times New Roman" w:hAnsi="Times New Roman" w:eastAsia="宋体"/>
                      <w:color w:val="auto"/>
                      <w:kern w:val="44"/>
                      <w:sz w:val="21"/>
                      <w:szCs w:val="21"/>
                      <w:highlight w:val="none"/>
                      <w:lang w:val="en-US" w:eastAsia="zh-CN"/>
                    </w:rPr>
                    <w:t>园区</w:t>
                  </w:r>
                  <w:r>
                    <w:rPr>
                      <w:rFonts w:hint="eastAsia" w:ascii="Times New Roman" w:hAnsi="Times New Roman" w:eastAsia="宋体"/>
                      <w:color w:val="auto"/>
                      <w:kern w:val="44"/>
                      <w:sz w:val="21"/>
                      <w:szCs w:val="21"/>
                      <w:highlight w:val="none"/>
                      <w:lang w:eastAsia="zh-CN"/>
                    </w:rPr>
                    <w:t>市政污水管网排入</w:t>
                  </w:r>
                  <w:r>
                    <w:rPr>
                      <w:rFonts w:hint="eastAsia" w:ascii="Times New Roman" w:hAnsi="Times New Roman" w:eastAsia="宋体"/>
                      <w:color w:val="auto"/>
                      <w:kern w:val="44"/>
                      <w:sz w:val="21"/>
                      <w:szCs w:val="21"/>
                      <w:highlight w:val="none"/>
                      <w:lang w:val="en-US" w:eastAsia="zh-CN"/>
                    </w:rPr>
                    <w:t>西彭工业园区污水处理厂</w:t>
                  </w:r>
                  <w:r>
                    <w:rPr>
                      <w:rFonts w:hint="eastAsia" w:ascii="Times New Roman" w:hAnsi="Times New Roman" w:eastAsia="宋体"/>
                      <w:color w:val="auto"/>
                      <w:kern w:val="44"/>
                      <w:sz w:val="21"/>
                      <w:szCs w:val="21"/>
                      <w:highlight w:val="none"/>
                      <w:lang w:eastAsia="zh-CN"/>
                    </w:rPr>
                    <w:t>深度处理</w:t>
                  </w:r>
                  <w:r>
                    <w:rPr>
                      <w:rFonts w:hint="eastAsia" w:ascii="Times New Roman" w:hAnsi="Times New Roman" w:eastAsia="宋体"/>
                      <w:color w:val="auto"/>
                      <w:kern w:val="44"/>
                      <w:sz w:val="21"/>
                      <w:szCs w:val="21"/>
                      <w:highlight w:val="none"/>
                      <w:lang w:val="en-US" w:eastAsia="zh-CN"/>
                    </w:rPr>
                    <w:t>达标后排入桥头河，最终汇入长江；</w:t>
                  </w:r>
                </w:p>
              </w:tc>
              <w:tc>
                <w:tcPr>
                  <w:tcW w:w="472" w:type="pct"/>
                  <w:tcBorders>
                    <w:tl2br w:val="nil"/>
                    <w:tr2bl w:val="nil"/>
                  </w:tcBorders>
                  <w:vAlign w:val="center"/>
                </w:tcPr>
                <w:p w14:paraId="1EEDBD17">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bCs/>
                      <w:iCs/>
                      <w:color w:val="auto"/>
                      <w:sz w:val="21"/>
                      <w:szCs w:val="21"/>
                      <w:highlight w:val="none"/>
                    </w:rPr>
                    <w:t>依托</w:t>
                  </w:r>
                </w:p>
              </w:tc>
            </w:tr>
            <w:tr w14:paraId="25F41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7964BFA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599" w:type="pct"/>
                  <w:tcBorders>
                    <w:tl2br w:val="nil"/>
                    <w:tr2bl w:val="nil"/>
                  </w:tcBorders>
                  <w:vAlign w:val="center"/>
                </w:tcPr>
                <w:p w14:paraId="46732241">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供电</w:t>
                  </w:r>
                </w:p>
              </w:tc>
              <w:tc>
                <w:tcPr>
                  <w:tcW w:w="3332" w:type="pct"/>
                  <w:tcBorders>
                    <w:tl2br w:val="nil"/>
                    <w:tr2bl w:val="nil"/>
                  </w:tcBorders>
                  <w:vAlign w:val="center"/>
                </w:tcPr>
                <w:p w14:paraId="450F77B0">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lang w:eastAsia="zh-CN"/>
                    </w:rPr>
                    <w:t>依托</w:t>
                  </w:r>
                  <w:r>
                    <w:rPr>
                      <w:rFonts w:hint="eastAsia" w:ascii="Times New Roman" w:hAnsi="Times New Roman" w:eastAsia="宋体"/>
                      <w:color w:val="auto"/>
                      <w:kern w:val="44"/>
                      <w:sz w:val="21"/>
                      <w:szCs w:val="21"/>
                      <w:highlight w:val="none"/>
                      <w:lang w:val="en-US" w:eastAsia="zh-CN"/>
                    </w:rPr>
                    <w:t>森迪安防产业园</w:t>
                  </w:r>
                  <w:r>
                    <w:rPr>
                      <w:rFonts w:hint="eastAsia" w:ascii="Times New Roman" w:hAnsi="Times New Roman" w:eastAsia="宋体"/>
                      <w:color w:val="auto"/>
                      <w:kern w:val="44"/>
                      <w:sz w:val="21"/>
                      <w:szCs w:val="21"/>
                      <w:highlight w:val="none"/>
                      <w:lang w:eastAsia="zh-CN"/>
                    </w:rPr>
                    <w:t>现有供</w:t>
                  </w:r>
                  <w:r>
                    <w:rPr>
                      <w:rFonts w:hint="eastAsia" w:ascii="Times New Roman" w:hAnsi="Times New Roman" w:eastAsia="宋体"/>
                      <w:color w:val="auto"/>
                      <w:kern w:val="44"/>
                      <w:sz w:val="21"/>
                      <w:szCs w:val="21"/>
                      <w:highlight w:val="none"/>
                      <w:lang w:val="en-US" w:eastAsia="zh-CN"/>
                    </w:rPr>
                    <w:t>电</w:t>
                  </w:r>
                  <w:r>
                    <w:rPr>
                      <w:rFonts w:hint="eastAsia" w:ascii="Times New Roman" w:hAnsi="Times New Roman" w:eastAsia="宋体"/>
                      <w:color w:val="auto"/>
                      <w:kern w:val="44"/>
                      <w:sz w:val="21"/>
                      <w:szCs w:val="21"/>
                      <w:highlight w:val="none"/>
                      <w:lang w:eastAsia="zh-CN"/>
                    </w:rPr>
                    <w:t>系统（</w:t>
                  </w:r>
                  <w:r>
                    <w:rPr>
                      <w:rFonts w:hint="default" w:ascii="Times New Roman" w:hAnsi="Times New Roman" w:eastAsia="宋体"/>
                      <w:color w:val="auto"/>
                      <w:kern w:val="44"/>
                      <w:sz w:val="21"/>
                      <w:szCs w:val="21"/>
                      <w:highlight w:val="none"/>
                      <w:lang w:eastAsia="zh-CN"/>
                    </w:rPr>
                    <w:t>市政</w:t>
                  </w:r>
                  <w:r>
                    <w:rPr>
                      <w:rFonts w:hint="eastAsia" w:ascii="Times New Roman" w:hAnsi="Times New Roman" w:eastAsia="宋体"/>
                      <w:color w:val="auto"/>
                      <w:kern w:val="44"/>
                      <w:sz w:val="21"/>
                      <w:szCs w:val="21"/>
                      <w:highlight w:val="none"/>
                      <w:lang w:eastAsia="zh-CN"/>
                    </w:rPr>
                    <w:t>电网</w:t>
                  </w:r>
                  <w:r>
                    <w:rPr>
                      <w:rFonts w:hint="default" w:ascii="Times New Roman" w:hAnsi="Times New Roman" w:eastAsia="宋体"/>
                      <w:color w:val="auto"/>
                      <w:kern w:val="44"/>
                      <w:sz w:val="21"/>
                      <w:szCs w:val="21"/>
                      <w:highlight w:val="none"/>
                      <w:lang w:eastAsia="zh-CN"/>
                    </w:rPr>
                    <w:t>接入</w:t>
                  </w:r>
                  <w:r>
                    <w:rPr>
                      <w:rFonts w:hint="eastAsia" w:ascii="Times New Roman" w:hAnsi="Times New Roman" w:eastAsia="宋体"/>
                      <w:color w:val="auto"/>
                      <w:kern w:val="44"/>
                      <w:sz w:val="21"/>
                      <w:szCs w:val="21"/>
                      <w:highlight w:val="none"/>
                      <w:lang w:eastAsia="zh-CN"/>
                    </w:rPr>
                    <w:t>）。</w:t>
                  </w:r>
                </w:p>
              </w:tc>
              <w:tc>
                <w:tcPr>
                  <w:tcW w:w="472" w:type="pct"/>
                  <w:tcBorders>
                    <w:tl2br w:val="nil"/>
                    <w:tr2bl w:val="nil"/>
                  </w:tcBorders>
                  <w:vAlign w:val="center"/>
                </w:tcPr>
                <w:p w14:paraId="6CB4412F">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bCs/>
                      <w:iCs/>
                      <w:color w:val="auto"/>
                      <w:sz w:val="21"/>
                      <w:szCs w:val="21"/>
                      <w:highlight w:val="none"/>
                    </w:rPr>
                    <w:t>依托</w:t>
                  </w:r>
                </w:p>
              </w:tc>
            </w:tr>
            <w:tr w14:paraId="5F218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restart"/>
                  <w:tcBorders>
                    <w:tl2br w:val="nil"/>
                    <w:tr2bl w:val="nil"/>
                  </w:tcBorders>
                  <w:vAlign w:val="center"/>
                </w:tcPr>
                <w:p w14:paraId="19B7A84B">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环保工程</w:t>
                  </w:r>
                </w:p>
              </w:tc>
              <w:tc>
                <w:tcPr>
                  <w:tcW w:w="599" w:type="pct"/>
                  <w:vMerge w:val="restart"/>
                  <w:tcBorders>
                    <w:tl2br w:val="nil"/>
                    <w:tr2bl w:val="nil"/>
                  </w:tcBorders>
                  <w:vAlign w:val="center"/>
                </w:tcPr>
                <w:p w14:paraId="1B62A659">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eastAsia="zh-CN"/>
                    </w:rPr>
                    <w:t>废气</w:t>
                  </w:r>
                </w:p>
              </w:tc>
              <w:tc>
                <w:tcPr>
                  <w:tcW w:w="3332" w:type="pct"/>
                  <w:tcBorders>
                    <w:tl2br w:val="nil"/>
                    <w:tr2bl w:val="nil"/>
                  </w:tcBorders>
                  <w:vAlign w:val="center"/>
                </w:tcPr>
                <w:p w14:paraId="07EE911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kern w:val="44"/>
                      <w:sz w:val="21"/>
                      <w:szCs w:val="21"/>
                      <w:highlight w:val="none"/>
                      <w:lang w:val="en-US" w:eastAsia="zh-CN"/>
                    </w:rPr>
                    <w:t>抛丸废气</w:t>
                  </w:r>
                  <w:r>
                    <w:rPr>
                      <w:rFonts w:hint="eastAsia" w:ascii="Times New Roman" w:hAnsi="Times New Roman" w:eastAsia="宋体"/>
                      <w:b w:val="0"/>
                      <w:bCs w:val="0"/>
                      <w:color w:val="auto"/>
                      <w:kern w:val="44"/>
                      <w:sz w:val="21"/>
                      <w:szCs w:val="21"/>
                      <w:highlight w:val="none"/>
                      <w:lang w:val="en-US" w:eastAsia="zh-CN"/>
                    </w:rPr>
                    <w:t>：项目抛丸工序产生的废气经设备自带布袋除尘器处置后引入1根21m高</w:t>
                  </w:r>
                  <w:r>
                    <w:rPr>
                      <w:rFonts w:hint="eastAsia" w:ascii="Times New Roman" w:hAnsi="Times New Roman" w:eastAsia="宋体"/>
                      <w:b/>
                      <w:bCs/>
                      <w:color w:val="auto"/>
                      <w:kern w:val="44"/>
                      <w:sz w:val="21"/>
                      <w:szCs w:val="21"/>
                      <w:highlight w:val="none"/>
                      <w:lang w:val="en-US" w:eastAsia="zh-CN"/>
                    </w:rPr>
                    <w:t>DA002</w:t>
                  </w:r>
                  <w:r>
                    <w:rPr>
                      <w:rFonts w:hint="eastAsia" w:ascii="Times New Roman" w:hAnsi="Times New Roman" w:eastAsia="宋体"/>
                      <w:b w:val="0"/>
                      <w:bCs w:val="0"/>
                      <w:color w:val="auto"/>
                      <w:kern w:val="44"/>
                      <w:sz w:val="21"/>
                      <w:szCs w:val="21"/>
                      <w:highlight w:val="none"/>
                      <w:lang w:val="en-US" w:eastAsia="zh-CN"/>
                    </w:rPr>
                    <w:t>排气筒排放。</w:t>
                  </w:r>
                </w:p>
              </w:tc>
              <w:tc>
                <w:tcPr>
                  <w:tcW w:w="472" w:type="pct"/>
                  <w:tcBorders>
                    <w:tl2br w:val="nil"/>
                    <w:tr2bl w:val="nil"/>
                  </w:tcBorders>
                  <w:vAlign w:val="center"/>
                </w:tcPr>
                <w:p w14:paraId="08E7643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5AEAE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596" w:type="pct"/>
                  <w:vMerge w:val="continue"/>
                  <w:tcBorders>
                    <w:tl2br w:val="nil"/>
                    <w:tr2bl w:val="nil"/>
                  </w:tcBorders>
                  <w:vAlign w:val="center"/>
                </w:tcPr>
                <w:p w14:paraId="5F8D2CB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599" w:type="pct"/>
                  <w:vMerge w:val="continue"/>
                  <w:tcBorders>
                    <w:tl2br w:val="nil"/>
                    <w:tr2bl w:val="nil"/>
                  </w:tcBorders>
                  <w:vAlign w:val="center"/>
                </w:tcPr>
                <w:p w14:paraId="6B18050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Times New Roman"/>
                      <w:color w:val="auto"/>
                      <w:sz w:val="21"/>
                      <w:szCs w:val="21"/>
                      <w:highlight w:val="none"/>
                      <w:lang w:eastAsia="zh-CN"/>
                    </w:rPr>
                  </w:pPr>
                </w:p>
              </w:tc>
              <w:tc>
                <w:tcPr>
                  <w:tcW w:w="3332" w:type="pct"/>
                  <w:tcBorders>
                    <w:tl2br w:val="nil"/>
                    <w:tr2bl w:val="nil"/>
                  </w:tcBorders>
                  <w:vAlign w:val="center"/>
                </w:tcPr>
                <w:p w14:paraId="0BD7E66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b/>
                      <w:bCs/>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喷粉废气：</w:t>
                  </w:r>
                  <w:r>
                    <w:rPr>
                      <w:rFonts w:hint="eastAsia" w:ascii="Times New Roman" w:hAnsi="Times New Roman" w:eastAsia="宋体"/>
                      <w:b w:val="0"/>
                      <w:bCs w:val="0"/>
                      <w:color w:val="auto"/>
                      <w:kern w:val="44"/>
                      <w:sz w:val="21"/>
                      <w:szCs w:val="21"/>
                      <w:highlight w:val="none"/>
                      <w:lang w:val="en-US" w:eastAsia="zh-CN"/>
                    </w:rPr>
                    <w:t>项目喷粉工序产生的废气经1套“滤筒除尘器”处置后引入1根21m高</w:t>
                  </w:r>
                  <w:r>
                    <w:rPr>
                      <w:rFonts w:hint="eastAsia" w:ascii="Times New Roman" w:hAnsi="Times New Roman" w:eastAsia="宋体"/>
                      <w:b/>
                      <w:bCs/>
                      <w:color w:val="auto"/>
                      <w:kern w:val="44"/>
                      <w:sz w:val="21"/>
                      <w:szCs w:val="21"/>
                      <w:highlight w:val="none"/>
                      <w:lang w:val="en-US" w:eastAsia="zh-CN"/>
                    </w:rPr>
                    <w:t>DA003</w:t>
                  </w:r>
                  <w:r>
                    <w:rPr>
                      <w:rFonts w:hint="eastAsia" w:ascii="Times New Roman" w:hAnsi="Times New Roman" w:eastAsia="宋体"/>
                      <w:b w:val="0"/>
                      <w:bCs w:val="0"/>
                      <w:color w:val="auto"/>
                      <w:kern w:val="44"/>
                      <w:sz w:val="21"/>
                      <w:szCs w:val="21"/>
                      <w:highlight w:val="none"/>
                      <w:lang w:val="en-US" w:eastAsia="zh-CN"/>
                    </w:rPr>
                    <w:t>排气筒排放。</w:t>
                  </w:r>
                </w:p>
              </w:tc>
              <w:tc>
                <w:tcPr>
                  <w:tcW w:w="472" w:type="pct"/>
                  <w:tcBorders>
                    <w:tl2br w:val="nil"/>
                    <w:tr2bl w:val="nil"/>
                  </w:tcBorders>
                  <w:vAlign w:val="center"/>
                </w:tcPr>
                <w:p w14:paraId="65E0D1D8">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0A3B1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193C8EC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cs="Times New Roman"/>
                      <w:b w:val="0"/>
                      <w:bCs w:val="0"/>
                      <w:color w:val="auto"/>
                      <w:sz w:val="21"/>
                      <w:szCs w:val="21"/>
                      <w:highlight w:val="none"/>
                    </w:rPr>
                  </w:pPr>
                </w:p>
              </w:tc>
              <w:tc>
                <w:tcPr>
                  <w:tcW w:w="599" w:type="pct"/>
                  <w:vMerge w:val="continue"/>
                  <w:tcBorders>
                    <w:tl2br w:val="nil"/>
                    <w:tr2bl w:val="nil"/>
                  </w:tcBorders>
                  <w:vAlign w:val="center"/>
                </w:tcPr>
                <w:p w14:paraId="2380A789">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Times New Roman"/>
                      <w:color w:val="auto"/>
                      <w:sz w:val="21"/>
                      <w:szCs w:val="21"/>
                      <w:highlight w:val="none"/>
                      <w:lang w:eastAsia="zh-CN"/>
                    </w:rPr>
                  </w:pPr>
                </w:p>
              </w:tc>
              <w:tc>
                <w:tcPr>
                  <w:tcW w:w="3332" w:type="pct"/>
                  <w:tcBorders>
                    <w:tl2br w:val="nil"/>
                    <w:tr2bl w:val="nil"/>
                  </w:tcBorders>
                  <w:vAlign w:val="center"/>
                </w:tcPr>
                <w:p w14:paraId="6C4EFB2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b/>
                      <w:bCs/>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固化废气：</w:t>
                  </w:r>
                  <w:r>
                    <w:rPr>
                      <w:rFonts w:hint="eastAsia" w:ascii="Times New Roman" w:hAnsi="Times New Roman" w:eastAsia="宋体"/>
                      <w:b w:val="0"/>
                      <w:bCs w:val="0"/>
                      <w:color w:val="auto"/>
                      <w:kern w:val="44"/>
                      <w:sz w:val="21"/>
                      <w:szCs w:val="21"/>
                      <w:highlight w:val="none"/>
                      <w:lang w:val="en-US" w:eastAsia="zh-CN"/>
                    </w:rPr>
                    <w:t>项目固化工序产生的废气经1套“干式过滤+活性炭”吸附装置处置后引入1根21m高</w:t>
                  </w:r>
                  <w:r>
                    <w:rPr>
                      <w:rFonts w:hint="eastAsia" w:ascii="Times New Roman" w:hAnsi="Times New Roman" w:eastAsia="宋体"/>
                      <w:b/>
                      <w:bCs/>
                      <w:color w:val="auto"/>
                      <w:kern w:val="44"/>
                      <w:sz w:val="21"/>
                      <w:szCs w:val="21"/>
                      <w:highlight w:val="none"/>
                      <w:lang w:val="en-US" w:eastAsia="zh-CN"/>
                    </w:rPr>
                    <w:t>DA004</w:t>
                  </w:r>
                  <w:r>
                    <w:rPr>
                      <w:rFonts w:hint="eastAsia" w:ascii="Times New Roman" w:hAnsi="Times New Roman" w:eastAsia="宋体"/>
                      <w:b w:val="0"/>
                      <w:bCs w:val="0"/>
                      <w:color w:val="auto"/>
                      <w:kern w:val="44"/>
                      <w:sz w:val="21"/>
                      <w:szCs w:val="21"/>
                      <w:highlight w:val="none"/>
                      <w:lang w:val="en-US" w:eastAsia="zh-CN"/>
                    </w:rPr>
                    <w:t>排气筒排放。</w:t>
                  </w:r>
                </w:p>
              </w:tc>
              <w:tc>
                <w:tcPr>
                  <w:tcW w:w="472" w:type="pct"/>
                  <w:tcBorders>
                    <w:tl2br w:val="nil"/>
                    <w:tr2bl w:val="nil"/>
                  </w:tcBorders>
                  <w:vAlign w:val="center"/>
                </w:tcPr>
                <w:p w14:paraId="7527C0E7">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0AF3F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1B39D1DD">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599" w:type="pct"/>
                  <w:tcBorders>
                    <w:tl2br w:val="nil"/>
                    <w:tr2bl w:val="nil"/>
                  </w:tcBorders>
                  <w:vAlign w:val="center"/>
                </w:tcPr>
                <w:p w14:paraId="213DF3E6">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rPr>
                    <w:t>废水</w:t>
                  </w:r>
                </w:p>
              </w:tc>
              <w:tc>
                <w:tcPr>
                  <w:tcW w:w="3332" w:type="pct"/>
                  <w:tcBorders>
                    <w:tl2br w:val="nil"/>
                    <w:tr2bl w:val="nil"/>
                  </w:tcBorders>
                  <w:vAlign w:val="center"/>
                </w:tcPr>
                <w:p w14:paraId="5E84AD63">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both"/>
                    <w:textAlignment w:val="auto"/>
                    <w:rPr>
                      <w:rFonts w:hint="eastAsia" w:ascii="Times New Roman" w:hAnsi="Times New Roman" w:eastAsia="宋体"/>
                      <w:color w:val="auto"/>
                      <w:kern w:val="44"/>
                      <w:sz w:val="21"/>
                      <w:szCs w:val="21"/>
                      <w:highlight w:val="none"/>
                      <w:lang w:val="en-US" w:eastAsia="zh-CN"/>
                    </w:rPr>
                  </w:pPr>
                  <w:r>
                    <w:rPr>
                      <w:rFonts w:hint="eastAsia" w:ascii="Times New Roman" w:hAnsi="Times New Roman" w:eastAsia="宋体"/>
                      <w:color w:val="auto"/>
                      <w:kern w:val="44"/>
                      <w:sz w:val="21"/>
                      <w:szCs w:val="21"/>
                      <w:highlight w:val="none"/>
                      <w:lang w:val="en-US" w:eastAsia="zh-CN"/>
                    </w:rPr>
                    <w:t>运营期外排污废水主要为员工办公生活污水，</w:t>
                  </w:r>
                  <w:r>
                    <w:rPr>
                      <w:rFonts w:hint="eastAsia" w:ascii="Times New Roman" w:hAnsi="Times New Roman" w:eastAsia="宋体"/>
                      <w:color w:val="auto"/>
                      <w:kern w:val="44"/>
                      <w:sz w:val="21"/>
                      <w:szCs w:val="21"/>
                      <w:highlight w:val="none"/>
                      <w:lang w:eastAsia="zh-CN"/>
                    </w:rPr>
                    <w:t>依托</w:t>
                  </w:r>
                  <w:r>
                    <w:rPr>
                      <w:rFonts w:hint="eastAsia" w:ascii="Times New Roman" w:hAnsi="Times New Roman" w:eastAsia="宋体"/>
                      <w:color w:val="auto"/>
                      <w:kern w:val="44"/>
                      <w:sz w:val="21"/>
                      <w:szCs w:val="21"/>
                      <w:highlight w:val="none"/>
                      <w:lang w:val="en-US" w:eastAsia="zh-CN"/>
                    </w:rPr>
                    <w:t>森迪安防产业园现有</w:t>
                  </w:r>
                  <w:r>
                    <w:rPr>
                      <w:rFonts w:hint="eastAsia" w:ascii="Times New Roman" w:hAnsi="Times New Roman" w:eastAsia="宋体"/>
                      <w:b/>
                      <w:bCs/>
                      <w:color w:val="auto"/>
                      <w:kern w:val="44"/>
                      <w:sz w:val="21"/>
                      <w:szCs w:val="21"/>
                      <w:highlight w:val="none"/>
                      <w:lang w:val="en-US" w:eastAsia="zh-CN"/>
                    </w:rPr>
                    <w:t>1#</w:t>
                  </w:r>
                  <w:r>
                    <w:rPr>
                      <w:rFonts w:hint="eastAsia" w:ascii="Times New Roman" w:hAnsi="Times New Roman" w:eastAsia="宋体"/>
                      <w:b/>
                      <w:bCs/>
                      <w:color w:val="auto"/>
                      <w:kern w:val="44"/>
                      <w:sz w:val="21"/>
                      <w:szCs w:val="21"/>
                      <w:highlight w:val="none"/>
                      <w:lang w:eastAsia="zh-CN"/>
                    </w:rPr>
                    <w:t>生化池</w:t>
                  </w:r>
                  <w:r>
                    <w:rPr>
                      <w:rFonts w:hint="eastAsia" w:ascii="Times New Roman" w:hAnsi="Times New Roman" w:eastAsia="宋体"/>
                      <w:color w:val="auto"/>
                      <w:kern w:val="44"/>
                      <w:sz w:val="21"/>
                      <w:szCs w:val="21"/>
                      <w:highlight w:val="none"/>
                      <w:lang w:val="en-US" w:eastAsia="zh-CN"/>
                    </w:rPr>
                    <w:t>预</w:t>
                  </w:r>
                  <w:r>
                    <w:rPr>
                      <w:rFonts w:hint="eastAsia" w:ascii="Times New Roman" w:hAnsi="Times New Roman" w:eastAsia="宋体"/>
                      <w:color w:val="auto"/>
                      <w:kern w:val="44"/>
                      <w:sz w:val="21"/>
                      <w:szCs w:val="21"/>
                      <w:highlight w:val="none"/>
                      <w:lang w:eastAsia="zh-CN"/>
                    </w:rPr>
                    <w:t>处理达</w:t>
                  </w:r>
                  <w:r>
                    <w:rPr>
                      <w:rFonts w:hint="eastAsia" w:ascii="Times New Roman" w:hAnsi="Times New Roman" w:eastAsia="宋体"/>
                      <w:color w:val="auto"/>
                      <w:kern w:val="44"/>
                      <w:sz w:val="21"/>
                      <w:szCs w:val="21"/>
                      <w:highlight w:val="none"/>
                      <w:lang w:val="en-US" w:eastAsia="zh-CN"/>
                    </w:rPr>
                    <w:t>《污水综合排放标准》（GB 8978-1996）三级标准</w:t>
                  </w:r>
                  <w:r>
                    <w:rPr>
                      <w:rFonts w:hint="eastAsia" w:ascii="Times New Roman" w:hAnsi="Times New Roman" w:eastAsia="宋体"/>
                      <w:color w:val="auto"/>
                      <w:kern w:val="44"/>
                      <w:sz w:val="21"/>
                      <w:szCs w:val="21"/>
                      <w:highlight w:val="none"/>
                      <w:lang w:eastAsia="zh-CN"/>
                    </w:rPr>
                    <w:t>，经市政污水管网，排入</w:t>
                  </w:r>
                  <w:r>
                    <w:rPr>
                      <w:rFonts w:hint="eastAsia" w:ascii="Times New Roman" w:hAnsi="Times New Roman" w:eastAsia="宋体"/>
                      <w:color w:val="auto"/>
                      <w:kern w:val="44"/>
                      <w:sz w:val="21"/>
                      <w:szCs w:val="21"/>
                      <w:highlight w:val="none"/>
                      <w:lang w:val="en-US" w:eastAsia="zh-CN"/>
                    </w:rPr>
                    <w:t>西彭工业园区污水处理厂深度</w:t>
                  </w:r>
                  <w:r>
                    <w:rPr>
                      <w:rFonts w:hint="eastAsia" w:ascii="Times New Roman" w:hAnsi="Times New Roman" w:eastAsia="宋体"/>
                      <w:color w:val="auto"/>
                      <w:kern w:val="44"/>
                      <w:sz w:val="21"/>
                      <w:szCs w:val="21"/>
                      <w:highlight w:val="none"/>
                      <w:lang w:eastAsia="zh-CN"/>
                    </w:rPr>
                    <w:t>处理</w:t>
                  </w:r>
                  <w:r>
                    <w:rPr>
                      <w:rFonts w:hint="eastAsia" w:ascii="Times New Roman" w:hAnsi="Times New Roman" w:eastAsia="宋体"/>
                      <w:color w:val="auto"/>
                      <w:kern w:val="44"/>
                      <w:sz w:val="21"/>
                      <w:szCs w:val="21"/>
                      <w:highlight w:val="none"/>
                      <w:lang w:val="en-US" w:eastAsia="zh-CN"/>
                    </w:rPr>
                    <w:t>达标后，排入桥头河，最终汇入长江。</w:t>
                  </w:r>
                </w:p>
              </w:tc>
              <w:tc>
                <w:tcPr>
                  <w:tcW w:w="472" w:type="pct"/>
                  <w:tcBorders>
                    <w:tl2br w:val="nil"/>
                    <w:tr2bl w:val="nil"/>
                  </w:tcBorders>
                  <w:vAlign w:val="center"/>
                </w:tcPr>
                <w:p w14:paraId="27C36A43">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7076C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27708790">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599" w:type="pct"/>
                  <w:tcBorders>
                    <w:tl2br w:val="nil"/>
                    <w:tr2bl w:val="nil"/>
                  </w:tcBorders>
                  <w:vAlign w:val="center"/>
                </w:tcPr>
                <w:p w14:paraId="5C4C5B2B">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噪声</w:t>
                  </w:r>
                  <w:r>
                    <w:rPr>
                      <w:rFonts w:hint="eastAsia" w:ascii="Times New Roman" w:hAnsi="Times New Roman" w:eastAsia="宋体" w:cs="Times New Roman"/>
                      <w:color w:val="auto"/>
                      <w:sz w:val="21"/>
                      <w:szCs w:val="21"/>
                      <w:highlight w:val="none"/>
                    </w:rPr>
                    <w:t>治理</w:t>
                  </w:r>
                </w:p>
              </w:tc>
              <w:tc>
                <w:tcPr>
                  <w:tcW w:w="3332" w:type="pct"/>
                  <w:tcBorders>
                    <w:tl2br w:val="nil"/>
                    <w:tr2bl w:val="nil"/>
                  </w:tcBorders>
                  <w:vAlign w:val="center"/>
                </w:tcPr>
                <w:p w14:paraId="70C2527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rPr>
                    <w:t>高噪声设备</w:t>
                  </w:r>
                  <w:r>
                    <w:rPr>
                      <w:rFonts w:hint="eastAsia" w:ascii="Times New Roman" w:hAnsi="Times New Roman" w:eastAsia="宋体"/>
                      <w:color w:val="auto"/>
                      <w:kern w:val="44"/>
                      <w:sz w:val="21"/>
                      <w:szCs w:val="21"/>
                      <w:highlight w:val="none"/>
                      <w:lang w:val="en-US" w:eastAsia="zh-CN"/>
                    </w:rPr>
                    <w:t>应采取减振基础、隔声等措施</w:t>
                  </w:r>
                  <w:r>
                    <w:rPr>
                      <w:rFonts w:hint="eastAsia" w:ascii="Times New Roman" w:hAnsi="Times New Roman" w:eastAsia="宋体"/>
                      <w:color w:val="auto"/>
                      <w:sz w:val="21"/>
                      <w:szCs w:val="21"/>
                      <w:highlight w:val="none"/>
                      <w:lang w:eastAsia="zh-CN"/>
                    </w:rPr>
                    <w:t>；</w:t>
                  </w:r>
                </w:p>
              </w:tc>
              <w:tc>
                <w:tcPr>
                  <w:tcW w:w="472" w:type="pct"/>
                  <w:tcBorders>
                    <w:tl2br w:val="nil"/>
                    <w:tr2bl w:val="nil"/>
                  </w:tcBorders>
                  <w:vAlign w:val="center"/>
                </w:tcPr>
                <w:p w14:paraId="4C5DEB6F">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新建</w:t>
                  </w:r>
                </w:p>
              </w:tc>
            </w:tr>
            <w:tr w14:paraId="21385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7F818EB4">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599" w:type="pct"/>
                  <w:vMerge w:val="restart"/>
                  <w:tcBorders>
                    <w:tl2br w:val="nil"/>
                    <w:tr2bl w:val="nil"/>
                  </w:tcBorders>
                  <w:vAlign w:val="center"/>
                </w:tcPr>
                <w:p w14:paraId="6BB24FE1">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固废处理</w:t>
                  </w:r>
                </w:p>
              </w:tc>
              <w:tc>
                <w:tcPr>
                  <w:tcW w:w="3332" w:type="pct"/>
                  <w:tcBorders>
                    <w:tl2br w:val="nil"/>
                    <w:tr2bl w:val="nil"/>
                  </w:tcBorders>
                  <w:vAlign w:val="center"/>
                </w:tcPr>
                <w:p w14:paraId="6F4A7A94">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both"/>
                    <w:textAlignment w:val="auto"/>
                    <w:rPr>
                      <w:rFonts w:hint="eastAsia" w:ascii="Times New Roman" w:hAnsi="Times New Roman" w:eastAsia="宋体"/>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一般固废</w:t>
                  </w:r>
                  <w:r>
                    <w:rPr>
                      <w:rFonts w:hint="eastAsia" w:ascii="Times New Roman" w:hAnsi="Times New Roman" w:eastAsia="宋体"/>
                      <w:color w:val="auto"/>
                      <w:kern w:val="44"/>
                      <w:sz w:val="21"/>
                      <w:szCs w:val="21"/>
                      <w:highlight w:val="none"/>
                      <w:lang w:val="en-US" w:eastAsia="zh-CN"/>
                    </w:rPr>
                    <w:t>：依托现有工程位于2#厂房西北侧设置的1处一般固废暂存区，面积约20m</w:t>
                  </w:r>
                  <w:r>
                    <w:rPr>
                      <w:rFonts w:hint="eastAsia" w:ascii="Times New Roman" w:hAnsi="Times New Roman" w:eastAsia="宋体"/>
                      <w:color w:val="auto"/>
                      <w:kern w:val="44"/>
                      <w:sz w:val="21"/>
                      <w:szCs w:val="21"/>
                      <w:highlight w:val="none"/>
                      <w:vertAlign w:val="superscript"/>
                      <w:lang w:val="en-US" w:eastAsia="zh-CN"/>
                    </w:rPr>
                    <w:t>2</w:t>
                  </w:r>
                  <w:r>
                    <w:rPr>
                      <w:rFonts w:hint="eastAsia" w:ascii="Times New Roman" w:hAnsi="Times New Roman" w:eastAsia="宋体"/>
                      <w:color w:val="auto"/>
                      <w:kern w:val="44"/>
                      <w:sz w:val="21"/>
                      <w:szCs w:val="21"/>
                      <w:highlight w:val="none"/>
                      <w:lang w:val="en-US" w:eastAsia="zh-CN"/>
                    </w:rPr>
                    <w:t>，定期外售综合利用；一般固废贮存过程应满足相应防渗漏、防雨淋、防扬尘等环境保护要求。</w:t>
                  </w:r>
                </w:p>
              </w:tc>
              <w:tc>
                <w:tcPr>
                  <w:tcW w:w="472" w:type="pct"/>
                  <w:tcBorders>
                    <w:tl2br w:val="nil"/>
                    <w:tr2bl w:val="nil"/>
                  </w:tcBorders>
                  <w:vAlign w:val="center"/>
                </w:tcPr>
                <w:p w14:paraId="4CD0F42B">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0DFF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57E8813B">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599" w:type="pct"/>
                  <w:vMerge w:val="continue"/>
                  <w:tcBorders>
                    <w:tl2br w:val="nil"/>
                    <w:tr2bl w:val="nil"/>
                  </w:tcBorders>
                  <w:vAlign w:val="center"/>
                </w:tcPr>
                <w:p w14:paraId="6F32DBE4">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3332" w:type="pct"/>
                  <w:tcBorders>
                    <w:tl2br w:val="nil"/>
                    <w:tr2bl w:val="nil"/>
                  </w:tcBorders>
                  <w:vAlign w:val="center"/>
                </w:tcPr>
                <w:p w14:paraId="1BA6E22A">
                  <w:pPr>
                    <w:keepNext w:val="0"/>
                    <w:keepLines w:val="0"/>
                    <w:pageBreakBefore w:val="0"/>
                    <w:widowControl w:val="0"/>
                    <w:kinsoku/>
                    <w:wordWrap/>
                    <w:overflowPunct/>
                    <w:topLinePunct w:val="0"/>
                    <w:autoSpaceDE/>
                    <w:autoSpaceDN/>
                    <w:bidi w:val="0"/>
                    <w:adjustRightInd/>
                    <w:snapToGrid/>
                    <w:spacing w:before="70" w:beforeLines="22" w:after="70" w:afterLines="22" w:line="300" w:lineRule="auto"/>
                    <w:jc w:val="both"/>
                    <w:textAlignment w:val="auto"/>
                    <w:rPr>
                      <w:rFonts w:hint="eastAsia" w:ascii="Times New Roman" w:hAnsi="Times New Roman" w:eastAsia="宋体"/>
                      <w:b w:val="0"/>
                      <w:bCs w:val="0"/>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危险废物</w:t>
                  </w:r>
                  <w:r>
                    <w:rPr>
                      <w:rFonts w:hint="eastAsia" w:ascii="Times New Roman" w:hAnsi="Times New Roman" w:eastAsia="宋体"/>
                      <w:b w:val="0"/>
                      <w:bCs w:val="0"/>
                      <w:color w:val="auto"/>
                      <w:kern w:val="44"/>
                      <w:sz w:val="21"/>
                      <w:szCs w:val="21"/>
                      <w:highlight w:val="none"/>
                      <w:lang w:val="en-US" w:eastAsia="zh-CN"/>
                    </w:rPr>
                    <w:t>：</w:t>
                  </w:r>
                  <w:r>
                    <w:rPr>
                      <w:rFonts w:hint="eastAsia" w:ascii="Times New Roman" w:hAnsi="Times New Roman" w:eastAsia="宋体"/>
                      <w:color w:val="auto"/>
                      <w:kern w:val="44"/>
                      <w:sz w:val="21"/>
                      <w:szCs w:val="21"/>
                      <w:highlight w:val="none"/>
                      <w:lang w:val="en-US" w:eastAsia="zh-CN"/>
                    </w:rPr>
                    <w:t>依托现有工程位</w:t>
                  </w:r>
                  <w:r>
                    <w:rPr>
                      <w:rFonts w:hint="eastAsia" w:ascii="Times New Roman" w:hAnsi="Times New Roman" w:eastAsia="宋体"/>
                      <w:b w:val="0"/>
                      <w:bCs w:val="0"/>
                      <w:color w:val="auto"/>
                      <w:kern w:val="44"/>
                      <w:sz w:val="21"/>
                      <w:szCs w:val="21"/>
                      <w:highlight w:val="none"/>
                      <w:lang w:val="en-US" w:eastAsia="zh-CN"/>
                    </w:rPr>
                    <w:t>于</w:t>
                  </w:r>
                  <w:r>
                    <w:rPr>
                      <w:rFonts w:hint="eastAsia" w:ascii="Times New Roman" w:hAnsi="Times New Roman" w:eastAsia="宋体"/>
                      <w:color w:val="auto"/>
                      <w:kern w:val="44"/>
                      <w:sz w:val="21"/>
                      <w:szCs w:val="21"/>
                      <w:highlight w:val="none"/>
                      <w:lang w:val="en-US" w:eastAsia="zh-CN"/>
                    </w:rPr>
                    <w:t>2#</w:t>
                  </w:r>
                  <w:r>
                    <w:rPr>
                      <w:rFonts w:hint="eastAsia" w:ascii="Times New Roman" w:hAnsi="Times New Roman" w:eastAsia="宋体"/>
                      <w:b w:val="0"/>
                      <w:bCs w:val="0"/>
                      <w:color w:val="auto"/>
                      <w:kern w:val="44"/>
                      <w:sz w:val="21"/>
                      <w:szCs w:val="21"/>
                      <w:highlight w:val="none"/>
                      <w:lang w:val="en-US" w:eastAsia="zh-CN"/>
                    </w:rPr>
                    <w:t>厂房东南角设置1处危废贮存点，面积约10m</w:t>
                  </w:r>
                  <w:r>
                    <w:rPr>
                      <w:rFonts w:hint="eastAsia" w:ascii="Times New Roman" w:hAnsi="Times New Roman" w:eastAsia="宋体"/>
                      <w:b w:val="0"/>
                      <w:bCs w:val="0"/>
                      <w:color w:val="auto"/>
                      <w:kern w:val="44"/>
                      <w:sz w:val="21"/>
                      <w:szCs w:val="21"/>
                      <w:highlight w:val="none"/>
                      <w:vertAlign w:val="superscript"/>
                      <w:lang w:val="en-US" w:eastAsia="zh-CN"/>
                    </w:rPr>
                    <w:t>2</w:t>
                  </w:r>
                  <w:r>
                    <w:rPr>
                      <w:rFonts w:hint="eastAsia" w:ascii="Times New Roman" w:hAnsi="Times New Roman" w:eastAsia="宋体"/>
                      <w:b w:val="0"/>
                      <w:bCs w:val="0"/>
                      <w:color w:val="auto"/>
                      <w:kern w:val="44"/>
                      <w:sz w:val="21"/>
                      <w:szCs w:val="21"/>
                      <w:highlight w:val="none"/>
                      <w:lang w:val="en-US" w:eastAsia="zh-CN"/>
                    </w:rPr>
                    <w:t>。用于存放废油桶、空压机含油废液、含油废棉纱手套等危险废物，危险废物应分类存储，定期交有相应危险废物处置资质的单位转运处置。危废贮存点应满足《危险废物贮存污染控制标准》（GB18597-202023要求。</w:t>
                  </w:r>
                </w:p>
              </w:tc>
              <w:tc>
                <w:tcPr>
                  <w:tcW w:w="472" w:type="pct"/>
                  <w:tcBorders>
                    <w:tl2br w:val="nil"/>
                    <w:tr2bl w:val="nil"/>
                  </w:tcBorders>
                  <w:vAlign w:val="center"/>
                </w:tcPr>
                <w:p w14:paraId="7A2A78FF">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069C4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6" w:type="pct"/>
                  <w:vMerge w:val="continue"/>
                  <w:tcBorders>
                    <w:tl2br w:val="nil"/>
                    <w:tr2bl w:val="nil"/>
                  </w:tcBorders>
                  <w:vAlign w:val="center"/>
                </w:tcPr>
                <w:p w14:paraId="68AF7745">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599" w:type="pct"/>
                  <w:vMerge w:val="continue"/>
                  <w:tcBorders>
                    <w:tl2br w:val="nil"/>
                    <w:tr2bl w:val="nil"/>
                  </w:tcBorders>
                  <w:vAlign w:val="center"/>
                </w:tcPr>
                <w:p w14:paraId="37304C32">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3332" w:type="pct"/>
                  <w:tcBorders>
                    <w:tl2br w:val="nil"/>
                    <w:tr2bl w:val="nil"/>
                  </w:tcBorders>
                  <w:vAlign w:val="center"/>
                </w:tcPr>
                <w:p w14:paraId="7FD970D3">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生活垃圾</w:t>
                  </w:r>
                  <w:r>
                    <w:rPr>
                      <w:rFonts w:hint="eastAsia" w:ascii="Times New Roman" w:hAnsi="Times New Roman" w:eastAsia="宋体"/>
                      <w:color w:val="auto"/>
                      <w:sz w:val="21"/>
                      <w:szCs w:val="21"/>
                      <w:highlight w:val="none"/>
                      <w:vertAlign w:val="baseline"/>
                      <w:lang w:val="en-US" w:eastAsia="zh-CN"/>
                    </w:rPr>
                    <w:t>：集中收集交环卫部门统一清运处理。</w:t>
                  </w:r>
                </w:p>
              </w:tc>
              <w:tc>
                <w:tcPr>
                  <w:tcW w:w="472" w:type="pct"/>
                  <w:tcBorders>
                    <w:tl2br w:val="nil"/>
                    <w:tr2bl w:val="nil"/>
                  </w:tcBorders>
                  <w:vAlign w:val="center"/>
                </w:tcPr>
                <w:p w14:paraId="2E2D495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依托</w:t>
                  </w:r>
                </w:p>
              </w:tc>
            </w:tr>
            <w:tr w14:paraId="7F306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4"/>
                  <w:tcBorders>
                    <w:tl2br w:val="nil"/>
                    <w:tr2bl w:val="nil"/>
                  </w:tcBorders>
                  <w:vAlign w:val="center"/>
                </w:tcPr>
                <w:p w14:paraId="40F2F0AF">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注</w:t>
                  </w:r>
                  <w:r>
                    <w:rPr>
                      <w:rFonts w:hint="eastAsia" w:ascii="Times New Roman" w:hAnsi="Times New Roman" w:eastAsia="宋体"/>
                      <w:color w:val="auto"/>
                      <w:sz w:val="21"/>
                      <w:szCs w:val="21"/>
                      <w:highlight w:val="none"/>
                      <w:vertAlign w:val="baseline"/>
                      <w:lang w:val="en-US" w:eastAsia="zh-CN"/>
                    </w:rPr>
                    <w:t>：项目设备维修委外，场内不进行设备维修。</w:t>
                  </w:r>
                </w:p>
              </w:tc>
            </w:tr>
          </w:tbl>
          <w:p w14:paraId="54D17FD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2.3.2依托工程可行性</w:t>
            </w:r>
          </w:p>
          <w:p w14:paraId="057E6DF5">
            <w:pPr>
              <w:pStyle w:val="17"/>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eastAsia="zh-CN"/>
              </w:rPr>
              <w:t>依托设施可行性分析见表</w:t>
            </w:r>
            <w:r>
              <w:rPr>
                <w:rFonts w:hint="default" w:ascii="Times New Roman" w:hAnsi="Times New Roman" w:eastAsia="宋体" w:cs="Times New Roman"/>
                <w:bCs/>
                <w:color w:val="auto"/>
                <w:szCs w:val="21"/>
                <w:highlight w:val="none"/>
                <w:lang w:val="en-US" w:eastAsia="zh-CN"/>
              </w:rPr>
              <w:t>2-2。</w:t>
            </w:r>
          </w:p>
          <w:p w14:paraId="5CECBF23">
            <w:pPr>
              <w:keepNext w:val="0"/>
              <w:keepLines w:val="0"/>
              <w:pageBreakBefore w:val="0"/>
              <w:widowControl w:val="0"/>
              <w:tabs>
                <w:tab w:val="center" w:pos="3929"/>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表</w:t>
            </w:r>
            <w:r>
              <w:rPr>
                <w:rFonts w:hint="default" w:ascii="Times New Roman" w:hAnsi="Times New Roman" w:eastAsia="宋体" w:cs="Times New Roman"/>
                <w:b w:val="0"/>
                <w:bCs/>
                <w:color w:val="auto"/>
                <w:sz w:val="24"/>
                <w:szCs w:val="24"/>
                <w:highlight w:val="none"/>
                <w:lang w:val="en-US" w:eastAsia="zh-CN"/>
              </w:rPr>
              <w:t>2-2  依托设施可行性分析一览表</w:t>
            </w:r>
          </w:p>
          <w:tbl>
            <w:tblPr>
              <w:tblStyle w:val="22"/>
              <w:tblW w:w="82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00"/>
              <w:gridCol w:w="4888"/>
              <w:gridCol w:w="1404"/>
            </w:tblGrid>
            <w:tr w14:paraId="43F36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50DA109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序号</w:t>
                  </w:r>
                </w:p>
              </w:tc>
              <w:tc>
                <w:tcPr>
                  <w:tcW w:w="1100" w:type="dxa"/>
                  <w:tcBorders>
                    <w:tl2br w:val="nil"/>
                    <w:tr2bl w:val="nil"/>
                  </w:tcBorders>
                  <w:noWrap/>
                  <w:vAlign w:val="center"/>
                </w:tcPr>
                <w:p w14:paraId="7C8DBB1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依托内容</w:t>
                  </w:r>
                </w:p>
              </w:tc>
              <w:tc>
                <w:tcPr>
                  <w:tcW w:w="4888" w:type="dxa"/>
                  <w:tcBorders>
                    <w:tl2br w:val="nil"/>
                    <w:tr2bl w:val="nil"/>
                  </w:tcBorders>
                  <w:noWrap/>
                  <w:vAlign w:val="center"/>
                </w:tcPr>
                <w:p w14:paraId="2CA5AC33">
                  <w:pPr>
                    <w:pStyle w:val="18"/>
                    <w:keepNext w:val="0"/>
                    <w:keepLines w:val="0"/>
                    <w:pageBreakBefore w:val="0"/>
                    <w:kinsoku/>
                    <w:wordWrap/>
                    <w:overflowPunct/>
                    <w:topLinePunct w:val="0"/>
                    <w:bidi w:val="0"/>
                    <w:adjustRightInd w:val="0"/>
                    <w:snapToGrid w:val="0"/>
                    <w:spacing w:before="0" w:beforeAutospacing="0" w:after="0" w:afterAutospacing="0" w:line="240" w:lineRule="auto"/>
                    <w:jc w:val="center"/>
                    <w:rPr>
                      <w:rFonts w:hint="default" w:ascii="Times New Roman" w:hAnsi="Times New Roman" w:eastAsia="宋体" w:cs="Times New Roman"/>
                      <w:b w:val="0"/>
                      <w:bCs/>
                      <w:color w:val="auto"/>
                      <w:kern w:val="2"/>
                      <w:sz w:val="21"/>
                      <w:szCs w:val="21"/>
                      <w:highlight w:val="none"/>
                      <w:lang w:eastAsia="zh-CN"/>
                    </w:rPr>
                  </w:pPr>
                  <w:r>
                    <w:rPr>
                      <w:rFonts w:hint="default" w:ascii="Times New Roman" w:hAnsi="Times New Roman" w:cs="Times New Roman"/>
                      <w:b w:val="0"/>
                      <w:bCs/>
                      <w:color w:val="auto"/>
                      <w:kern w:val="2"/>
                      <w:sz w:val="21"/>
                      <w:szCs w:val="21"/>
                      <w:highlight w:val="none"/>
                      <w:lang w:eastAsia="zh-CN"/>
                    </w:rPr>
                    <w:t>依托来源及能力</w:t>
                  </w:r>
                </w:p>
              </w:tc>
              <w:tc>
                <w:tcPr>
                  <w:tcW w:w="1404" w:type="dxa"/>
                  <w:tcBorders>
                    <w:tl2br w:val="nil"/>
                    <w:tr2bl w:val="nil"/>
                  </w:tcBorders>
                  <w:noWrap/>
                  <w:vAlign w:val="center"/>
                </w:tcPr>
                <w:p w14:paraId="5C900B1C">
                  <w:pPr>
                    <w:pStyle w:val="18"/>
                    <w:keepNext w:val="0"/>
                    <w:keepLines w:val="0"/>
                    <w:pageBreakBefore w:val="0"/>
                    <w:kinsoku/>
                    <w:wordWrap/>
                    <w:overflowPunct/>
                    <w:topLinePunct w:val="0"/>
                    <w:bidi w:val="0"/>
                    <w:adjustRightInd w:val="0"/>
                    <w:snapToGrid w:val="0"/>
                    <w:spacing w:before="0" w:beforeAutospacing="0" w:after="0" w:afterAutospacing="0" w:line="240" w:lineRule="auto"/>
                    <w:jc w:val="center"/>
                    <w:rPr>
                      <w:rFonts w:hint="default" w:ascii="Times New Roman" w:hAnsi="Times New Roman" w:eastAsia="宋体" w:cs="Times New Roman"/>
                      <w:b w:val="0"/>
                      <w:bCs/>
                      <w:color w:val="auto"/>
                      <w:kern w:val="2"/>
                      <w:sz w:val="21"/>
                      <w:szCs w:val="21"/>
                      <w:highlight w:val="none"/>
                      <w:lang w:eastAsia="zh-CN"/>
                    </w:rPr>
                  </w:pPr>
                  <w:r>
                    <w:rPr>
                      <w:rFonts w:hint="default" w:ascii="Times New Roman" w:hAnsi="Times New Roman" w:cs="Times New Roman"/>
                      <w:b w:val="0"/>
                      <w:bCs/>
                      <w:color w:val="auto"/>
                      <w:kern w:val="2"/>
                      <w:sz w:val="21"/>
                      <w:szCs w:val="21"/>
                      <w:highlight w:val="none"/>
                      <w:lang w:eastAsia="zh-CN"/>
                    </w:rPr>
                    <w:t>依托可行性</w:t>
                  </w:r>
                </w:p>
              </w:tc>
            </w:tr>
            <w:tr w14:paraId="27E13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024F5D9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1100" w:type="dxa"/>
                  <w:tcBorders>
                    <w:tl2br w:val="nil"/>
                    <w:tr2bl w:val="nil"/>
                  </w:tcBorders>
                  <w:noWrap/>
                  <w:vAlign w:val="center"/>
                </w:tcPr>
                <w:p w14:paraId="137CC9C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办公室</w:t>
                  </w:r>
                </w:p>
              </w:tc>
              <w:tc>
                <w:tcPr>
                  <w:tcW w:w="4888" w:type="dxa"/>
                  <w:tcBorders>
                    <w:tl2br w:val="nil"/>
                    <w:tr2bl w:val="nil"/>
                  </w:tcBorders>
                  <w:noWrap/>
                  <w:vAlign w:val="center"/>
                </w:tcPr>
                <w:p w14:paraId="0788DAC6">
                  <w:pPr>
                    <w:keepNext w:val="0"/>
                    <w:keepLines w:val="0"/>
                    <w:pageBreakBefore w:val="0"/>
                    <w:kinsoku/>
                    <w:wordWrap/>
                    <w:overflowPunct/>
                    <w:topLinePunct w:val="0"/>
                    <w:bidi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扩建项目</w:t>
                  </w:r>
                  <w:r>
                    <w:rPr>
                      <w:rFonts w:hint="default" w:ascii="Times New Roman" w:hAnsi="Times New Roman" w:cs="Times New Roman"/>
                      <w:color w:val="auto"/>
                      <w:sz w:val="21"/>
                      <w:szCs w:val="21"/>
                      <w:highlight w:val="none"/>
                      <w:lang w:eastAsia="zh-CN"/>
                    </w:rPr>
                    <w:t>依托现有</w:t>
                  </w:r>
                  <w:r>
                    <w:rPr>
                      <w:rFonts w:hint="eastAsia" w:ascii="Times New Roman" w:hAnsi="Times New Roman" w:cs="Times New Roman"/>
                      <w:color w:val="auto"/>
                      <w:sz w:val="21"/>
                      <w:szCs w:val="21"/>
                      <w:highlight w:val="none"/>
                      <w:lang w:eastAsia="zh-CN"/>
                    </w:rPr>
                    <w:t>工程办公区域</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新增员工主要为生产人员</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办公人员不增加，现有的办公区域能满足使用要求</w:t>
                  </w:r>
                  <w:r>
                    <w:rPr>
                      <w:rFonts w:hint="default" w:ascii="Times New Roman" w:hAnsi="Times New Roman" w:cs="Times New Roman"/>
                      <w:color w:val="auto"/>
                      <w:sz w:val="21"/>
                      <w:szCs w:val="21"/>
                      <w:highlight w:val="none"/>
                    </w:rPr>
                    <w:t>。</w:t>
                  </w:r>
                </w:p>
              </w:tc>
              <w:tc>
                <w:tcPr>
                  <w:tcW w:w="1404" w:type="dxa"/>
                  <w:tcBorders>
                    <w:tl2br w:val="nil"/>
                    <w:tr2bl w:val="nil"/>
                  </w:tcBorders>
                  <w:noWrap/>
                  <w:vAlign w:val="center"/>
                </w:tcPr>
                <w:p w14:paraId="46834289">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4647D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79D42B95">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w:t>
                  </w:r>
                </w:p>
              </w:tc>
              <w:tc>
                <w:tcPr>
                  <w:tcW w:w="1100" w:type="dxa"/>
                  <w:tcBorders>
                    <w:tl2br w:val="nil"/>
                    <w:tr2bl w:val="nil"/>
                  </w:tcBorders>
                  <w:noWrap/>
                  <w:vAlign w:val="center"/>
                </w:tcPr>
                <w:p w14:paraId="3083276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供电</w:t>
                  </w:r>
                </w:p>
              </w:tc>
              <w:tc>
                <w:tcPr>
                  <w:tcW w:w="4888" w:type="dxa"/>
                  <w:tcBorders>
                    <w:tl2br w:val="nil"/>
                    <w:tr2bl w:val="nil"/>
                  </w:tcBorders>
                  <w:noWrap/>
                  <w:vAlign w:val="center"/>
                </w:tcPr>
                <w:p w14:paraId="31D7819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森迪安防产业园</w:t>
                  </w:r>
                  <w:r>
                    <w:rPr>
                      <w:rFonts w:hint="default" w:ascii="Times New Roman" w:hAnsi="Times New Roman" w:cs="Times New Roman"/>
                      <w:b w:val="0"/>
                      <w:bCs/>
                      <w:color w:val="auto"/>
                      <w:sz w:val="21"/>
                      <w:szCs w:val="21"/>
                      <w:highlight w:val="none"/>
                      <w:lang w:eastAsia="zh-CN"/>
                    </w:rPr>
                    <w:t>现有</w:t>
                  </w:r>
                  <w:r>
                    <w:rPr>
                      <w:rFonts w:hint="eastAsia" w:ascii="Times New Roman" w:hAnsi="Times New Roman" w:cs="Times New Roman"/>
                      <w:b w:val="0"/>
                      <w:bCs/>
                      <w:color w:val="auto"/>
                      <w:sz w:val="21"/>
                      <w:szCs w:val="21"/>
                      <w:highlight w:val="none"/>
                      <w:lang w:eastAsia="zh-CN"/>
                    </w:rPr>
                    <w:t>配套设施</w:t>
                  </w:r>
                  <w:r>
                    <w:rPr>
                      <w:rFonts w:hint="default" w:ascii="Times New Roman" w:hAnsi="Times New Roman" w:cs="Times New Roman"/>
                      <w:b w:val="0"/>
                      <w:bCs/>
                      <w:color w:val="auto"/>
                      <w:sz w:val="21"/>
                      <w:szCs w:val="21"/>
                      <w:highlight w:val="none"/>
                      <w:lang w:eastAsia="zh-CN"/>
                    </w:rPr>
                    <w:t>供电系统接入</w:t>
                  </w:r>
                </w:p>
              </w:tc>
              <w:tc>
                <w:tcPr>
                  <w:tcW w:w="1404" w:type="dxa"/>
                  <w:tcBorders>
                    <w:tl2br w:val="nil"/>
                    <w:tr2bl w:val="nil"/>
                  </w:tcBorders>
                  <w:noWrap/>
                  <w:vAlign w:val="center"/>
                </w:tcPr>
                <w:p w14:paraId="4C24957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5EC76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Borders>
                    <w:tl2br w:val="nil"/>
                    <w:tr2bl w:val="nil"/>
                  </w:tcBorders>
                  <w:noWrap/>
                  <w:vAlign w:val="center"/>
                </w:tcPr>
                <w:p w14:paraId="267C459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w:t>
                  </w:r>
                </w:p>
              </w:tc>
              <w:tc>
                <w:tcPr>
                  <w:tcW w:w="1100" w:type="dxa"/>
                  <w:tcBorders>
                    <w:tl2br w:val="nil"/>
                    <w:tr2bl w:val="nil"/>
                  </w:tcBorders>
                  <w:noWrap/>
                  <w:vAlign w:val="center"/>
                </w:tcPr>
                <w:p w14:paraId="2BCD58D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供水</w:t>
                  </w:r>
                </w:p>
              </w:tc>
              <w:tc>
                <w:tcPr>
                  <w:tcW w:w="4888" w:type="dxa"/>
                  <w:tcBorders>
                    <w:tl2br w:val="nil"/>
                    <w:tr2bl w:val="nil"/>
                  </w:tcBorders>
                  <w:noWrap/>
                  <w:vAlign w:val="center"/>
                </w:tcPr>
                <w:p w14:paraId="6E9C139D">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森迪安防产业园</w:t>
                  </w:r>
                  <w:r>
                    <w:rPr>
                      <w:rFonts w:hint="default" w:ascii="Times New Roman" w:hAnsi="Times New Roman" w:cs="Times New Roman"/>
                      <w:b w:val="0"/>
                      <w:bCs/>
                      <w:color w:val="auto"/>
                      <w:sz w:val="21"/>
                      <w:szCs w:val="21"/>
                      <w:highlight w:val="none"/>
                      <w:lang w:eastAsia="zh-CN"/>
                    </w:rPr>
                    <w:t>现有</w:t>
                  </w:r>
                  <w:r>
                    <w:rPr>
                      <w:rFonts w:hint="eastAsia" w:ascii="Times New Roman" w:hAnsi="Times New Roman" w:cs="Times New Roman"/>
                      <w:b w:val="0"/>
                      <w:bCs/>
                      <w:color w:val="auto"/>
                      <w:sz w:val="21"/>
                      <w:szCs w:val="21"/>
                      <w:highlight w:val="none"/>
                      <w:lang w:eastAsia="zh-CN"/>
                    </w:rPr>
                    <w:t>配套设施</w:t>
                  </w:r>
                  <w:r>
                    <w:rPr>
                      <w:rFonts w:hint="default" w:ascii="Times New Roman" w:hAnsi="Times New Roman" w:cs="Times New Roman"/>
                      <w:b w:val="0"/>
                      <w:bCs/>
                      <w:color w:val="auto"/>
                      <w:sz w:val="21"/>
                      <w:szCs w:val="21"/>
                      <w:highlight w:val="none"/>
                      <w:lang w:eastAsia="zh-CN"/>
                    </w:rPr>
                    <w:t>供水系统接入</w:t>
                  </w:r>
                </w:p>
              </w:tc>
              <w:tc>
                <w:tcPr>
                  <w:tcW w:w="1404" w:type="dxa"/>
                  <w:tcBorders>
                    <w:tl2br w:val="nil"/>
                    <w:tr2bl w:val="nil"/>
                  </w:tcBorders>
                  <w:noWrap/>
                  <w:vAlign w:val="center"/>
                </w:tcPr>
                <w:p w14:paraId="7B7D4787">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1CEA4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8" w:type="dxa"/>
                  <w:tcBorders>
                    <w:tl2br w:val="nil"/>
                    <w:tr2bl w:val="nil"/>
                  </w:tcBorders>
                  <w:noWrap/>
                  <w:vAlign w:val="center"/>
                </w:tcPr>
                <w:p w14:paraId="5B3221F3">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w:t>
                  </w:r>
                </w:p>
              </w:tc>
              <w:tc>
                <w:tcPr>
                  <w:tcW w:w="1100" w:type="dxa"/>
                  <w:tcBorders>
                    <w:tl2br w:val="nil"/>
                    <w:tr2bl w:val="nil"/>
                  </w:tcBorders>
                  <w:noWrap/>
                  <w:vAlign w:val="center"/>
                </w:tcPr>
                <w:p w14:paraId="0EBBE60C">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排水</w:t>
                  </w:r>
                </w:p>
              </w:tc>
              <w:tc>
                <w:tcPr>
                  <w:tcW w:w="4888" w:type="dxa"/>
                  <w:tcBorders>
                    <w:tl2br w:val="nil"/>
                    <w:tr2bl w:val="nil"/>
                  </w:tcBorders>
                  <w:noWrap/>
                  <w:vAlign w:val="center"/>
                </w:tcPr>
                <w:p w14:paraId="43358922">
                  <w:pPr>
                    <w:pStyle w:val="44"/>
                    <w:keepNext w:val="0"/>
                    <w:keepLines w:val="0"/>
                    <w:pageBreakBefore w:val="0"/>
                    <w:kinsoku/>
                    <w:wordWrap/>
                    <w:overflowPunct/>
                    <w:topLinePunct w:val="0"/>
                    <w:bidi w:val="0"/>
                    <w:spacing w:line="240" w:lineRule="auto"/>
                    <w:ind w:firstLine="0" w:firstLineChars="0"/>
                    <w:jc w:val="both"/>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eastAsia="zh-CN"/>
                    </w:rPr>
                    <w:t>森迪安防产业园</w:t>
                  </w:r>
                  <w:r>
                    <w:rPr>
                      <w:rFonts w:hint="default" w:ascii="Times New Roman" w:hAnsi="Times New Roman" w:cs="Times New Roman"/>
                      <w:b w:val="0"/>
                      <w:bCs/>
                      <w:color w:val="auto"/>
                      <w:sz w:val="21"/>
                      <w:szCs w:val="21"/>
                      <w:highlight w:val="none"/>
                      <w:lang w:eastAsia="zh-CN"/>
                    </w:rPr>
                    <w:t>现有</w:t>
                  </w:r>
                  <w:r>
                    <w:rPr>
                      <w:rFonts w:hint="eastAsia" w:ascii="Times New Roman" w:hAnsi="Times New Roman" w:cs="Times New Roman"/>
                      <w:b w:val="0"/>
                      <w:bCs/>
                      <w:color w:val="auto"/>
                      <w:sz w:val="21"/>
                      <w:szCs w:val="21"/>
                      <w:highlight w:val="none"/>
                      <w:lang w:eastAsia="zh-CN"/>
                    </w:rPr>
                    <w:t>配套设施接入</w:t>
                  </w:r>
                  <w:r>
                    <w:rPr>
                      <w:rFonts w:hint="default" w:ascii="Times New Roman" w:hAnsi="Times New Roman" w:cs="Times New Roman"/>
                      <w:b w:val="0"/>
                      <w:bCs/>
                      <w:color w:val="auto"/>
                      <w:sz w:val="21"/>
                      <w:szCs w:val="21"/>
                      <w:highlight w:val="none"/>
                      <w:lang w:val="en-US" w:eastAsia="zh-CN"/>
                    </w:rPr>
                    <w:t>园区管网</w:t>
                  </w:r>
                  <w:r>
                    <w:rPr>
                      <w:rFonts w:hint="eastAsia"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排入</w:t>
                  </w:r>
                  <w:r>
                    <w:rPr>
                      <w:rFonts w:hint="eastAsia" w:ascii="Times New Roman" w:hAnsi="Times New Roman" w:cs="Times New Roman"/>
                      <w:b w:val="0"/>
                      <w:bCs/>
                      <w:color w:val="auto"/>
                      <w:sz w:val="21"/>
                      <w:szCs w:val="21"/>
                      <w:highlight w:val="none"/>
                      <w:lang w:val="en-US" w:eastAsia="zh-CN"/>
                    </w:rPr>
                    <w:t>西彭园区</w:t>
                  </w:r>
                  <w:r>
                    <w:rPr>
                      <w:rFonts w:hint="default" w:ascii="Times New Roman" w:hAnsi="Times New Roman" w:cs="Times New Roman"/>
                      <w:b w:val="0"/>
                      <w:bCs/>
                      <w:color w:val="auto"/>
                      <w:sz w:val="21"/>
                      <w:szCs w:val="21"/>
                      <w:highlight w:val="none"/>
                      <w:lang w:val="en-US" w:eastAsia="zh-CN"/>
                    </w:rPr>
                    <w:t>污水处理厂处置后排放。</w:t>
                  </w:r>
                </w:p>
              </w:tc>
              <w:tc>
                <w:tcPr>
                  <w:tcW w:w="1404" w:type="dxa"/>
                  <w:tcBorders>
                    <w:tl2br w:val="nil"/>
                    <w:tr2bl w:val="nil"/>
                  </w:tcBorders>
                  <w:noWrap/>
                  <w:vAlign w:val="center"/>
                </w:tcPr>
                <w:p w14:paraId="634B58C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1438D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8" w:type="dxa"/>
                  <w:tcBorders>
                    <w:tl2br w:val="nil"/>
                    <w:tr2bl w:val="nil"/>
                  </w:tcBorders>
                  <w:noWrap/>
                  <w:vAlign w:val="center"/>
                </w:tcPr>
                <w:p w14:paraId="53476E9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w:t>
                  </w:r>
                </w:p>
              </w:tc>
              <w:tc>
                <w:tcPr>
                  <w:tcW w:w="1100" w:type="dxa"/>
                  <w:tcBorders>
                    <w:tl2br w:val="nil"/>
                    <w:tr2bl w:val="nil"/>
                  </w:tcBorders>
                  <w:noWrap/>
                  <w:vAlign w:val="center"/>
                </w:tcPr>
                <w:p w14:paraId="3C6567F4">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油料区</w:t>
                  </w:r>
                </w:p>
              </w:tc>
              <w:tc>
                <w:tcPr>
                  <w:tcW w:w="4888" w:type="dxa"/>
                  <w:tcBorders>
                    <w:tl2br w:val="nil"/>
                    <w:tr2bl w:val="nil"/>
                  </w:tcBorders>
                  <w:noWrap/>
                  <w:vAlign w:val="center"/>
                </w:tcPr>
                <w:p w14:paraId="2D73A8C6">
                  <w:pPr>
                    <w:pStyle w:val="44"/>
                    <w:keepNext w:val="0"/>
                    <w:keepLines w:val="0"/>
                    <w:pageBreakBefore w:val="0"/>
                    <w:kinsoku/>
                    <w:wordWrap/>
                    <w:overflowPunct/>
                    <w:topLinePunct w:val="0"/>
                    <w:bidi w:val="0"/>
                    <w:spacing w:line="240" w:lineRule="auto"/>
                    <w:ind w:firstLine="0" w:firstLineChars="0"/>
                    <w:jc w:val="both"/>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现有工程油料区建筑面积约6m</w:t>
                  </w:r>
                  <w:r>
                    <w:rPr>
                      <w:rFonts w:hint="eastAsia" w:ascii="Times New Roman" w:hAnsi="Times New Roman" w:cs="Times New Roman"/>
                      <w:b w:val="0"/>
                      <w:bCs/>
                      <w:color w:val="auto"/>
                      <w:sz w:val="21"/>
                      <w:szCs w:val="21"/>
                      <w:highlight w:val="none"/>
                      <w:vertAlign w:val="superscript"/>
                      <w:lang w:val="en-US" w:eastAsia="zh-CN"/>
                    </w:rPr>
                    <w:t>2</w:t>
                  </w:r>
                  <w:r>
                    <w:rPr>
                      <w:rFonts w:hint="eastAsia" w:ascii="Times New Roman" w:hAnsi="Times New Roman" w:cs="Times New Roman"/>
                      <w:b w:val="0"/>
                      <w:bCs/>
                      <w:color w:val="auto"/>
                      <w:sz w:val="21"/>
                      <w:szCs w:val="21"/>
                      <w:highlight w:val="none"/>
                      <w:lang w:val="en-US" w:eastAsia="zh-CN"/>
                    </w:rPr>
                    <w:t>，主要用于存放液压油、机油等液体原辅料，扩建项目存放的液体原料为机油，通过缩短周转周期，现有工程油料区储存规模能够满足全厂储存要求。</w:t>
                  </w:r>
                </w:p>
              </w:tc>
              <w:tc>
                <w:tcPr>
                  <w:tcW w:w="1404" w:type="dxa"/>
                  <w:tcBorders>
                    <w:tl2br w:val="nil"/>
                    <w:tr2bl w:val="nil"/>
                  </w:tcBorders>
                  <w:noWrap/>
                  <w:vAlign w:val="center"/>
                </w:tcPr>
                <w:p w14:paraId="784EC251">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66546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818" w:type="dxa"/>
                  <w:tcBorders>
                    <w:tl2br w:val="nil"/>
                    <w:tr2bl w:val="nil"/>
                  </w:tcBorders>
                  <w:noWrap/>
                  <w:vAlign w:val="center"/>
                </w:tcPr>
                <w:p w14:paraId="40FE3010">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1100" w:type="dxa"/>
                  <w:tcBorders>
                    <w:tl2br w:val="nil"/>
                    <w:tr2bl w:val="nil"/>
                  </w:tcBorders>
                  <w:noWrap/>
                  <w:vAlign w:val="center"/>
                </w:tcPr>
                <w:p w14:paraId="599CD9B2">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废水</w:t>
                  </w:r>
                  <w:r>
                    <w:rPr>
                      <w:rFonts w:hint="default" w:ascii="Times New Roman" w:hAnsi="Times New Roman" w:cs="Times New Roman"/>
                      <w:b w:val="0"/>
                      <w:bCs/>
                      <w:color w:val="auto"/>
                      <w:sz w:val="21"/>
                      <w:szCs w:val="21"/>
                      <w:highlight w:val="none"/>
                      <w:lang w:eastAsia="zh-CN"/>
                    </w:rPr>
                    <w:t>处理设施</w:t>
                  </w:r>
                </w:p>
              </w:tc>
              <w:tc>
                <w:tcPr>
                  <w:tcW w:w="4888" w:type="dxa"/>
                  <w:tcBorders>
                    <w:tl2br w:val="nil"/>
                    <w:tr2bl w:val="nil"/>
                  </w:tcBorders>
                  <w:noWrap/>
                  <w:vAlign w:val="center"/>
                </w:tcPr>
                <w:p w14:paraId="28440FF1">
                  <w:pPr>
                    <w:pStyle w:val="44"/>
                    <w:keepNext w:val="0"/>
                    <w:keepLines w:val="0"/>
                    <w:pageBreakBefore w:val="0"/>
                    <w:kinsoku/>
                    <w:wordWrap/>
                    <w:overflowPunct/>
                    <w:topLinePunct w:val="0"/>
                    <w:bidi w:val="0"/>
                    <w:spacing w:line="240" w:lineRule="auto"/>
                    <w:ind w:firstLine="0" w:firstLineChars="0"/>
                    <w:jc w:val="both"/>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eastAsia="zh-CN"/>
                    </w:rPr>
                    <w:t>扩建项目无生产废水产生，生活污水产生量为</w:t>
                  </w:r>
                  <w:r>
                    <w:rPr>
                      <w:rFonts w:hint="eastAsia" w:ascii="Times New Roman" w:hAnsi="Times New Roman" w:cs="Times New Roman"/>
                      <w:b w:val="0"/>
                      <w:bCs/>
                      <w:color w:val="auto"/>
                      <w:sz w:val="21"/>
                      <w:szCs w:val="21"/>
                      <w:highlight w:val="none"/>
                      <w:lang w:val="en-US" w:eastAsia="zh-CN"/>
                    </w:rPr>
                    <w:t>0.45</w:t>
                  </w:r>
                  <w:r>
                    <w:rPr>
                      <w:rFonts w:hint="default" w:ascii="Times New Roman" w:hAnsi="Times New Roman" w:cs="Times New Roman"/>
                      <w:b w:val="0"/>
                      <w:bCs/>
                      <w:color w:val="auto"/>
                      <w:sz w:val="21"/>
                      <w:szCs w:val="21"/>
                      <w:highlight w:val="none"/>
                      <w:lang w:val="en-US" w:eastAsia="zh-CN"/>
                    </w:rPr>
                    <w:t>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/d</w:t>
                  </w:r>
                  <w:r>
                    <w:rPr>
                      <w:rFonts w:hint="eastAsia" w:ascii="Times New Roman" w:hAnsi="Times New Roman" w:cs="Times New Roman"/>
                      <w:b w:val="0"/>
                      <w:bCs/>
                      <w:color w:val="auto"/>
                      <w:sz w:val="21"/>
                      <w:szCs w:val="21"/>
                      <w:highlight w:val="none"/>
                      <w:lang w:val="en-US" w:eastAsia="zh-CN"/>
                    </w:rPr>
                    <w:t>，森迪安防产业园1#生化池处置规模</w:t>
                  </w:r>
                  <w:r>
                    <w:rPr>
                      <w:rFonts w:hint="default" w:ascii="Times New Roman" w:hAnsi="Times New Roman" w:cs="Times New Roman"/>
                      <w:b w:val="0"/>
                      <w:bCs/>
                      <w:color w:val="auto"/>
                      <w:sz w:val="21"/>
                      <w:szCs w:val="21"/>
                      <w:highlight w:val="none"/>
                      <w:lang w:eastAsia="zh-CN"/>
                    </w:rPr>
                    <w:t>为</w:t>
                  </w:r>
                  <w:r>
                    <w:rPr>
                      <w:rFonts w:hint="eastAsia" w:ascii="Times New Roman" w:hAnsi="Times New Roman" w:cs="Times New Roman"/>
                      <w:b w:val="0"/>
                      <w:bCs/>
                      <w:color w:val="auto"/>
                      <w:sz w:val="21"/>
                      <w:szCs w:val="21"/>
                      <w:highlight w:val="none"/>
                      <w:lang w:val="en-US" w:eastAsia="zh-CN"/>
                    </w:rPr>
                    <w:t>170</w:t>
                  </w:r>
                  <w:r>
                    <w:rPr>
                      <w:rFonts w:hint="default" w:ascii="Times New Roman" w:hAnsi="Times New Roman" w:cs="Times New Roman"/>
                      <w:b w:val="0"/>
                      <w:bCs/>
                      <w:color w:val="auto"/>
                      <w:sz w:val="21"/>
                      <w:szCs w:val="21"/>
                      <w:highlight w:val="none"/>
                      <w:lang w:val="en-US" w:eastAsia="zh-CN"/>
                    </w:rPr>
                    <w:t>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/d，</w:t>
                  </w:r>
                  <w:r>
                    <w:rPr>
                      <w:rFonts w:hint="eastAsia" w:ascii="Times New Roman" w:hAnsi="Times New Roman" w:cs="Times New Roman"/>
                      <w:b w:val="0"/>
                      <w:bCs/>
                      <w:color w:val="auto"/>
                      <w:sz w:val="21"/>
                      <w:szCs w:val="21"/>
                      <w:highlight w:val="none"/>
                      <w:lang w:val="en-US" w:eastAsia="zh-CN"/>
                    </w:rPr>
                    <w:t>目前富余处理能力约100</w:t>
                  </w:r>
                  <w:r>
                    <w:rPr>
                      <w:rFonts w:hint="default" w:ascii="Times New Roman" w:hAnsi="Times New Roman" w:cs="Times New Roman"/>
                      <w:b w:val="0"/>
                      <w:bCs/>
                      <w:color w:val="auto"/>
                      <w:sz w:val="21"/>
                      <w:szCs w:val="21"/>
                      <w:highlight w:val="none"/>
                      <w:lang w:val="en-US" w:eastAsia="zh-CN"/>
                    </w:rPr>
                    <w:t>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d。</w:t>
                  </w:r>
                  <w:r>
                    <w:rPr>
                      <w:rFonts w:hint="default" w:ascii="Times New Roman" w:hAnsi="Times New Roman" w:cs="Times New Roman"/>
                      <w:b w:val="0"/>
                      <w:bCs/>
                      <w:color w:val="auto"/>
                      <w:sz w:val="21"/>
                      <w:szCs w:val="21"/>
                      <w:highlight w:val="none"/>
                      <w:lang w:val="en-US" w:eastAsia="zh-CN"/>
                    </w:rPr>
                    <w:t>根据环保竣工验收</w:t>
                  </w:r>
                  <w:r>
                    <w:rPr>
                      <w:rFonts w:hint="eastAsia" w:ascii="Times New Roman" w:hAnsi="Times New Roman" w:cs="Times New Roman"/>
                      <w:b w:val="0"/>
                      <w:bCs/>
                      <w:color w:val="auto"/>
                      <w:sz w:val="21"/>
                      <w:szCs w:val="21"/>
                      <w:highlight w:val="none"/>
                      <w:lang w:val="en-US" w:eastAsia="zh-CN"/>
                    </w:rPr>
                    <w:t>监测报告</w:t>
                  </w: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森迪安防产业园生化池处置废水能够</w:t>
                  </w:r>
                  <w:r>
                    <w:rPr>
                      <w:rFonts w:hint="default" w:ascii="Times New Roman" w:hAnsi="Times New Roman" w:cs="Times New Roman"/>
                      <w:b w:val="0"/>
                      <w:bCs/>
                      <w:color w:val="auto"/>
                      <w:sz w:val="21"/>
                      <w:szCs w:val="21"/>
                      <w:highlight w:val="none"/>
                      <w:lang w:val="en-US" w:eastAsia="zh-CN"/>
                    </w:rPr>
                    <w:t>满足排放标准要求</w:t>
                  </w:r>
                  <w:r>
                    <w:rPr>
                      <w:rFonts w:hint="eastAsia" w:ascii="Times New Roman" w:hAnsi="Times New Roman" w:cs="Times New Roman"/>
                      <w:b w:val="0"/>
                      <w:bCs/>
                      <w:color w:val="auto"/>
                      <w:sz w:val="21"/>
                      <w:szCs w:val="21"/>
                      <w:highlight w:val="none"/>
                      <w:lang w:val="en-US" w:eastAsia="zh-CN"/>
                    </w:rPr>
                    <w:t>。从处置规模及达标可行性分析，该生化池</w:t>
                  </w:r>
                  <w:r>
                    <w:rPr>
                      <w:rFonts w:hint="default" w:ascii="Times New Roman" w:hAnsi="Times New Roman" w:cs="Times New Roman"/>
                      <w:b w:val="0"/>
                      <w:bCs/>
                      <w:color w:val="auto"/>
                      <w:sz w:val="21"/>
                      <w:szCs w:val="21"/>
                      <w:highlight w:val="none"/>
                      <w:lang w:val="en-US" w:eastAsia="zh-CN"/>
                    </w:rPr>
                    <w:t>扩建项目依托可行。</w:t>
                  </w:r>
                </w:p>
              </w:tc>
              <w:tc>
                <w:tcPr>
                  <w:tcW w:w="1404" w:type="dxa"/>
                  <w:tcBorders>
                    <w:tl2br w:val="nil"/>
                    <w:tr2bl w:val="nil"/>
                  </w:tcBorders>
                  <w:noWrap/>
                  <w:vAlign w:val="center"/>
                </w:tcPr>
                <w:p w14:paraId="502D4056">
                  <w:pPr>
                    <w:pStyle w:val="4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r w14:paraId="25A28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8" w:type="dxa"/>
                  <w:tcBorders>
                    <w:tl2br w:val="nil"/>
                    <w:tr2bl w:val="nil"/>
                  </w:tcBorders>
                  <w:noWrap/>
                  <w:vAlign w:val="center"/>
                </w:tcPr>
                <w:p w14:paraId="222A339E">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w:t>
                  </w:r>
                </w:p>
              </w:tc>
              <w:tc>
                <w:tcPr>
                  <w:tcW w:w="1100" w:type="dxa"/>
                  <w:tcBorders>
                    <w:tl2br w:val="nil"/>
                    <w:tr2bl w:val="nil"/>
                  </w:tcBorders>
                  <w:noWrap/>
                  <w:vAlign w:val="center"/>
                </w:tcPr>
                <w:p w14:paraId="4BB47C1A">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一般固废暂存间</w:t>
                  </w:r>
                </w:p>
              </w:tc>
              <w:tc>
                <w:tcPr>
                  <w:tcW w:w="4888" w:type="dxa"/>
                  <w:tcBorders>
                    <w:tl2br w:val="nil"/>
                    <w:tr2bl w:val="nil"/>
                  </w:tcBorders>
                  <w:noWrap/>
                  <w:vAlign w:val="center"/>
                </w:tcPr>
                <w:p w14:paraId="08AAF899">
                  <w:pPr>
                    <w:pStyle w:val="45"/>
                    <w:keepNext w:val="0"/>
                    <w:keepLines w:val="0"/>
                    <w:pageBreakBefore w:val="0"/>
                    <w:kinsoku/>
                    <w:wordWrap/>
                    <w:overflowPunct/>
                    <w:topLinePunct w:val="0"/>
                    <w:autoSpaceDE w:val="0"/>
                    <w:autoSpaceDN w:val="0"/>
                    <w:bidi w:val="0"/>
                    <w:adjustRightInd w:val="0"/>
                    <w:snapToGrid w:val="0"/>
                    <w:spacing w:before="0" w:after="0" w:line="240" w:lineRule="auto"/>
                    <w:ind w:right="0" w:firstLine="0" w:firstLineChars="0"/>
                    <w:jc w:val="both"/>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现有1座面积约20m</w:t>
                  </w:r>
                  <w:r>
                    <w:rPr>
                      <w:rFonts w:hint="default" w:ascii="Times New Roman" w:hAnsi="Times New Roman" w:eastAsia="宋体" w:cs="Times New Roman"/>
                      <w:b w:val="0"/>
                      <w:bCs/>
                      <w:color w:val="auto"/>
                      <w:kern w:val="2"/>
                      <w:sz w:val="21"/>
                      <w:szCs w:val="21"/>
                      <w:highlight w:val="none"/>
                      <w:vertAlign w:val="superscript"/>
                      <w:lang w:val="en-US" w:eastAsia="zh-CN" w:bidi="ar-SA"/>
                    </w:rPr>
                    <w:t>2</w:t>
                  </w:r>
                  <w:r>
                    <w:rPr>
                      <w:rFonts w:hint="default" w:ascii="Times New Roman" w:hAnsi="Times New Roman" w:eastAsia="宋体" w:cs="Times New Roman"/>
                      <w:b w:val="0"/>
                      <w:bCs/>
                      <w:color w:val="auto"/>
                      <w:kern w:val="2"/>
                      <w:sz w:val="21"/>
                      <w:szCs w:val="21"/>
                      <w:highlight w:val="none"/>
                      <w:lang w:val="en-US" w:eastAsia="zh-CN" w:bidi="ar-SA"/>
                    </w:rPr>
                    <w:t>的一般固废暂存间，定期委托废旧物资回收单位回收综合利用，通过提高周转频次，不改变一般固废间的贮存规模</w:t>
                  </w:r>
                  <w:r>
                    <w:rPr>
                      <w:rFonts w:hint="eastAsia" w:ascii="Times New Roman" w:hAnsi="Times New Roman" w:eastAsia="宋体" w:cs="Times New Roman"/>
                      <w:b w:val="0"/>
                      <w:bCs/>
                      <w:color w:val="auto"/>
                      <w:kern w:val="2"/>
                      <w:sz w:val="21"/>
                      <w:szCs w:val="21"/>
                      <w:highlight w:val="none"/>
                      <w:lang w:val="en-US" w:eastAsia="zh-CN" w:bidi="ar-SA"/>
                    </w:rPr>
                    <w:t>，能够满足建设单位生产需求</w:t>
                  </w:r>
                  <w:r>
                    <w:rPr>
                      <w:rFonts w:hint="default" w:ascii="Times New Roman" w:hAnsi="Times New Roman" w:eastAsia="宋体" w:cs="Times New Roman"/>
                      <w:b w:val="0"/>
                      <w:bCs/>
                      <w:color w:val="auto"/>
                      <w:kern w:val="2"/>
                      <w:sz w:val="21"/>
                      <w:szCs w:val="21"/>
                      <w:highlight w:val="none"/>
                      <w:lang w:val="en-US" w:eastAsia="zh-CN" w:bidi="ar-SA"/>
                    </w:rPr>
                    <w:t>。</w:t>
                  </w:r>
                </w:p>
              </w:tc>
              <w:tc>
                <w:tcPr>
                  <w:tcW w:w="1404" w:type="dxa"/>
                  <w:tcBorders>
                    <w:tl2br w:val="nil"/>
                    <w:tr2bl w:val="nil"/>
                  </w:tcBorders>
                  <w:noWrap/>
                  <w:vAlign w:val="center"/>
                </w:tcPr>
                <w:p w14:paraId="500889D4">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可行</w:t>
                  </w:r>
                </w:p>
              </w:tc>
            </w:tr>
            <w:tr w14:paraId="08360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8" w:type="dxa"/>
                  <w:tcBorders>
                    <w:tl2br w:val="nil"/>
                    <w:tr2bl w:val="nil"/>
                  </w:tcBorders>
                  <w:noWrap/>
                  <w:vAlign w:val="center"/>
                </w:tcPr>
                <w:p w14:paraId="7799DDA1">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w:t>
                  </w:r>
                </w:p>
              </w:tc>
              <w:tc>
                <w:tcPr>
                  <w:tcW w:w="1100" w:type="dxa"/>
                  <w:tcBorders>
                    <w:tl2br w:val="nil"/>
                    <w:tr2bl w:val="nil"/>
                  </w:tcBorders>
                  <w:noWrap/>
                  <w:vAlign w:val="center"/>
                </w:tcPr>
                <w:p w14:paraId="097257A7">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危废贮存点</w:t>
                  </w:r>
                </w:p>
              </w:tc>
              <w:tc>
                <w:tcPr>
                  <w:tcW w:w="4888" w:type="dxa"/>
                  <w:tcBorders>
                    <w:tl2br w:val="nil"/>
                    <w:tr2bl w:val="nil"/>
                  </w:tcBorders>
                  <w:noWrap/>
                  <w:vAlign w:val="center"/>
                </w:tcPr>
                <w:p w14:paraId="0FA6FF83">
                  <w:pPr>
                    <w:pStyle w:val="45"/>
                    <w:keepNext w:val="0"/>
                    <w:keepLines w:val="0"/>
                    <w:pageBreakBefore w:val="0"/>
                    <w:kinsoku/>
                    <w:wordWrap/>
                    <w:overflowPunct/>
                    <w:topLinePunct w:val="0"/>
                    <w:autoSpaceDE w:val="0"/>
                    <w:autoSpaceDN w:val="0"/>
                    <w:bidi w:val="0"/>
                    <w:adjustRightInd w:val="0"/>
                    <w:snapToGrid w:val="0"/>
                    <w:spacing w:before="0" w:after="0" w:line="240" w:lineRule="auto"/>
                    <w:ind w:right="0" w:firstLine="0" w:firstLineChars="0"/>
                    <w:jc w:val="both"/>
                    <w:textAlignment w:val="bottom"/>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现有1座面积约为10</w:t>
                  </w:r>
                  <w:r>
                    <w:rPr>
                      <w:rFonts w:hint="default" w:ascii="Times New Roman" w:hAnsi="Times New Roman" w:eastAsia="宋体" w:cs="Times New Roman"/>
                      <w:b w:val="0"/>
                      <w:bCs/>
                      <w:color w:val="auto"/>
                      <w:kern w:val="2"/>
                      <w:sz w:val="21"/>
                      <w:szCs w:val="21"/>
                      <w:highlight w:val="none"/>
                      <w:lang w:val="en-US" w:eastAsia="zh-CN" w:bidi="ar-SA"/>
                    </w:rPr>
                    <w:t>m</w:t>
                  </w:r>
                  <w:r>
                    <w:rPr>
                      <w:rFonts w:hint="default" w:ascii="Times New Roman" w:hAnsi="Times New Roman" w:eastAsia="宋体" w:cs="Times New Roman"/>
                      <w:b w:val="0"/>
                      <w:bCs/>
                      <w:color w:val="auto"/>
                      <w:kern w:val="2"/>
                      <w:sz w:val="21"/>
                      <w:szCs w:val="21"/>
                      <w:highlight w:val="none"/>
                      <w:vertAlign w:val="superscript"/>
                      <w:lang w:val="en-US" w:eastAsia="zh-CN" w:bidi="ar-SA"/>
                    </w:rPr>
                    <w:t>2</w:t>
                  </w:r>
                  <w:r>
                    <w:rPr>
                      <w:rFonts w:hint="default" w:ascii="Times New Roman" w:hAnsi="Times New Roman" w:eastAsia="宋体" w:cs="Times New Roman"/>
                      <w:b w:val="0"/>
                      <w:bCs/>
                      <w:color w:val="auto"/>
                      <w:kern w:val="2"/>
                      <w:sz w:val="21"/>
                      <w:szCs w:val="21"/>
                      <w:highlight w:val="none"/>
                      <w:lang w:val="en-US" w:eastAsia="zh-CN" w:bidi="ar-SA"/>
                    </w:rPr>
                    <w:t>的</w:t>
                  </w:r>
                  <w:r>
                    <w:rPr>
                      <w:rFonts w:hint="eastAsia" w:ascii="Times New Roman" w:hAnsi="Times New Roman" w:cs="Times New Roman"/>
                      <w:b w:val="0"/>
                      <w:bCs/>
                      <w:color w:val="auto"/>
                      <w:kern w:val="2"/>
                      <w:sz w:val="21"/>
                      <w:szCs w:val="21"/>
                      <w:highlight w:val="none"/>
                      <w:lang w:val="en-US" w:eastAsia="zh-CN" w:bidi="ar-SA"/>
                    </w:rPr>
                    <w:t>危废贮存点</w:t>
                  </w:r>
                  <w:r>
                    <w:rPr>
                      <w:rFonts w:hint="default" w:ascii="Times New Roman" w:hAnsi="Times New Roman" w:eastAsia="宋体"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根据生产情况</w:t>
                  </w:r>
                  <w:r>
                    <w:rPr>
                      <w:rFonts w:hint="default" w:ascii="Times New Roman" w:hAnsi="Times New Roman" w:eastAsia="宋体" w:cs="Times New Roman"/>
                      <w:b w:val="0"/>
                      <w:bCs/>
                      <w:color w:val="auto"/>
                      <w:kern w:val="2"/>
                      <w:sz w:val="21"/>
                      <w:szCs w:val="21"/>
                      <w:highlight w:val="none"/>
                      <w:lang w:val="en-US" w:eastAsia="zh-CN" w:bidi="ar-SA"/>
                    </w:rPr>
                    <w:t>委托</w:t>
                  </w:r>
                  <w:r>
                    <w:rPr>
                      <w:rFonts w:hint="eastAsia" w:ascii="Times New Roman" w:hAnsi="Times New Roman" w:eastAsia="宋体" w:cs="Times New Roman"/>
                      <w:b w:val="0"/>
                      <w:bCs/>
                      <w:color w:val="auto"/>
                      <w:kern w:val="2"/>
                      <w:sz w:val="21"/>
                      <w:szCs w:val="21"/>
                      <w:highlight w:val="none"/>
                      <w:lang w:val="en-US" w:eastAsia="zh-CN" w:bidi="ar-SA"/>
                    </w:rPr>
                    <w:t>有资质的危废处置单位收运处置</w:t>
                  </w:r>
                  <w:r>
                    <w:rPr>
                      <w:rFonts w:hint="default" w:ascii="Times New Roman" w:hAnsi="Times New Roman" w:eastAsia="宋体" w:cs="Times New Roman"/>
                      <w:b w:val="0"/>
                      <w:bCs/>
                      <w:color w:val="auto"/>
                      <w:kern w:val="2"/>
                      <w:sz w:val="21"/>
                      <w:szCs w:val="21"/>
                      <w:highlight w:val="none"/>
                      <w:lang w:val="en-US" w:eastAsia="zh-CN" w:bidi="ar-SA"/>
                    </w:rPr>
                    <w:t>，通过提高周转频次，不改变</w:t>
                  </w:r>
                  <w:r>
                    <w:rPr>
                      <w:rFonts w:hint="eastAsia" w:ascii="Times New Roman" w:hAnsi="Times New Roman" w:cs="Times New Roman"/>
                      <w:b w:val="0"/>
                      <w:bCs/>
                      <w:color w:val="auto"/>
                      <w:kern w:val="2"/>
                      <w:sz w:val="21"/>
                      <w:szCs w:val="21"/>
                      <w:highlight w:val="none"/>
                      <w:lang w:val="en-US" w:eastAsia="zh-CN" w:bidi="ar-SA"/>
                    </w:rPr>
                    <w:t>危废贮存点</w:t>
                  </w:r>
                  <w:r>
                    <w:rPr>
                      <w:rFonts w:hint="eastAsia" w:ascii="Times New Roman" w:hAnsi="Times New Roman" w:eastAsia="宋体" w:cs="Times New Roman"/>
                      <w:b w:val="0"/>
                      <w:bCs/>
                      <w:color w:val="auto"/>
                      <w:kern w:val="2"/>
                      <w:sz w:val="21"/>
                      <w:szCs w:val="21"/>
                      <w:highlight w:val="none"/>
                      <w:lang w:val="en-US" w:eastAsia="zh-CN" w:bidi="ar-SA"/>
                    </w:rPr>
                    <w:t>的</w:t>
                  </w:r>
                  <w:r>
                    <w:rPr>
                      <w:rFonts w:hint="default" w:ascii="Times New Roman" w:hAnsi="Times New Roman" w:eastAsia="宋体" w:cs="Times New Roman"/>
                      <w:b w:val="0"/>
                      <w:bCs/>
                      <w:color w:val="auto"/>
                      <w:kern w:val="2"/>
                      <w:sz w:val="21"/>
                      <w:szCs w:val="21"/>
                      <w:highlight w:val="none"/>
                      <w:lang w:val="en-US" w:eastAsia="zh-CN" w:bidi="ar-SA"/>
                    </w:rPr>
                    <w:t>贮存规模</w:t>
                  </w:r>
                  <w:r>
                    <w:rPr>
                      <w:rFonts w:hint="eastAsia" w:ascii="Times New Roman" w:hAnsi="Times New Roman" w:eastAsia="宋体" w:cs="Times New Roman"/>
                      <w:b w:val="0"/>
                      <w:bCs/>
                      <w:color w:val="auto"/>
                      <w:kern w:val="2"/>
                      <w:sz w:val="21"/>
                      <w:szCs w:val="21"/>
                      <w:highlight w:val="none"/>
                      <w:lang w:val="en-US" w:eastAsia="zh-CN" w:bidi="ar-SA"/>
                    </w:rPr>
                    <w:t>，能够满足建设单位生产需求</w:t>
                  </w:r>
                  <w:r>
                    <w:rPr>
                      <w:rFonts w:hint="default" w:ascii="Times New Roman" w:hAnsi="Times New Roman" w:eastAsia="宋体" w:cs="Times New Roman"/>
                      <w:b w:val="0"/>
                      <w:bCs/>
                      <w:color w:val="auto"/>
                      <w:kern w:val="2"/>
                      <w:sz w:val="21"/>
                      <w:szCs w:val="21"/>
                      <w:highlight w:val="none"/>
                      <w:lang w:val="en-US" w:eastAsia="zh-CN" w:bidi="ar-SA"/>
                    </w:rPr>
                    <w:t>。</w:t>
                  </w:r>
                </w:p>
              </w:tc>
              <w:tc>
                <w:tcPr>
                  <w:tcW w:w="1404" w:type="dxa"/>
                  <w:tcBorders>
                    <w:tl2br w:val="nil"/>
                    <w:tr2bl w:val="nil"/>
                  </w:tcBorders>
                  <w:noWrap/>
                  <w:vAlign w:val="center"/>
                </w:tcPr>
                <w:p w14:paraId="1A7C06EF">
                  <w:pPr>
                    <w:pStyle w:val="44"/>
                    <w:keepNext w:val="0"/>
                    <w:keepLines w:val="0"/>
                    <w:pageBreakBefore w:val="0"/>
                    <w:kinsoku/>
                    <w:wordWrap/>
                    <w:overflowPunct/>
                    <w:topLinePunct w:val="0"/>
                    <w:bidi w:val="0"/>
                    <w:adjustRightInd w:val="0"/>
                    <w:snapToGrid w:val="0"/>
                    <w:spacing w:line="240" w:lineRule="auto"/>
                    <w:ind w:right="0" w:firstLine="0" w:firstLineChars="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可行</w:t>
                  </w:r>
                </w:p>
              </w:tc>
            </w:tr>
          </w:tbl>
          <w:p w14:paraId="6CC5B753">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2.4、产品方案</w:t>
            </w:r>
          </w:p>
          <w:p w14:paraId="642387B8">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（1）产品方案</w:t>
            </w:r>
          </w:p>
          <w:p w14:paraId="7E790DD0">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项目具体产品方案见下表：</w:t>
            </w:r>
          </w:p>
          <w:p w14:paraId="06B7CD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3</w:t>
            </w:r>
            <w:r>
              <w:rPr>
                <w:rFonts w:hint="default" w:ascii="Times New Roman" w:hAnsi="Times New Roman" w:eastAsia="宋体" w:cs="Times New Roman"/>
                <w:color w:val="auto"/>
                <w:sz w:val="24"/>
                <w:szCs w:val="24"/>
                <w:highlight w:val="none"/>
                <w:vertAlign w:val="baseline"/>
                <w:lang w:val="en-US" w:eastAsia="zh-CN"/>
              </w:rPr>
              <w:t xml:space="preserve">  项目产品方案一览表</w:t>
            </w:r>
          </w:p>
          <w:tbl>
            <w:tblPr>
              <w:tblStyle w:val="23"/>
              <w:tblW w:w="48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57"/>
              <w:gridCol w:w="977"/>
              <w:gridCol w:w="981"/>
              <w:gridCol w:w="1421"/>
              <w:gridCol w:w="825"/>
              <w:gridCol w:w="1097"/>
              <w:gridCol w:w="1109"/>
              <w:gridCol w:w="1247"/>
            </w:tblGrid>
            <w:tr w14:paraId="5FDA6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396" w:type="pct"/>
                  <w:gridSpan w:val="4"/>
                  <w:tcBorders>
                    <w:tl2br w:val="nil"/>
                    <w:tr2bl w:val="nil"/>
                  </w:tcBorders>
                  <w:vAlign w:val="center"/>
                </w:tcPr>
                <w:p w14:paraId="0D3CED55">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现有工程产品</w:t>
                  </w:r>
                </w:p>
              </w:tc>
              <w:tc>
                <w:tcPr>
                  <w:tcW w:w="2603" w:type="pct"/>
                  <w:gridSpan w:val="4"/>
                  <w:tcBorders>
                    <w:tl2br w:val="nil"/>
                    <w:tr2bl w:val="nil"/>
                  </w:tcBorders>
                  <w:vAlign w:val="center"/>
                </w:tcPr>
                <w:p w14:paraId="42AA81E7">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扩建项目产品</w:t>
                  </w:r>
                </w:p>
              </w:tc>
            </w:tr>
            <w:tr w14:paraId="40106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4" w:type="pct"/>
                  <w:gridSpan w:val="2"/>
                  <w:tcBorders>
                    <w:tl2br w:val="nil"/>
                    <w:tr2bl w:val="nil"/>
                  </w:tcBorders>
                  <w:vAlign w:val="center"/>
                </w:tcPr>
                <w:p w14:paraId="5BBCCC2A">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产品名称</w:t>
                  </w:r>
                </w:p>
              </w:tc>
              <w:tc>
                <w:tcPr>
                  <w:tcW w:w="597" w:type="pct"/>
                  <w:tcBorders>
                    <w:tl2br w:val="nil"/>
                    <w:tr2bl w:val="nil"/>
                  </w:tcBorders>
                  <w:vAlign w:val="center"/>
                </w:tcPr>
                <w:p w14:paraId="64A2050E">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生产工艺</w:t>
                  </w:r>
                </w:p>
              </w:tc>
              <w:tc>
                <w:tcPr>
                  <w:tcW w:w="864" w:type="pct"/>
                  <w:tcBorders>
                    <w:tl2br w:val="nil"/>
                    <w:tr2bl w:val="nil"/>
                  </w:tcBorders>
                  <w:vAlign w:val="center"/>
                </w:tcPr>
                <w:p w14:paraId="6F67AEC9">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产能</w:t>
                  </w:r>
                </w:p>
              </w:tc>
              <w:tc>
                <w:tcPr>
                  <w:tcW w:w="1170" w:type="pct"/>
                  <w:gridSpan w:val="2"/>
                  <w:tcBorders>
                    <w:tl2br w:val="nil"/>
                    <w:tr2bl w:val="nil"/>
                  </w:tcBorders>
                  <w:vAlign w:val="center"/>
                </w:tcPr>
                <w:p w14:paraId="19C42133">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产品名称</w:t>
                  </w:r>
                </w:p>
              </w:tc>
              <w:tc>
                <w:tcPr>
                  <w:tcW w:w="675" w:type="pct"/>
                  <w:tcBorders>
                    <w:tl2br w:val="nil"/>
                    <w:tr2bl w:val="nil"/>
                  </w:tcBorders>
                  <w:vAlign w:val="center"/>
                </w:tcPr>
                <w:p w14:paraId="6527FEB0">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生产工艺</w:t>
                  </w:r>
                </w:p>
              </w:tc>
              <w:tc>
                <w:tcPr>
                  <w:tcW w:w="757" w:type="pct"/>
                  <w:tcBorders>
                    <w:tl2br w:val="nil"/>
                    <w:tr2bl w:val="nil"/>
                  </w:tcBorders>
                  <w:vAlign w:val="center"/>
                </w:tcPr>
                <w:p w14:paraId="12A1C59B">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产能</w:t>
                  </w:r>
                </w:p>
              </w:tc>
            </w:tr>
            <w:tr w14:paraId="3C643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restart"/>
                  <w:tcBorders>
                    <w:tl2br w:val="nil"/>
                    <w:tr2bl w:val="nil"/>
                  </w:tcBorders>
                  <w:vAlign w:val="center"/>
                </w:tcPr>
                <w:p w14:paraId="5E8B33F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汽车冲焊零部件</w:t>
                  </w:r>
                </w:p>
              </w:tc>
              <w:tc>
                <w:tcPr>
                  <w:tcW w:w="594" w:type="pct"/>
                  <w:tcBorders>
                    <w:tl2br w:val="nil"/>
                    <w:tr2bl w:val="nil"/>
                  </w:tcBorders>
                  <w:vAlign w:val="center"/>
                </w:tcPr>
                <w:p w14:paraId="50C1C74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货  架</w:t>
                  </w:r>
                </w:p>
              </w:tc>
              <w:tc>
                <w:tcPr>
                  <w:tcW w:w="597" w:type="pct"/>
                  <w:vMerge w:val="restart"/>
                  <w:tcBorders>
                    <w:tl2br w:val="nil"/>
                    <w:tr2bl w:val="nil"/>
                  </w:tcBorders>
                  <w:vAlign w:val="center"/>
                </w:tcPr>
                <w:p w14:paraId="71B93B5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冲压、焊接等</w:t>
                  </w:r>
                </w:p>
              </w:tc>
              <w:tc>
                <w:tcPr>
                  <w:tcW w:w="864" w:type="pct"/>
                  <w:tcBorders>
                    <w:tl2br w:val="nil"/>
                    <w:tr2bl w:val="nil"/>
                  </w:tcBorders>
                  <w:shd w:val="clear" w:color="auto" w:fill="auto"/>
                  <w:vAlign w:val="center"/>
                </w:tcPr>
                <w:p w14:paraId="4CD50C5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6万件/a</w:t>
                  </w:r>
                </w:p>
              </w:tc>
              <w:tc>
                <w:tcPr>
                  <w:tcW w:w="502" w:type="pct"/>
                  <w:vMerge w:val="restart"/>
                  <w:tcBorders>
                    <w:tl2br w:val="nil"/>
                    <w:tr2bl w:val="nil"/>
                  </w:tcBorders>
                  <w:vAlign w:val="center"/>
                </w:tcPr>
                <w:p w14:paraId="3951BEB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汽车冲焊零部件喷粉件</w:t>
                  </w:r>
                </w:p>
              </w:tc>
              <w:tc>
                <w:tcPr>
                  <w:tcW w:w="668" w:type="pct"/>
                  <w:tcBorders>
                    <w:tl2br w:val="nil"/>
                    <w:tr2bl w:val="nil"/>
                  </w:tcBorders>
                  <w:vAlign w:val="center"/>
                </w:tcPr>
                <w:p w14:paraId="6978BEA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货  架</w:t>
                  </w:r>
                </w:p>
              </w:tc>
              <w:tc>
                <w:tcPr>
                  <w:tcW w:w="675" w:type="pct"/>
                  <w:vMerge w:val="restart"/>
                  <w:tcBorders>
                    <w:tl2br w:val="nil"/>
                    <w:tr2bl w:val="nil"/>
                  </w:tcBorders>
                  <w:vAlign w:val="center"/>
                </w:tcPr>
                <w:p w14:paraId="1483238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stheme="minorBidi"/>
                      <w:color w:val="auto"/>
                      <w:kern w:val="2"/>
                      <w:sz w:val="21"/>
                      <w:szCs w:val="21"/>
                      <w:highlight w:val="none"/>
                      <w:vertAlign w:val="baseline"/>
                      <w:lang w:val="en-US" w:eastAsia="zh-CN" w:bidi="ar-SA"/>
                    </w:rPr>
                    <w:t>对现有工程部分产品</w:t>
                  </w:r>
                  <w:r>
                    <w:rPr>
                      <w:rFonts w:hint="eastAsia" w:ascii="Times New Roman" w:hAnsi="Times New Roman" w:eastAsia="宋体" w:cstheme="minorBidi"/>
                      <w:color w:val="FF0000"/>
                      <w:kern w:val="2"/>
                      <w:sz w:val="21"/>
                      <w:szCs w:val="21"/>
                      <w:highlight w:val="none"/>
                      <w:vertAlign w:val="baseline"/>
                      <w:lang w:val="en-US" w:eastAsia="zh-CN" w:bidi="ar-SA"/>
                    </w:rPr>
                    <w:t>进行抛丸、喷粉、固化加工</w:t>
                  </w:r>
                </w:p>
              </w:tc>
              <w:tc>
                <w:tcPr>
                  <w:tcW w:w="757" w:type="pct"/>
                  <w:tcBorders>
                    <w:tl2br w:val="nil"/>
                    <w:tr2bl w:val="nil"/>
                  </w:tcBorders>
                  <w:vAlign w:val="center"/>
                </w:tcPr>
                <w:p w14:paraId="6265F00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olor w:val="auto"/>
                      <w:sz w:val="21"/>
                      <w:szCs w:val="21"/>
                      <w:highlight w:val="none"/>
                      <w:vertAlign w:val="baseline"/>
                      <w:lang w:val="en-US" w:eastAsia="zh-CN"/>
                    </w:rPr>
                    <w:t>2万件/a</w:t>
                  </w:r>
                </w:p>
              </w:tc>
            </w:tr>
            <w:tr w14:paraId="0F212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continue"/>
                  <w:tcBorders>
                    <w:tl2br w:val="nil"/>
                    <w:tr2bl w:val="nil"/>
                  </w:tcBorders>
                  <w:vAlign w:val="center"/>
                </w:tcPr>
                <w:p w14:paraId="62E215F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594" w:type="pct"/>
                  <w:tcBorders>
                    <w:tl2br w:val="nil"/>
                    <w:tr2bl w:val="nil"/>
                  </w:tcBorders>
                  <w:vAlign w:val="center"/>
                </w:tcPr>
                <w:p w14:paraId="5D04A1D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保险杠</w:t>
                  </w:r>
                </w:p>
              </w:tc>
              <w:tc>
                <w:tcPr>
                  <w:tcW w:w="597" w:type="pct"/>
                  <w:vMerge w:val="continue"/>
                  <w:tcBorders>
                    <w:tl2br w:val="nil"/>
                    <w:tr2bl w:val="nil"/>
                  </w:tcBorders>
                  <w:vAlign w:val="center"/>
                </w:tcPr>
                <w:p w14:paraId="086FDF43">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864" w:type="pct"/>
                  <w:tcBorders>
                    <w:tl2br w:val="nil"/>
                    <w:tr2bl w:val="nil"/>
                  </w:tcBorders>
                  <w:shd w:val="clear" w:color="auto" w:fill="auto"/>
                  <w:vAlign w:val="center"/>
                </w:tcPr>
                <w:p w14:paraId="39CF833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2.4</w:t>
                  </w:r>
                  <w:r>
                    <w:rPr>
                      <w:rFonts w:hint="eastAsia" w:ascii="Times New Roman" w:hAnsi="Times New Roman" w:eastAsia="宋体"/>
                      <w:color w:val="auto"/>
                      <w:sz w:val="21"/>
                      <w:szCs w:val="21"/>
                      <w:highlight w:val="none"/>
                      <w:vertAlign w:val="baseline"/>
                      <w:lang w:val="en-US" w:eastAsia="zh-CN"/>
                    </w:rPr>
                    <w:t>万件/a</w:t>
                  </w:r>
                </w:p>
              </w:tc>
              <w:tc>
                <w:tcPr>
                  <w:tcW w:w="502" w:type="pct"/>
                  <w:vMerge w:val="continue"/>
                  <w:tcBorders>
                    <w:tl2br w:val="nil"/>
                    <w:tr2bl w:val="nil"/>
                  </w:tcBorders>
                  <w:vAlign w:val="center"/>
                </w:tcPr>
                <w:p w14:paraId="2ADE956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68" w:type="pct"/>
                  <w:tcBorders>
                    <w:tl2br w:val="nil"/>
                    <w:tr2bl w:val="nil"/>
                  </w:tcBorders>
                  <w:shd w:val="clear" w:color="auto" w:fill="auto"/>
                  <w:vAlign w:val="center"/>
                </w:tcPr>
                <w:p w14:paraId="6CAA934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保险杠</w:t>
                  </w:r>
                </w:p>
              </w:tc>
              <w:tc>
                <w:tcPr>
                  <w:tcW w:w="675" w:type="pct"/>
                  <w:vMerge w:val="continue"/>
                  <w:tcBorders>
                    <w:tl2br w:val="nil"/>
                    <w:tr2bl w:val="nil"/>
                  </w:tcBorders>
                  <w:shd w:val="clear" w:color="auto" w:fill="auto"/>
                  <w:vAlign w:val="center"/>
                </w:tcPr>
                <w:p w14:paraId="5ECB2DE7">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7" w:type="pct"/>
                  <w:tcBorders>
                    <w:tl2br w:val="nil"/>
                    <w:tr2bl w:val="nil"/>
                  </w:tcBorders>
                  <w:vAlign w:val="center"/>
                </w:tcPr>
                <w:p w14:paraId="36EB7505">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r>
            <w:tr w14:paraId="40B1E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continue"/>
                  <w:tcBorders>
                    <w:tl2br w:val="nil"/>
                    <w:tr2bl w:val="nil"/>
                  </w:tcBorders>
                  <w:vAlign w:val="center"/>
                </w:tcPr>
                <w:p w14:paraId="50BAE17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594" w:type="pct"/>
                  <w:tcBorders>
                    <w:tl2br w:val="nil"/>
                    <w:tr2bl w:val="nil"/>
                  </w:tcBorders>
                  <w:vAlign w:val="center"/>
                </w:tcPr>
                <w:p w14:paraId="477A011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摇  臂</w:t>
                  </w:r>
                </w:p>
              </w:tc>
              <w:tc>
                <w:tcPr>
                  <w:tcW w:w="597" w:type="pct"/>
                  <w:vMerge w:val="continue"/>
                  <w:tcBorders>
                    <w:tl2br w:val="nil"/>
                    <w:tr2bl w:val="nil"/>
                  </w:tcBorders>
                  <w:vAlign w:val="center"/>
                </w:tcPr>
                <w:p w14:paraId="188EB743">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864" w:type="pct"/>
                  <w:tcBorders>
                    <w:tl2br w:val="nil"/>
                    <w:tr2bl w:val="nil"/>
                  </w:tcBorders>
                  <w:shd w:val="clear" w:color="auto" w:fill="auto"/>
                  <w:vAlign w:val="center"/>
                </w:tcPr>
                <w:p w14:paraId="5A7A006C">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3.6</w:t>
                  </w:r>
                  <w:r>
                    <w:rPr>
                      <w:rFonts w:hint="eastAsia" w:ascii="Times New Roman" w:hAnsi="Times New Roman" w:eastAsia="宋体"/>
                      <w:color w:val="auto"/>
                      <w:sz w:val="21"/>
                      <w:szCs w:val="21"/>
                      <w:highlight w:val="none"/>
                      <w:vertAlign w:val="baseline"/>
                      <w:lang w:val="en-US" w:eastAsia="zh-CN"/>
                    </w:rPr>
                    <w:t>万件/a</w:t>
                  </w:r>
                </w:p>
              </w:tc>
              <w:tc>
                <w:tcPr>
                  <w:tcW w:w="502" w:type="pct"/>
                  <w:vMerge w:val="continue"/>
                  <w:tcBorders>
                    <w:tl2br w:val="nil"/>
                    <w:tr2bl w:val="nil"/>
                  </w:tcBorders>
                  <w:vAlign w:val="center"/>
                </w:tcPr>
                <w:p w14:paraId="21B41EAF">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68" w:type="pct"/>
                  <w:tcBorders>
                    <w:tl2br w:val="nil"/>
                    <w:tr2bl w:val="nil"/>
                  </w:tcBorders>
                  <w:shd w:val="clear" w:color="auto" w:fill="auto"/>
                  <w:vAlign w:val="center"/>
                </w:tcPr>
                <w:p w14:paraId="65EF832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摇  臂</w:t>
                  </w:r>
                </w:p>
              </w:tc>
              <w:tc>
                <w:tcPr>
                  <w:tcW w:w="675" w:type="pct"/>
                  <w:vMerge w:val="continue"/>
                  <w:tcBorders>
                    <w:tl2br w:val="nil"/>
                    <w:tr2bl w:val="nil"/>
                  </w:tcBorders>
                  <w:shd w:val="clear" w:color="auto" w:fill="auto"/>
                  <w:vAlign w:val="center"/>
                </w:tcPr>
                <w:p w14:paraId="09A501A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7" w:type="pct"/>
                  <w:tcBorders>
                    <w:tl2br w:val="nil"/>
                    <w:tr2bl w:val="nil"/>
                  </w:tcBorders>
                  <w:vAlign w:val="center"/>
                </w:tcPr>
                <w:p w14:paraId="4DD9C16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r>
            <w:tr w14:paraId="45E0A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continue"/>
                  <w:tcBorders>
                    <w:tl2br w:val="nil"/>
                    <w:tr2bl w:val="nil"/>
                  </w:tcBorders>
                  <w:vAlign w:val="center"/>
                </w:tcPr>
                <w:p w14:paraId="720D7747">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594" w:type="pct"/>
                  <w:tcBorders>
                    <w:tl2br w:val="nil"/>
                    <w:tr2bl w:val="nil"/>
                  </w:tcBorders>
                  <w:vAlign w:val="center"/>
                </w:tcPr>
                <w:p w14:paraId="04AE393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搁  脚</w:t>
                  </w:r>
                </w:p>
              </w:tc>
              <w:tc>
                <w:tcPr>
                  <w:tcW w:w="597" w:type="pct"/>
                  <w:vMerge w:val="continue"/>
                  <w:tcBorders>
                    <w:tl2br w:val="nil"/>
                    <w:tr2bl w:val="nil"/>
                  </w:tcBorders>
                  <w:vAlign w:val="center"/>
                </w:tcPr>
                <w:p w14:paraId="1BB1B85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864" w:type="pct"/>
                  <w:tcBorders>
                    <w:tl2br w:val="nil"/>
                    <w:tr2bl w:val="nil"/>
                  </w:tcBorders>
                  <w:shd w:val="clear" w:color="auto" w:fill="auto"/>
                  <w:vAlign w:val="center"/>
                </w:tcPr>
                <w:p w14:paraId="5D7F321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6</w:t>
                  </w:r>
                  <w:r>
                    <w:rPr>
                      <w:rFonts w:hint="eastAsia" w:ascii="Times New Roman" w:hAnsi="Times New Roman" w:eastAsia="宋体"/>
                      <w:color w:val="auto"/>
                      <w:sz w:val="21"/>
                      <w:szCs w:val="21"/>
                      <w:highlight w:val="none"/>
                      <w:vertAlign w:val="baseline"/>
                      <w:lang w:val="en-US" w:eastAsia="zh-CN"/>
                    </w:rPr>
                    <w:t>万件/a</w:t>
                  </w:r>
                </w:p>
              </w:tc>
              <w:tc>
                <w:tcPr>
                  <w:tcW w:w="502" w:type="pct"/>
                  <w:vMerge w:val="continue"/>
                  <w:tcBorders>
                    <w:tl2br w:val="nil"/>
                    <w:tr2bl w:val="nil"/>
                  </w:tcBorders>
                  <w:vAlign w:val="center"/>
                </w:tcPr>
                <w:p w14:paraId="5F5861A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68" w:type="pct"/>
                  <w:tcBorders>
                    <w:tl2br w:val="nil"/>
                    <w:tr2bl w:val="nil"/>
                  </w:tcBorders>
                  <w:shd w:val="clear" w:color="auto" w:fill="auto"/>
                  <w:vAlign w:val="center"/>
                </w:tcPr>
                <w:p w14:paraId="4A3DCD55">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搁  脚</w:t>
                  </w:r>
                </w:p>
              </w:tc>
              <w:tc>
                <w:tcPr>
                  <w:tcW w:w="675" w:type="pct"/>
                  <w:vMerge w:val="continue"/>
                  <w:tcBorders>
                    <w:tl2br w:val="nil"/>
                    <w:tr2bl w:val="nil"/>
                  </w:tcBorders>
                  <w:shd w:val="clear" w:color="auto" w:fill="auto"/>
                  <w:vAlign w:val="center"/>
                </w:tcPr>
                <w:p w14:paraId="693FD84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7" w:type="pct"/>
                  <w:tcBorders>
                    <w:tl2br w:val="nil"/>
                    <w:tr2bl w:val="nil"/>
                  </w:tcBorders>
                  <w:vAlign w:val="center"/>
                </w:tcPr>
                <w:p w14:paraId="152575E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3</w:t>
                  </w:r>
                  <w:r>
                    <w:rPr>
                      <w:rFonts w:hint="eastAsia" w:ascii="Times New Roman" w:hAnsi="Times New Roman" w:eastAsia="宋体"/>
                      <w:color w:val="auto"/>
                      <w:sz w:val="21"/>
                      <w:szCs w:val="21"/>
                      <w:highlight w:val="none"/>
                      <w:vertAlign w:val="baseline"/>
                      <w:lang w:val="en-US" w:eastAsia="zh-CN"/>
                    </w:rPr>
                    <w:t>万件/a</w:t>
                  </w:r>
                </w:p>
              </w:tc>
            </w:tr>
            <w:tr w14:paraId="46324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continue"/>
                  <w:tcBorders>
                    <w:tl2br w:val="nil"/>
                    <w:tr2bl w:val="nil"/>
                  </w:tcBorders>
                  <w:vAlign w:val="center"/>
                </w:tcPr>
                <w:p w14:paraId="3DD400B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594" w:type="pct"/>
                  <w:tcBorders>
                    <w:tl2br w:val="nil"/>
                    <w:tr2bl w:val="nil"/>
                  </w:tcBorders>
                  <w:vAlign w:val="center"/>
                </w:tcPr>
                <w:p w14:paraId="18A0F42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扶  手</w:t>
                  </w:r>
                </w:p>
              </w:tc>
              <w:tc>
                <w:tcPr>
                  <w:tcW w:w="597" w:type="pct"/>
                  <w:vMerge w:val="continue"/>
                  <w:tcBorders>
                    <w:tl2br w:val="nil"/>
                    <w:tr2bl w:val="nil"/>
                  </w:tcBorders>
                  <w:vAlign w:val="center"/>
                </w:tcPr>
                <w:p w14:paraId="7C03BB9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864" w:type="pct"/>
                  <w:tcBorders>
                    <w:tl2br w:val="nil"/>
                    <w:tr2bl w:val="nil"/>
                  </w:tcBorders>
                  <w:shd w:val="clear" w:color="auto" w:fill="auto"/>
                  <w:vAlign w:val="center"/>
                </w:tcPr>
                <w:p w14:paraId="3C387D2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c>
                <w:tcPr>
                  <w:tcW w:w="502" w:type="pct"/>
                  <w:vMerge w:val="continue"/>
                  <w:tcBorders>
                    <w:tl2br w:val="nil"/>
                    <w:tr2bl w:val="nil"/>
                  </w:tcBorders>
                  <w:vAlign w:val="center"/>
                </w:tcPr>
                <w:p w14:paraId="71926A7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68" w:type="pct"/>
                  <w:tcBorders>
                    <w:tl2br w:val="nil"/>
                    <w:tr2bl w:val="nil"/>
                  </w:tcBorders>
                  <w:shd w:val="clear" w:color="auto" w:fill="auto"/>
                  <w:vAlign w:val="center"/>
                </w:tcPr>
                <w:p w14:paraId="5C713C2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扶  手</w:t>
                  </w:r>
                </w:p>
              </w:tc>
              <w:tc>
                <w:tcPr>
                  <w:tcW w:w="675" w:type="pct"/>
                  <w:vMerge w:val="continue"/>
                  <w:tcBorders>
                    <w:tl2br w:val="nil"/>
                    <w:tr2bl w:val="nil"/>
                  </w:tcBorders>
                  <w:shd w:val="clear" w:color="auto" w:fill="auto"/>
                  <w:vAlign w:val="center"/>
                </w:tcPr>
                <w:p w14:paraId="4782FB8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7" w:type="pct"/>
                  <w:tcBorders>
                    <w:tl2br w:val="nil"/>
                    <w:tr2bl w:val="nil"/>
                  </w:tcBorders>
                  <w:vAlign w:val="center"/>
                </w:tcPr>
                <w:p w14:paraId="53FC3D4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r>
            <w:tr w14:paraId="4581A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9" w:type="pct"/>
                  <w:vMerge w:val="continue"/>
                  <w:tcBorders>
                    <w:tl2br w:val="nil"/>
                    <w:tr2bl w:val="nil"/>
                  </w:tcBorders>
                  <w:vAlign w:val="center"/>
                </w:tcPr>
                <w:p w14:paraId="1010B39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594" w:type="pct"/>
                  <w:tcBorders>
                    <w:tl2br w:val="nil"/>
                    <w:tr2bl w:val="nil"/>
                  </w:tcBorders>
                  <w:vAlign w:val="center"/>
                </w:tcPr>
                <w:p w14:paraId="46A9D39C">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托  架</w:t>
                  </w:r>
                </w:p>
              </w:tc>
              <w:tc>
                <w:tcPr>
                  <w:tcW w:w="597" w:type="pct"/>
                  <w:vMerge w:val="continue"/>
                  <w:tcBorders>
                    <w:tl2br w:val="nil"/>
                    <w:tr2bl w:val="nil"/>
                  </w:tcBorders>
                  <w:vAlign w:val="center"/>
                </w:tcPr>
                <w:p w14:paraId="59BD1AF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864" w:type="pct"/>
                  <w:tcBorders>
                    <w:tl2br w:val="nil"/>
                    <w:tr2bl w:val="nil"/>
                  </w:tcBorders>
                  <w:shd w:val="clear" w:color="auto" w:fill="auto"/>
                  <w:vAlign w:val="center"/>
                </w:tcPr>
                <w:p w14:paraId="7AFB54C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6</w:t>
                  </w:r>
                  <w:r>
                    <w:rPr>
                      <w:rFonts w:hint="eastAsia" w:ascii="Times New Roman" w:hAnsi="Times New Roman" w:eastAsia="宋体"/>
                      <w:color w:val="auto"/>
                      <w:sz w:val="21"/>
                      <w:szCs w:val="21"/>
                      <w:highlight w:val="none"/>
                      <w:vertAlign w:val="baseline"/>
                      <w:lang w:val="en-US" w:eastAsia="zh-CN"/>
                    </w:rPr>
                    <w:t>万件/a</w:t>
                  </w:r>
                </w:p>
              </w:tc>
              <w:tc>
                <w:tcPr>
                  <w:tcW w:w="502" w:type="pct"/>
                  <w:vMerge w:val="continue"/>
                  <w:tcBorders>
                    <w:tl2br w:val="nil"/>
                    <w:tr2bl w:val="nil"/>
                  </w:tcBorders>
                  <w:vAlign w:val="center"/>
                </w:tcPr>
                <w:p w14:paraId="22A594F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68" w:type="pct"/>
                  <w:tcBorders>
                    <w:tl2br w:val="nil"/>
                    <w:tr2bl w:val="nil"/>
                  </w:tcBorders>
                  <w:shd w:val="clear" w:color="auto" w:fill="auto"/>
                  <w:vAlign w:val="center"/>
                </w:tcPr>
                <w:p w14:paraId="72BD223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托  架</w:t>
                  </w:r>
                </w:p>
              </w:tc>
              <w:tc>
                <w:tcPr>
                  <w:tcW w:w="675" w:type="pct"/>
                  <w:vMerge w:val="continue"/>
                  <w:tcBorders>
                    <w:tl2br w:val="nil"/>
                    <w:tr2bl w:val="nil"/>
                  </w:tcBorders>
                  <w:shd w:val="clear" w:color="auto" w:fill="auto"/>
                  <w:vAlign w:val="center"/>
                </w:tcPr>
                <w:p w14:paraId="611A898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7" w:type="pct"/>
                  <w:tcBorders>
                    <w:tl2br w:val="nil"/>
                    <w:tr2bl w:val="nil"/>
                  </w:tcBorders>
                  <w:vAlign w:val="center"/>
                </w:tcPr>
                <w:p w14:paraId="12059AB7">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2</w:t>
                  </w:r>
                  <w:r>
                    <w:rPr>
                      <w:rFonts w:hint="eastAsia" w:ascii="Times New Roman" w:hAnsi="Times New Roman" w:eastAsia="宋体"/>
                      <w:color w:val="auto"/>
                      <w:sz w:val="21"/>
                      <w:szCs w:val="21"/>
                      <w:highlight w:val="none"/>
                      <w:vertAlign w:val="baseline"/>
                      <w:lang w:val="en-US" w:eastAsia="zh-CN"/>
                    </w:rPr>
                    <w:t>万件/a</w:t>
                  </w:r>
                </w:p>
              </w:tc>
            </w:tr>
            <w:tr w14:paraId="12D21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31" w:type="pct"/>
                  <w:gridSpan w:val="3"/>
                  <w:tcBorders>
                    <w:tl2br w:val="nil"/>
                    <w:tr2bl w:val="nil"/>
                  </w:tcBorders>
                  <w:vAlign w:val="center"/>
                </w:tcPr>
                <w:p w14:paraId="11C4E445">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产品合计</w:t>
                  </w:r>
                </w:p>
              </w:tc>
              <w:tc>
                <w:tcPr>
                  <w:tcW w:w="864" w:type="pct"/>
                  <w:tcBorders>
                    <w:tl2br w:val="nil"/>
                    <w:tr2bl w:val="nil"/>
                  </w:tcBorders>
                  <w:vAlign w:val="center"/>
                </w:tcPr>
                <w:p w14:paraId="2993C75F">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25万件/a</w:t>
                  </w:r>
                </w:p>
              </w:tc>
              <w:tc>
                <w:tcPr>
                  <w:tcW w:w="1170" w:type="pct"/>
                  <w:gridSpan w:val="2"/>
                  <w:tcBorders>
                    <w:tl2br w:val="nil"/>
                    <w:tr2bl w:val="nil"/>
                  </w:tcBorders>
                  <w:vAlign w:val="center"/>
                </w:tcPr>
                <w:p w14:paraId="6759D09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w:t>
                  </w:r>
                </w:p>
              </w:tc>
              <w:tc>
                <w:tcPr>
                  <w:tcW w:w="675" w:type="pct"/>
                  <w:tcBorders>
                    <w:tl2br w:val="nil"/>
                    <w:tr2bl w:val="nil"/>
                  </w:tcBorders>
                  <w:vAlign w:val="center"/>
                </w:tcPr>
                <w:p w14:paraId="74660C8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w:t>
                  </w:r>
                </w:p>
              </w:tc>
              <w:tc>
                <w:tcPr>
                  <w:tcW w:w="757" w:type="pct"/>
                  <w:tcBorders>
                    <w:tl2br w:val="nil"/>
                    <w:tr2bl w:val="nil"/>
                  </w:tcBorders>
                  <w:vAlign w:val="center"/>
                </w:tcPr>
                <w:p w14:paraId="15E27E7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10</w:t>
                  </w:r>
                  <w:r>
                    <w:rPr>
                      <w:rFonts w:hint="eastAsia" w:ascii="Times New Roman" w:hAnsi="Times New Roman" w:eastAsia="宋体"/>
                      <w:color w:val="auto"/>
                      <w:sz w:val="21"/>
                      <w:szCs w:val="21"/>
                      <w:highlight w:val="none"/>
                      <w:vertAlign w:val="baseline"/>
                      <w:lang w:val="en-US" w:eastAsia="zh-CN"/>
                    </w:rPr>
                    <w:t>万件/a</w:t>
                  </w:r>
                </w:p>
              </w:tc>
            </w:tr>
            <w:tr w14:paraId="103D5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8"/>
                  <w:tcBorders>
                    <w:tl2br w:val="nil"/>
                    <w:tr2bl w:val="nil"/>
                  </w:tcBorders>
                  <w:vAlign w:val="center"/>
                </w:tcPr>
                <w:p w14:paraId="083019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注</w:t>
                  </w:r>
                  <w:r>
                    <w:rPr>
                      <w:rFonts w:hint="eastAsia" w:ascii="Times New Roman" w:hAnsi="Times New Roman" w:eastAsia="宋体" w:cs="宋体"/>
                      <w:color w:val="auto"/>
                      <w:kern w:val="0"/>
                      <w:sz w:val="21"/>
                      <w:szCs w:val="21"/>
                      <w:highlight w:val="none"/>
                      <w:lang w:val="en-US" w:eastAsia="zh-CN" w:bidi="ar"/>
                    </w:rPr>
                    <w:t>：1、扩建项目仅对现有工程生产的汽车冲焊件进行抛丸、喷粉、固化加工。</w:t>
                  </w:r>
                </w:p>
                <w:p w14:paraId="15770D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2、扩建完成后，全厂汽车冲焊零部件的生产规模不变，即25万件/a（扩建项目对其中10万件进行抛丸、喷粉、固化加工。）</w:t>
                  </w:r>
                </w:p>
              </w:tc>
            </w:tr>
          </w:tbl>
          <w:p w14:paraId="792AC6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（2）喷粉面积核算</w:t>
            </w:r>
          </w:p>
          <w:p w14:paraId="7CCEE6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FF0000"/>
                <w:sz w:val="24"/>
                <w:szCs w:val="24"/>
                <w:highlight w:val="none"/>
                <w:vertAlign w:val="baseline"/>
                <w:lang w:val="en-US" w:eastAsia="zh-CN"/>
              </w:rPr>
              <w:t>根据建设单位提供的产品喷涂面积及产品产量进行核算，</w:t>
            </w:r>
            <w:r>
              <w:rPr>
                <w:rFonts w:hint="eastAsia" w:ascii="Times New Roman" w:hAnsi="Times New Roman" w:eastAsia="宋体"/>
                <w:color w:val="auto"/>
                <w:sz w:val="24"/>
                <w:szCs w:val="24"/>
                <w:highlight w:val="none"/>
                <w:vertAlign w:val="baseline"/>
                <w:lang w:val="en-US" w:eastAsia="zh-CN"/>
              </w:rPr>
              <w:t>本项目喷粉面积核算情况详见表2-4。</w:t>
            </w:r>
          </w:p>
          <w:p w14:paraId="28ED8C7B">
            <w:pPr>
              <w:pStyle w:val="27"/>
              <w:keepNext w:val="0"/>
              <w:keepLines w:val="0"/>
              <w:pageBreakBefore w:val="0"/>
              <w:widowControl w:val="0"/>
              <w:kinsoku/>
              <w:wordWrap/>
              <w:overflowPunct/>
              <w:topLinePunct w:val="0"/>
              <w:bidi w:val="0"/>
              <w:snapToGrid/>
              <w:spacing w:line="360" w:lineRule="auto"/>
              <w:jc w:val="center"/>
              <w:textAlignment w:val="auto"/>
              <w:rPr>
                <w:rFonts w:hint="default"/>
                <w:lang w:val="en-US" w:eastAsia="zh-CN"/>
              </w:rPr>
            </w:pPr>
            <w:r>
              <w:rPr>
                <w:rFonts w:hint="eastAsia" w:ascii="Times New Roman" w:hAnsi="Times New Roman" w:eastAsia="宋体"/>
                <w:color w:val="auto"/>
                <w:sz w:val="24"/>
                <w:szCs w:val="24"/>
                <w:highlight w:val="none"/>
                <w:vertAlign w:val="baseline"/>
                <w:lang w:val="en-US" w:eastAsia="zh-CN"/>
              </w:rPr>
              <w:t>表2-4  项目产品喷粉面积核算一览表</w:t>
            </w:r>
          </w:p>
          <w:tbl>
            <w:tblPr>
              <w:tblStyle w:val="23"/>
              <w:tblW w:w="49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0"/>
              <w:gridCol w:w="1029"/>
              <w:gridCol w:w="1951"/>
              <w:gridCol w:w="2264"/>
              <w:gridCol w:w="2255"/>
            </w:tblGrid>
            <w:tr w14:paraId="7AD7A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83" w:type="pct"/>
                  <w:gridSpan w:val="2"/>
                  <w:tcBorders>
                    <w:tl2br w:val="nil"/>
                    <w:tr2bl w:val="nil"/>
                  </w:tcBorders>
                  <w:vAlign w:val="center"/>
                </w:tcPr>
                <w:p w14:paraId="413EB469">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产品名称</w:t>
                  </w:r>
                </w:p>
              </w:tc>
              <w:tc>
                <w:tcPr>
                  <w:tcW w:w="1181" w:type="pct"/>
                  <w:tcBorders>
                    <w:tl2br w:val="nil"/>
                    <w:tr2bl w:val="nil"/>
                  </w:tcBorders>
                  <w:vAlign w:val="center"/>
                </w:tcPr>
                <w:p w14:paraId="1EF6A08D">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加工产能</w:t>
                  </w:r>
                </w:p>
              </w:tc>
              <w:tc>
                <w:tcPr>
                  <w:tcW w:w="1370" w:type="pct"/>
                  <w:tcBorders>
                    <w:tl2br w:val="nil"/>
                    <w:tr2bl w:val="nil"/>
                  </w:tcBorders>
                  <w:vAlign w:val="center"/>
                </w:tcPr>
                <w:p w14:paraId="120DA1F7">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平均单件面积（m</w:t>
                  </w:r>
                  <w:r>
                    <w:rPr>
                      <w:rFonts w:hint="eastAsia" w:ascii="Times New Roman" w:hAnsi="Times New Roman" w:eastAsia="宋体" w:cs="Times New Roman"/>
                      <w:b/>
                      <w:bCs/>
                      <w:color w:val="auto"/>
                      <w:sz w:val="21"/>
                      <w:szCs w:val="21"/>
                      <w:highlight w:val="none"/>
                      <w:vertAlign w:val="superscript"/>
                      <w:lang w:val="en-US" w:eastAsia="zh-CN"/>
                    </w:rPr>
                    <w:t>2</w:t>
                  </w:r>
                  <w:r>
                    <w:rPr>
                      <w:rFonts w:hint="eastAsia" w:ascii="Times New Roman" w:hAnsi="Times New Roman" w:eastAsia="宋体" w:cs="Times New Roman"/>
                      <w:b/>
                      <w:bCs/>
                      <w:color w:val="auto"/>
                      <w:sz w:val="21"/>
                      <w:szCs w:val="21"/>
                      <w:highlight w:val="none"/>
                      <w:lang w:val="en-US" w:eastAsia="zh-CN"/>
                    </w:rPr>
                    <w:t>）</w:t>
                  </w:r>
                </w:p>
              </w:tc>
              <w:tc>
                <w:tcPr>
                  <w:tcW w:w="1365" w:type="pct"/>
                  <w:tcBorders>
                    <w:tl2br w:val="nil"/>
                    <w:tr2bl w:val="nil"/>
                  </w:tcBorders>
                  <w:vAlign w:val="center"/>
                </w:tcPr>
                <w:p w14:paraId="16AB167C">
                  <w:pPr>
                    <w:keepNext w:val="0"/>
                    <w:keepLines w:val="0"/>
                    <w:pageBreakBefore w:val="0"/>
                    <w:widowControl w:val="0"/>
                    <w:kinsoku/>
                    <w:wordWrap/>
                    <w:overflowPunct/>
                    <w:topLinePunct w:val="0"/>
                    <w:autoSpaceDE/>
                    <w:autoSpaceDN/>
                    <w:bidi w:val="0"/>
                    <w:adjustRightInd/>
                    <w:snapToGrid/>
                    <w:spacing w:before="70" w:beforeLines="22" w:after="70" w:afterLines="22"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产品喷粉面积（m</w:t>
                  </w:r>
                  <w:r>
                    <w:rPr>
                      <w:rFonts w:hint="eastAsia" w:ascii="Times New Roman" w:hAnsi="Times New Roman" w:eastAsia="宋体" w:cs="Times New Roman"/>
                      <w:b/>
                      <w:bCs/>
                      <w:color w:val="auto"/>
                      <w:sz w:val="21"/>
                      <w:szCs w:val="21"/>
                      <w:highlight w:val="none"/>
                      <w:vertAlign w:val="superscript"/>
                      <w:lang w:val="en-US" w:eastAsia="zh-CN"/>
                    </w:rPr>
                    <w:t>2</w:t>
                  </w:r>
                  <w:r>
                    <w:rPr>
                      <w:rFonts w:hint="eastAsia" w:ascii="Times New Roman" w:hAnsi="Times New Roman" w:eastAsia="宋体" w:cs="Times New Roman"/>
                      <w:b/>
                      <w:bCs/>
                      <w:color w:val="auto"/>
                      <w:sz w:val="21"/>
                      <w:szCs w:val="21"/>
                      <w:highlight w:val="none"/>
                      <w:lang w:val="en-US" w:eastAsia="zh-CN"/>
                    </w:rPr>
                    <w:t>）</w:t>
                  </w:r>
                </w:p>
              </w:tc>
            </w:tr>
            <w:tr w14:paraId="0F7CA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restart"/>
                  <w:tcBorders>
                    <w:tl2br w:val="nil"/>
                    <w:tr2bl w:val="nil"/>
                  </w:tcBorders>
                  <w:vAlign w:val="center"/>
                </w:tcPr>
                <w:p w14:paraId="3B27A6E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汽车冲焊零部件喷粉件</w:t>
                  </w:r>
                </w:p>
              </w:tc>
              <w:tc>
                <w:tcPr>
                  <w:tcW w:w="622" w:type="pct"/>
                  <w:tcBorders>
                    <w:tl2br w:val="nil"/>
                    <w:tr2bl w:val="nil"/>
                  </w:tcBorders>
                  <w:vAlign w:val="center"/>
                </w:tcPr>
                <w:p w14:paraId="3DB9824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货  架</w:t>
                  </w:r>
                </w:p>
              </w:tc>
              <w:tc>
                <w:tcPr>
                  <w:tcW w:w="1181" w:type="pct"/>
                  <w:tcBorders>
                    <w:tl2br w:val="nil"/>
                    <w:tr2bl w:val="nil"/>
                  </w:tcBorders>
                  <w:vAlign w:val="center"/>
                </w:tcPr>
                <w:p w14:paraId="3093A9F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olor w:val="auto"/>
                      <w:sz w:val="21"/>
                      <w:szCs w:val="21"/>
                      <w:highlight w:val="none"/>
                      <w:vertAlign w:val="baseline"/>
                      <w:lang w:val="en-US" w:eastAsia="zh-CN"/>
                    </w:rPr>
                    <w:t>2万件/a</w:t>
                  </w:r>
                </w:p>
              </w:tc>
              <w:tc>
                <w:tcPr>
                  <w:tcW w:w="1370" w:type="pct"/>
                  <w:tcBorders>
                    <w:tl2br w:val="nil"/>
                    <w:tr2bl w:val="nil"/>
                  </w:tcBorders>
                  <w:vAlign w:val="center"/>
                </w:tcPr>
                <w:p w14:paraId="7D9E47C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0.35</w:t>
                  </w:r>
                </w:p>
              </w:tc>
              <w:tc>
                <w:tcPr>
                  <w:tcW w:w="1365" w:type="pct"/>
                  <w:tcBorders>
                    <w:tl2br w:val="nil"/>
                    <w:tr2bl w:val="nil"/>
                  </w:tcBorders>
                  <w:vAlign w:val="center"/>
                </w:tcPr>
                <w:p w14:paraId="1D96BBD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7000</w:t>
                  </w:r>
                </w:p>
              </w:tc>
            </w:tr>
            <w:tr w14:paraId="54111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336B59C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22" w:type="pct"/>
                  <w:tcBorders>
                    <w:tl2br w:val="nil"/>
                    <w:tr2bl w:val="nil"/>
                  </w:tcBorders>
                  <w:shd w:val="clear" w:color="auto" w:fill="auto"/>
                  <w:vAlign w:val="center"/>
                </w:tcPr>
                <w:p w14:paraId="6827B46C">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保险杠</w:t>
                  </w:r>
                </w:p>
              </w:tc>
              <w:tc>
                <w:tcPr>
                  <w:tcW w:w="1181" w:type="pct"/>
                  <w:tcBorders>
                    <w:tl2br w:val="nil"/>
                    <w:tr2bl w:val="nil"/>
                  </w:tcBorders>
                  <w:vAlign w:val="center"/>
                </w:tcPr>
                <w:p w14:paraId="11420365">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c>
                <w:tcPr>
                  <w:tcW w:w="1370" w:type="pct"/>
                  <w:tcBorders>
                    <w:tl2br w:val="nil"/>
                    <w:tr2bl w:val="nil"/>
                  </w:tcBorders>
                  <w:vAlign w:val="center"/>
                </w:tcPr>
                <w:p w14:paraId="49DA720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0.46</w:t>
                  </w:r>
                </w:p>
              </w:tc>
              <w:tc>
                <w:tcPr>
                  <w:tcW w:w="1365" w:type="pct"/>
                  <w:tcBorders>
                    <w:tl2br w:val="nil"/>
                    <w:tr2bl w:val="nil"/>
                  </w:tcBorders>
                  <w:vAlign w:val="center"/>
                </w:tcPr>
                <w:p w14:paraId="27CDFCD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4600</w:t>
                  </w:r>
                </w:p>
              </w:tc>
            </w:tr>
            <w:tr w14:paraId="2DDD8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5EC80A6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22" w:type="pct"/>
                  <w:tcBorders>
                    <w:tl2br w:val="nil"/>
                    <w:tr2bl w:val="nil"/>
                  </w:tcBorders>
                  <w:shd w:val="clear" w:color="auto" w:fill="auto"/>
                  <w:vAlign w:val="center"/>
                </w:tcPr>
                <w:p w14:paraId="7DBC36E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摇  臂</w:t>
                  </w:r>
                </w:p>
              </w:tc>
              <w:tc>
                <w:tcPr>
                  <w:tcW w:w="1181" w:type="pct"/>
                  <w:tcBorders>
                    <w:tl2br w:val="nil"/>
                    <w:tr2bl w:val="nil"/>
                  </w:tcBorders>
                  <w:vAlign w:val="center"/>
                </w:tcPr>
                <w:p w14:paraId="759536D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c>
                <w:tcPr>
                  <w:tcW w:w="1370" w:type="pct"/>
                  <w:tcBorders>
                    <w:tl2br w:val="nil"/>
                    <w:tr2bl w:val="nil"/>
                  </w:tcBorders>
                  <w:vAlign w:val="center"/>
                </w:tcPr>
                <w:p w14:paraId="47DF6ADC">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0.25</w:t>
                  </w:r>
                </w:p>
              </w:tc>
              <w:tc>
                <w:tcPr>
                  <w:tcW w:w="1365" w:type="pct"/>
                  <w:tcBorders>
                    <w:tl2br w:val="nil"/>
                    <w:tr2bl w:val="nil"/>
                  </w:tcBorders>
                  <w:vAlign w:val="center"/>
                </w:tcPr>
                <w:p w14:paraId="455C5DD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2500</w:t>
                  </w:r>
                </w:p>
              </w:tc>
            </w:tr>
            <w:tr w14:paraId="5F5AD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60" w:type="pct"/>
                  <w:vMerge w:val="continue"/>
                  <w:tcBorders>
                    <w:tl2br w:val="nil"/>
                    <w:tr2bl w:val="nil"/>
                  </w:tcBorders>
                  <w:vAlign w:val="center"/>
                </w:tcPr>
                <w:p w14:paraId="1023004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22" w:type="pct"/>
                  <w:tcBorders>
                    <w:tl2br w:val="nil"/>
                    <w:tr2bl w:val="nil"/>
                  </w:tcBorders>
                  <w:shd w:val="clear" w:color="auto" w:fill="auto"/>
                  <w:vAlign w:val="center"/>
                </w:tcPr>
                <w:p w14:paraId="52482A5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搁  脚</w:t>
                  </w:r>
                </w:p>
              </w:tc>
              <w:tc>
                <w:tcPr>
                  <w:tcW w:w="1181" w:type="pct"/>
                  <w:tcBorders>
                    <w:tl2br w:val="nil"/>
                    <w:tr2bl w:val="nil"/>
                  </w:tcBorders>
                  <w:vAlign w:val="center"/>
                </w:tcPr>
                <w:p w14:paraId="671AF21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3</w:t>
                  </w:r>
                  <w:r>
                    <w:rPr>
                      <w:rFonts w:hint="eastAsia" w:ascii="Times New Roman" w:hAnsi="Times New Roman" w:eastAsia="宋体"/>
                      <w:color w:val="auto"/>
                      <w:sz w:val="21"/>
                      <w:szCs w:val="21"/>
                      <w:highlight w:val="none"/>
                      <w:vertAlign w:val="baseline"/>
                      <w:lang w:val="en-US" w:eastAsia="zh-CN"/>
                    </w:rPr>
                    <w:t>万件/a</w:t>
                  </w:r>
                </w:p>
              </w:tc>
              <w:tc>
                <w:tcPr>
                  <w:tcW w:w="1370" w:type="pct"/>
                  <w:tcBorders>
                    <w:tl2br w:val="nil"/>
                    <w:tr2bl w:val="nil"/>
                  </w:tcBorders>
                  <w:vAlign w:val="center"/>
                </w:tcPr>
                <w:p w14:paraId="768AF4D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0.15</w:t>
                  </w:r>
                </w:p>
              </w:tc>
              <w:tc>
                <w:tcPr>
                  <w:tcW w:w="1365" w:type="pct"/>
                  <w:tcBorders>
                    <w:tl2br w:val="nil"/>
                    <w:tr2bl w:val="nil"/>
                  </w:tcBorders>
                  <w:vAlign w:val="center"/>
                </w:tcPr>
                <w:p w14:paraId="26BCFAB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4500</w:t>
                  </w:r>
                </w:p>
              </w:tc>
            </w:tr>
            <w:tr w14:paraId="66EAA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41340FD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22" w:type="pct"/>
                  <w:tcBorders>
                    <w:tl2br w:val="nil"/>
                    <w:tr2bl w:val="nil"/>
                  </w:tcBorders>
                  <w:shd w:val="clear" w:color="auto" w:fill="auto"/>
                  <w:vAlign w:val="center"/>
                </w:tcPr>
                <w:p w14:paraId="7E8BD96A">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扶  手</w:t>
                  </w:r>
                </w:p>
              </w:tc>
              <w:tc>
                <w:tcPr>
                  <w:tcW w:w="1181" w:type="pct"/>
                  <w:tcBorders>
                    <w:tl2br w:val="nil"/>
                    <w:tr2bl w:val="nil"/>
                  </w:tcBorders>
                  <w:vAlign w:val="center"/>
                </w:tcPr>
                <w:p w14:paraId="5129F37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c>
                <w:tcPr>
                  <w:tcW w:w="1370" w:type="pct"/>
                  <w:tcBorders>
                    <w:tl2br w:val="nil"/>
                    <w:tr2bl w:val="nil"/>
                  </w:tcBorders>
                  <w:vAlign w:val="center"/>
                </w:tcPr>
                <w:p w14:paraId="03F0E11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0.1</w:t>
                  </w:r>
                </w:p>
              </w:tc>
              <w:tc>
                <w:tcPr>
                  <w:tcW w:w="1365" w:type="pct"/>
                  <w:tcBorders>
                    <w:tl2br w:val="nil"/>
                    <w:tr2bl w:val="nil"/>
                  </w:tcBorders>
                  <w:vAlign w:val="center"/>
                </w:tcPr>
                <w:p w14:paraId="744A7613">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1500</w:t>
                  </w:r>
                </w:p>
              </w:tc>
            </w:tr>
            <w:tr w14:paraId="0C96D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2674CD5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22" w:type="pct"/>
                  <w:tcBorders>
                    <w:tl2br w:val="nil"/>
                    <w:tr2bl w:val="nil"/>
                  </w:tcBorders>
                  <w:shd w:val="clear" w:color="auto" w:fill="auto"/>
                  <w:vAlign w:val="center"/>
                </w:tcPr>
                <w:p w14:paraId="5EB9D55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托  架</w:t>
                  </w:r>
                </w:p>
              </w:tc>
              <w:tc>
                <w:tcPr>
                  <w:tcW w:w="1181" w:type="pct"/>
                  <w:tcBorders>
                    <w:tl2br w:val="nil"/>
                    <w:tr2bl w:val="nil"/>
                  </w:tcBorders>
                  <w:vAlign w:val="center"/>
                </w:tcPr>
                <w:p w14:paraId="33CE3BE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2</w:t>
                  </w:r>
                  <w:r>
                    <w:rPr>
                      <w:rFonts w:hint="eastAsia" w:ascii="Times New Roman" w:hAnsi="Times New Roman" w:eastAsia="宋体"/>
                      <w:color w:val="auto"/>
                      <w:sz w:val="21"/>
                      <w:szCs w:val="21"/>
                      <w:highlight w:val="none"/>
                      <w:vertAlign w:val="baseline"/>
                      <w:lang w:val="en-US" w:eastAsia="zh-CN"/>
                    </w:rPr>
                    <w:t>万件/a</w:t>
                  </w:r>
                </w:p>
              </w:tc>
              <w:tc>
                <w:tcPr>
                  <w:tcW w:w="1370" w:type="pct"/>
                  <w:tcBorders>
                    <w:tl2br w:val="nil"/>
                    <w:tr2bl w:val="nil"/>
                  </w:tcBorders>
                  <w:vAlign w:val="center"/>
                </w:tcPr>
                <w:p w14:paraId="4FCB34F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0.3</w:t>
                  </w:r>
                </w:p>
              </w:tc>
              <w:tc>
                <w:tcPr>
                  <w:tcW w:w="1365" w:type="pct"/>
                  <w:tcBorders>
                    <w:tl2br w:val="nil"/>
                    <w:tr2bl w:val="nil"/>
                  </w:tcBorders>
                  <w:vAlign w:val="center"/>
                </w:tcPr>
                <w:p w14:paraId="7C55D8C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6000</w:t>
                  </w:r>
                </w:p>
              </w:tc>
            </w:tr>
            <w:tr w14:paraId="7AF7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634" w:type="pct"/>
                  <w:gridSpan w:val="4"/>
                  <w:tcBorders>
                    <w:tl2br w:val="nil"/>
                    <w:tr2bl w:val="nil"/>
                  </w:tcBorders>
                  <w:vAlign w:val="center"/>
                </w:tcPr>
                <w:p w14:paraId="0319BBF0">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合计</w:t>
                  </w:r>
                </w:p>
              </w:tc>
              <w:tc>
                <w:tcPr>
                  <w:tcW w:w="1365" w:type="pct"/>
                  <w:tcBorders>
                    <w:tl2br w:val="nil"/>
                    <w:tr2bl w:val="nil"/>
                  </w:tcBorders>
                  <w:vAlign w:val="center"/>
                </w:tcPr>
                <w:p w14:paraId="4323A37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26100</w:t>
                  </w:r>
                </w:p>
              </w:tc>
            </w:tr>
          </w:tbl>
          <w:p w14:paraId="3788E57E">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2.5、主要生产设备</w:t>
            </w:r>
          </w:p>
          <w:p w14:paraId="71B66CAD">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（1）主要生产设备</w:t>
            </w:r>
          </w:p>
          <w:p w14:paraId="33647608">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项目营运期主要设备清单详见下表：</w:t>
            </w:r>
          </w:p>
          <w:p w14:paraId="1B9EFA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5</w:t>
            </w:r>
            <w:r>
              <w:rPr>
                <w:rFonts w:hint="default" w:ascii="Times New Roman" w:hAnsi="Times New Roman" w:eastAsia="宋体" w:cs="Times New Roman"/>
                <w:color w:val="auto"/>
                <w:sz w:val="24"/>
                <w:szCs w:val="24"/>
                <w:highlight w:val="none"/>
                <w:vertAlign w:val="baseline"/>
                <w:lang w:val="en-US" w:eastAsia="zh-CN"/>
              </w:rPr>
              <w:t xml:space="preserve">  项目主要设备一览表</w:t>
            </w:r>
          </w:p>
          <w:tbl>
            <w:tblPr>
              <w:tblStyle w:val="23"/>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12"/>
              <w:gridCol w:w="1431"/>
              <w:gridCol w:w="2476"/>
              <w:gridCol w:w="1425"/>
              <w:gridCol w:w="2158"/>
            </w:tblGrid>
            <w:tr w14:paraId="2E19A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8" w:hRule="atLeast"/>
                <w:jc w:val="center"/>
              </w:trPr>
              <w:tc>
                <w:tcPr>
                  <w:tcW w:w="489" w:type="pct"/>
                  <w:tcBorders>
                    <w:tl2br w:val="nil"/>
                    <w:tr2bl w:val="nil"/>
                  </w:tcBorders>
                  <w:vAlign w:val="center"/>
                </w:tcPr>
                <w:p w14:paraId="09E7AF56">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序号</w:t>
                  </w:r>
                </w:p>
              </w:tc>
              <w:tc>
                <w:tcPr>
                  <w:tcW w:w="861" w:type="pct"/>
                  <w:tcBorders>
                    <w:tl2br w:val="nil"/>
                    <w:tr2bl w:val="nil"/>
                  </w:tcBorders>
                  <w:vAlign w:val="center"/>
                </w:tcPr>
                <w:p w14:paraId="20500BF5">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设备名称</w:t>
                  </w:r>
                </w:p>
              </w:tc>
              <w:tc>
                <w:tcPr>
                  <w:tcW w:w="1491" w:type="pct"/>
                  <w:tcBorders>
                    <w:tl2br w:val="nil"/>
                    <w:tr2bl w:val="nil"/>
                  </w:tcBorders>
                  <w:vAlign w:val="center"/>
                </w:tcPr>
                <w:p w14:paraId="5D0B7CDA">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参数/规格</w:t>
                  </w:r>
                </w:p>
              </w:tc>
              <w:tc>
                <w:tcPr>
                  <w:tcW w:w="858" w:type="pct"/>
                  <w:tcBorders>
                    <w:tl2br w:val="nil"/>
                    <w:tr2bl w:val="nil"/>
                  </w:tcBorders>
                  <w:vAlign w:val="center"/>
                </w:tcPr>
                <w:p w14:paraId="01E2F23E">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数量/台</w:t>
                  </w:r>
                </w:p>
              </w:tc>
              <w:tc>
                <w:tcPr>
                  <w:tcW w:w="1299" w:type="pct"/>
                  <w:tcBorders>
                    <w:tl2br w:val="nil"/>
                    <w:tr2bl w:val="nil"/>
                  </w:tcBorders>
                  <w:vAlign w:val="center"/>
                </w:tcPr>
                <w:p w14:paraId="5FE47FF5">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备注</w:t>
                  </w:r>
                </w:p>
              </w:tc>
            </w:tr>
            <w:tr w14:paraId="11F68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522D86A3">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861" w:type="pct"/>
                  <w:tcBorders>
                    <w:tl2br w:val="nil"/>
                    <w:tr2bl w:val="nil"/>
                  </w:tcBorders>
                  <w:vAlign w:val="center"/>
                </w:tcPr>
                <w:p w14:paraId="0DCB16AF">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抛丸机</w:t>
                  </w:r>
                </w:p>
              </w:tc>
              <w:tc>
                <w:tcPr>
                  <w:tcW w:w="1491" w:type="pct"/>
                  <w:tcBorders>
                    <w:tl2br w:val="nil"/>
                    <w:tr2bl w:val="nil"/>
                  </w:tcBorders>
                  <w:vAlign w:val="center"/>
                </w:tcPr>
                <w:p w14:paraId="5DCDC03E">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w:t>
                  </w:r>
                </w:p>
              </w:tc>
              <w:tc>
                <w:tcPr>
                  <w:tcW w:w="858" w:type="pct"/>
                  <w:tcBorders>
                    <w:tl2br w:val="nil"/>
                    <w:tr2bl w:val="nil"/>
                  </w:tcBorders>
                  <w:vAlign w:val="center"/>
                </w:tcPr>
                <w:p w14:paraId="2FE14872">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1299" w:type="pct"/>
                  <w:tcBorders>
                    <w:tl2br w:val="nil"/>
                    <w:tr2bl w:val="nil"/>
                  </w:tcBorders>
                  <w:vAlign w:val="center"/>
                </w:tcPr>
                <w:p w14:paraId="17B02C29">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新增，抛丸工序</w:t>
                  </w:r>
                </w:p>
              </w:tc>
            </w:tr>
            <w:tr w14:paraId="0C995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643BA27E">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861" w:type="pct"/>
                  <w:tcBorders>
                    <w:tl2br w:val="nil"/>
                    <w:tr2bl w:val="nil"/>
                  </w:tcBorders>
                  <w:shd w:val="clear" w:color="auto" w:fill="auto"/>
                  <w:vAlign w:val="center"/>
                </w:tcPr>
                <w:p w14:paraId="632F0019">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喷粉室</w:t>
                  </w:r>
                </w:p>
              </w:tc>
              <w:tc>
                <w:tcPr>
                  <w:tcW w:w="1491" w:type="pct"/>
                  <w:tcBorders>
                    <w:tl2br w:val="nil"/>
                    <w:tr2bl w:val="nil"/>
                  </w:tcBorders>
                  <w:shd w:val="clear" w:color="auto" w:fill="auto"/>
                  <w:vAlign w:val="center"/>
                </w:tcPr>
                <w:p w14:paraId="1B967839">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5m*1.25m*2m</w:t>
                  </w:r>
                </w:p>
              </w:tc>
              <w:tc>
                <w:tcPr>
                  <w:tcW w:w="858" w:type="pct"/>
                  <w:tcBorders>
                    <w:tl2br w:val="nil"/>
                    <w:tr2bl w:val="nil"/>
                  </w:tcBorders>
                  <w:shd w:val="clear" w:color="auto" w:fill="auto"/>
                  <w:vAlign w:val="center"/>
                </w:tcPr>
                <w:p w14:paraId="7759BA01">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1299" w:type="pct"/>
                  <w:tcBorders>
                    <w:tl2br w:val="nil"/>
                    <w:tr2bl w:val="nil"/>
                  </w:tcBorders>
                  <w:shd w:val="clear" w:color="auto" w:fill="auto"/>
                  <w:vAlign w:val="center"/>
                </w:tcPr>
                <w:p w14:paraId="0B57DC82">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新增，喷粉工序</w:t>
                  </w:r>
                </w:p>
              </w:tc>
            </w:tr>
            <w:tr w14:paraId="4B4B3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4BB8BFC9">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3</w:t>
                  </w:r>
                </w:p>
              </w:tc>
              <w:tc>
                <w:tcPr>
                  <w:tcW w:w="861" w:type="pct"/>
                  <w:tcBorders>
                    <w:tl2br w:val="nil"/>
                    <w:tr2bl w:val="nil"/>
                  </w:tcBorders>
                  <w:shd w:val="clear" w:color="auto" w:fill="auto"/>
                  <w:vAlign w:val="center"/>
                </w:tcPr>
                <w:p w14:paraId="3377BE9B">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喷枪</w:t>
                  </w:r>
                </w:p>
              </w:tc>
              <w:tc>
                <w:tcPr>
                  <w:tcW w:w="1491" w:type="pct"/>
                  <w:tcBorders>
                    <w:tl2br w:val="nil"/>
                    <w:tr2bl w:val="nil"/>
                  </w:tcBorders>
                  <w:shd w:val="clear" w:color="auto" w:fill="auto"/>
                  <w:vAlign w:val="center"/>
                </w:tcPr>
                <w:p w14:paraId="19EA6FA8">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喷粉量25g/min</w:t>
                  </w:r>
                </w:p>
              </w:tc>
              <w:tc>
                <w:tcPr>
                  <w:tcW w:w="858" w:type="pct"/>
                  <w:tcBorders>
                    <w:tl2br w:val="nil"/>
                    <w:tr2bl w:val="nil"/>
                  </w:tcBorders>
                  <w:shd w:val="clear" w:color="auto" w:fill="auto"/>
                  <w:vAlign w:val="center"/>
                </w:tcPr>
                <w:p w14:paraId="668A76DF">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4（2用2备）</w:t>
                  </w:r>
                </w:p>
              </w:tc>
              <w:tc>
                <w:tcPr>
                  <w:tcW w:w="1299" w:type="pct"/>
                  <w:tcBorders>
                    <w:tl2br w:val="nil"/>
                    <w:tr2bl w:val="nil"/>
                  </w:tcBorders>
                  <w:shd w:val="clear" w:color="auto" w:fill="auto"/>
                  <w:vAlign w:val="center"/>
                </w:tcPr>
                <w:p w14:paraId="3EC7B218">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新增，喷粉工序</w:t>
                  </w:r>
                </w:p>
              </w:tc>
            </w:tr>
            <w:tr w14:paraId="778D0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3A315267">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861" w:type="pct"/>
                  <w:tcBorders>
                    <w:tl2br w:val="nil"/>
                    <w:tr2bl w:val="nil"/>
                  </w:tcBorders>
                  <w:shd w:val="clear" w:color="auto" w:fill="auto"/>
                  <w:vAlign w:val="center"/>
                </w:tcPr>
                <w:p w14:paraId="19310890">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循环链条</w:t>
                  </w:r>
                </w:p>
              </w:tc>
              <w:tc>
                <w:tcPr>
                  <w:tcW w:w="1491" w:type="pct"/>
                  <w:tcBorders>
                    <w:tl2br w:val="nil"/>
                    <w:tr2bl w:val="nil"/>
                  </w:tcBorders>
                  <w:shd w:val="clear" w:color="auto" w:fill="auto"/>
                  <w:vAlign w:val="center"/>
                </w:tcPr>
                <w:p w14:paraId="0D9487C8">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170m，线速1~1.1m/min</w:t>
                  </w:r>
                </w:p>
              </w:tc>
              <w:tc>
                <w:tcPr>
                  <w:tcW w:w="858" w:type="pct"/>
                  <w:tcBorders>
                    <w:tl2br w:val="nil"/>
                    <w:tr2bl w:val="nil"/>
                  </w:tcBorders>
                  <w:shd w:val="clear" w:color="auto" w:fill="auto"/>
                  <w:vAlign w:val="center"/>
                </w:tcPr>
                <w:p w14:paraId="26FC74BE">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1299" w:type="pct"/>
                  <w:tcBorders>
                    <w:tl2br w:val="nil"/>
                    <w:tr2bl w:val="nil"/>
                  </w:tcBorders>
                  <w:shd w:val="clear" w:color="auto" w:fill="auto"/>
                  <w:vAlign w:val="center"/>
                </w:tcPr>
                <w:p w14:paraId="75984B5E">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新增，喷粉、固化工序</w:t>
                  </w:r>
                </w:p>
              </w:tc>
            </w:tr>
            <w:tr w14:paraId="38F13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757FAA72">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5</w:t>
                  </w:r>
                </w:p>
              </w:tc>
              <w:tc>
                <w:tcPr>
                  <w:tcW w:w="861" w:type="pct"/>
                  <w:tcBorders>
                    <w:tl2br w:val="nil"/>
                    <w:tr2bl w:val="nil"/>
                  </w:tcBorders>
                  <w:vAlign w:val="center"/>
                </w:tcPr>
                <w:p w14:paraId="08FCB1E3">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烘道</w:t>
                  </w:r>
                </w:p>
              </w:tc>
              <w:tc>
                <w:tcPr>
                  <w:tcW w:w="1491" w:type="pct"/>
                  <w:tcBorders>
                    <w:tl2br w:val="nil"/>
                    <w:tr2bl w:val="nil"/>
                  </w:tcBorders>
                  <w:vAlign w:val="center"/>
                </w:tcPr>
                <w:p w14:paraId="72520432">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2.3m*2.5m*60m</w:t>
                  </w:r>
                </w:p>
              </w:tc>
              <w:tc>
                <w:tcPr>
                  <w:tcW w:w="858" w:type="pct"/>
                  <w:tcBorders>
                    <w:tl2br w:val="nil"/>
                    <w:tr2bl w:val="nil"/>
                  </w:tcBorders>
                  <w:vAlign w:val="center"/>
                </w:tcPr>
                <w:p w14:paraId="6D8B7BEE">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1</w:t>
                  </w:r>
                </w:p>
              </w:tc>
              <w:tc>
                <w:tcPr>
                  <w:tcW w:w="1299" w:type="pct"/>
                  <w:tcBorders>
                    <w:tl2br w:val="nil"/>
                    <w:tr2bl w:val="nil"/>
                  </w:tcBorders>
                  <w:vAlign w:val="center"/>
                </w:tcPr>
                <w:p w14:paraId="4E2D7C87">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新增，固化工序</w:t>
                  </w:r>
                </w:p>
              </w:tc>
            </w:tr>
            <w:tr w14:paraId="02A52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49DAFAFB">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6</w:t>
                  </w:r>
                </w:p>
              </w:tc>
              <w:tc>
                <w:tcPr>
                  <w:tcW w:w="861" w:type="pct"/>
                  <w:tcBorders>
                    <w:tl2br w:val="nil"/>
                    <w:tr2bl w:val="nil"/>
                  </w:tcBorders>
                  <w:vAlign w:val="center"/>
                </w:tcPr>
                <w:p w14:paraId="13749776">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olor w:val="auto"/>
                      <w:sz w:val="21"/>
                      <w:szCs w:val="21"/>
                      <w:highlight w:val="none"/>
                      <w:vertAlign w:val="baseline"/>
                      <w:lang w:val="en-US" w:eastAsia="zh-CN"/>
                    </w:rPr>
                    <w:t>燃烧机</w:t>
                  </w:r>
                </w:p>
              </w:tc>
              <w:tc>
                <w:tcPr>
                  <w:tcW w:w="1491" w:type="pct"/>
                  <w:tcBorders>
                    <w:tl2br w:val="nil"/>
                    <w:tr2bl w:val="nil"/>
                  </w:tcBorders>
                  <w:vAlign w:val="center"/>
                </w:tcPr>
                <w:p w14:paraId="44DFE410">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单台平均耗气量约60m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/h</w:t>
                  </w:r>
                </w:p>
              </w:tc>
              <w:tc>
                <w:tcPr>
                  <w:tcW w:w="858" w:type="pct"/>
                  <w:tcBorders>
                    <w:tl2br w:val="nil"/>
                    <w:tr2bl w:val="nil"/>
                  </w:tcBorders>
                  <w:vAlign w:val="center"/>
                </w:tcPr>
                <w:p w14:paraId="3B5B993E">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1</w:t>
                  </w:r>
                </w:p>
              </w:tc>
              <w:tc>
                <w:tcPr>
                  <w:tcW w:w="1299" w:type="pct"/>
                  <w:tcBorders>
                    <w:tl2br w:val="nil"/>
                    <w:tr2bl w:val="nil"/>
                  </w:tcBorders>
                  <w:vAlign w:val="center"/>
                </w:tcPr>
                <w:p w14:paraId="5EA1335B">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新增，固化工序</w:t>
                  </w:r>
                </w:p>
              </w:tc>
            </w:tr>
            <w:tr w14:paraId="15FE3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02486903">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stheme="minorBidi"/>
                      <w:color w:val="auto"/>
                      <w:kern w:val="2"/>
                      <w:sz w:val="21"/>
                      <w:szCs w:val="21"/>
                      <w:highlight w:val="none"/>
                      <w:vertAlign w:val="baseline"/>
                      <w:lang w:val="en-US" w:eastAsia="zh-CN" w:bidi="ar-SA"/>
                    </w:rPr>
                    <w:t>7</w:t>
                  </w:r>
                </w:p>
              </w:tc>
              <w:tc>
                <w:tcPr>
                  <w:tcW w:w="861" w:type="pct"/>
                  <w:tcBorders>
                    <w:tl2br w:val="nil"/>
                    <w:tr2bl w:val="nil"/>
                  </w:tcBorders>
                  <w:shd w:val="clear" w:color="auto" w:fill="auto"/>
                  <w:vAlign w:val="center"/>
                </w:tcPr>
                <w:p w14:paraId="20129791">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螺杆空压机</w:t>
                  </w:r>
                </w:p>
              </w:tc>
              <w:tc>
                <w:tcPr>
                  <w:tcW w:w="1491" w:type="pct"/>
                  <w:tcBorders>
                    <w:tl2br w:val="nil"/>
                    <w:tr2bl w:val="nil"/>
                  </w:tcBorders>
                  <w:shd w:val="clear" w:color="auto" w:fill="auto"/>
                  <w:vAlign w:val="center"/>
                </w:tcPr>
                <w:p w14:paraId="172FABD8">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2.0A</w:t>
                  </w:r>
                </w:p>
              </w:tc>
              <w:tc>
                <w:tcPr>
                  <w:tcW w:w="858" w:type="pct"/>
                  <w:tcBorders>
                    <w:tl2br w:val="nil"/>
                    <w:tr2bl w:val="nil"/>
                  </w:tcBorders>
                  <w:shd w:val="clear" w:color="auto" w:fill="auto"/>
                  <w:vAlign w:val="center"/>
                </w:tcPr>
                <w:p w14:paraId="69342BD2">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1299" w:type="pct"/>
                  <w:tcBorders>
                    <w:tl2br w:val="nil"/>
                    <w:tr2bl w:val="nil"/>
                  </w:tcBorders>
                  <w:shd w:val="clear" w:color="auto" w:fill="auto"/>
                  <w:vAlign w:val="center"/>
                </w:tcPr>
                <w:p w14:paraId="11505EBA">
                  <w:pPr>
                    <w:keepNext w:val="0"/>
                    <w:keepLines w:val="0"/>
                    <w:pageBreakBefore w:val="0"/>
                    <w:widowControl w:val="0"/>
                    <w:kinsoku/>
                    <w:wordWrap/>
                    <w:overflowPunct/>
                    <w:topLinePunct w:val="0"/>
                    <w:autoSpaceDE/>
                    <w:autoSpaceDN/>
                    <w:bidi w:val="0"/>
                    <w:adjustRightInd/>
                    <w:snapToGrid/>
                    <w:spacing w:before="79" w:beforeLines="25" w:after="79" w:afterLines="25" w:line="29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新增，提供压缩空气</w:t>
                  </w:r>
                </w:p>
              </w:tc>
            </w:tr>
            <w:tr w14:paraId="548FB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shd w:val="clear" w:color="auto" w:fill="auto"/>
                  <w:vAlign w:val="center"/>
                </w:tcPr>
                <w:p w14:paraId="1034B084">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8</w:t>
                  </w:r>
                </w:p>
              </w:tc>
              <w:tc>
                <w:tcPr>
                  <w:tcW w:w="861" w:type="pct"/>
                  <w:tcBorders>
                    <w:tl2br w:val="nil"/>
                    <w:tr2bl w:val="nil"/>
                  </w:tcBorders>
                  <w:shd w:val="clear" w:color="auto" w:fill="auto"/>
                  <w:vAlign w:val="center"/>
                </w:tcPr>
                <w:p w14:paraId="2E5DCBAC">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手动叉车</w:t>
                  </w:r>
                </w:p>
              </w:tc>
              <w:tc>
                <w:tcPr>
                  <w:tcW w:w="1491" w:type="pct"/>
                  <w:tcBorders>
                    <w:tl2br w:val="nil"/>
                    <w:tr2bl w:val="nil"/>
                  </w:tcBorders>
                  <w:shd w:val="clear" w:color="auto" w:fill="auto"/>
                  <w:vAlign w:val="center"/>
                </w:tcPr>
                <w:p w14:paraId="1A97578E">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2.5T、3T</w:t>
                  </w:r>
                </w:p>
              </w:tc>
              <w:tc>
                <w:tcPr>
                  <w:tcW w:w="858" w:type="pct"/>
                  <w:tcBorders>
                    <w:tl2br w:val="nil"/>
                    <w:tr2bl w:val="nil"/>
                  </w:tcBorders>
                  <w:shd w:val="clear" w:color="auto" w:fill="auto"/>
                  <w:vAlign w:val="center"/>
                </w:tcPr>
                <w:p w14:paraId="1FDC437B">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w:t>
                  </w:r>
                </w:p>
              </w:tc>
              <w:tc>
                <w:tcPr>
                  <w:tcW w:w="1299" w:type="pct"/>
                  <w:vMerge w:val="restart"/>
                  <w:tcBorders>
                    <w:tl2br w:val="nil"/>
                    <w:tr2bl w:val="nil"/>
                  </w:tcBorders>
                  <w:vAlign w:val="center"/>
                </w:tcPr>
                <w:p w14:paraId="6F251DB8">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场内运输，与现有工程共用，不新增</w:t>
                  </w:r>
                </w:p>
              </w:tc>
            </w:tr>
            <w:tr w14:paraId="60B03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9" w:type="pct"/>
                  <w:tcBorders>
                    <w:tl2br w:val="nil"/>
                    <w:tr2bl w:val="nil"/>
                  </w:tcBorders>
                  <w:vAlign w:val="center"/>
                </w:tcPr>
                <w:p w14:paraId="2AAD7809">
                  <w:pPr>
                    <w:keepNext w:val="0"/>
                    <w:keepLines w:val="0"/>
                    <w:pageBreakBefore w:val="0"/>
                    <w:widowControl w:val="0"/>
                    <w:kinsoku/>
                    <w:wordWrap/>
                    <w:overflowPunct/>
                    <w:topLinePunct w:val="0"/>
                    <w:autoSpaceDE/>
                    <w:autoSpaceDN/>
                    <w:bidi w:val="0"/>
                    <w:adjustRightInd/>
                    <w:snapToGrid/>
                    <w:spacing w:before="79" w:beforeLines="25" w:after="79" w:afterLines="25"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9</w:t>
                  </w:r>
                </w:p>
              </w:tc>
              <w:tc>
                <w:tcPr>
                  <w:tcW w:w="861" w:type="pct"/>
                  <w:tcBorders>
                    <w:tl2br w:val="nil"/>
                    <w:tr2bl w:val="nil"/>
                  </w:tcBorders>
                  <w:shd w:val="clear" w:color="auto" w:fill="auto"/>
                  <w:vAlign w:val="center"/>
                </w:tcPr>
                <w:p w14:paraId="175AA86B">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液压堆垛机</w:t>
                  </w:r>
                </w:p>
              </w:tc>
              <w:tc>
                <w:tcPr>
                  <w:tcW w:w="1491" w:type="pct"/>
                  <w:tcBorders>
                    <w:tl2br w:val="nil"/>
                    <w:tr2bl w:val="nil"/>
                  </w:tcBorders>
                  <w:shd w:val="clear" w:color="auto" w:fill="auto"/>
                  <w:vAlign w:val="center"/>
                </w:tcPr>
                <w:p w14:paraId="68F72ACB">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CTY2T</w:t>
                  </w:r>
                </w:p>
              </w:tc>
              <w:tc>
                <w:tcPr>
                  <w:tcW w:w="858" w:type="pct"/>
                  <w:tcBorders>
                    <w:tl2br w:val="nil"/>
                    <w:tr2bl w:val="nil"/>
                  </w:tcBorders>
                  <w:shd w:val="clear" w:color="auto" w:fill="auto"/>
                  <w:vAlign w:val="center"/>
                </w:tcPr>
                <w:p w14:paraId="49937854">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1299" w:type="pct"/>
                  <w:vMerge w:val="continue"/>
                  <w:tcBorders>
                    <w:tl2br w:val="nil"/>
                    <w:tr2bl w:val="nil"/>
                  </w:tcBorders>
                  <w:vAlign w:val="center"/>
                </w:tcPr>
                <w:p w14:paraId="65B60B28">
                  <w:pPr>
                    <w:keepNext w:val="0"/>
                    <w:keepLines w:val="0"/>
                    <w:pageBreakBefore w:val="0"/>
                    <w:widowControl w:val="0"/>
                    <w:kinsoku/>
                    <w:wordWrap/>
                    <w:overflowPunct/>
                    <w:topLinePunct w:val="0"/>
                    <w:autoSpaceDE/>
                    <w:autoSpaceDN/>
                    <w:bidi w:val="0"/>
                    <w:adjustRightInd/>
                    <w:snapToGrid/>
                    <w:spacing w:before="79" w:beforeLines="25" w:after="79" w:afterLines="25"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3878A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4A1ACE84">
                  <w:pPr>
                    <w:keepNext w:val="0"/>
                    <w:keepLines w:val="0"/>
                    <w:pageBreakBefore w:val="0"/>
                    <w:widowControl w:val="0"/>
                    <w:kinsoku/>
                    <w:wordWrap/>
                    <w:overflowPunct/>
                    <w:topLinePunct w:val="0"/>
                    <w:autoSpaceDE/>
                    <w:autoSpaceDN/>
                    <w:bidi w:val="0"/>
                    <w:adjustRightInd/>
                    <w:snapToGrid/>
                    <w:spacing w:before="79" w:beforeLines="25" w:after="79" w:afterLines="25" w:line="300" w:lineRule="auto"/>
                    <w:jc w:val="both"/>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bCs w:val="0"/>
                      <w:color w:val="auto"/>
                      <w:kern w:val="0"/>
                      <w:sz w:val="21"/>
                      <w:szCs w:val="21"/>
                      <w:highlight w:val="none"/>
                      <w:lang w:val="en-US" w:eastAsia="zh-CN" w:bidi="ar"/>
                    </w:rPr>
                    <w:t>注</w:t>
                  </w:r>
                  <w:r>
                    <w:rPr>
                      <w:rFonts w:hint="eastAsia" w:ascii="Times New Roman" w:hAnsi="Times New Roman" w:eastAsia="宋体" w:cs="宋体"/>
                      <w:b w:val="0"/>
                      <w:bCs/>
                      <w:color w:val="auto"/>
                      <w:kern w:val="0"/>
                      <w:sz w:val="21"/>
                      <w:szCs w:val="21"/>
                      <w:highlight w:val="none"/>
                      <w:lang w:val="en-US" w:eastAsia="zh-CN" w:bidi="ar"/>
                    </w:rPr>
                    <w:t>：项目采用工艺设备均不属于《产业结构调整指导目录（2024年本）》、《部分工业行业淘汰落后生产工艺装备和产品指导目录（</w:t>
                  </w:r>
                  <w:r>
                    <w:rPr>
                      <w:rFonts w:hint="default" w:ascii="Times New Roman" w:hAnsi="Times New Roman" w:eastAsia="宋体" w:cs="宋体"/>
                      <w:b w:val="0"/>
                      <w:bCs/>
                      <w:color w:val="auto"/>
                      <w:kern w:val="0"/>
                      <w:sz w:val="21"/>
                      <w:szCs w:val="21"/>
                      <w:highlight w:val="none"/>
                      <w:lang w:val="en-US" w:eastAsia="zh-CN" w:bidi="ar"/>
                    </w:rPr>
                    <w:t>2010</w:t>
                  </w:r>
                  <w:r>
                    <w:rPr>
                      <w:rFonts w:hint="eastAsia" w:ascii="Times New Roman" w:hAnsi="Times New Roman" w:eastAsia="宋体" w:cs="宋体"/>
                      <w:b w:val="0"/>
                      <w:bCs/>
                      <w:color w:val="auto"/>
                      <w:kern w:val="0"/>
                      <w:sz w:val="21"/>
                      <w:szCs w:val="21"/>
                      <w:highlight w:val="none"/>
                      <w:lang w:val="en-US" w:eastAsia="zh-CN" w:bidi="ar"/>
                    </w:rPr>
                    <w:t>年本）》以及《高耗能落后机电设备（产品）淘汰目录（第一、二、三、四批）》淘汰目录范畴。</w:t>
                  </w:r>
                </w:p>
              </w:tc>
            </w:tr>
          </w:tbl>
          <w:p w14:paraId="0FFD8B68">
            <w:pPr>
              <w:keepNext w:val="0"/>
              <w:keepLines w:val="0"/>
              <w:pageBreakBefore w:val="0"/>
              <w:widowControl w:val="0"/>
              <w:numPr>
                <w:ilvl w:val="0"/>
                <w:numId w:val="0"/>
              </w:numPr>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stheme="minorBidi"/>
                <w:color w:val="auto"/>
                <w:kern w:val="2"/>
                <w:sz w:val="24"/>
                <w:szCs w:val="24"/>
                <w:vertAlign w:val="baseline"/>
                <w:lang w:val="en-US" w:eastAsia="zh-CN" w:bidi="ar-SA"/>
              </w:rPr>
              <w:t>（2）</w:t>
            </w:r>
            <w:r>
              <w:rPr>
                <w:rFonts w:hint="eastAsia" w:ascii="Times New Roman" w:hAnsi="Times New Roman" w:eastAsia="宋体"/>
                <w:color w:val="auto"/>
                <w:sz w:val="24"/>
                <w:szCs w:val="24"/>
                <w:highlight w:val="none"/>
                <w:vertAlign w:val="baseline"/>
                <w:lang w:val="en-US" w:eastAsia="zh-CN"/>
              </w:rPr>
              <w:t>产能匹配性分析</w:t>
            </w:r>
          </w:p>
          <w:p w14:paraId="718CF661">
            <w:pPr>
              <w:keepNext w:val="0"/>
              <w:keepLines w:val="0"/>
              <w:pageBreakBefore w:val="0"/>
              <w:widowControl w:val="0"/>
              <w:numPr>
                <w:ilvl w:val="0"/>
                <w:numId w:val="0"/>
              </w:numPr>
              <w:kinsoku/>
              <w:wordWrap/>
              <w:overflowPunct/>
              <w:topLinePunct w:val="0"/>
              <w:autoSpaceDE/>
              <w:autoSpaceDN/>
              <w:bidi w:val="0"/>
              <w:adjustRightInd/>
              <w:snapToGrid/>
              <w:spacing w:line="372" w:lineRule="auto"/>
              <w:ind w:firstLine="480" w:firstLineChars="200"/>
              <w:jc w:val="both"/>
              <w:textAlignment w:val="auto"/>
              <w:rPr>
                <w:rFonts w:hint="default" w:ascii="Times New Roman" w:hAnsi="Times New Roman" w:eastAsia="宋体" w:cstheme="minorBidi"/>
                <w:color w:val="auto"/>
                <w:kern w:val="2"/>
                <w:sz w:val="24"/>
                <w:szCs w:val="24"/>
                <w:vertAlign w:val="baseline"/>
                <w:lang w:val="en-US" w:eastAsia="zh-CN" w:bidi="ar-SA"/>
              </w:rPr>
            </w:pPr>
            <w:r>
              <w:rPr>
                <w:rFonts w:hint="eastAsia" w:ascii="Times New Roman" w:hAnsi="Times New Roman" w:eastAsia="宋体" w:cstheme="minorBidi"/>
                <w:color w:val="auto"/>
                <w:kern w:val="2"/>
                <w:sz w:val="24"/>
                <w:szCs w:val="24"/>
                <w:vertAlign w:val="baseline"/>
                <w:lang w:val="en-US" w:eastAsia="zh-CN" w:bidi="ar-SA"/>
              </w:rPr>
              <w:t>项目主要设备产能匹配性分析详见表2-6。</w:t>
            </w:r>
          </w:p>
          <w:p w14:paraId="0F35E8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w:t>
            </w:r>
            <w:r>
              <w:rPr>
                <w:rFonts w:hint="eastAsia" w:ascii="Times New Roman" w:hAnsi="Times New Roman" w:eastAsia="宋体" w:cs="Times New Roman"/>
                <w:color w:val="auto"/>
                <w:sz w:val="24"/>
                <w:szCs w:val="24"/>
                <w:highlight w:val="none"/>
                <w:vertAlign w:val="baseline"/>
                <w:lang w:val="en-US" w:eastAsia="zh-CN"/>
              </w:rPr>
              <w:t>2-6  主要设备产能匹配性分析情况表</w:t>
            </w:r>
          </w:p>
          <w:tbl>
            <w:tblPr>
              <w:tblStyle w:val="22"/>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92"/>
              <w:gridCol w:w="1016"/>
              <w:gridCol w:w="950"/>
              <w:gridCol w:w="790"/>
              <w:gridCol w:w="1012"/>
              <w:gridCol w:w="885"/>
              <w:gridCol w:w="1110"/>
              <w:gridCol w:w="792"/>
            </w:tblGrid>
            <w:tr w14:paraId="6AA52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4" w:type="pct"/>
                  <w:vMerge w:val="restart"/>
                  <w:tcBorders>
                    <w:tl2br w:val="nil"/>
                    <w:tr2bl w:val="nil"/>
                  </w:tcBorders>
                  <w:noWrap w:val="0"/>
                  <w:vAlign w:val="center"/>
                </w:tcPr>
                <w:p w14:paraId="1A37C691">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设备名称</w:t>
                  </w:r>
                </w:p>
              </w:tc>
              <w:tc>
                <w:tcPr>
                  <w:tcW w:w="477" w:type="pct"/>
                  <w:vMerge w:val="restart"/>
                  <w:tcBorders>
                    <w:tl2br w:val="nil"/>
                    <w:tr2bl w:val="nil"/>
                  </w:tcBorders>
                  <w:noWrap w:val="0"/>
                  <w:vAlign w:val="center"/>
                </w:tcPr>
                <w:p w14:paraId="393BDD6A">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对应工序</w:t>
                  </w:r>
                </w:p>
              </w:tc>
              <w:tc>
                <w:tcPr>
                  <w:tcW w:w="2269" w:type="pct"/>
                  <w:gridSpan w:val="4"/>
                  <w:tcBorders>
                    <w:tl2br w:val="nil"/>
                    <w:tr2bl w:val="nil"/>
                  </w:tcBorders>
                  <w:noWrap w:val="0"/>
                  <w:vAlign w:val="center"/>
                </w:tcPr>
                <w:p w14:paraId="6DC76C28">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单台设备生产参数</w:t>
                  </w:r>
                </w:p>
              </w:tc>
              <w:tc>
                <w:tcPr>
                  <w:tcW w:w="533" w:type="pct"/>
                  <w:vMerge w:val="restart"/>
                  <w:tcBorders>
                    <w:tl2br w:val="nil"/>
                    <w:tr2bl w:val="nil"/>
                  </w:tcBorders>
                  <w:noWrap w:val="0"/>
                  <w:vAlign w:val="center"/>
                </w:tcPr>
                <w:p w14:paraId="3045D721">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cs="Times New Roman"/>
                      <w:b w:val="0"/>
                      <w:bCs/>
                      <w:color w:val="000000"/>
                      <w:lang w:eastAsia="zh-CN"/>
                    </w:rPr>
                  </w:pPr>
                  <w:r>
                    <w:rPr>
                      <w:rFonts w:hint="eastAsia" w:ascii="Times New Roman" w:hAnsi="Times New Roman" w:cs="Times New Roman"/>
                      <w:b w:val="0"/>
                      <w:bCs/>
                      <w:color w:val="000000"/>
                      <w:lang w:eastAsia="zh-CN"/>
                    </w:rPr>
                    <w:t>设备</w:t>
                  </w:r>
                </w:p>
                <w:p w14:paraId="21B14CD7">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数量</w:t>
                  </w:r>
                </w:p>
              </w:tc>
              <w:tc>
                <w:tcPr>
                  <w:tcW w:w="668" w:type="pct"/>
                  <w:vMerge w:val="restart"/>
                  <w:tcBorders>
                    <w:tl2br w:val="nil"/>
                    <w:tr2bl w:val="nil"/>
                  </w:tcBorders>
                  <w:noWrap w:val="0"/>
                  <w:vAlign w:val="center"/>
                </w:tcPr>
                <w:p w14:paraId="244986F8">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eastAsia" w:ascii="Times New Roman" w:hAnsi="Times New Roman" w:cs="Times New Roman"/>
                      <w:b w:val="0"/>
                      <w:bCs/>
                      <w:color w:val="000000"/>
                      <w:lang w:eastAsia="zh-CN"/>
                    </w:rPr>
                    <w:t>设备最大年</w:t>
                  </w:r>
                  <w:r>
                    <w:rPr>
                      <w:rFonts w:hint="default" w:ascii="Times New Roman" w:hAnsi="Times New Roman" w:cs="Times New Roman"/>
                      <w:b w:val="0"/>
                      <w:bCs/>
                      <w:color w:val="000000"/>
                    </w:rPr>
                    <w:t>产能</w:t>
                  </w:r>
                </w:p>
              </w:tc>
              <w:tc>
                <w:tcPr>
                  <w:tcW w:w="477" w:type="pct"/>
                  <w:vMerge w:val="restart"/>
                  <w:tcBorders>
                    <w:tl2br w:val="nil"/>
                    <w:tr2bl w:val="nil"/>
                  </w:tcBorders>
                  <w:noWrap w:val="0"/>
                  <w:vAlign w:val="center"/>
                </w:tcPr>
                <w:p w14:paraId="0403C63D">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实际年产能</w:t>
                  </w:r>
                </w:p>
              </w:tc>
            </w:tr>
            <w:tr w14:paraId="65283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74" w:type="pct"/>
                  <w:vMerge w:val="continue"/>
                  <w:tcBorders>
                    <w:tl2br w:val="nil"/>
                    <w:tr2bl w:val="nil"/>
                  </w:tcBorders>
                  <w:noWrap w:val="0"/>
                  <w:vAlign w:val="center"/>
                </w:tcPr>
                <w:p w14:paraId="63282F24">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p>
              </w:tc>
              <w:tc>
                <w:tcPr>
                  <w:tcW w:w="477" w:type="pct"/>
                  <w:vMerge w:val="continue"/>
                  <w:tcBorders>
                    <w:tl2br w:val="nil"/>
                    <w:tr2bl w:val="nil"/>
                  </w:tcBorders>
                  <w:noWrap w:val="0"/>
                  <w:vAlign w:val="center"/>
                </w:tcPr>
                <w:p w14:paraId="291A5942">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p>
              </w:tc>
              <w:tc>
                <w:tcPr>
                  <w:tcW w:w="611" w:type="pct"/>
                  <w:tcBorders>
                    <w:tl2br w:val="nil"/>
                    <w:tr2bl w:val="nil"/>
                  </w:tcBorders>
                  <w:noWrap w:val="0"/>
                  <w:vAlign w:val="center"/>
                </w:tcPr>
                <w:p w14:paraId="4881B08B">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生产时间</w:t>
                  </w:r>
                </w:p>
              </w:tc>
              <w:tc>
                <w:tcPr>
                  <w:tcW w:w="572" w:type="pct"/>
                  <w:tcBorders>
                    <w:tl2br w:val="nil"/>
                    <w:tr2bl w:val="nil"/>
                  </w:tcBorders>
                  <w:noWrap w:val="0"/>
                  <w:vAlign w:val="center"/>
                </w:tcPr>
                <w:p w14:paraId="3149F4CD">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产能</w:t>
                  </w:r>
                </w:p>
              </w:tc>
              <w:tc>
                <w:tcPr>
                  <w:tcW w:w="475" w:type="pct"/>
                  <w:tcBorders>
                    <w:tl2br w:val="nil"/>
                    <w:tr2bl w:val="nil"/>
                  </w:tcBorders>
                  <w:noWrap w:val="0"/>
                  <w:vAlign w:val="center"/>
                </w:tcPr>
                <w:p w14:paraId="79F6B375">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r>
                    <w:rPr>
                      <w:rFonts w:hint="default" w:ascii="Times New Roman" w:hAnsi="Times New Roman" w:cs="Times New Roman"/>
                      <w:b w:val="0"/>
                      <w:bCs/>
                      <w:color w:val="000000"/>
                    </w:rPr>
                    <w:t>年工作基数h</w:t>
                  </w:r>
                </w:p>
              </w:tc>
              <w:tc>
                <w:tcPr>
                  <w:tcW w:w="609" w:type="pct"/>
                  <w:tcBorders>
                    <w:tl2br w:val="nil"/>
                    <w:tr2bl w:val="nil"/>
                  </w:tcBorders>
                  <w:noWrap w:val="0"/>
                  <w:vAlign w:val="center"/>
                </w:tcPr>
                <w:p w14:paraId="5A2FBCCF">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000000"/>
                      <w:lang w:eastAsia="zh-CN"/>
                    </w:rPr>
                  </w:pPr>
                  <w:r>
                    <w:rPr>
                      <w:rFonts w:hint="default" w:ascii="Times New Roman" w:hAnsi="Times New Roman" w:cs="Times New Roman"/>
                      <w:b w:val="0"/>
                      <w:bCs/>
                      <w:color w:val="000000"/>
                    </w:rPr>
                    <w:t>年</w:t>
                  </w:r>
                  <w:r>
                    <w:rPr>
                      <w:rFonts w:hint="eastAsia" w:ascii="Times New Roman" w:hAnsi="Times New Roman" w:cs="Times New Roman"/>
                      <w:b w:val="0"/>
                      <w:bCs/>
                      <w:color w:val="000000"/>
                      <w:lang w:eastAsia="zh-CN"/>
                    </w:rPr>
                    <w:t>加工量</w:t>
                  </w:r>
                </w:p>
              </w:tc>
              <w:tc>
                <w:tcPr>
                  <w:tcW w:w="533" w:type="pct"/>
                  <w:vMerge w:val="continue"/>
                  <w:tcBorders>
                    <w:tl2br w:val="nil"/>
                    <w:tr2bl w:val="nil"/>
                  </w:tcBorders>
                  <w:noWrap w:val="0"/>
                  <w:vAlign w:val="center"/>
                </w:tcPr>
                <w:p w14:paraId="69FB66C4">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p>
              </w:tc>
              <w:tc>
                <w:tcPr>
                  <w:tcW w:w="668" w:type="pct"/>
                  <w:vMerge w:val="continue"/>
                  <w:tcBorders>
                    <w:tl2br w:val="nil"/>
                    <w:tr2bl w:val="nil"/>
                  </w:tcBorders>
                  <w:noWrap w:val="0"/>
                  <w:vAlign w:val="center"/>
                </w:tcPr>
                <w:p w14:paraId="201B8D69">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p>
              </w:tc>
              <w:tc>
                <w:tcPr>
                  <w:tcW w:w="477" w:type="pct"/>
                  <w:vMerge w:val="continue"/>
                  <w:tcBorders>
                    <w:tl2br w:val="nil"/>
                    <w:tr2bl w:val="nil"/>
                  </w:tcBorders>
                  <w:noWrap w:val="0"/>
                  <w:vAlign w:val="center"/>
                </w:tcPr>
                <w:p w14:paraId="00090888">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000000"/>
                    </w:rPr>
                  </w:pPr>
                </w:p>
              </w:tc>
            </w:tr>
            <w:tr w14:paraId="46BA5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noWrap w:val="0"/>
                  <w:vAlign w:val="center"/>
                </w:tcPr>
                <w:p w14:paraId="34E44CEF">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000000"/>
                      <w:lang w:eastAsia="zh-CN"/>
                    </w:rPr>
                  </w:pPr>
                  <w:r>
                    <w:rPr>
                      <w:rFonts w:hint="eastAsia" w:ascii="Times New Roman" w:hAnsi="Times New Roman" w:eastAsia="宋体" w:cs="Times New Roman"/>
                      <w:b w:val="0"/>
                      <w:bCs/>
                      <w:color w:val="000000"/>
                      <w:lang w:eastAsia="zh-CN"/>
                    </w:rPr>
                    <w:t>抛丸机</w:t>
                  </w:r>
                </w:p>
              </w:tc>
              <w:tc>
                <w:tcPr>
                  <w:tcW w:w="477" w:type="pct"/>
                  <w:tcBorders>
                    <w:tl2br w:val="nil"/>
                    <w:tr2bl w:val="nil"/>
                  </w:tcBorders>
                  <w:noWrap w:val="0"/>
                  <w:vAlign w:val="center"/>
                </w:tcPr>
                <w:p w14:paraId="09406769">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000000"/>
                      <w:highlight w:val="none"/>
                      <w:lang w:eastAsia="zh-CN"/>
                    </w:rPr>
                  </w:pPr>
                  <w:r>
                    <w:rPr>
                      <w:rFonts w:hint="eastAsia" w:ascii="Times New Roman" w:hAnsi="Times New Roman" w:cs="Times New Roman"/>
                      <w:b w:val="0"/>
                      <w:bCs/>
                      <w:color w:val="000000"/>
                      <w:highlight w:val="none"/>
                      <w:lang w:eastAsia="zh-CN"/>
                    </w:rPr>
                    <w:t>抛丸</w:t>
                  </w:r>
                </w:p>
              </w:tc>
              <w:tc>
                <w:tcPr>
                  <w:tcW w:w="611" w:type="pct"/>
                  <w:tcBorders>
                    <w:tl2br w:val="nil"/>
                    <w:tr2bl w:val="nil"/>
                  </w:tcBorders>
                  <w:noWrap w:val="0"/>
                  <w:vAlign w:val="center"/>
                </w:tcPr>
                <w:p w14:paraId="3F1D4CAD">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eastAsia="等线" w:cs="Times New Roman"/>
                      <w:b w:val="0"/>
                      <w:bCs/>
                      <w:color w:val="000000"/>
                      <w:szCs w:val="21"/>
                      <w:lang w:val="en-US" w:eastAsia="zh-CN"/>
                    </w:rPr>
                    <w:t>0.5h/批</w:t>
                  </w:r>
                </w:p>
              </w:tc>
              <w:tc>
                <w:tcPr>
                  <w:tcW w:w="572" w:type="pct"/>
                  <w:tcBorders>
                    <w:tl2br w:val="nil"/>
                    <w:tr2bl w:val="nil"/>
                  </w:tcBorders>
                  <w:noWrap w:val="0"/>
                  <w:vAlign w:val="center"/>
                </w:tcPr>
                <w:p w14:paraId="63B2D8CB">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cs="Times New Roman"/>
                      <w:b w:val="0"/>
                      <w:bCs/>
                      <w:color w:val="000000"/>
                      <w:lang w:val="en-US" w:eastAsia="zh-CN"/>
                    </w:rPr>
                    <w:t>20件/批</w:t>
                  </w:r>
                </w:p>
              </w:tc>
              <w:tc>
                <w:tcPr>
                  <w:tcW w:w="475" w:type="pct"/>
                  <w:tcBorders>
                    <w:tl2br w:val="nil"/>
                    <w:tr2bl w:val="nil"/>
                  </w:tcBorders>
                  <w:noWrap w:val="0"/>
                  <w:vAlign w:val="center"/>
                </w:tcPr>
                <w:p w14:paraId="3DF608E4">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2080</w:t>
                  </w:r>
                </w:p>
              </w:tc>
              <w:tc>
                <w:tcPr>
                  <w:tcW w:w="609" w:type="pct"/>
                  <w:tcBorders>
                    <w:tl2br w:val="nil"/>
                    <w:tr2bl w:val="nil"/>
                  </w:tcBorders>
                  <w:noWrap w:val="0"/>
                  <w:vAlign w:val="center"/>
                </w:tcPr>
                <w:p w14:paraId="322C1052">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8.32万件</w:t>
                  </w:r>
                </w:p>
              </w:tc>
              <w:tc>
                <w:tcPr>
                  <w:tcW w:w="533" w:type="pct"/>
                  <w:tcBorders>
                    <w:tl2br w:val="nil"/>
                    <w:tr2bl w:val="nil"/>
                  </w:tcBorders>
                  <w:noWrap w:val="0"/>
                  <w:vAlign w:val="center"/>
                </w:tcPr>
                <w:p w14:paraId="35C8980E">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eastAsia="等线" w:cs="Times New Roman"/>
                      <w:b w:val="0"/>
                      <w:bCs/>
                      <w:color w:val="000000"/>
                      <w:szCs w:val="21"/>
                      <w:lang w:val="en-US" w:eastAsia="zh-CN"/>
                    </w:rPr>
                    <w:t>2台</w:t>
                  </w:r>
                </w:p>
              </w:tc>
              <w:tc>
                <w:tcPr>
                  <w:tcW w:w="668" w:type="pct"/>
                  <w:tcBorders>
                    <w:tl2br w:val="nil"/>
                    <w:tr2bl w:val="nil"/>
                  </w:tcBorders>
                  <w:noWrap w:val="0"/>
                  <w:vAlign w:val="center"/>
                </w:tcPr>
                <w:p w14:paraId="77E000F0">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eastAsia="等线" w:cs="Times New Roman"/>
                      <w:b w:val="0"/>
                      <w:bCs/>
                      <w:color w:val="000000"/>
                      <w:szCs w:val="21"/>
                      <w:lang w:val="en-US" w:eastAsia="zh-CN"/>
                    </w:rPr>
                    <w:t>16.64万件</w:t>
                  </w:r>
                </w:p>
              </w:tc>
              <w:tc>
                <w:tcPr>
                  <w:tcW w:w="477" w:type="pct"/>
                  <w:tcBorders>
                    <w:tl2br w:val="nil"/>
                    <w:tr2bl w:val="nil"/>
                  </w:tcBorders>
                  <w:noWrap w:val="0"/>
                  <w:vAlign w:val="center"/>
                </w:tcPr>
                <w:p w14:paraId="14CA28EF">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000000"/>
                      <w:lang w:val="en-US" w:eastAsia="zh-CN"/>
                    </w:rPr>
                  </w:pPr>
                  <w:r>
                    <w:rPr>
                      <w:rFonts w:hint="eastAsia" w:ascii="Times New Roman" w:hAnsi="Times New Roman" w:cs="Times New Roman"/>
                      <w:b w:val="0"/>
                      <w:bCs/>
                      <w:color w:val="000000"/>
                      <w:lang w:val="en-US" w:eastAsia="zh-CN"/>
                    </w:rPr>
                    <w:t>10万件</w:t>
                  </w:r>
                </w:p>
              </w:tc>
            </w:tr>
            <w:tr w14:paraId="7A011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noWrap w:val="0"/>
                  <w:vAlign w:val="center"/>
                </w:tcPr>
                <w:p w14:paraId="271FDFF7">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FF0000"/>
                      <w:lang w:eastAsia="zh-CN"/>
                    </w:rPr>
                  </w:pPr>
                  <w:r>
                    <w:rPr>
                      <w:rFonts w:hint="eastAsia" w:ascii="Times New Roman" w:hAnsi="Times New Roman" w:cs="Times New Roman"/>
                      <w:b w:val="0"/>
                      <w:bCs/>
                      <w:color w:val="FF0000"/>
                      <w:lang w:eastAsia="zh-CN"/>
                    </w:rPr>
                    <w:t>喷枪</w:t>
                  </w:r>
                </w:p>
              </w:tc>
              <w:tc>
                <w:tcPr>
                  <w:tcW w:w="477" w:type="pct"/>
                  <w:tcBorders>
                    <w:tl2br w:val="nil"/>
                    <w:tr2bl w:val="nil"/>
                  </w:tcBorders>
                  <w:noWrap w:val="0"/>
                  <w:vAlign w:val="center"/>
                </w:tcPr>
                <w:p w14:paraId="4CBB421B">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cs="Times New Roman"/>
                      <w:b w:val="0"/>
                      <w:bCs/>
                      <w:color w:val="FF0000"/>
                      <w:highlight w:val="none"/>
                      <w:lang w:eastAsia="zh-CN"/>
                    </w:rPr>
                  </w:pPr>
                  <w:r>
                    <w:rPr>
                      <w:rFonts w:hint="eastAsia" w:ascii="Times New Roman" w:hAnsi="Times New Roman" w:cs="Times New Roman"/>
                      <w:b w:val="0"/>
                      <w:bCs/>
                      <w:color w:val="FF0000"/>
                      <w:highlight w:val="none"/>
                      <w:lang w:eastAsia="zh-CN"/>
                    </w:rPr>
                    <w:t>喷粉</w:t>
                  </w:r>
                </w:p>
              </w:tc>
              <w:tc>
                <w:tcPr>
                  <w:tcW w:w="611" w:type="pct"/>
                  <w:tcBorders>
                    <w:tl2br w:val="nil"/>
                    <w:tr2bl w:val="nil"/>
                  </w:tcBorders>
                  <w:noWrap w:val="0"/>
                  <w:vAlign w:val="center"/>
                </w:tcPr>
                <w:p w14:paraId="40204F05">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w:t>
                  </w:r>
                </w:p>
              </w:tc>
              <w:tc>
                <w:tcPr>
                  <w:tcW w:w="572" w:type="pct"/>
                  <w:tcBorders>
                    <w:tl2br w:val="nil"/>
                    <w:tr2bl w:val="nil"/>
                  </w:tcBorders>
                  <w:noWrap w:val="0"/>
                  <w:vAlign w:val="center"/>
                </w:tcPr>
                <w:p w14:paraId="418F81B1">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FF0000"/>
                      <w:lang w:val="en-US" w:eastAsia="zh-CN"/>
                    </w:rPr>
                  </w:pPr>
                  <w:r>
                    <w:rPr>
                      <w:rFonts w:hint="eastAsia" w:ascii="Times New Roman" w:hAnsi="Times New Roman" w:cs="Times New Roman"/>
                      <w:b w:val="0"/>
                      <w:bCs/>
                      <w:color w:val="FF0000"/>
                      <w:lang w:val="en-US" w:eastAsia="zh-CN"/>
                    </w:rPr>
                    <w:t>25g/min</w:t>
                  </w:r>
                </w:p>
              </w:tc>
              <w:tc>
                <w:tcPr>
                  <w:tcW w:w="475" w:type="pct"/>
                  <w:tcBorders>
                    <w:tl2br w:val="nil"/>
                    <w:tr2bl w:val="nil"/>
                  </w:tcBorders>
                  <w:noWrap w:val="0"/>
                  <w:vAlign w:val="center"/>
                </w:tcPr>
                <w:p w14:paraId="331204AC">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FF0000"/>
                      <w:lang w:val="en-US" w:eastAsia="zh-CN"/>
                    </w:rPr>
                  </w:pPr>
                  <w:r>
                    <w:rPr>
                      <w:rFonts w:hint="eastAsia" w:ascii="Times New Roman" w:hAnsi="Times New Roman" w:cs="Times New Roman"/>
                      <w:b w:val="0"/>
                      <w:bCs/>
                      <w:color w:val="FF0000"/>
                      <w:lang w:val="en-US" w:eastAsia="zh-CN"/>
                    </w:rPr>
                    <w:t>2080</w:t>
                  </w:r>
                </w:p>
              </w:tc>
              <w:tc>
                <w:tcPr>
                  <w:tcW w:w="609" w:type="pct"/>
                  <w:tcBorders>
                    <w:tl2br w:val="nil"/>
                    <w:tr2bl w:val="nil"/>
                  </w:tcBorders>
                  <w:noWrap w:val="0"/>
                  <w:vAlign w:val="center"/>
                </w:tcPr>
                <w:p w14:paraId="4BC817F9">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宋体" w:cs="Times New Roman"/>
                      <w:b w:val="0"/>
                      <w:bCs/>
                      <w:color w:val="FF0000"/>
                      <w:lang w:val="en-US" w:eastAsia="zh-CN"/>
                    </w:rPr>
                  </w:pPr>
                  <w:r>
                    <w:rPr>
                      <w:rFonts w:hint="eastAsia" w:ascii="Times New Roman" w:hAnsi="Times New Roman" w:cs="Times New Roman"/>
                      <w:b w:val="0"/>
                      <w:bCs/>
                      <w:color w:val="FF0000"/>
                      <w:lang w:val="en-US" w:eastAsia="zh-CN"/>
                    </w:rPr>
                    <w:t>3.12t</w:t>
                  </w:r>
                </w:p>
              </w:tc>
              <w:tc>
                <w:tcPr>
                  <w:tcW w:w="533" w:type="pct"/>
                  <w:tcBorders>
                    <w:tl2br w:val="nil"/>
                    <w:tr2bl w:val="nil"/>
                  </w:tcBorders>
                  <w:noWrap w:val="0"/>
                  <w:vAlign w:val="center"/>
                </w:tcPr>
                <w:p w14:paraId="77E47171">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2用2</w:t>
                  </w:r>
                  <w:r>
                    <w:rPr>
                      <w:rFonts w:hint="eastAsia" w:ascii="宋体" w:hAnsi="宋体" w:eastAsia="宋体" w:cs="宋体"/>
                      <w:b w:val="0"/>
                      <w:bCs/>
                      <w:color w:val="FF0000"/>
                      <w:szCs w:val="21"/>
                      <w:lang w:val="en-US" w:eastAsia="zh-CN"/>
                    </w:rPr>
                    <w:t>备</w:t>
                  </w:r>
                </w:p>
              </w:tc>
              <w:tc>
                <w:tcPr>
                  <w:tcW w:w="668" w:type="pct"/>
                  <w:tcBorders>
                    <w:tl2br w:val="nil"/>
                    <w:tr2bl w:val="nil"/>
                  </w:tcBorders>
                  <w:noWrap w:val="0"/>
                  <w:vAlign w:val="center"/>
                </w:tcPr>
                <w:p w14:paraId="28C67F58">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6.24t</w:t>
                  </w:r>
                </w:p>
              </w:tc>
              <w:tc>
                <w:tcPr>
                  <w:tcW w:w="477" w:type="pct"/>
                  <w:tcBorders>
                    <w:tl2br w:val="nil"/>
                    <w:tr2bl w:val="nil"/>
                  </w:tcBorders>
                  <w:noWrap w:val="0"/>
                  <w:vAlign w:val="center"/>
                </w:tcPr>
                <w:p w14:paraId="4471C97A">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cs="Times New Roman"/>
                      <w:b w:val="0"/>
                      <w:bCs/>
                      <w:color w:val="FF0000"/>
                      <w:lang w:val="en-US" w:eastAsia="zh-CN"/>
                    </w:rPr>
                  </w:pPr>
                  <w:r>
                    <w:rPr>
                      <w:rFonts w:hint="eastAsia" w:ascii="Times New Roman" w:hAnsi="Times New Roman" w:cs="Times New Roman"/>
                      <w:b w:val="0"/>
                      <w:bCs/>
                      <w:color w:val="FF0000"/>
                      <w:lang w:val="en-US" w:eastAsia="zh-CN"/>
                    </w:rPr>
                    <w:t>5.47t</w:t>
                  </w:r>
                </w:p>
              </w:tc>
            </w:tr>
            <w:tr w14:paraId="294E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noWrap w:val="0"/>
                  <w:vAlign w:val="center"/>
                </w:tcPr>
                <w:p w14:paraId="06B58FD8">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FF0000"/>
                      <w:lang w:eastAsia="zh-CN"/>
                    </w:rPr>
                  </w:pPr>
                  <w:r>
                    <w:rPr>
                      <w:rFonts w:hint="eastAsia" w:ascii="Times New Roman" w:hAnsi="Times New Roman" w:cs="Times New Roman"/>
                      <w:b w:val="0"/>
                      <w:bCs/>
                      <w:color w:val="FF0000"/>
                      <w:lang w:eastAsia="zh-CN"/>
                    </w:rPr>
                    <w:t>循环链条</w:t>
                  </w:r>
                </w:p>
              </w:tc>
              <w:tc>
                <w:tcPr>
                  <w:tcW w:w="477" w:type="pct"/>
                  <w:tcBorders>
                    <w:tl2br w:val="nil"/>
                    <w:tr2bl w:val="nil"/>
                  </w:tcBorders>
                  <w:noWrap w:val="0"/>
                  <w:vAlign w:val="center"/>
                </w:tcPr>
                <w:p w14:paraId="28FD1CBA">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eastAsia" w:ascii="Times New Roman" w:hAnsi="Times New Roman" w:eastAsia="宋体" w:cs="Times New Roman"/>
                      <w:b w:val="0"/>
                      <w:bCs/>
                      <w:color w:val="FF0000"/>
                      <w:highlight w:val="none"/>
                      <w:lang w:eastAsia="zh-CN"/>
                    </w:rPr>
                  </w:pPr>
                  <w:r>
                    <w:rPr>
                      <w:rFonts w:hint="eastAsia" w:ascii="Times New Roman" w:hAnsi="Times New Roman" w:cs="Times New Roman"/>
                      <w:b w:val="0"/>
                      <w:bCs/>
                      <w:color w:val="FF0000"/>
                      <w:highlight w:val="none"/>
                      <w:lang w:eastAsia="zh-CN"/>
                    </w:rPr>
                    <w:t>固化</w:t>
                  </w:r>
                </w:p>
              </w:tc>
              <w:tc>
                <w:tcPr>
                  <w:tcW w:w="611" w:type="pct"/>
                  <w:tcBorders>
                    <w:tl2br w:val="nil"/>
                    <w:tr2bl w:val="nil"/>
                  </w:tcBorders>
                  <w:noWrap w:val="0"/>
                  <w:vAlign w:val="center"/>
                </w:tcPr>
                <w:p w14:paraId="5B2E06BA">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1.1min/件</w:t>
                  </w:r>
                </w:p>
              </w:tc>
              <w:tc>
                <w:tcPr>
                  <w:tcW w:w="572" w:type="pct"/>
                  <w:tcBorders>
                    <w:tl2br w:val="nil"/>
                    <w:tr2bl w:val="nil"/>
                  </w:tcBorders>
                  <w:noWrap w:val="0"/>
                  <w:vAlign w:val="center"/>
                </w:tcPr>
                <w:p w14:paraId="297BF0D2">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rPr>
                  </w:pPr>
                  <w:r>
                    <w:rPr>
                      <w:rFonts w:hint="eastAsia" w:ascii="Times New Roman" w:hAnsi="Times New Roman" w:eastAsia="等线" w:cs="Times New Roman"/>
                      <w:b w:val="0"/>
                      <w:bCs/>
                      <w:color w:val="FF0000"/>
                      <w:szCs w:val="21"/>
                      <w:lang w:val="en-US" w:eastAsia="zh-CN"/>
                    </w:rPr>
                    <w:t>55件/h</w:t>
                  </w:r>
                </w:p>
              </w:tc>
              <w:tc>
                <w:tcPr>
                  <w:tcW w:w="475" w:type="pct"/>
                  <w:tcBorders>
                    <w:tl2br w:val="nil"/>
                    <w:tr2bl w:val="nil"/>
                  </w:tcBorders>
                  <w:noWrap w:val="0"/>
                  <w:vAlign w:val="center"/>
                </w:tcPr>
                <w:p w14:paraId="1D14CE96">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2080</w:t>
                  </w:r>
                </w:p>
              </w:tc>
              <w:tc>
                <w:tcPr>
                  <w:tcW w:w="609" w:type="pct"/>
                  <w:tcBorders>
                    <w:tl2br w:val="nil"/>
                    <w:tr2bl w:val="nil"/>
                  </w:tcBorders>
                  <w:noWrap w:val="0"/>
                  <w:vAlign w:val="center"/>
                </w:tcPr>
                <w:p w14:paraId="07261091">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11.44万件</w:t>
                  </w:r>
                </w:p>
              </w:tc>
              <w:tc>
                <w:tcPr>
                  <w:tcW w:w="533" w:type="pct"/>
                  <w:tcBorders>
                    <w:tl2br w:val="nil"/>
                    <w:tr2bl w:val="nil"/>
                  </w:tcBorders>
                  <w:noWrap w:val="0"/>
                  <w:vAlign w:val="center"/>
                </w:tcPr>
                <w:p w14:paraId="1E827C6E">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宋体" w:hAnsi="宋体" w:eastAsia="宋体" w:cs="宋体"/>
                      <w:b w:val="0"/>
                      <w:bCs/>
                      <w:color w:val="FF0000"/>
                      <w:szCs w:val="21"/>
                      <w:lang w:val="en-US" w:eastAsia="zh-CN"/>
                    </w:rPr>
                    <w:t>1条线</w:t>
                  </w:r>
                </w:p>
              </w:tc>
              <w:tc>
                <w:tcPr>
                  <w:tcW w:w="668" w:type="pct"/>
                  <w:tcBorders>
                    <w:tl2br w:val="nil"/>
                    <w:tr2bl w:val="nil"/>
                  </w:tcBorders>
                  <w:noWrap w:val="0"/>
                  <w:vAlign w:val="center"/>
                </w:tcPr>
                <w:p w14:paraId="580155B3">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11.44万件</w:t>
                  </w:r>
                </w:p>
              </w:tc>
              <w:tc>
                <w:tcPr>
                  <w:tcW w:w="477" w:type="pct"/>
                  <w:tcBorders>
                    <w:tl2br w:val="nil"/>
                    <w:tr2bl w:val="nil"/>
                  </w:tcBorders>
                  <w:noWrap w:val="0"/>
                  <w:vAlign w:val="center"/>
                </w:tcPr>
                <w:p w14:paraId="0366123F">
                  <w:pPr>
                    <w:pStyle w:val="4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textAlignment w:val="center"/>
                    <w:rPr>
                      <w:rFonts w:hint="default" w:ascii="Times New Roman" w:hAnsi="Times New Roman" w:eastAsia="等线" w:cs="Times New Roman"/>
                      <w:b w:val="0"/>
                      <w:bCs/>
                      <w:color w:val="FF0000"/>
                      <w:szCs w:val="21"/>
                      <w:lang w:val="en-US" w:eastAsia="zh-CN"/>
                    </w:rPr>
                  </w:pPr>
                  <w:r>
                    <w:rPr>
                      <w:rFonts w:hint="eastAsia" w:ascii="Times New Roman" w:hAnsi="Times New Roman" w:eastAsia="等线" w:cs="Times New Roman"/>
                      <w:b w:val="0"/>
                      <w:bCs/>
                      <w:color w:val="FF0000"/>
                      <w:szCs w:val="21"/>
                      <w:lang w:val="en-US" w:eastAsia="zh-CN"/>
                    </w:rPr>
                    <w:t>10万件</w:t>
                  </w:r>
                </w:p>
              </w:tc>
            </w:tr>
            <w:tr w14:paraId="21783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tcBorders>
                    <w:tl2br w:val="nil"/>
                    <w:tr2bl w:val="nil"/>
                  </w:tcBorders>
                  <w:noWrap w:val="0"/>
                  <w:vAlign w:val="center"/>
                </w:tcPr>
                <w:p w14:paraId="10CC9E6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等线" w:cs="Times New Roman"/>
                      <w:b w:val="0"/>
                      <w:bCs/>
                      <w:color w:val="000000"/>
                      <w:szCs w:val="21"/>
                      <w:lang w:val="en-US" w:eastAsia="zh-CN"/>
                    </w:rPr>
                  </w:pPr>
                  <w:r>
                    <w:rPr>
                      <w:rFonts w:hint="default" w:ascii="Times New Roman" w:hAnsi="Times New Roman" w:cs="Times New Roman"/>
                      <w:b w:val="0"/>
                      <w:bCs w:val="0"/>
                      <w:color w:val="auto"/>
                      <w:sz w:val="21"/>
                      <w:szCs w:val="21"/>
                    </w:rPr>
                    <w:t>注：产全年工作</w:t>
                  </w:r>
                  <w:r>
                    <w:rPr>
                      <w:rFonts w:hint="default" w:ascii="Times New Roman" w:hAnsi="Times New Roman" w:cs="Times New Roman"/>
                      <w:b w:val="0"/>
                      <w:bCs w:val="0"/>
                      <w:color w:val="auto"/>
                      <w:sz w:val="21"/>
                      <w:szCs w:val="21"/>
                      <w:lang w:val="en-US" w:eastAsia="zh-CN"/>
                    </w:rPr>
                    <w:t>260</w:t>
                  </w:r>
                  <w:r>
                    <w:rPr>
                      <w:rFonts w:hint="default" w:ascii="Times New Roman" w:hAnsi="Times New Roman" w:cs="Times New Roman"/>
                      <w:b w:val="0"/>
                      <w:bCs w:val="0"/>
                      <w:color w:val="auto"/>
                      <w:sz w:val="21"/>
                      <w:szCs w:val="21"/>
                    </w:rPr>
                    <w:t>天，实行</w:t>
                  </w: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班制，每班8h。</w:t>
                  </w:r>
                </w:p>
              </w:tc>
            </w:tr>
          </w:tbl>
          <w:p w14:paraId="146655A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
                <w:bCs/>
                <w:color w:val="auto"/>
                <w:sz w:val="24"/>
                <w:szCs w:val="24"/>
                <w:highlight w:val="none"/>
                <w:vertAlign w:val="baseline"/>
                <w:lang w:val="en-US" w:eastAsia="zh-CN"/>
              </w:rPr>
            </w:pPr>
            <w:r>
              <w:rPr>
                <w:rFonts w:hint="default" w:ascii="Times New Roman" w:hAnsi="Times New Roman" w:cs="Times New Roman"/>
                <w:color w:val="000000"/>
                <w:sz w:val="24"/>
                <w:szCs w:val="24"/>
                <w:lang w:eastAsia="zh-CN"/>
              </w:rPr>
              <w:t>根据表</w:t>
            </w:r>
            <w:r>
              <w:rPr>
                <w:rFonts w:hint="default"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lang w:val="en-US" w:eastAsia="zh-CN"/>
              </w:rPr>
              <w:t>分析，项目产能受控于</w:t>
            </w:r>
            <w:r>
              <w:rPr>
                <w:rFonts w:hint="eastAsia" w:ascii="Times New Roman" w:hAnsi="Times New Roman" w:cs="Times New Roman"/>
                <w:color w:val="000000"/>
                <w:sz w:val="24"/>
                <w:szCs w:val="24"/>
                <w:lang w:val="en-US" w:eastAsia="zh-CN"/>
              </w:rPr>
              <w:t>固化工序</w:t>
            </w:r>
            <w:r>
              <w:rPr>
                <w:rFonts w:hint="default" w:ascii="Times New Roman" w:hAnsi="Times New Roman" w:cs="Times New Roman"/>
                <w:color w:val="000000"/>
                <w:sz w:val="24"/>
                <w:szCs w:val="24"/>
                <w:lang w:val="en-US" w:eastAsia="zh-CN"/>
              </w:rPr>
              <w:t>，设备的核算产能为</w:t>
            </w:r>
            <w:r>
              <w:rPr>
                <w:rFonts w:hint="eastAsia" w:ascii="Times New Roman" w:hAnsi="Times New Roman" w:cs="Times New Roman"/>
                <w:color w:val="000000"/>
                <w:sz w:val="24"/>
                <w:szCs w:val="24"/>
                <w:lang w:val="en-US" w:eastAsia="zh-CN"/>
              </w:rPr>
              <w:t>11.44万件</w:t>
            </w:r>
            <w:r>
              <w:rPr>
                <w:rFonts w:hint="default" w:ascii="Times New Roman" w:hAnsi="Times New Roman" w:cs="Times New Roman"/>
                <w:color w:val="000000"/>
                <w:sz w:val="24"/>
                <w:szCs w:val="24"/>
                <w:lang w:val="en-US" w:eastAsia="zh-CN"/>
              </w:rPr>
              <w:t>/a，大于</w:t>
            </w:r>
            <w:r>
              <w:rPr>
                <w:rFonts w:hint="eastAsia" w:ascii="Times New Roman" w:hAnsi="Times New Roman" w:cs="Times New Roman"/>
                <w:color w:val="000000"/>
                <w:sz w:val="24"/>
                <w:szCs w:val="24"/>
                <w:lang w:val="en-US" w:eastAsia="zh-CN"/>
              </w:rPr>
              <w:t>10万件</w:t>
            </w:r>
            <w:r>
              <w:rPr>
                <w:rFonts w:hint="default" w:ascii="Times New Roman" w:hAnsi="Times New Roman" w:cs="Times New Roman"/>
                <w:color w:val="000000"/>
                <w:sz w:val="24"/>
                <w:szCs w:val="24"/>
                <w:lang w:val="en-US" w:eastAsia="zh-CN"/>
              </w:rPr>
              <w:t>/a的规模，本项目各生产线设备的生产产能能够满足本项</w:t>
            </w:r>
            <w:r>
              <w:rPr>
                <w:rFonts w:hint="default" w:ascii="Times New Roman" w:hAnsi="Times New Roman" w:eastAsia="宋体" w:cs="Times New Roman"/>
                <w:color w:val="000000"/>
                <w:sz w:val="24"/>
                <w:szCs w:val="24"/>
                <w:lang w:val="en-US" w:eastAsia="zh-CN"/>
              </w:rPr>
              <w:t>目年</w:t>
            </w:r>
            <w:r>
              <w:rPr>
                <w:rFonts w:hint="eastAsia" w:ascii="Times New Roman" w:hAnsi="Times New Roman" w:eastAsia="宋体" w:cs="Times New Roman"/>
                <w:color w:val="000000"/>
                <w:sz w:val="24"/>
                <w:szCs w:val="24"/>
                <w:lang w:val="en-US" w:eastAsia="zh-CN"/>
              </w:rPr>
              <w:t>加工汽车冲焊零部件10</w:t>
            </w:r>
            <w:r>
              <w:rPr>
                <w:rFonts w:hint="default" w:ascii="Times New Roman" w:hAnsi="Times New Roman" w:eastAsia="宋体" w:cs="Times New Roman"/>
                <w:color w:val="000000"/>
                <w:sz w:val="24"/>
                <w:szCs w:val="24"/>
                <w:lang w:val="en-US" w:eastAsia="zh-CN"/>
              </w:rPr>
              <w:t>万件</w:t>
            </w:r>
            <w:r>
              <w:rPr>
                <w:rFonts w:hint="eastAsia" w:ascii="Times New Roman" w:hAnsi="Times New Roman" w:eastAsia="宋体" w:cs="Times New Roman"/>
                <w:color w:val="000000"/>
                <w:sz w:val="24"/>
                <w:szCs w:val="24"/>
                <w:lang w:val="en-US" w:eastAsia="zh-CN"/>
              </w:rPr>
              <w:t>的产能。</w:t>
            </w:r>
          </w:p>
          <w:p w14:paraId="1A1C71AA">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2.6、主要原辅材料及消耗量</w:t>
            </w:r>
          </w:p>
          <w:p w14:paraId="0A6BCE85">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本项目主要原辅材料消耗量以及主要能源消耗一览表见下表：</w:t>
            </w:r>
          </w:p>
          <w:p w14:paraId="246E38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7</w:t>
            </w:r>
            <w:r>
              <w:rPr>
                <w:rFonts w:hint="default" w:ascii="Times New Roman" w:hAnsi="Times New Roman" w:eastAsia="宋体" w:cs="Times New Roman"/>
                <w:color w:val="auto"/>
                <w:sz w:val="24"/>
                <w:szCs w:val="24"/>
                <w:highlight w:val="none"/>
                <w:vertAlign w:val="baseline"/>
                <w:lang w:val="en-US" w:eastAsia="zh-CN"/>
              </w:rPr>
              <w:t xml:space="preserve">  主要原辅材料消耗量一览表</w:t>
            </w:r>
          </w:p>
          <w:tbl>
            <w:tblPr>
              <w:tblStyle w:val="23"/>
              <w:tblW w:w="48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6"/>
              <w:gridCol w:w="1401"/>
              <w:gridCol w:w="1435"/>
              <w:gridCol w:w="1729"/>
              <w:gridCol w:w="1230"/>
              <w:gridCol w:w="1516"/>
            </w:tblGrid>
            <w:tr w14:paraId="6B1C5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tcBorders>
                    <w:tl2br w:val="nil"/>
                    <w:tr2bl w:val="nil"/>
                  </w:tcBorders>
                  <w:vAlign w:val="center"/>
                </w:tcPr>
                <w:p w14:paraId="4AAF52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类别</w:t>
                  </w:r>
                </w:p>
              </w:tc>
              <w:tc>
                <w:tcPr>
                  <w:tcW w:w="854" w:type="pct"/>
                  <w:tcBorders>
                    <w:tl2br w:val="nil"/>
                    <w:tr2bl w:val="nil"/>
                  </w:tcBorders>
                  <w:vAlign w:val="center"/>
                </w:tcPr>
                <w:p w14:paraId="792152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名称</w:t>
                  </w:r>
                </w:p>
              </w:tc>
              <w:tc>
                <w:tcPr>
                  <w:tcW w:w="875" w:type="pct"/>
                  <w:tcBorders>
                    <w:tl2br w:val="nil"/>
                    <w:tr2bl w:val="nil"/>
                  </w:tcBorders>
                  <w:vAlign w:val="center"/>
                </w:tcPr>
                <w:p w14:paraId="0D1E8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主要成分/规格</w:t>
                  </w:r>
                </w:p>
              </w:tc>
              <w:tc>
                <w:tcPr>
                  <w:tcW w:w="1054" w:type="pct"/>
                  <w:tcBorders>
                    <w:tl2br w:val="nil"/>
                    <w:tr2bl w:val="nil"/>
                  </w:tcBorders>
                  <w:vAlign w:val="center"/>
                </w:tcPr>
                <w:p w14:paraId="28D64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年用量</w:t>
                  </w:r>
                </w:p>
              </w:tc>
              <w:tc>
                <w:tcPr>
                  <w:tcW w:w="750" w:type="pct"/>
                  <w:tcBorders>
                    <w:tl2br w:val="nil"/>
                    <w:tr2bl w:val="nil"/>
                  </w:tcBorders>
                  <w:vAlign w:val="center"/>
                </w:tcPr>
                <w:p w14:paraId="4E11A4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最大暂存量</w:t>
                  </w:r>
                </w:p>
              </w:tc>
              <w:tc>
                <w:tcPr>
                  <w:tcW w:w="924" w:type="pct"/>
                  <w:tcBorders>
                    <w:tl2br w:val="nil"/>
                    <w:tr2bl w:val="nil"/>
                  </w:tcBorders>
                  <w:vAlign w:val="center"/>
                </w:tcPr>
                <w:p w14:paraId="101E2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备注</w:t>
                  </w:r>
                </w:p>
              </w:tc>
            </w:tr>
            <w:tr w14:paraId="7408E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restart"/>
                  <w:tcBorders>
                    <w:tl2br w:val="nil"/>
                    <w:tr2bl w:val="nil"/>
                  </w:tcBorders>
                  <w:vAlign w:val="center"/>
                </w:tcPr>
                <w:p w14:paraId="0C8E0AAC">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原料</w:t>
                  </w:r>
                </w:p>
              </w:tc>
              <w:tc>
                <w:tcPr>
                  <w:tcW w:w="854" w:type="pct"/>
                  <w:tcBorders>
                    <w:tl2br w:val="nil"/>
                    <w:tr2bl w:val="nil"/>
                  </w:tcBorders>
                  <w:shd w:val="clear" w:color="auto" w:fill="auto"/>
                  <w:vAlign w:val="center"/>
                </w:tcPr>
                <w:p w14:paraId="68FE06F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货架冲焊件</w:t>
                  </w:r>
                </w:p>
              </w:tc>
              <w:tc>
                <w:tcPr>
                  <w:tcW w:w="875" w:type="pct"/>
                  <w:vMerge w:val="restart"/>
                  <w:tcBorders>
                    <w:tl2br w:val="nil"/>
                    <w:tr2bl w:val="nil"/>
                  </w:tcBorders>
                  <w:shd w:val="clear" w:color="auto" w:fill="auto"/>
                  <w:vAlign w:val="center"/>
                </w:tcPr>
                <w:p w14:paraId="7ED233A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钢材</w:t>
                  </w:r>
                </w:p>
              </w:tc>
              <w:tc>
                <w:tcPr>
                  <w:tcW w:w="1054" w:type="pct"/>
                  <w:tcBorders>
                    <w:tl2br w:val="nil"/>
                    <w:tr2bl w:val="nil"/>
                  </w:tcBorders>
                  <w:shd w:val="clear" w:color="auto" w:fill="auto"/>
                  <w:vAlign w:val="center"/>
                </w:tcPr>
                <w:p w14:paraId="249C3FA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olor w:val="auto"/>
                      <w:sz w:val="21"/>
                      <w:szCs w:val="21"/>
                      <w:highlight w:val="none"/>
                      <w:vertAlign w:val="baseline"/>
                      <w:lang w:val="en-US" w:eastAsia="zh-CN"/>
                    </w:rPr>
                    <w:t>2万件</w:t>
                  </w:r>
                </w:p>
              </w:tc>
              <w:tc>
                <w:tcPr>
                  <w:tcW w:w="750" w:type="pct"/>
                  <w:tcBorders>
                    <w:tl2br w:val="nil"/>
                    <w:tr2bl w:val="nil"/>
                  </w:tcBorders>
                  <w:shd w:val="clear" w:color="auto" w:fill="auto"/>
                  <w:vAlign w:val="center"/>
                </w:tcPr>
                <w:p w14:paraId="09F0240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olor w:val="auto"/>
                      <w:sz w:val="21"/>
                      <w:szCs w:val="21"/>
                      <w:highlight w:val="none"/>
                      <w:vertAlign w:val="baseline"/>
                      <w:lang w:val="en-US" w:eastAsia="zh-CN"/>
                    </w:rPr>
                    <w:t>0.2万件</w:t>
                  </w:r>
                </w:p>
              </w:tc>
              <w:tc>
                <w:tcPr>
                  <w:tcW w:w="924" w:type="pct"/>
                  <w:vMerge w:val="restart"/>
                  <w:tcBorders>
                    <w:tl2br w:val="nil"/>
                    <w:tr2bl w:val="nil"/>
                  </w:tcBorders>
                  <w:vAlign w:val="center"/>
                </w:tcPr>
                <w:p w14:paraId="61CF4CEE">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建设单位现有工程生产的产品，本项目对其进行抛丸、喷粉、固化加工</w:t>
                  </w:r>
                </w:p>
              </w:tc>
            </w:tr>
            <w:tr w14:paraId="1D2A5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1EEA4600">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7031166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保险杠</w:t>
                  </w:r>
                  <w:r>
                    <w:rPr>
                      <w:rFonts w:hint="eastAsia" w:ascii="Times New Roman" w:hAnsi="Times New Roman" w:eastAsia="宋体"/>
                      <w:color w:val="auto"/>
                      <w:sz w:val="21"/>
                      <w:szCs w:val="21"/>
                      <w:highlight w:val="none"/>
                      <w:vertAlign w:val="baseline"/>
                      <w:lang w:val="en-US" w:eastAsia="zh-CN"/>
                    </w:rPr>
                    <w:t>冲焊件</w:t>
                  </w:r>
                </w:p>
              </w:tc>
              <w:tc>
                <w:tcPr>
                  <w:tcW w:w="875" w:type="pct"/>
                  <w:vMerge w:val="continue"/>
                  <w:tcBorders>
                    <w:tl2br w:val="nil"/>
                    <w:tr2bl w:val="nil"/>
                  </w:tcBorders>
                  <w:shd w:val="clear" w:color="auto" w:fill="auto"/>
                  <w:vAlign w:val="center"/>
                </w:tcPr>
                <w:p w14:paraId="20968A31">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4" w:type="pct"/>
                  <w:tcBorders>
                    <w:tl2br w:val="nil"/>
                    <w:tr2bl w:val="nil"/>
                  </w:tcBorders>
                  <w:shd w:val="clear" w:color="auto" w:fill="auto"/>
                  <w:vAlign w:val="center"/>
                </w:tcPr>
                <w:p w14:paraId="32A00E1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w:t>
                  </w:r>
                </w:p>
              </w:tc>
              <w:tc>
                <w:tcPr>
                  <w:tcW w:w="750" w:type="pct"/>
                  <w:tcBorders>
                    <w:tl2br w:val="nil"/>
                    <w:tr2bl w:val="nil"/>
                  </w:tcBorders>
                  <w:shd w:val="clear" w:color="auto" w:fill="auto"/>
                  <w:vAlign w:val="center"/>
                </w:tcPr>
                <w:p w14:paraId="56C3CB37">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0.1</w:t>
                  </w:r>
                  <w:r>
                    <w:rPr>
                      <w:rFonts w:hint="eastAsia" w:ascii="Times New Roman" w:hAnsi="Times New Roman" w:eastAsia="宋体"/>
                      <w:color w:val="auto"/>
                      <w:sz w:val="21"/>
                      <w:szCs w:val="21"/>
                      <w:highlight w:val="none"/>
                      <w:vertAlign w:val="baseline"/>
                      <w:lang w:val="en-US" w:eastAsia="zh-CN"/>
                    </w:rPr>
                    <w:t>万件</w:t>
                  </w:r>
                </w:p>
              </w:tc>
              <w:tc>
                <w:tcPr>
                  <w:tcW w:w="924" w:type="pct"/>
                  <w:vMerge w:val="continue"/>
                  <w:tcBorders>
                    <w:tl2br w:val="nil"/>
                    <w:tr2bl w:val="nil"/>
                  </w:tcBorders>
                  <w:vAlign w:val="center"/>
                </w:tcPr>
                <w:p w14:paraId="38986EAB">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p>
              </w:tc>
            </w:tr>
            <w:tr w14:paraId="38172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04D80557">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723C6ED6">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摇臂</w:t>
                  </w:r>
                  <w:r>
                    <w:rPr>
                      <w:rFonts w:hint="eastAsia" w:ascii="Times New Roman" w:hAnsi="Times New Roman" w:eastAsia="宋体"/>
                      <w:color w:val="auto"/>
                      <w:sz w:val="21"/>
                      <w:szCs w:val="21"/>
                      <w:highlight w:val="none"/>
                      <w:vertAlign w:val="baseline"/>
                      <w:lang w:val="en-US" w:eastAsia="zh-CN"/>
                    </w:rPr>
                    <w:t>冲焊件</w:t>
                  </w:r>
                </w:p>
              </w:tc>
              <w:tc>
                <w:tcPr>
                  <w:tcW w:w="875" w:type="pct"/>
                  <w:vMerge w:val="continue"/>
                  <w:tcBorders>
                    <w:tl2br w:val="nil"/>
                    <w:tr2bl w:val="nil"/>
                  </w:tcBorders>
                  <w:shd w:val="clear" w:color="auto" w:fill="auto"/>
                  <w:vAlign w:val="center"/>
                </w:tcPr>
                <w:p w14:paraId="7554C0E3">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054" w:type="pct"/>
                  <w:tcBorders>
                    <w:tl2br w:val="nil"/>
                    <w:tr2bl w:val="nil"/>
                  </w:tcBorders>
                  <w:shd w:val="clear" w:color="auto" w:fill="auto"/>
                  <w:vAlign w:val="center"/>
                </w:tcPr>
                <w:p w14:paraId="426C02D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w:t>
                  </w:r>
                </w:p>
              </w:tc>
              <w:tc>
                <w:tcPr>
                  <w:tcW w:w="750" w:type="pct"/>
                  <w:tcBorders>
                    <w:tl2br w:val="nil"/>
                    <w:tr2bl w:val="nil"/>
                  </w:tcBorders>
                  <w:shd w:val="clear" w:color="auto" w:fill="auto"/>
                  <w:vAlign w:val="center"/>
                </w:tcPr>
                <w:p w14:paraId="236DC775">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0.1</w:t>
                  </w:r>
                  <w:r>
                    <w:rPr>
                      <w:rFonts w:hint="eastAsia" w:ascii="Times New Roman" w:hAnsi="Times New Roman" w:eastAsia="宋体"/>
                      <w:color w:val="auto"/>
                      <w:sz w:val="21"/>
                      <w:szCs w:val="21"/>
                      <w:highlight w:val="none"/>
                      <w:vertAlign w:val="baseline"/>
                      <w:lang w:val="en-US" w:eastAsia="zh-CN"/>
                    </w:rPr>
                    <w:t>万件</w:t>
                  </w:r>
                </w:p>
              </w:tc>
              <w:tc>
                <w:tcPr>
                  <w:tcW w:w="924" w:type="pct"/>
                  <w:vMerge w:val="continue"/>
                  <w:tcBorders>
                    <w:tl2br w:val="nil"/>
                    <w:tr2bl w:val="nil"/>
                  </w:tcBorders>
                  <w:vAlign w:val="center"/>
                </w:tcPr>
                <w:p w14:paraId="10D7D591">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p>
              </w:tc>
            </w:tr>
            <w:tr w14:paraId="5DBE8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185E0DF0">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0745623B">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搁脚</w:t>
                  </w:r>
                  <w:r>
                    <w:rPr>
                      <w:rFonts w:hint="eastAsia" w:ascii="Times New Roman" w:hAnsi="Times New Roman" w:eastAsia="宋体"/>
                      <w:color w:val="auto"/>
                      <w:sz w:val="21"/>
                      <w:szCs w:val="21"/>
                      <w:highlight w:val="none"/>
                      <w:vertAlign w:val="baseline"/>
                      <w:lang w:val="en-US" w:eastAsia="zh-CN"/>
                    </w:rPr>
                    <w:t>冲焊件</w:t>
                  </w:r>
                </w:p>
              </w:tc>
              <w:tc>
                <w:tcPr>
                  <w:tcW w:w="875" w:type="pct"/>
                  <w:vMerge w:val="continue"/>
                  <w:tcBorders>
                    <w:tl2br w:val="nil"/>
                    <w:tr2bl w:val="nil"/>
                  </w:tcBorders>
                  <w:shd w:val="clear" w:color="auto" w:fill="auto"/>
                  <w:vAlign w:val="center"/>
                </w:tcPr>
                <w:p w14:paraId="3D14C9A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054" w:type="pct"/>
                  <w:tcBorders>
                    <w:tl2br w:val="nil"/>
                    <w:tr2bl w:val="nil"/>
                  </w:tcBorders>
                  <w:shd w:val="clear" w:color="auto" w:fill="auto"/>
                  <w:vAlign w:val="center"/>
                </w:tcPr>
                <w:p w14:paraId="091C6F7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3</w:t>
                  </w:r>
                  <w:r>
                    <w:rPr>
                      <w:rFonts w:hint="eastAsia" w:ascii="Times New Roman" w:hAnsi="Times New Roman" w:eastAsia="宋体"/>
                      <w:color w:val="auto"/>
                      <w:sz w:val="21"/>
                      <w:szCs w:val="21"/>
                      <w:highlight w:val="none"/>
                      <w:vertAlign w:val="baseline"/>
                      <w:lang w:val="en-US" w:eastAsia="zh-CN"/>
                    </w:rPr>
                    <w:t>万件</w:t>
                  </w:r>
                </w:p>
              </w:tc>
              <w:tc>
                <w:tcPr>
                  <w:tcW w:w="750" w:type="pct"/>
                  <w:tcBorders>
                    <w:tl2br w:val="nil"/>
                    <w:tr2bl w:val="nil"/>
                  </w:tcBorders>
                  <w:shd w:val="clear" w:color="auto" w:fill="auto"/>
                  <w:vAlign w:val="center"/>
                </w:tcPr>
                <w:p w14:paraId="665EF93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0.3</w:t>
                  </w:r>
                  <w:r>
                    <w:rPr>
                      <w:rFonts w:hint="eastAsia" w:ascii="Times New Roman" w:hAnsi="Times New Roman" w:eastAsia="宋体"/>
                      <w:color w:val="auto"/>
                      <w:sz w:val="21"/>
                      <w:szCs w:val="21"/>
                      <w:highlight w:val="none"/>
                      <w:vertAlign w:val="baseline"/>
                      <w:lang w:val="en-US" w:eastAsia="zh-CN"/>
                    </w:rPr>
                    <w:t>万件</w:t>
                  </w:r>
                </w:p>
              </w:tc>
              <w:tc>
                <w:tcPr>
                  <w:tcW w:w="924" w:type="pct"/>
                  <w:vMerge w:val="continue"/>
                  <w:tcBorders>
                    <w:tl2br w:val="nil"/>
                    <w:tr2bl w:val="nil"/>
                  </w:tcBorders>
                  <w:vAlign w:val="center"/>
                </w:tcPr>
                <w:p w14:paraId="6D001523">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p>
              </w:tc>
            </w:tr>
            <w:tr w14:paraId="34762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188CAE77">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62C3AF3D">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扶手</w:t>
                  </w:r>
                  <w:r>
                    <w:rPr>
                      <w:rFonts w:hint="eastAsia" w:ascii="Times New Roman" w:hAnsi="Times New Roman" w:eastAsia="宋体"/>
                      <w:color w:val="auto"/>
                      <w:sz w:val="21"/>
                      <w:szCs w:val="21"/>
                      <w:highlight w:val="none"/>
                      <w:vertAlign w:val="baseline"/>
                      <w:lang w:val="en-US" w:eastAsia="zh-CN"/>
                    </w:rPr>
                    <w:t>冲焊件</w:t>
                  </w:r>
                </w:p>
              </w:tc>
              <w:tc>
                <w:tcPr>
                  <w:tcW w:w="875" w:type="pct"/>
                  <w:vMerge w:val="continue"/>
                  <w:tcBorders>
                    <w:tl2br w:val="nil"/>
                    <w:tr2bl w:val="nil"/>
                  </w:tcBorders>
                  <w:shd w:val="clear" w:color="auto" w:fill="auto"/>
                  <w:vAlign w:val="center"/>
                </w:tcPr>
                <w:p w14:paraId="44B140BF">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054" w:type="pct"/>
                  <w:tcBorders>
                    <w:tl2br w:val="nil"/>
                    <w:tr2bl w:val="nil"/>
                  </w:tcBorders>
                  <w:shd w:val="clear" w:color="auto" w:fill="auto"/>
                  <w:vAlign w:val="center"/>
                </w:tcPr>
                <w:p w14:paraId="11FFAE3E">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w:t>
                  </w:r>
                </w:p>
              </w:tc>
              <w:tc>
                <w:tcPr>
                  <w:tcW w:w="750" w:type="pct"/>
                  <w:tcBorders>
                    <w:tl2br w:val="nil"/>
                    <w:tr2bl w:val="nil"/>
                  </w:tcBorders>
                  <w:shd w:val="clear" w:color="auto" w:fill="auto"/>
                  <w:vAlign w:val="center"/>
                </w:tcPr>
                <w:p w14:paraId="3D509D3C">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0.1</w:t>
                  </w:r>
                  <w:r>
                    <w:rPr>
                      <w:rFonts w:hint="eastAsia" w:ascii="Times New Roman" w:hAnsi="Times New Roman" w:eastAsia="宋体"/>
                      <w:color w:val="auto"/>
                      <w:sz w:val="21"/>
                      <w:szCs w:val="21"/>
                      <w:highlight w:val="none"/>
                      <w:vertAlign w:val="baseline"/>
                      <w:lang w:val="en-US" w:eastAsia="zh-CN"/>
                    </w:rPr>
                    <w:t>万件</w:t>
                  </w:r>
                </w:p>
              </w:tc>
              <w:tc>
                <w:tcPr>
                  <w:tcW w:w="924" w:type="pct"/>
                  <w:vMerge w:val="continue"/>
                  <w:tcBorders>
                    <w:tl2br w:val="nil"/>
                    <w:tr2bl w:val="nil"/>
                  </w:tcBorders>
                  <w:vAlign w:val="center"/>
                </w:tcPr>
                <w:p w14:paraId="0D2AB874">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p>
              </w:tc>
            </w:tr>
            <w:tr w14:paraId="4350B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03ECE149">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0583B494">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托架</w:t>
                  </w:r>
                  <w:r>
                    <w:rPr>
                      <w:rFonts w:hint="eastAsia" w:ascii="Times New Roman" w:hAnsi="Times New Roman" w:eastAsia="宋体"/>
                      <w:color w:val="auto"/>
                      <w:sz w:val="21"/>
                      <w:szCs w:val="21"/>
                      <w:highlight w:val="none"/>
                      <w:vertAlign w:val="baseline"/>
                      <w:lang w:val="en-US" w:eastAsia="zh-CN"/>
                    </w:rPr>
                    <w:t>冲焊件</w:t>
                  </w:r>
                </w:p>
              </w:tc>
              <w:tc>
                <w:tcPr>
                  <w:tcW w:w="875" w:type="pct"/>
                  <w:vMerge w:val="continue"/>
                  <w:tcBorders>
                    <w:tl2br w:val="nil"/>
                    <w:tr2bl w:val="nil"/>
                  </w:tcBorders>
                  <w:shd w:val="clear" w:color="auto" w:fill="auto"/>
                  <w:vAlign w:val="center"/>
                </w:tcPr>
                <w:p w14:paraId="6AE611C8">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054" w:type="pct"/>
                  <w:tcBorders>
                    <w:tl2br w:val="nil"/>
                    <w:tr2bl w:val="nil"/>
                  </w:tcBorders>
                  <w:shd w:val="clear" w:color="auto" w:fill="auto"/>
                  <w:vAlign w:val="center"/>
                </w:tcPr>
                <w:p w14:paraId="58B3B609">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2</w:t>
                  </w:r>
                  <w:r>
                    <w:rPr>
                      <w:rFonts w:hint="eastAsia" w:ascii="Times New Roman" w:hAnsi="Times New Roman" w:eastAsia="宋体"/>
                      <w:color w:val="auto"/>
                      <w:sz w:val="21"/>
                      <w:szCs w:val="21"/>
                      <w:highlight w:val="none"/>
                      <w:vertAlign w:val="baseline"/>
                      <w:lang w:val="en-US" w:eastAsia="zh-CN"/>
                    </w:rPr>
                    <w:t>万件</w:t>
                  </w:r>
                </w:p>
              </w:tc>
              <w:tc>
                <w:tcPr>
                  <w:tcW w:w="750" w:type="pct"/>
                  <w:tcBorders>
                    <w:tl2br w:val="nil"/>
                    <w:tr2bl w:val="nil"/>
                  </w:tcBorders>
                  <w:shd w:val="clear" w:color="auto" w:fill="auto"/>
                  <w:vAlign w:val="center"/>
                </w:tcPr>
                <w:p w14:paraId="487EACA2">
                  <w:pPr>
                    <w:keepNext w:val="0"/>
                    <w:keepLines w:val="0"/>
                    <w:pageBreakBefore w:val="0"/>
                    <w:widowControl w:val="0"/>
                    <w:kinsoku/>
                    <w:wordWrap/>
                    <w:overflowPunct/>
                    <w:topLinePunct w:val="0"/>
                    <w:autoSpaceDE/>
                    <w:autoSpaceDN/>
                    <w:bidi w:val="0"/>
                    <w:adjustRightInd/>
                    <w:snapToGrid/>
                    <w:spacing w:before="76" w:beforeLines="24" w:after="76" w:afterLines="24" w:line="30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bidi="ar"/>
                    </w:rPr>
                    <w:t>0.1</w:t>
                  </w:r>
                  <w:r>
                    <w:rPr>
                      <w:rFonts w:hint="eastAsia" w:ascii="Times New Roman" w:hAnsi="Times New Roman" w:eastAsia="宋体"/>
                      <w:color w:val="auto"/>
                      <w:sz w:val="21"/>
                      <w:szCs w:val="21"/>
                      <w:highlight w:val="none"/>
                      <w:vertAlign w:val="baseline"/>
                      <w:lang w:val="en-US" w:eastAsia="zh-CN"/>
                    </w:rPr>
                    <w:t>万件</w:t>
                  </w:r>
                </w:p>
              </w:tc>
              <w:tc>
                <w:tcPr>
                  <w:tcW w:w="924" w:type="pct"/>
                  <w:vMerge w:val="continue"/>
                  <w:tcBorders>
                    <w:tl2br w:val="nil"/>
                    <w:tr2bl w:val="nil"/>
                  </w:tcBorders>
                  <w:vAlign w:val="center"/>
                </w:tcPr>
                <w:p w14:paraId="2BF63ADD">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p>
              </w:tc>
            </w:tr>
            <w:tr w14:paraId="7576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78AC792A">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vAlign w:val="center"/>
                </w:tcPr>
                <w:p w14:paraId="48AEA072">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粉末涂料</w:t>
                  </w:r>
                </w:p>
              </w:tc>
              <w:tc>
                <w:tcPr>
                  <w:tcW w:w="875" w:type="pct"/>
                  <w:tcBorders>
                    <w:tl2br w:val="nil"/>
                    <w:tr2bl w:val="nil"/>
                  </w:tcBorders>
                  <w:vAlign w:val="center"/>
                </w:tcPr>
                <w:p w14:paraId="112F0994">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olor w:val="auto"/>
                      <w:highlight w:val="none"/>
                    </w:rPr>
                    <w:t>聚酯树脂</w:t>
                  </w:r>
                </w:p>
              </w:tc>
              <w:tc>
                <w:tcPr>
                  <w:tcW w:w="1054" w:type="pct"/>
                  <w:tcBorders>
                    <w:tl2br w:val="nil"/>
                    <w:tr2bl w:val="nil"/>
                  </w:tcBorders>
                  <w:vAlign w:val="center"/>
                </w:tcPr>
                <w:p w14:paraId="704EE9DC">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5.47t</w:t>
                  </w:r>
                </w:p>
              </w:tc>
              <w:tc>
                <w:tcPr>
                  <w:tcW w:w="750" w:type="pct"/>
                  <w:tcBorders>
                    <w:tl2br w:val="nil"/>
                    <w:tr2bl w:val="nil"/>
                  </w:tcBorders>
                  <w:vAlign w:val="center"/>
                </w:tcPr>
                <w:p w14:paraId="45FEF474">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0.5t</w:t>
                  </w:r>
                </w:p>
              </w:tc>
              <w:tc>
                <w:tcPr>
                  <w:tcW w:w="924" w:type="pct"/>
                  <w:tcBorders>
                    <w:tl2br w:val="nil"/>
                    <w:tr2bl w:val="nil"/>
                  </w:tcBorders>
                  <w:vAlign w:val="center"/>
                </w:tcPr>
                <w:p w14:paraId="3BBFF04B">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外购</w:t>
                  </w:r>
                </w:p>
              </w:tc>
            </w:tr>
            <w:tr w14:paraId="0857C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restart"/>
                  <w:tcBorders>
                    <w:tl2br w:val="nil"/>
                    <w:tr2bl w:val="nil"/>
                  </w:tcBorders>
                  <w:vAlign w:val="center"/>
                </w:tcPr>
                <w:p w14:paraId="10C479A6">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辅料</w:t>
                  </w:r>
                </w:p>
              </w:tc>
              <w:tc>
                <w:tcPr>
                  <w:tcW w:w="854" w:type="pct"/>
                  <w:tcBorders>
                    <w:tl2br w:val="nil"/>
                    <w:tr2bl w:val="nil"/>
                  </w:tcBorders>
                  <w:shd w:val="clear" w:color="auto" w:fill="auto"/>
                  <w:vAlign w:val="center"/>
                </w:tcPr>
                <w:p w14:paraId="3ACB04C9">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机油</w:t>
                  </w:r>
                </w:p>
              </w:tc>
              <w:tc>
                <w:tcPr>
                  <w:tcW w:w="875" w:type="pct"/>
                  <w:tcBorders>
                    <w:tl2br w:val="nil"/>
                    <w:tr2bl w:val="nil"/>
                  </w:tcBorders>
                  <w:shd w:val="clear" w:color="auto" w:fill="auto"/>
                  <w:vAlign w:val="center"/>
                </w:tcPr>
                <w:p w14:paraId="5FB08865">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200L/桶</w:t>
                  </w:r>
                </w:p>
              </w:tc>
              <w:tc>
                <w:tcPr>
                  <w:tcW w:w="1054" w:type="pct"/>
                  <w:tcBorders>
                    <w:tl2br w:val="nil"/>
                    <w:tr2bl w:val="nil"/>
                  </w:tcBorders>
                  <w:shd w:val="clear" w:color="auto" w:fill="auto"/>
                  <w:vAlign w:val="center"/>
                </w:tcPr>
                <w:p w14:paraId="1B172F3C">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0.1t</w:t>
                  </w:r>
                </w:p>
              </w:tc>
              <w:tc>
                <w:tcPr>
                  <w:tcW w:w="750" w:type="pct"/>
                  <w:tcBorders>
                    <w:tl2br w:val="nil"/>
                    <w:tr2bl w:val="nil"/>
                  </w:tcBorders>
                  <w:shd w:val="clear" w:color="auto" w:fill="auto"/>
                  <w:vAlign w:val="center"/>
                </w:tcPr>
                <w:p w14:paraId="5F884379">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0.05t</w:t>
                  </w:r>
                </w:p>
              </w:tc>
              <w:tc>
                <w:tcPr>
                  <w:tcW w:w="924" w:type="pct"/>
                  <w:tcBorders>
                    <w:tl2br w:val="nil"/>
                    <w:tr2bl w:val="nil"/>
                  </w:tcBorders>
                  <w:shd w:val="clear" w:color="auto" w:fill="auto"/>
                  <w:vAlign w:val="center"/>
                </w:tcPr>
                <w:p w14:paraId="7624C8D8">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外购，机械润滑</w:t>
                  </w:r>
                </w:p>
              </w:tc>
            </w:tr>
            <w:tr w14:paraId="58F92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6" w:hRule="atLeast"/>
                <w:jc w:val="center"/>
              </w:trPr>
              <w:tc>
                <w:tcPr>
                  <w:tcW w:w="540" w:type="pct"/>
                  <w:vMerge w:val="continue"/>
                  <w:tcBorders>
                    <w:tl2br w:val="nil"/>
                    <w:tr2bl w:val="nil"/>
                  </w:tcBorders>
                  <w:vAlign w:val="center"/>
                </w:tcPr>
                <w:p w14:paraId="56B01B18">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shd w:val="clear" w:color="auto" w:fill="auto"/>
                  <w:vAlign w:val="center"/>
                </w:tcPr>
                <w:p w14:paraId="7DCAF3D2">
                  <w:pPr>
                    <w:keepNext w:val="0"/>
                    <w:keepLines w:val="0"/>
                    <w:pageBreakBefore w:val="0"/>
                    <w:widowControl w:val="0"/>
                    <w:kinsoku/>
                    <w:wordWrap/>
                    <w:overflowPunct/>
                    <w:topLinePunct w:val="0"/>
                    <w:autoSpaceDE/>
                    <w:autoSpaceDN/>
                    <w:bidi w:val="0"/>
                    <w:adjustRightInd/>
                    <w:snapToGrid/>
                    <w:spacing w:before="79" w:beforeLines="25" w:after="79" w:afterLines="25"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钢丸</w:t>
                  </w:r>
                </w:p>
              </w:tc>
              <w:tc>
                <w:tcPr>
                  <w:tcW w:w="875" w:type="pct"/>
                  <w:tcBorders>
                    <w:tl2br w:val="nil"/>
                    <w:tr2bl w:val="nil"/>
                  </w:tcBorders>
                  <w:shd w:val="clear" w:color="auto" w:fill="auto"/>
                  <w:vAlign w:val="center"/>
                </w:tcPr>
                <w:p w14:paraId="66768947">
                  <w:pPr>
                    <w:keepNext w:val="0"/>
                    <w:keepLines w:val="0"/>
                    <w:pageBreakBefore w:val="0"/>
                    <w:widowControl w:val="0"/>
                    <w:kinsoku/>
                    <w:wordWrap/>
                    <w:overflowPunct/>
                    <w:topLinePunct w:val="0"/>
                    <w:autoSpaceDE/>
                    <w:autoSpaceDN/>
                    <w:bidi w:val="0"/>
                    <w:adjustRightInd/>
                    <w:snapToGrid/>
                    <w:spacing w:before="79" w:beforeLines="25" w:after="79" w:afterLines="25"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25kg/袋</w:t>
                  </w:r>
                </w:p>
              </w:tc>
              <w:tc>
                <w:tcPr>
                  <w:tcW w:w="1054" w:type="pct"/>
                  <w:tcBorders>
                    <w:tl2br w:val="nil"/>
                    <w:tr2bl w:val="nil"/>
                  </w:tcBorders>
                  <w:shd w:val="clear" w:color="auto" w:fill="auto"/>
                  <w:vAlign w:val="center"/>
                </w:tcPr>
                <w:p w14:paraId="773F981A">
                  <w:pPr>
                    <w:keepNext w:val="0"/>
                    <w:keepLines w:val="0"/>
                    <w:pageBreakBefore w:val="0"/>
                    <w:widowControl w:val="0"/>
                    <w:kinsoku/>
                    <w:wordWrap/>
                    <w:overflowPunct/>
                    <w:topLinePunct w:val="0"/>
                    <w:autoSpaceDE/>
                    <w:autoSpaceDN/>
                    <w:bidi w:val="0"/>
                    <w:adjustRightInd/>
                    <w:snapToGrid/>
                    <w:spacing w:before="79" w:beforeLines="25" w:after="79" w:afterLines="25"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1t</w:t>
                  </w:r>
                </w:p>
              </w:tc>
              <w:tc>
                <w:tcPr>
                  <w:tcW w:w="750" w:type="pct"/>
                  <w:tcBorders>
                    <w:tl2br w:val="nil"/>
                    <w:tr2bl w:val="nil"/>
                  </w:tcBorders>
                  <w:shd w:val="clear" w:color="auto" w:fill="auto"/>
                  <w:vAlign w:val="center"/>
                </w:tcPr>
                <w:p w14:paraId="327BC70D">
                  <w:pPr>
                    <w:keepNext w:val="0"/>
                    <w:keepLines w:val="0"/>
                    <w:pageBreakBefore w:val="0"/>
                    <w:widowControl w:val="0"/>
                    <w:kinsoku/>
                    <w:wordWrap/>
                    <w:overflowPunct/>
                    <w:topLinePunct w:val="0"/>
                    <w:autoSpaceDE/>
                    <w:autoSpaceDN/>
                    <w:bidi w:val="0"/>
                    <w:adjustRightInd/>
                    <w:snapToGrid/>
                    <w:spacing w:before="79" w:beforeLines="25" w:after="79" w:afterLines="25"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0.2t</w:t>
                  </w:r>
                </w:p>
              </w:tc>
              <w:tc>
                <w:tcPr>
                  <w:tcW w:w="924" w:type="pct"/>
                  <w:tcBorders>
                    <w:tl2br w:val="nil"/>
                    <w:tr2bl w:val="nil"/>
                  </w:tcBorders>
                  <w:shd w:val="clear" w:color="auto" w:fill="auto"/>
                  <w:vAlign w:val="center"/>
                </w:tcPr>
                <w:p w14:paraId="290E4AB6">
                  <w:pPr>
                    <w:keepNext w:val="0"/>
                    <w:keepLines w:val="0"/>
                    <w:pageBreakBefore w:val="0"/>
                    <w:widowControl w:val="0"/>
                    <w:kinsoku/>
                    <w:wordWrap/>
                    <w:overflowPunct/>
                    <w:topLinePunct w:val="0"/>
                    <w:autoSpaceDE/>
                    <w:autoSpaceDN/>
                    <w:bidi w:val="0"/>
                    <w:adjustRightInd/>
                    <w:snapToGrid/>
                    <w:spacing w:before="79" w:beforeLines="25" w:after="79" w:afterLines="25"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外购，抛丸</w:t>
                  </w:r>
                </w:p>
              </w:tc>
            </w:tr>
            <w:tr w14:paraId="1AAC4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restart"/>
                  <w:tcBorders>
                    <w:tl2br w:val="nil"/>
                    <w:tr2bl w:val="nil"/>
                  </w:tcBorders>
                  <w:vAlign w:val="center"/>
                </w:tcPr>
                <w:p w14:paraId="0580849D">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能源</w:t>
                  </w:r>
                </w:p>
              </w:tc>
              <w:tc>
                <w:tcPr>
                  <w:tcW w:w="854" w:type="pct"/>
                  <w:tcBorders>
                    <w:tl2br w:val="nil"/>
                    <w:tr2bl w:val="nil"/>
                  </w:tcBorders>
                  <w:vAlign w:val="center"/>
                </w:tcPr>
                <w:p w14:paraId="355B61FA">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水</w:t>
                  </w:r>
                </w:p>
              </w:tc>
              <w:tc>
                <w:tcPr>
                  <w:tcW w:w="875" w:type="pct"/>
                  <w:tcBorders>
                    <w:tl2br w:val="nil"/>
                    <w:tr2bl w:val="nil"/>
                  </w:tcBorders>
                  <w:vAlign w:val="center"/>
                </w:tcPr>
                <w:p w14:paraId="2B440C16">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管网接入</w:t>
                  </w:r>
                </w:p>
              </w:tc>
              <w:tc>
                <w:tcPr>
                  <w:tcW w:w="1054" w:type="pct"/>
                  <w:tcBorders>
                    <w:tl2br w:val="nil"/>
                    <w:tr2bl w:val="nil"/>
                  </w:tcBorders>
                  <w:vAlign w:val="center"/>
                </w:tcPr>
                <w:p w14:paraId="766DD744">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130m</w:t>
                  </w:r>
                  <w:r>
                    <w:rPr>
                      <w:rFonts w:hint="eastAsia" w:ascii="Times New Roman" w:hAnsi="Times New Roman" w:eastAsia="宋体"/>
                      <w:color w:val="auto"/>
                      <w:sz w:val="21"/>
                      <w:szCs w:val="21"/>
                      <w:highlight w:val="none"/>
                      <w:vertAlign w:val="superscript"/>
                      <w:lang w:val="en-US" w:eastAsia="zh-CN"/>
                    </w:rPr>
                    <w:t>3</w:t>
                  </w:r>
                </w:p>
              </w:tc>
              <w:tc>
                <w:tcPr>
                  <w:tcW w:w="750" w:type="pct"/>
                  <w:tcBorders>
                    <w:tl2br w:val="nil"/>
                    <w:tr2bl w:val="nil"/>
                  </w:tcBorders>
                  <w:vAlign w:val="center"/>
                </w:tcPr>
                <w:p w14:paraId="1674DE3E">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w:t>
                  </w:r>
                </w:p>
              </w:tc>
              <w:tc>
                <w:tcPr>
                  <w:tcW w:w="924" w:type="pct"/>
                  <w:tcBorders>
                    <w:tl2br w:val="nil"/>
                    <w:tr2bl w:val="nil"/>
                  </w:tcBorders>
                  <w:vAlign w:val="center"/>
                </w:tcPr>
                <w:p w14:paraId="3C497C94">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市政供水</w:t>
                  </w:r>
                </w:p>
              </w:tc>
            </w:tr>
            <w:tr w14:paraId="1B27D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40" w:type="pct"/>
                  <w:vMerge w:val="continue"/>
                  <w:tcBorders>
                    <w:tl2br w:val="nil"/>
                    <w:tr2bl w:val="nil"/>
                  </w:tcBorders>
                  <w:vAlign w:val="center"/>
                </w:tcPr>
                <w:p w14:paraId="36DABC09">
                  <w:pPr>
                    <w:keepNext w:val="0"/>
                    <w:keepLines w:val="0"/>
                    <w:pageBreakBefore w:val="0"/>
                    <w:widowControl w:val="0"/>
                    <w:kinsoku/>
                    <w:wordWrap/>
                    <w:overflowPunct/>
                    <w:topLinePunct w:val="0"/>
                    <w:autoSpaceDE/>
                    <w:autoSpaceDN/>
                    <w:bidi w:val="0"/>
                    <w:adjustRightInd/>
                    <w:snapToGrid/>
                    <w:spacing w:before="79" w:beforeLines="25" w:after="79" w:afterLines="25"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54" w:type="pct"/>
                  <w:tcBorders>
                    <w:tl2br w:val="nil"/>
                    <w:tr2bl w:val="nil"/>
                  </w:tcBorders>
                  <w:vAlign w:val="center"/>
                </w:tcPr>
                <w:p w14:paraId="4D4DB40F">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电</w:t>
                  </w:r>
                </w:p>
              </w:tc>
              <w:tc>
                <w:tcPr>
                  <w:tcW w:w="875" w:type="pct"/>
                  <w:tcBorders>
                    <w:tl2br w:val="nil"/>
                    <w:tr2bl w:val="nil"/>
                  </w:tcBorders>
                  <w:vAlign w:val="center"/>
                </w:tcPr>
                <w:p w14:paraId="3B4A387B">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电网接入</w:t>
                  </w:r>
                </w:p>
              </w:tc>
              <w:tc>
                <w:tcPr>
                  <w:tcW w:w="1054" w:type="pct"/>
                  <w:tcBorders>
                    <w:tl2br w:val="nil"/>
                    <w:tr2bl w:val="nil"/>
                  </w:tcBorders>
                  <w:vAlign w:val="center"/>
                </w:tcPr>
                <w:p w14:paraId="753C9043">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5万kW·h</w:t>
                  </w:r>
                </w:p>
              </w:tc>
              <w:tc>
                <w:tcPr>
                  <w:tcW w:w="750" w:type="pct"/>
                  <w:tcBorders>
                    <w:tl2br w:val="nil"/>
                    <w:tr2bl w:val="nil"/>
                  </w:tcBorders>
                  <w:vAlign w:val="center"/>
                </w:tcPr>
                <w:p w14:paraId="760F053C">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w:t>
                  </w:r>
                </w:p>
              </w:tc>
              <w:tc>
                <w:tcPr>
                  <w:tcW w:w="924" w:type="pct"/>
                  <w:tcBorders>
                    <w:tl2br w:val="nil"/>
                    <w:tr2bl w:val="nil"/>
                  </w:tcBorders>
                  <w:vAlign w:val="center"/>
                </w:tcPr>
                <w:p w14:paraId="5225FCFC">
                  <w:pPr>
                    <w:keepNext w:val="0"/>
                    <w:keepLines w:val="0"/>
                    <w:pageBreakBefore w:val="0"/>
                    <w:widowControl w:val="0"/>
                    <w:kinsoku/>
                    <w:wordWrap/>
                    <w:overflowPunct/>
                    <w:topLinePunct w:val="0"/>
                    <w:autoSpaceDE/>
                    <w:autoSpaceDN/>
                    <w:bidi w:val="0"/>
                    <w:adjustRightInd/>
                    <w:snapToGrid/>
                    <w:spacing w:before="82" w:beforeLines="26" w:after="82" w:afterLines="26"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市政供电</w:t>
                  </w:r>
                </w:p>
              </w:tc>
            </w:tr>
          </w:tbl>
          <w:p w14:paraId="45114562">
            <w:pPr>
              <w:keepNext w:val="0"/>
              <w:keepLines w:val="0"/>
              <w:pageBreakBefore w:val="0"/>
              <w:widowControl w:val="0"/>
              <w:kinsoku/>
              <w:wordWrap/>
              <w:overflowPunct/>
              <w:topLinePunct w:val="0"/>
              <w:autoSpaceDE/>
              <w:autoSpaceDN/>
              <w:bidi w:val="0"/>
              <w:adjustRightInd/>
              <w:snapToGrid/>
              <w:spacing w:before="32" w:beforeLines="10" w:after="32" w:afterLines="10" w:line="377" w:lineRule="auto"/>
              <w:ind w:firstLine="480" w:firstLineChars="200"/>
              <w:jc w:val="both"/>
              <w:textAlignment w:val="auto"/>
              <w:rPr>
                <w:rFonts w:hint="eastAsia" w:ascii="Times New Roman" w:hAnsi="Times New Roman" w:eastAsia="宋体"/>
                <w:color w:val="auto"/>
                <w:sz w:val="24"/>
                <w:szCs w:val="24"/>
                <w:highlight w:val="none"/>
                <w:u w:val="single"/>
                <w:vertAlign w:val="baseline"/>
                <w:lang w:val="en-US" w:eastAsia="zh-CN"/>
              </w:rPr>
            </w:pPr>
            <w:r>
              <w:rPr>
                <w:rFonts w:hint="eastAsia" w:ascii="Times New Roman" w:hAnsi="Times New Roman" w:eastAsia="宋体"/>
                <w:color w:val="auto"/>
                <w:sz w:val="24"/>
                <w:szCs w:val="24"/>
                <w:highlight w:val="none"/>
                <w:u w:val="single"/>
                <w:vertAlign w:val="baseline"/>
                <w:lang w:val="en-US" w:eastAsia="zh-CN"/>
              </w:rPr>
              <w:t>主要原材料理化性质简介：</w:t>
            </w:r>
          </w:p>
          <w:p w14:paraId="75DF2F79">
            <w:pPr>
              <w:keepNext w:val="0"/>
              <w:keepLines w:val="0"/>
              <w:pageBreakBefore w:val="0"/>
              <w:widowControl w:val="0"/>
              <w:numPr>
                <w:ilvl w:val="0"/>
                <w:numId w:val="0"/>
              </w:numPr>
              <w:kinsoku/>
              <w:wordWrap/>
              <w:overflowPunct/>
              <w:topLinePunct w:val="0"/>
              <w:autoSpaceDE/>
              <w:autoSpaceDN/>
              <w:bidi w:val="0"/>
              <w:adjustRightInd/>
              <w:snapToGrid/>
              <w:spacing w:before="32" w:beforeLines="10" w:line="377" w:lineRule="auto"/>
              <w:ind w:firstLine="482" w:firstLineChars="200"/>
              <w:jc w:val="both"/>
              <w:textAlignment w:val="auto"/>
              <w:rPr>
                <w:rFonts w:hint="eastAsia" w:ascii="Times New Roman" w:hAnsi="Times New Roman" w:eastAsia="宋体"/>
                <w:b w:val="0"/>
                <w:bCs w:val="0"/>
                <w:color w:val="auto"/>
                <w:sz w:val="24"/>
                <w:szCs w:val="24"/>
                <w:highlight w:val="none"/>
                <w:vertAlign w:val="baseline"/>
                <w:lang w:val="en-US" w:eastAsia="zh-CN"/>
              </w:rPr>
            </w:pPr>
            <w:r>
              <w:rPr>
                <w:rFonts w:hint="eastAsia" w:ascii="Times New Roman" w:hAnsi="Times New Roman" w:eastAsia="宋体" w:cstheme="minorBidi"/>
                <w:b/>
                <w:bCs/>
                <w:color w:val="auto"/>
                <w:kern w:val="2"/>
                <w:sz w:val="24"/>
                <w:szCs w:val="24"/>
                <w:vertAlign w:val="baseline"/>
                <w:lang w:val="en-US" w:eastAsia="zh-CN" w:bidi="ar-SA"/>
              </w:rPr>
              <w:t>1）</w:t>
            </w:r>
            <w:r>
              <w:rPr>
                <w:rFonts w:hint="eastAsia" w:ascii="Times New Roman" w:hAnsi="Times New Roman" w:eastAsia="宋体"/>
                <w:b/>
                <w:bCs/>
                <w:color w:val="auto"/>
                <w:sz w:val="24"/>
                <w:szCs w:val="24"/>
                <w:highlight w:val="none"/>
                <w:vertAlign w:val="baseline"/>
                <w:lang w:val="en-US" w:eastAsia="zh-CN"/>
              </w:rPr>
              <w:t>粉末涂料：</w:t>
            </w:r>
            <w:r>
              <w:rPr>
                <w:rFonts w:hint="eastAsia" w:ascii="Times New Roman" w:hAnsi="Times New Roman" w:eastAsia="宋体"/>
                <w:b w:val="0"/>
                <w:bCs w:val="0"/>
                <w:color w:val="auto"/>
                <w:sz w:val="24"/>
                <w:szCs w:val="24"/>
                <w:highlight w:val="none"/>
                <w:vertAlign w:val="baseline"/>
                <w:lang w:val="en-US" w:eastAsia="zh-CN"/>
              </w:rPr>
              <w:t>是一种具有耐腐蚀性和坚韧性的热固性粉末涂料，未喷涂到工件上的粉末涂料经回收后可循环利用。根据建设单位提供的粉末涂料MSDS（见附件10），主要成分为聚酯树脂60-70%、固化剂3-6%，颜填料20-30%。密度1.2-1.8g/cm</w:t>
            </w:r>
            <w:r>
              <w:rPr>
                <w:rFonts w:hint="eastAsia" w:ascii="Times New Roman" w:hAnsi="Times New Roman" w:eastAsia="宋体"/>
                <w:b w:val="0"/>
                <w:bCs w:val="0"/>
                <w:color w:val="auto"/>
                <w:sz w:val="24"/>
                <w:szCs w:val="24"/>
                <w:highlight w:val="none"/>
                <w:vertAlign w:val="superscript"/>
                <w:lang w:val="en-US" w:eastAsia="zh-CN"/>
              </w:rPr>
              <w:t>3</w:t>
            </w:r>
            <w:r>
              <w:rPr>
                <w:rFonts w:hint="eastAsia" w:ascii="Times New Roman" w:hAnsi="Times New Roman" w:eastAsia="宋体"/>
                <w:b w:val="0"/>
                <w:bCs w:val="0"/>
                <w:color w:val="auto"/>
                <w:sz w:val="24"/>
                <w:szCs w:val="24"/>
                <w:highlight w:val="none"/>
                <w:vertAlign w:val="baseline"/>
                <w:lang w:val="en-US" w:eastAsia="zh-CN"/>
              </w:rPr>
              <w:t>，热分解温度约280℃。</w:t>
            </w:r>
          </w:p>
          <w:p w14:paraId="137C09E1">
            <w:pPr>
              <w:keepNext w:val="0"/>
              <w:keepLines w:val="0"/>
              <w:pageBreakBefore w:val="0"/>
              <w:widowControl w:val="0"/>
              <w:kinsoku/>
              <w:wordWrap/>
              <w:overflowPunct/>
              <w:topLinePunct w:val="0"/>
              <w:autoSpaceDE/>
              <w:autoSpaceDN/>
              <w:bidi w:val="0"/>
              <w:adjustRightInd/>
              <w:snapToGrid/>
              <w:spacing w:before="32" w:beforeLines="10" w:line="377" w:lineRule="auto"/>
              <w:ind w:firstLine="480" w:firstLineChars="200"/>
              <w:jc w:val="both"/>
              <w:textAlignment w:val="auto"/>
              <w:rPr>
                <w:rFonts w:hint="eastAsia" w:ascii="Times New Roman" w:hAnsi="Times New Roman" w:eastAsia="宋体"/>
                <w:b w:val="0"/>
                <w:bCs w:val="0"/>
                <w:color w:val="FF0000"/>
                <w:sz w:val="24"/>
                <w:szCs w:val="24"/>
                <w:highlight w:val="none"/>
                <w:vertAlign w:val="baseline"/>
                <w:lang w:val="en-US" w:eastAsia="zh-CN"/>
              </w:rPr>
            </w:pPr>
            <w:r>
              <w:rPr>
                <w:rFonts w:hint="eastAsia" w:ascii="Times New Roman" w:hAnsi="Times New Roman" w:eastAsia="宋体"/>
                <w:b w:val="0"/>
                <w:bCs w:val="0"/>
                <w:color w:val="FF0000"/>
                <w:sz w:val="24"/>
                <w:szCs w:val="24"/>
                <w:highlight w:val="none"/>
                <w:vertAlign w:val="baseline"/>
                <w:lang w:val="en-US" w:eastAsia="zh-CN"/>
              </w:rPr>
              <w:t>根据建设单位提供的粉末涂料MSDS（见附件10），本项目使用的粉末涂料中不含重金属铅、镉、六价铬、汞等重金属原料。根据</w:t>
            </w:r>
            <w:r>
              <w:rPr>
                <w:rFonts w:hint="default" w:ascii="Times New Roman" w:hAnsi="Times New Roman" w:eastAsia="宋体"/>
                <w:b w:val="0"/>
                <w:bCs w:val="0"/>
                <w:color w:val="FF0000"/>
                <w:sz w:val="24"/>
                <w:szCs w:val="24"/>
                <w:highlight w:val="none"/>
                <w:vertAlign w:val="baseline"/>
                <w:lang w:val="en-US" w:eastAsia="zh-CN"/>
              </w:rPr>
              <w:t>《车辆涂料中有害物质限量》（GB 24409-2020）</w:t>
            </w:r>
            <w:r>
              <w:rPr>
                <w:rFonts w:hint="eastAsia" w:ascii="Times New Roman" w:hAnsi="Times New Roman" w:eastAsia="宋体"/>
                <w:b w:val="0"/>
                <w:bCs w:val="0"/>
                <w:color w:val="FF0000"/>
                <w:sz w:val="24"/>
                <w:szCs w:val="24"/>
                <w:highlight w:val="none"/>
                <w:vertAlign w:val="baseline"/>
                <w:lang w:val="en-US" w:eastAsia="zh-CN"/>
              </w:rPr>
              <w:t>表4，本项目使用的粉末涂料，符合该文件要求。</w:t>
            </w:r>
          </w:p>
          <w:p w14:paraId="6EFE2138">
            <w:pPr>
              <w:keepNext w:val="0"/>
              <w:keepLines w:val="0"/>
              <w:pageBreakBefore w:val="0"/>
              <w:widowControl w:val="0"/>
              <w:kinsoku/>
              <w:wordWrap/>
              <w:overflowPunct/>
              <w:topLinePunct w:val="0"/>
              <w:autoSpaceDE/>
              <w:autoSpaceDN/>
              <w:bidi w:val="0"/>
              <w:adjustRightInd/>
              <w:snapToGrid/>
              <w:spacing w:before="32" w:beforeLines="10" w:line="377" w:lineRule="auto"/>
              <w:ind w:firstLine="480" w:firstLineChars="200"/>
              <w:jc w:val="both"/>
              <w:textAlignment w:val="auto"/>
              <w:rPr>
                <w:rFonts w:hint="default" w:ascii="Times New Roman" w:hAnsi="Times New Roman" w:eastAsia="宋体"/>
                <w:b w:val="0"/>
                <w:bCs w:val="0"/>
                <w:color w:val="auto"/>
                <w:sz w:val="24"/>
                <w:szCs w:val="24"/>
                <w:highlight w:val="none"/>
                <w:vertAlign w:val="baseline"/>
                <w:lang w:val="en-US" w:eastAsia="zh-CN"/>
              </w:rPr>
            </w:pPr>
            <w:r>
              <w:rPr>
                <w:rFonts w:hint="eastAsia" w:ascii="Times New Roman" w:hAnsi="Times New Roman" w:eastAsia="宋体"/>
                <w:b w:val="0"/>
                <w:bCs w:val="0"/>
                <w:color w:val="auto"/>
                <w:sz w:val="24"/>
                <w:szCs w:val="24"/>
                <w:highlight w:val="none"/>
                <w:vertAlign w:val="baseline"/>
                <w:lang w:val="en-US" w:eastAsia="zh-CN"/>
              </w:rPr>
              <w:t>项目粉末涂料的使用情况详见表2-8。</w:t>
            </w:r>
          </w:p>
          <w:p w14:paraId="52E2E5C3">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8</w:t>
            </w:r>
            <w:r>
              <w:rPr>
                <w:rFonts w:hint="default" w:ascii="Times New Roman" w:hAnsi="Times New Roman" w:eastAsia="宋体" w:cs="Times New Roman"/>
                <w:color w:val="auto"/>
                <w:sz w:val="24"/>
                <w:szCs w:val="24"/>
                <w:highlight w:val="none"/>
                <w:vertAlign w:val="baseline"/>
                <w:lang w:val="en-US" w:eastAsia="zh-CN"/>
              </w:rPr>
              <w:t xml:space="preserve">  项目粉末涂料用量核算一览表</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54"/>
              <w:gridCol w:w="713"/>
              <w:gridCol w:w="2002"/>
              <w:gridCol w:w="698"/>
              <w:gridCol w:w="966"/>
              <w:gridCol w:w="983"/>
              <w:gridCol w:w="1176"/>
              <w:gridCol w:w="1293"/>
            </w:tblGrid>
            <w:tr w14:paraId="35825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rPr>
              <w:tc>
                <w:tcPr>
                  <w:tcW w:w="331" w:type="pct"/>
                  <w:tcBorders>
                    <w:tl2br w:val="nil"/>
                    <w:tr2bl w:val="nil"/>
                  </w:tcBorders>
                  <w:vAlign w:val="center"/>
                </w:tcPr>
                <w:p w14:paraId="67471F14">
                  <w:pPr>
                    <w:pStyle w:val="35"/>
                    <w:spacing w:beforeLines="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产品</w:t>
                  </w:r>
                </w:p>
              </w:tc>
              <w:tc>
                <w:tcPr>
                  <w:tcW w:w="425" w:type="pct"/>
                  <w:tcBorders>
                    <w:tl2br w:val="nil"/>
                    <w:tr2bl w:val="nil"/>
                  </w:tcBorders>
                  <w:vAlign w:val="center"/>
                </w:tcPr>
                <w:p w14:paraId="1C14C33C">
                  <w:pPr>
                    <w:pStyle w:val="35"/>
                    <w:spacing w:beforeLines="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产量</w:t>
                  </w:r>
                </w:p>
              </w:tc>
              <w:tc>
                <w:tcPr>
                  <w:tcW w:w="1194" w:type="pct"/>
                  <w:tcBorders>
                    <w:tl2br w:val="nil"/>
                    <w:tr2bl w:val="nil"/>
                  </w:tcBorders>
                  <w:vAlign w:val="center"/>
                </w:tcPr>
                <w:p w14:paraId="759EA230">
                  <w:pPr>
                    <w:pStyle w:val="35"/>
                    <w:spacing w:beforeLines="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喷粉总面积</w:t>
                  </w: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vertAlign w:val="superscript"/>
                      <w:lang w:val="en-US" w:eastAsia="zh-CN"/>
                    </w:rPr>
                    <w:t>2</w:t>
                  </w:r>
                  <w:r>
                    <w:rPr>
                      <w:rFonts w:hint="eastAsia" w:ascii="Times New Roman" w:hAnsi="Times New Roman" w:eastAsia="宋体" w:cs="Times New Roman"/>
                      <w:b/>
                      <w:bCs/>
                      <w:color w:val="auto"/>
                      <w:sz w:val="21"/>
                      <w:szCs w:val="21"/>
                      <w:highlight w:val="none"/>
                      <w:lang w:val="en-US" w:eastAsia="zh-CN"/>
                    </w:rPr>
                    <w:t>）</w:t>
                  </w:r>
                </w:p>
              </w:tc>
              <w:tc>
                <w:tcPr>
                  <w:tcW w:w="416" w:type="pct"/>
                  <w:tcBorders>
                    <w:tl2br w:val="nil"/>
                    <w:tr2bl w:val="nil"/>
                  </w:tcBorders>
                  <w:vAlign w:val="center"/>
                </w:tcPr>
                <w:p w14:paraId="5F9CD798">
                  <w:pPr>
                    <w:pStyle w:val="35"/>
                    <w:spacing w:beforeLines="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lang w:val="en-US" w:eastAsia="zh-CN"/>
                    </w:rPr>
                    <w:t>厚度</w:t>
                  </w:r>
                </w:p>
              </w:tc>
              <w:tc>
                <w:tcPr>
                  <w:tcW w:w="576" w:type="pct"/>
                  <w:tcBorders>
                    <w:tl2br w:val="nil"/>
                    <w:tr2bl w:val="nil"/>
                  </w:tcBorders>
                  <w:vAlign w:val="center"/>
                </w:tcPr>
                <w:p w14:paraId="47608861">
                  <w:pPr>
                    <w:pStyle w:val="35"/>
                    <w:spacing w:beforeLines="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lang w:val="en-US" w:eastAsia="zh-CN"/>
                    </w:rPr>
                    <w:t>密度</w:t>
                  </w:r>
                </w:p>
              </w:tc>
              <w:tc>
                <w:tcPr>
                  <w:tcW w:w="586" w:type="pct"/>
                  <w:tcBorders>
                    <w:tl2br w:val="nil"/>
                    <w:tr2bl w:val="nil"/>
                  </w:tcBorders>
                  <w:vAlign w:val="center"/>
                </w:tcPr>
                <w:p w14:paraId="042D72D8">
                  <w:pPr>
                    <w:pStyle w:val="35"/>
                    <w:spacing w:beforeLines="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lang w:val="en-US" w:eastAsia="zh-CN"/>
                    </w:rPr>
                    <w:t>附着率</w:t>
                  </w:r>
                </w:p>
              </w:tc>
              <w:tc>
                <w:tcPr>
                  <w:tcW w:w="701" w:type="pct"/>
                  <w:tcBorders>
                    <w:tl2br w:val="nil"/>
                    <w:tr2bl w:val="nil"/>
                  </w:tcBorders>
                  <w:vAlign w:val="center"/>
                </w:tcPr>
                <w:p w14:paraId="41679232">
                  <w:pPr>
                    <w:pStyle w:val="35"/>
                    <w:spacing w:beforeLine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综合利用率</w:t>
                  </w:r>
                </w:p>
              </w:tc>
              <w:tc>
                <w:tcPr>
                  <w:tcW w:w="768" w:type="pct"/>
                  <w:tcBorders>
                    <w:tl2br w:val="nil"/>
                    <w:tr2bl w:val="nil"/>
                  </w:tcBorders>
                  <w:vAlign w:val="center"/>
                </w:tcPr>
                <w:p w14:paraId="055BCE40">
                  <w:pPr>
                    <w:pStyle w:val="35"/>
                    <w:spacing w:beforeLine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涂料用量（t）</w:t>
                  </w:r>
                </w:p>
              </w:tc>
            </w:tr>
            <w:tr w14:paraId="20CE8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31" w:type="pct"/>
                  <w:tcBorders>
                    <w:tl2br w:val="nil"/>
                    <w:tr2bl w:val="nil"/>
                  </w:tcBorders>
                  <w:vAlign w:val="center"/>
                </w:tcPr>
                <w:p w14:paraId="7266A8F6">
                  <w:pPr>
                    <w:pStyle w:val="3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喷塑产品</w:t>
                  </w:r>
                </w:p>
              </w:tc>
              <w:tc>
                <w:tcPr>
                  <w:tcW w:w="425" w:type="pct"/>
                  <w:tcBorders>
                    <w:tl2br w:val="nil"/>
                    <w:tr2bl w:val="nil"/>
                  </w:tcBorders>
                  <w:vAlign w:val="center"/>
                </w:tcPr>
                <w:p w14:paraId="1E6EEAF9">
                  <w:pPr>
                    <w:pStyle w:val="35"/>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万件/a</w:t>
                  </w:r>
                </w:p>
              </w:tc>
              <w:tc>
                <w:tcPr>
                  <w:tcW w:w="1194" w:type="pct"/>
                  <w:tcBorders>
                    <w:tl2br w:val="nil"/>
                    <w:tr2bl w:val="nil"/>
                  </w:tcBorders>
                  <w:vAlign w:val="center"/>
                </w:tcPr>
                <w:p w14:paraId="76379FE5">
                  <w:pPr>
                    <w:pStyle w:val="35"/>
                    <w:spacing w:beforeLines="0"/>
                    <w:rPr>
                      <w:rFonts w:hint="default" w:ascii="Times New Roman" w:hAnsi="Times New Roman" w:cs="Times New Roman"/>
                      <w:color w:val="auto"/>
                      <w:highlight w:val="none"/>
                      <w:lang w:val="en-US" w:eastAsia="zh-CN"/>
                    </w:rPr>
                  </w:pPr>
                  <w:r>
                    <w:rPr>
                      <w:rFonts w:hint="eastAsia" w:ascii="Times New Roman" w:hAnsi="Times New Roman" w:cs="Times New Roman"/>
                      <w:color w:val="FF0000"/>
                      <w:highlight w:val="none"/>
                      <w:lang w:val="en-US" w:eastAsia="zh-CN"/>
                    </w:rPr>
                    <w:t>27474（产品合格率95%，附着面积26100，</w:t>
                  </w:r>
                  <w:r>
                    <w:rPr>
                      <w:rFonts w:hint="default" w:ascii="Times New Roman" w:hAnsi="Times New Roman" w:cs="Times New Roman"/>
                      <w:color w:val="FF0000"/>
                      <w:highlight w:val="none"/>
                      <w:lang w:val="en-US" w:eastAsia="zh-CN"/>
                    </w:rPr>
                    <w:t>5%不合格品</w:t>
                  </w:r>
                  <w:r>
                    <w:rPr>
                      <w:rFonts w:hint="eastAsia" w:ascii="Times New Roman" w:hAnsi="Times New Roman" w:cs="Times New Roman"/>
                      <w:color w:val="FF0000"/>
                      <w:highlight w:val="none"/>
                      <w:lang w:val="en-US" w:eastAsia="zh-CN"/>
                    </w:rPr>
                    <w:t>附着面积1374</w:t>
                  </w:r>
                  <w:r>
                    <w:rPr>
                      <w:rFonts w:hint="default" w:ascii="Times New Roman" w:hAnsi="Times New Roman" w:cs="Times New Roman"/>
                      <w:color w:val="FF0000"/>
                      <w:highlight w:val="none"/>
                      <w:lang w:val="en-US" w:eastAsia="zh-CN"/>
                    </w:rPr>
                    <w:t>）</w:t>
                  </w:r>
                </w:p>
              </w:tc>
              <w:tc>
                <w:tcPr>
                  <w:tcW w:w="416" w:type="pct"/>
                  <w:tcBorders>
                    <w:tl2br w:val="nil"/>
                    <w:tr2bl w:val="nil"/>
                  </w:tcBorders>
                  <w:vAlign w:val="center"/>
                </w:tcPr>
                <w:p w14:paraId="30973B31">
                  <w:pPr>
                    <w:pStyle w:val="35"/>
                    <w:spacing w:beforeLine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μ</w:t>
                  </w:r>
                  <w:r>
                    <w:rPr>
                      <w:rFonts w:hint="default" w:ascii="Times New Roman" w:hAnsi="Times New Roman" w:cs="Times New Roman"/>
                      <w:color w:val="auto"/>
                      <w:highlight w:val="none"/>
                      <w:lang w:val="en-US" w:eastAsia="zh-CN"/>
                    </w:rPr>
                    <w:t>m</w:t>
                  </w:r>
                </w:p>
              </w:tc>
              <w:tc>
                <w:tcPr>
                  <w:tcW w:w="576" w:type="pct"/>
                  <w:tcBorders>
                    <w:tl2br w:val="nil"/>
                    <w:tr2bl w:val="nil"/>
                  </w:tcBorders>
                  <w:vAlign w:val="center"/>
                </w:tcPr>
                <w:p w14:paraId="096ABC7D">
                  <w:pPr>
                    <w:pStyle w:val="35"/>
                    <w:spacing w:beforeLine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g/cm</w:t>
                  </w:r>
                  <w:r>
                    <w:rPr>
                      <w:rFonts w:hint="default" w:ascii="Times New Roman" w:hAnsi="Times New Roman" w:cs="Times New Roman"/>
                      <w:color w:val="auto"/>
                      <w:highlight w:val="none"/>
                      <w:vertAlign w:val="superscript"/>
                      <w:lang w:val="en-US" w:eastAsia="zh-CN"/>
                    </w:rPr>
                    <w:t>3</w:t>
                  </w:r>
                </w:p>
              </w:tc>
              <w:tc>
                <w:tcPr>
                  <w:tcW w:w="586" w:type="pct"/>
                  <w:tcBorders>
                    <w:tl2br w:val="nil"/>
                    <w:tr2bl w:val="nil"/>
                  </w:tcBorders>
                  <w:vAlign w:val="center"/>
                </w:tcPr>
                <w:p w14:paraId="69DE8BB6">
                  <w:pPr>
                    <w:pStyle w:val="35"/>
                    <w:spacing w:beforeLine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60</w:t>
                  </w:r>
                  <w:r>
                    <w:rPr>
                      <w:rFonts w:hint="default" w:ascii="Times New Roman" w:hAnsi="Times New Roman" w:cs="Times New Roman"/>
                      <w:color w:val="auto"/>
                      <w:highlight w:val="none"/>
                      <w:lang w:val="en-US" w:eastAsia="zh-CN"/>
                    </w:rPr>
                    <w:t>%</w:t>
                  </w:r>
                </w:p>
              </w:tc>
              <w:tc>
                <w:tcPr>
                  <w:tcW w:w="701" w:type="pct"/>
                  <w:tcBorders>
                    <w:tl2br w:val="nil"/>
                    <w:tr2bl w:val="nil"/>
                  </w:tcBorders>
                  <w:vAlign w:val="center"/>
                </w:tcPr>
                <w:p w14:paraId="1A48F139">
                  <w:pPr>
                    <w:pStyle w:val="35"/>
                    <w:spacing w:before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90.4</w:t>
                  </w:r>
                  <w:r>
                    <w:rPr>
                      <w:rFonts w:hint="default" w:ascii="Times New Roman" w:hAnsi="Times New Roman" w:cs="Times New Roman"/>
                      <w:color w:val="auto"/>
                      <w:highlight w:val="none"/>
                      <w:lang w:val="en-US" w:eastAsia="zh-CN"/>
                    </w:rPr>
                    <w:t>%</w:t>
                  </w:r>
                </w:p>
              </w:tc>
              <w:tc>
                <w:tcPr>
                  <w:tcW w:w="768" w:type="pct"/>
                  <w:tcBorders>
                    <w:tl2br w:val="nil"/>
                    <w:tr2bl w:val="nil"/>
                  </w:tcBorders>
                  <w:vAlign w:val="center"/>
                </w:tcPr>
                <w:p w14:paraId="0A806BA4">
                  <w:pPr>
                    <w:pStyle w:val="35"/>
                    <w:spacing w:before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5.47</w:t>
                  </w:r>
                </w:p>
              </w:tc>
            </w:tr>
            <w:tr w14:paraId="022F6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8"/>
                  <w:tcBorders>
                    <w:tl2br w:val="nil"/>
                    <w:tr2bl w:val="nil"/>
                  </w:tcBorders>
                  <w:vAlign w:val="center"/>
                </w:tcPr>
                <w:p w14:paraId="5FD1A482">
                  <w:pPr>
                    <w:pStyle w:val="35"/>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注：综合利用率：根据废气源强核算，喷塑工序粉尘收集率为95%，一级除尘设备回收80%，项目喷涂附着率约为</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0%，剩余的</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0%塑粉有95%收集进入回收系统，80%的塑粉被回收，则塑粉利用率为</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0%+</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0%×95%×80%=</w:t>
                  </w:r>
                  <w:r>
                    <w:rPr>
                      <w:rFonts w:hint="eastAsia" w:ascii="Times New Roman" w:hAnsi="Times New Roman" w:cs="Times New Roman"/>
                      <w:color w:val="auto"/>
                      <w:highlight w:val="none"/>
                      <w:lang w:val="en-US" w:eastAsia="zh-CN"/>
                    </w:rPr>
                    <w:t>90.4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w:t>
                  </w:r>
                </w:p>
                <w:p w14:paraId="6938FB10">
                  <w:pPr>
                    <w:pStyle w:val="35"/>
                    <w:keepNext w:val="0"/>
                    <w:keepLines w:val="0"/>
                    <w:pageBreakBefore w:val="0"/>
                    <w:widowControl/>
                    <w:kinsoku/>
                    <w:wordWrap/>
                    <w:overflowPunct/>
                    <w:topLinePunct w:val="0"/>
                    <w:autoSpaceDE/>
                    <w:autoSpaceDN/>
                    <w:bidi w:val="0"/>
                    <w:adjustRightInd/>
                    <w:snapToGrid/>
                    <w:ind w:left="315" w:leftChars="15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涂料用量=喷涂面积×厚度×密度÷利用率</w:t>
                  </w:r>
                  <w:r>
                    <w:rPr>
                      <w:rFonts w:hint="eastAsia" w:ascii="Times New Roman" w:hAnsi="Times New Roman" w:cs="Times New Roman"/>
                      <w:color w:val="auto"/>
                      <w:highlight w:val="none"/>
                      <w:lang w:val="en-US" w:eastAsia="zh-CN"/>
                    </w:rPr>
                    <w:t>；从不利情况考虑，密度取最大值核算。</w:t>
                  </w:r>
                </w:p>
              </w:tc>
            </w:tr>
          </w:tbl>
          <w:p w14:paraId="0DC0436D">
            <w:pPr>
              <w:keepNext w:val="0"/>
              <w:keepLines w:val="0"/>
              <w:pageBreakBefore w:val="0"/>
              <w:widowControl w:val="0"/>
              <w:kinsoku/>
              <w:wordWrap/>
              <w:overflowPunct/>
              <w:topLinePunct w:val="0"/>
              <w:autoSpaceDE/>
              <w:autoSpaceDN/>
              <w:bidi w:val="0"/>
              <w:adjustRightInd/>
              <w:snapToGrid/>
              <w:spacing w:before="32" w:beforeLines="10" w:line="377" w:lineRule="auto"/>
              <w:ind w:firstLine="482"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2）机油</w:t>
            </w:r>
            <w:r>
              <w:rPr>
                <w:rFonts w:hint="eastAsia" w:ascii="Times New Roman" w:hAnsi="Times New Roman" w:eastAsia="宋体"/>
                <w:color w:val="auto"/>
                <w:sz w:val="24"/>
                <w:szCs w:val="24"/>
                <w:highlight w:val="none"/>
                <w:vertAlign w:val="baseline"/>
                <w:lang w:val="en-US" w:eastAsia="zh-CN"/>
              </w:rPr>
              <w:t>：机油是用在各种类型汽车、机械设备上以减少摩擦，保护机械及加工件的液体或半固体润滑剂，主要起润滑、辅助冷却、防锈、清洁、密封和缓冲等的作用。一般由基础油和添加剂两部分组成。基础油是机油主要成分，决定着机油的基本性质，添加剂则可弥补和改善基础油性能方面的不足，赋予某些新的性能，是机油的重要组成部分。</w:t>
            </w:r>
          </w:p>
          <w:p w14:paraId="49C289E8">
            <w:pPr>
              <w:keepNext w:val="0"/>
              <w:keepLines w:val="0"/>
              <w:pageBreakBefore w:val="0"/>
              <w:widowControl w:val="0"/>
              <w:kinsoku/>
              <w:wordWrap/>
              <w:overflowPunct/>
              <w:topLinePunct w:val="0"/>
              <w:autoSpaceDE/>
              <w:autoSpaceDN/>
              <w:bidi w:val="0"/>
              <w:adjustRightInd/>
              <w:snapToGrid/>
              <w:spacing w:line="377"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本项目使用为机械润滑油，外观为淡黄色粘稠液体，属可燃液体，闪点＞200℃，溶于苯、乙醇、乙醚、氯仿、丙酮等多数有机溶剂。</w:t>
            </w:r>
          </w:p>
          <w:p w14:paraId="6B6395E8">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2.7、劳动定员及工作制度</w:t>
            </w:r>
          </w:p>
          <w:p w14:paraId="54913067">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劳动定员：员工10人，项目厂区不设食宿。</w:t>
            </w:r>
          </w:p>
          <w:p w14:paraId="3980B677">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工作制度：项目年工作天数为260天，实行一班制生产，每班工作时间8小时，年工作时间2080h。</w:t>
            </w:r>
          </w:p>
          <w:p w14:paraId="11C446FF">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2.8、水平衡分析</w:t>
            </w:r>
          </w:p>
          <w:p w14:paraId="30CF81EB">
            <w:pPr>
              <w:keepNext w:val="0"/>
              <w:keepLines w:val="0"/>
              <w:pageBreakBefore w:val="0"/>
              <w:widowControl w:val="0"/>
              <w:kinsoku/>
              <w:wordWrap/>
              <w:overflowPunct/>
              <w:topLinePunct w:val="0"/>
              <w:autoSpaceDE/>
              <w:autoSpaceDN/>
              <w:bidi w:val="0"/>
              <w:adjustRightInd/>
              <w:snapToGrid/>
              <w:spacing w:line="377"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项目运营期供水全部依托森迪安防产业园供水管网供给，水源为城市自来水。车间地面采用干式清扫，不进行地面冲洗。</w:t>
            </w:r>
          </w:p>
          <w:p w14:paraId="56A6DB73">
            <w:pPr>
              <w:keepNext w:val="0"/>
              <w:keepLines w:val="0"/>
              <w:pageBreakBefore w:val="0"/>
              <w:widowControl w:val="0"/>
              <w:kinsoku/>
              <w:wordWrap/>
              <w:overflowPunct/>
              <w:topLinePunct w:val="0"/>
              <w:autoSpaceDE/>
              <w:autoSpaceDN/>
              <w:bidi w:val="0"/>
              <w:adjustRightInd/>
              <w:snapToGrid/>
              <w:spacing w:line="377"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w:t>
            </w:r>
            <w:r>
              <w:rPr>
                <w:rFonts w:hint="eastAsia" w:ascii="Times New Roman" w:hAnsi="Times New Roman" w:eastAsia="宋体"/>
                <w:color w:val="auto"/>
                <w:sz w:val="24"/>
                <w:szCs w:val="24"/>
                <w:highlight w:val="none"/>
                <w:u w:val="single"/>
                <w:vertAlign w:val="baseline"/>
                <w:lang w:val="en-US" w:eastAsia="zh-CN"/>
              </w:rPr>
              <w:t>主要用水节点如下</w:t>
            </w:r>
            <w:r>
              <w:rPr>
                <w:rFonts w:hint="eastAsia" w:ascii="Times New Roman" w:hAnsi="Times New Roman" w:eastAsia="宋体"/>
                <w:color w:val="auto"/>
                <w:sz w:val="24"/>
                <w:szCs w:val="24"/>
                <w:highlight w:val="none"/>
                <w:u w:val="none"/>
                <w:vertAlign w:val="baseline"/>
                <w:lang w:val="en-US" w:eastAsia="zh-CN"/>
              </w:rPr>
              <w:t>：</w:t>
            </w:r>
          </w:p>
          <w:p w14:paraId="5C7808B7">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482" w:firstLineChars="200"/>
              <w:jc w:val="both"/>
              <w:textAlignment w:val="auto"/>
              <w:rPr>
                <w:rFonts w:hint="default" w:ascii="Times New Roman" w:hAnsi="Times New Roman" w:eastAsia="宋体"/>
                <w:b/>
                <w:bCs/>
                <w:color w:val="auto"/>
                <w:sz w:val="24"/>
                <w:szCs w:val="24"/>
                <w:highlight w:val="none"/>
                <w:u w:val="none"/>
                <w:vertAlign w:val="baseline"/>
                <w:lang w:val="en-US" w:eastAsia="zh-CN"/>
              </w:rPr>
            </w:pPr>
            <w:r>
              <w:rPr>
                <w:rFonts w:hint="eastAsia" w:ascii="Times New Roman" w:hAnsi="Times New Roman" w:eastAsia="宋体"/>
                <w:b/>
                <w:bCs/>
                <w:color w:val="auto"/>
                <w:sz w:val="24"/>
                <w:szCs w:val="24"/>
                <w:highlight w:val="none"/>
                <w:u w:val="none"/>
                <w:vertAlign w:val="baseline"/>
                <w:lang w:val="en-US" w:eastAsia="zh-CN"/>
              </w:rPr>
              <w:t>1）</w:t>
            </w:r>
            <w:r>
              <w:rPr>
                <w:rFonts w:hint="eastAsia" w:ascii="Times New Roman" w:hAnsi="Times New Roman" w:eastAsia="宋体"/>
                <w:b w:val="0"/>
                <w:bCs w:val="0"/>
                <w:color w:val="auto"/>
                <w:sz w:val="24"/>
                <w:szCs w:val="24"/>
                <w:highlight w:val="none"/>
                <w:u w:val="none"/>
                <w:vertAlign w:val="baseline"/>
                <w:lang w:val="en-US" w:eastAsia="zh-CN"/>
              </w:rPr>
              <w:t>生产用水</w:t>
            </w:r>
          </w:p>
          <w:p w14:paraId="4E18CF78">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b w:val="0"/>
                <w:bCs w:val="0"/>
                <w:color w:val="auto"/>
                <w:sz w:val="24"/>
                <w:szCs w:val="24"/>
                <w:highlight w:val="none"/>
                <w:u w:val="none"/>
                <w:vertAlign w:val="baseline"/>
                <w:lang w:val="en-US" w:eastAsia="zh-CN"/>
              </w:rPr>
              <w:t>项目无生产废水</w:t>
            </w:r>
            <w:r>
              <w:rPr>
                <w:rFonts w:hint="eastAsia" w:ascii="Times New Roman" w:hAnsi="Times New Roman" w:eastAsia="宋体"/>
                <w:color w:val="auto"/>
                <w:sz w:val="24"/>
                <w:szCs w:val="24"/>
                <w:highlight w:val="none"/>
                <w:u w:val="none"/>
                <w:vertAlign w:val="baseline"/>
                <w:lang w:val="en-US" w:eastAsia="zh-CN"/>
              </w:rPr>
              <w:t>。</w:t>
            </w:r>
          </w:p>
          <w:p w14:paraId="5A54BB24">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482"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b/>
                <w:bCs/>
                <w:color w:val="auto"/>
                <w:sz w:val="24"/>
                <w:szCs w:val="24"/>
                <w:highlight w:val="none"/>
                <w:u w:val="none"/>
                <w:vertAlign w:val="baseline"/>
                <w:lang w:val="en-US" w:eastAsia="zh-CN"/>
              </w:rPr>
              <w:t>2）</w:t>
            </w:r>
            <w:r>
              <w:rPr>
                <w:rFonts w:hint="eastAsia" w:ascii="Times New Roman" w:hAnsi="Times New Roman" w:eastAsia="宋体"/>
                <w:color w:val="auto"/>
                <w:sz w:val="24"/>
                <w:szCs w:val="24"/>
                <w:highlight w:val="none"/>
                <w:u w:val="none"/>
                <w:vertAlign w:val="baseline"/>
                <w:lang w:val="en-US" w:eastAsia="zh-CN"/>
              </w:rPr>
              <w:t>生活用水</w:t>
            </w:r>
          </w:p>
          <w:p w14:paraId="2E5E9E9B">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本项目劳动定员10人，项目厂区不提供食宿。参照《建筑给水排水设计规范》（GB50015-2019）的相关要求，人均用水量按50L/d计，更具《室外排水设计标准》（GB50014-2021）的相关规定，排水量按用水量的90%计，即排污系数取0.9。项目运营期生活污水依托森迪安防产业园已建成的1#生化池处理达《污水综合排放标准》（GB 8978-1996）三级标准后排入市政污水管网，进入西彭污水处理厂深度处理达标后排放，最终汇入长江。</w:t>
            </w:r>
          </w:p>
          <w:p w14:paraId="6203853F">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项目用、排水情况详见表2-9。</w:t>
            </w:r>
          </w:p>
          <w:p w14:paraId="1894AF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9</w:t>
            </w:r>
            <w:r>
              <w:rPr>
                <w:rFonts w:hint="default" w:ascii="Times New Roman" w:hAnsi="Times New Roman" w:eastAsia="宋体" w:cs="Times New Roman"/>
                <w:color w:val="auto"/>
                <w:sz w:val="24"/>
                <w:szCs w:val="24"/>
                <w:highlight w:val="none"/>
                <w:vertAlign w:val="baseline"/>
                <w:lang w:val="en-US" w:eastAsia="zh-CN"/>
              </w:rPr>
              <w:t xml:space="preserve">  项目用、排水情况一览表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423"/>
              <w:gridCol w:w="1230"/>
              <w:gridCol w:w="1184"/>
              <w:gridCol w:w="1119"/>
              <w:gridCol w:w="1119"/>
              <w:gridCol w:w="1124"/>
              <w:gridCol w:w="1186"/>
            </w:tblGrid>
            <w:tr w14:paraId="79716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848" w:type="pct"/>
                  <w:vMerge w:val="restart"/>
                  <w:tcBorders>
                    <w:tl2br w:val="nil"/>
                    <w:tr2bl w:val="nil"/>
                  </w:tcBorders>
                  <w:shd w:val="clear" w:color="auto" w:fill="auto"/>
                  <w:vAlign w:val="center"/>
                </w:tcPr>
                <w:p w14:paraId="6235E31C">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leftChars="0" w:right="0" w:rightChars="0"/>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用水项目</w:t>
                  </w:r>
                </w:p>
              </w:tc>
              <w:tc>
                <w:tcPr>
                  <w:tcW w:w="733" w:type="pct"/>
                  <w:vMerge w:val="restart"/>
                  <w:tcBorders>
                    <w:tl2br w:val="nil"/>
                    <w:tr2bl w:val="nil"/>
                  </w:tcBorders>
                  <w:shd w:val="clear" w:color="auto" w:fill="auto"/>
                  <w:vAlign w:val="center"/>
                </w:tcPr>
                <w:p w14:paraId="7B2C6232">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leftChars="0" w:right="0" w:rightChars="0"/>
                    <w:jc w:val="center"/>
                    <w:textAlignment w:val="auto"/>
                    <w:rPr>
                      <w:rFonts w:hint="default"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用水标准</w:t>
                  </w:r>
                </w:p>
              </w:tc>
              <w:tc>
                <w:tcPr>
                  <w:tcW w:w="706" w:type="pct"/>
                  <w:vMerge w:val="restart"/>
                  <w:tcBorders>
                    <w:tl2br w:val="nil"/>
                    <w:tr2bl w:val="nil"/>
                  </w:tcBorders>
                  <w:shd w:val="clear" w:color="auto" w:fill="auto"/>
                  <w:vAlign w:val="center"/>
                </w:tcPr>
                <w:p w14:paraId="14E70354">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leftChars="0" w:right="0" w:rightChars="0"/>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规模</w:t>
                  </w:r>
                </w:p>
              </w:tc>
              <w:tc>
                <w:tcPr>
                  <w:tcW w:w="2004" w:type="pct"/>
                  <w:gridSpan w:val="3"/>
                  <w:tcBorders>
                    <w:tl2br w:val="nil"/>
                    <w:tr2bl w:val="nil"/>
                  </w:tcBorders>
                  <w:shd w:val="clear" w:color="auto" w:fill="auto"/>
                  <w:vAlign w:val="center"/>
                </w:tcPr>
                <w:p w14:paraId="3329E7ED">
                  <w:pPr>
                    <w:pStyle w:val="18"/>
                    <w:keepNext w:val="0"/>
                    <w:keepLines w:val="0"/>
                    <w:pageBreakBefore w:val="0"/>
                    <w:widowControl/>
                    <w:suppressLineNumbers w:val="0"/>
                    <w:kinsoku/>
                    <w:wordWrap/>
                    <w:overflowPunct/>
                    <w:topLinePunct w:val="0"/>
                    <w:autoSpaceDE w:val="0"/>
                    <w:autoSpaceDN/>
                    <w:bidi w:val="0"/>
                    <w:adjustRightInd/>
                    <w:snapToGrid/>
                    <w:spacing w:before="70" w:beforeLines="22" w:beforeAutospacing="0" w:after="70" w:afterLines="22" w:afterAutospacing="0" w:line="300" w:lineRule="auto"/>
                    <w:ind w:left="0" w:right="0"/>
                    <w:jc w:val="center"/>
                    <w:textAlignment w:val="auto"/>
                    <w:rPr>
                      <w:rFonts w:hint="eastAsia"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日均用水量m</w:t>
                  </w:r>
                  <w:r>
                    <w:rPr>
                      <w:rFonts w:hint="eastAsia" w:ascii="Times New Roman" w:hAnsi="Times New Roman" w:eastAsia="宋体" w:cs="宋体"/>
                      <w:b/>
                      <w:bCs/>
                      <w:color w:val="auto"/>
                      <w:kern w:val="0"/>
                      <w:sz w:val="21"/>
                      <w:szCs w:val="21"/>
                      <w:highlight w:val="none"/>
                      <w:vertAlign w:val="superscript"/>
                      <w:lang w:val="en-US" w:eastAsia="zh-CN"/>
                    </w:rPr>
                    <w:t>3</w:t>
                  </w:r>
                  <w:r>
                    <w:rPr>
                      <w:rFonts w:hint="eastAsia" w:ascii="Times New Roman" w:hAnsi="Times New Roman" w:eastAsia="宋体" w:cs="宋体"/>
                      <w:b/>
                      <w:bCs/>
                      <w:color w:val="auto"/>
                      <w:kern w:val="0"/>
                      <w:sz w:val="21"/>
                      <w:szCs w:val="21"/>
                      <w:highlight w:val="none"/>
                      <w:lang w:val="en-US" w:eastAsia="zh-CN"/>
                    </w:rPr>
                    <w:t>/d</w:t>
                  </w:r>
                </w:p>
              </w:tc>
              <w:tc>
                <w:tcPr>
                  <w:tcW w:w="707" w:type="pct"/>
                  <w:vMerge w:val="restart"/>
                  <w:tcBorders>
                    <w:tl2br w:val="nil"/>
                    <w:tr2bl w:val="nil"/>
                  </w:tcBorders>
                  <w:shd w:val="clear" w:color="auto" w:fill="auto"/>
                  <w:vAlign w:val="center"/>
                </w:tcPr>
                <w:p w14:paraId="1487F49E">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right="0"/>
                    <w:jc w:val="center"/>
                    <w:textAlignment w:val="auto"/>
                    <w:rPr>
                      <w:rFonts w:hint="eastAsia"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废水量m</w:t>
                  </w:r>
                  <w:r>
                    <w:rPr>
                      <w:rFonts w:hint="eastAsia" w:ascii="Times New Roman" w:hAnsi="Times New Roman" w:eastAsia="宋体" w:cs="宋体"/>
                      <w:b/>
                      <w:bCs/>
                      <w:color w:val="auto"/>
                      <w:kern w:val="0"/>
                      <w:sz w:val="21"/>
                      <w:szCs w:val="21"/>
                      <w:highlight w:val="none"/>
                      <w:vertAlign w:val="superscript"/>
                      <w:lang w:val="en-US" w:eastAsia="zh-CN"/>
                    </w:rPr>
                    <w:t>3</w:t>
                  </w:r>
                  <w:r>
                    <w:rPr>
                      <w:rFonts w:hint="eastAsia" w:ascii="Times New Roman" w:hAnsi="Times New Roman" w:eastAsia="宋体" w:cs="宋体"/>
                      <w:b/>
                      <w:bCs/>
                      <w:color w:val="auto"/>
                      <w:kern w:val="0"/>
                      <w:sz w:val="21"/>
                      <w:szCs w:val="21"/>
                      <w:highlight w:val="none"/>
                      <w:lang w:val="en-US" w:eastAsia="zh-CN"/>
                    </w:rPr>
                    <w:t>/d</w:t>
                  </w:r>
                </w:p>
              </w:tc>
            </w:tr>
            <w:tr w14:paraId="6B5B9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vMerge w:val="continue"/>
                  <w:tcBorders>
                    <w:tl2br w:val="nil"/>
                    <w:tr2bl w:val="nil"/>
                  </w:tcBorders>
                  <w:shd w:val="clear" w:color="auto" w:fill="auto"/>
                  <w:vAlign w:val="center"/>
                </w:tcPr>
                <w:p w14:paraId="310BDB6A">
                  <w:pPr>
                    <w:keepNext w:val="0"/>
                    <w:keepLines w:val="0"/>
                    <w:pageBreakBefore w:val="0"/>
                    <w:widowControl/>
                    <w:suppressLineNumbers w:val="0"/>
                    <w:kinsoku/>
                    <w:wordWrap/>
                    <w:overflowPunct/>
                    <w:topLinePunct w:val="0"/>
                    <w:autoSpaceDN/>
                    <w:bidi w:val="0"/>
                    <w:adjustRightInd/>
                    <w:snapToGrid/>
                    <w:spacing w:before="79" w:beforeLines="25" w:beforeAutospacing="0" w:after="79" w:afterLines="25" w:afterAutospacing="0" w:line="288" w:lineRule="auto"/>
                    <w:ind w:left="0" w:right="0"/>
                    <w:jc w:val="center"/>
                    <w:textAlignment w:val="auto"/>
                    <w:rPr>
                      <w:rFonts w:hint="eastAsia" w:ascii="Times New Roman" w:hAnsi="Times New Roman" w:eastAsia="宋体" w:cs="宋体"/>
                      <w:color w:val="auto"/>
                      <w:sz w:val="21"/>
                      <w:szCs w:val="21"/>
                      <w:highlight w:val="none"/>
                    </w:rPr>
                  </w:pPr>
                </w:p>
              </w:tc>
              <w:tc>
                <w:tcPr>
                  <w:tcW w:w="733" w:type="pct"/>
                  <w:vMerge w:val="continue"/>
                  <w:tcBorders>
                    <w:tl2br w:val="nil"/>
                    <w:tr2bl w:val="nil"/>
                  </w:tcBorders>
                  <w:shd w:val="clear" w:color="auto" w:fill="auto"/>
                  <w:vAlign w:val="center"/>
                </w:tcPr>
                <w:p w14:paraId="0C03C23C">
                  <w:pPr>
                    <w:keepNext w:val="0"/>
                    <w:keepLines w:val="0"/>
                    <w:pageBreakBefore w:val="0"/>
                    <w:widowControl/>
                    <w:suppressLineNumbers w:val="0"/>
                    <w:kinsoku/>
                    <w:wordWrap/>
                    <w:overflowPunct/>
                    <w:topLinePunct w:val="0"/>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cs="宋体"/>
                      <w:color w:val="auto"/>
                      <w:sz w:val="21"/>
                      <w:szCs w:val="21"/>
                      <w:highlight w:val="none"/>
                    </w:rPr>
                  </w:pPr>
                </w:p>
              </w:tc>
              <w:tc>
                <w:tcPr>
                  <w:tcW w:w="706" w:type="pct"/>
                  <w:vMerge w:val="continue"/>
                  <w:tcBorders>
                    <w:tl2br w:val="nil"/>
                    <w:tr2bl w:val="nil"/>
                  </w:tcBorders>
                  <w:shd w:val="clear" w:color="auto" w:fill="auto"/>
                  <w:vAlign w:val="center"/>
                </w:tcPr>
                <w:p w14:paraId="53012D3A">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right="0"/>
                    <w:jc w:val="center"/>
                    <w:textAlignment w:val="auto"/>
                    <w:rPr>
                      <w:rFonts w:hint="eastAsia" w:ascii="Times New Roman" w:hAnsi="Times New Roman" w:eastAsia="宋体" w:cs="宋体"/>
                      <w:b/>
                      <w:bCs/>
                      <w:color w:val="auto"/>
                      <w:kern w:val="0"/>
                      <w:sz w:val="21"/>
                      <w:szCs w:val="21"/>
                      <w:highlight w:val="none"/>
                      <w:lang w:val="en-US" w:eastAsia="zh-CN"/>
                    </w:rPr>
                  </w:pPr>
                </w:p>
              </w:tc>
              <w:tc>
                <w:tcPr>
                  <w:tcW w:w="667" w:type="pct"/>
                  <w:tcBorders>
                    <w:tl2br w:val="nil"/>
                    <w:tr2bl w:val="nil"/>
                  </w:tcBorders>
                  <w:shd w:val="clear" w:color="auto" w:fill="auto"/>
                  <w:vAlign w:val="center"/>
                </w:tcPr>
                <w:p w14:paraId="5B0D8618">
                  <w:pPr>
                    <w:pStyle w:val="18"/>
                    <w:keepNext w:val="0"/>
                    <w:keepLines w:val="0"/>
                    <w:pageBreakBefore w:val="0"/>
                    <w:widowControl/>
                    <w:suppressLineNumbers w:val="0"/>
                    <w:kinsoku/>
                    <w:wordWrap/>
                    <w:overflowPunct/>
                    <w:topLinePunct w:val="0"/>
                    <w:autoSpaceDE w:val="0"/>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新鲜水</w:t>
                  </w:r>
                </w:p>
              </w:tc>
              <w:tc>
                <w:tcPr>
                  <w:tcW w:w="667" w:type="pct"/>
                  <w:tcBorders>
                    <w:tl2br w:val="nil"/>
                    <w:tr2bl w:val="nil"/>
                  </w:tcBorders>
                  <w:shd w:val="clear" w:color="auto" w:fill="auto"/>
                  <w:vAlign w:val="center"/>
                </w:tcPr>
                <w:p w14:paraId="683541FC">
                  <w:pPr>
                    <w:pStyle w:val="18"/>
                    <w:keepNext w:val="0"/>
                    <w:keepLines w:val="0"/>
                    <w:pageBreakBefore w:val="0"/>
                    <w:widowControl/>
                    <w:suppressLineNumbers w:val="0"/>
                    <w:kinsoku/>
                    <w:wordWrap/>
                    <w:overflowPunct/>
                    <w:topLinePunct w:val="0"/>
                    <w:autoSpaceDE w:val="0"/>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回用水</w:t>
                  </w:r>
                </w:p>
              </w:tc>
              <w:tc>
                <w:tcPr>
                  <w:tcW w:w="670" w:type="pct"/>
                  <w:tcBorders>
                    <w:tl2br w:val="nil"/>
                    <w:tr2bl w:val="nil"/>
                  </w:tcBorders>
                  <w:shd w:val="clear" w:color="auto" w:fill="auto"/>
                  <w:vAlign w:val="center"/>
                </w:tcPr>
                <w:p w14:paraId="651B383D">
                  <w:pPr>
                    <w:pStyle w:val="18"/>
                    <w:keepNext w:val="0"/>
                    <w:keepLines w:val="0"/>
                    <w:pageBreakBefore w:val="0"/>
                    <w:widowControl/>
                    <w:suppressLineNumbers w:val="0"/>
                    <w:kinsoku/>
                    <w:wordWrap/>
                    <w:overflowPunct/>
                    <w:topLinePunct w:val="0"/>
                    <w:autoSpaceDE w:val="0"/>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rPr>
                    <w:t>小计</w:t>
                  </w:r>
                </w:p>
              </w:tc>
              <w:tc>
                <w:tcPr>
                  <w:tcW w:w="707" w:type="pct"/>
                  <w:vMerge w:val="continue"/>
                  <w:tcBorders>
                    <w:tl2br w:val="nil"/>
                    <w:tr2bl w:val="nil"/>
                  </w:tcBorders>
                  <w:shd w:val="clear" w:color="auto" w:fill="auto"/>
                  <w:vAlign w:val="center"/>
                </w:tcPr>
                <w:p w14:paraId="5BAB0DD0">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288" w:lineRule="auto"/>
                    <w:ind w:left="0" w:right="0"/>
                    <w:jc w:val="center"/>
                    <w:textAlignment w:val="auto"/>
                    <w:rPr>
                      <w:rFonts w:hint="eastAsia" w:ascii="Times New Roman" w:hAnsi="Times New Roman" w:eastAsia="宋体" w:cs="宋体"/>
                      <w:b/>
                      <w:bCs/>
                      <w:color w:val="auto"/>
                      <w:kern w:val="0"/>
                      <w:sz w:val="21"/>
                      <w:szCs w:val="21"/>
                      <w:highlight w:val="none"/>
                      <w:lang w:val="en-US" w:eastAsia="zh-CN"/>
                    </w:rPr>
                  </w:pPr>
                </w:p>
              </w:tc>
            </w:tr>
            <w:tr w14:paraId="2D59D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shd w:val="clear" w:color="auto" w:fill="auto"/>
                  <w:vAlign w:val="center"/>
                </w:tcPr>
                <w:p w14:paraId="0EA03C02">
                  <w:pPr>
                    <w:keepNext w:val="0"/>
                    <w:keepLines w:val="0"/>
                    <w:pageBreakBefore w:val="0"/>
                    <w:widowControl/>
                    <w:suppressLineNumbers w:val="0"/>
                    <w:kinsoku/>
                    <w:wordWrap/>
                    <w:overflowPunct/>
                    <w:topLinePunct w:val="0"/>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生活污水</w:t>
                  </w:r>
                </w:p>
              </w:tc>
              <w:tc>
                <w:tcPr>
                  <w:tcW w:w="733" w:type="pct"/>
                  <w:tcBorders>
                    <w:tl2br w:val="nil"/>
                    <w:tr2bl w:val="nil"/>
                  </w:tcBorders>
                  <w:shd w:val="clear" w:color="auto" w:fill="auto"/>
                  <w:vAlign w:val="center"/>
                </w:tcPr>
                <w:p w14:paraId="4993E765">
                  <w:pPr>
                    <w:keepNext w:val="0"/>
                    <w:keepLines w:val="0"/>
                    <w:pageBreakBefore w:val="0"/>
                    <w:widowControl/>
                    <w:suppressLineNumbers w:val="0"/>
                    <w:kinsoku/>
                    <w:wordWrap/>
                    <w:overflowPunct/>
                    <w:topLinePunct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50L/</w:t>
                  </w:r>
                  <w:r>
                    <w:rPr>
                      <w:rFonts w:hint="eastAsia" w:ascii="Times New Roman" w:hAnsi="Times New Roman" w:eastAsia="宋体" w:cs="宋体"/>
                      <w:color w:val="auto"/>
                      <w:kern w:val="0"/>
                      <w:sz w:val="21"/>
                      <w:szCs w:val="21"/>
                      <w:highlight w:val="none"/>
                      <w:lang w:val="en-US" w:eastAsia="zh-CN" w:bidi="ar"/>
                    </w:rPr>
                    <w:t>人·</w:t>
                  </w:r>
                  <w:r>
                    <w:rPr>
                      <w:rFonts w:hint="default" w:ascii="Times New Roman" w:hAnsi="Times New Roman" w:eastAsia="宋体" w:cs="Times New Roman"/>
                      <w:color w:val="auto"/>
                      <w:kern w:val="0"/>
                      <w:sz w:val="21"/>
                      <w:szCs w:val="21"/>
                      <w:highlight w:val="none"/>
                      <w:lang w:val="en-US" w:eastAsia="zh-CN" w:bidi="ar"/>
                    </w:rPr>
                    <w:t>d</w:t>
                  </w:r>
                </w:p>
              </w:tc>
              <w:tc>
                <w:tcPr>
                  <w:tcW w:w="706" w:type="pct"/>
                  <w:tcBorders>
                    <w:tl2br w:val="nil"/>
                    <w:tr2bl w:val="nil"/>
                  </w:tcBorders>
                  <w:shd w:val="clear" w:color="auto" w:fill="auto"/>
                  <w:vAlign w:val="center"/>
                </w:tcPr>
                <w:p w14:paraId="6FEFA2B4">
                  <w:pPr>
                    <w:keepNext w:val="0"/>
                    <w:keepLines w:val="0"/>
                    <w:pageBreakBefore w:val="0"/>
                    <w:widowControl/>
                    <w:suppressLineNumbers w:val="0"/>
                    <w:kinsoku/>
                    <w:wordWrap/>
                    <w:overflowPunct/>
                    <w:topLinePunct w:val="0"/>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10</w:t>
                  </w:r>
                  <w:r>
                    <w:rPr>
                      <w:rFonts w:hint="eastAsia" w:ascii="Times New Roman" w:hAnsi="Times New Roman" w:eastAsia="宋体" w:cs="宋体"/>
                      <w:color w:val="auto"/>
                      <w:kern w:val="0"/>
                      <w:sz w:val="21"/>
                      <w:szCs w:val="21"/>
                      <w:highlight w:val="none"/>
                      <w:lang w:val="en-US" w:eastAsia="zh-CN" w:bidi="ar"/>
                    </w:rPr>
                    <w:t>人</w:t>
                  </w:r>
                </w:p>
              </w:tc>
              <w:tc>
                <w:tcPr>
                  <w:tcW w:w="667" w:type="pct"/>
                  <w:tcBorders>
                    <w:tl2br w:val="nil"/>
                    <w:tr2bl w:val="nil"/>
                  </w:tcBorders>
                  <w:shd w:val="clear" w:color="auto" w:fill="auto"/>
                  <w:vAlign w:val="center"/>
                </w:tcPr>
                <w:p w14:paraId="69AED91D">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rPr>
                  </w:pPr>
                  <w:r>
                    <w:rPr>
                      <w:rFonts w:hint="eastAsia" w:ascii="Times New Roman" w:hAnsi="Times New Roman" w:eastAsia="宋体" w:cs="宋体"/>
                      <w:b w:val="0"/>
                      <w:bCs w:val="0"/>
                      <w:color w:val="auto"/>
                      <w:kern w:val="0"/>
                      <w:sz w:val="21"/>
                      <w:szCs w:val="21"/>
                      <w:highlight w:val="none"/>
                      <w:lang w:val="en-US" w:eastAsia="zh-CN"/>
                    </w:rPr>
                    <w:t>0.5</w:t>
                  </w:r>
                </w:p>
              </w:tc>
              <w:tc>
                <w:tcPr>
                  <w:tcW w:w="667" w:type="pct"/>
                  <w:tcBorders>
                    <w:tl2br w:val="nil"/>
                    <w:tr2bl w:val="nil"/>
                  </w:tcBorders>
                  <w:shd w:val="clear" w:color="auto" w:fill="auto"/>
                  <w:vAlign w:val="center"/>
                </w:tcPr>
                <w:p w14:paraId="0838C15F">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rPr>
                  </w:pPr>
                  <w:r>
                    <w:rPr>
                      <w:rFonts w:hint="eastAsia" w:ascii="Times New Roman" w:hAnsi="Times New Roman" w:eastAsia="宋体" w:cs="宋体"/>
                      <w:b w:val="0"/>
                      <w:bCs w:val="0"/>
                      <w:color w:val="auto"/>
                      <w:kern w:val="0"/>
                      <w:sz w:val="21"/>
                      <w:szCs w:val="21"/>
                      <w:highlight w:val="none"/>
                      <w:lang w:val="en-US" w:eastAsia="zh-CN"/>
                    </w:rPr>
                    <w:t>0</w:t>
                  </w:r>
                </w:p>
              </w:tc>
              <w:tc>
                <w:tcPr>
                  <w:tcW w:w="670" w:type="pct"/>
                  <w:tcBorders>
                    <w:tl2br w:val="nil"/>
                    <w:tr2bl w:val="nil"/>
                  </w:tcBorders>
                  <w:shd w:val="clear" w:color="auto" w:fill="auto"/>
                  <w:vAlign w:val="center"/>
                </w:tcPr>
                <w:p w14:paraId="72EEBD95">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rPr>
                  </w:pPr>
                  <w:r>
                    <w:rPr>
                      <w:rFonts w:hint="eastAsia" w:ascii="Times New Roman" w:hAnsi="Times New Roman" w:eastAsia="宋体" w:cs="宋体"/>
                      <w:b w:val="0"/>
                      <w:bCs w:val="0"/>
                      <w:color w:val="auto"/>
                      <w:kern w:val="0"/>
                      <w:sz w:val="21"/>
                      <w:szCs w:val="21"/>
                      <w:highlight w:val="none"/>
                      <w:lang w:val="en-US" w:eastAsia="zh-CN"/>
                    </w:rPr>
                    <w:t>0.5</w:t>
                  </w:r>
                </w:p>
              </w:tc>
              <w:tc>
                <w:tcPr>
                  <w:tcW w:w="707" w:type="pct"/>
                  <w:tcBorders>
                    <w:top w:val="single" w:color="auto" w:sz="4" w:space="0"/>
                  </w:tcBorders>
                  <w:shd w:val="clear" w:color="auto" w:fill="auto"/>
                  <w:vAlign w:val="center"/>
                </w:tcPr>
                <w:p w14:paraId="498D9133">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rPr>
                  </w:pPr>
                  <w:r>
                    <w:rPr>
                      <w:rFonts w:hint="eastAsia" w:ascii="Times New Roman" w:hAnsi="Times New Roman" w:eastAsia="宋体" w:cs="宋体"/>
                      <w:b w:val="0"/>
                      <w:bCs w:val="0"/>
                      <w:color w:val="auto"/>
                      <w:kern w:val="0"/>
                      <w:sz w:val="21"/>
                      <w:szCs w:val="21"/>
                      <w:highlight w:val="none"/>
                      <w:lang w:val="en-US" w:eastAsia="zh-CN"/>
                    </w:rPr>
                    <w:t>0.45</w:t>
                  </w:r>
                </w:p>
              </w:tc>
            </w:tr>
            <w:tr w14:paraId="16DA8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shd w:val="clear" w:color="auto" w:fill="auto"/>
                  <w:vAlign w:val="center"/>
                </w:tcPr>
                <w:p w14:paraId="094209C3">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sz w:val="21"/>
                      <w:szCs w:val="21"/>
                      <w:highlight w:val="none"/>
                      <w:lang w:eastAsia="zh-CN"/>
                    </w:rPr>
                  </w:pPr>
                  <w:r>
                    <w:rPr>
                      <w:rFonts w:hint="eastAsia" w:ascii="Times New Roman" w:hAnsi="Times New Roman" w:eastAsia="宋体" w:cs="宋体"/>
                      <w:b/>
                      <w:bCs/>
                      <w:color w:val="auto"/>
                      <w:sz w:val="21"/>
                      <w:szCs w:val="21"/>
                      <w:highlight w:val="none"/>
                      <w:lang w:eastAsia="zh-CN"/>
                    </w:rPr>
                    <w:t>合</w:t>
                  </w:r>
                  <w:r>
                    <w:rPr>
                      <w:rFonts w:hint="eastAsia" w:ascii="Times New Roman" w:hAnsi="Times New Roman" w:eastAsia="宋体" w:cs="宋体"/>
                      <w:b/>
                      <w:bCs/>
                      <w:color w:val="auto"/>
                      <w:sz w:val="21"/>
                      <w:szCs w:val="21"/>
                      <w:highlight w:val="none"/>
                      <w:lang w:val="en-US" w:eastAsia="zh-CN"/>
                    </w:rPr>
                    <w:t xml:space="preserve">    </w:t>
                  </w:r>
                  <w:r>
                    <w:rPr>
                      <w:rFonts w:hint="eastAsia" w:ascii="Times New Roman" w:hAnsi="Times New Roman" w:eastAsia="宋体" w:cs="宋体"/>
                      <w:b/>
                      <w:bCs/>
                      <w:color w:val="auto"/>
                      <w:sz w:val="21"/>
                      <w:szCs w:val="21"/>
                      <w:highlight w:val="none"/>
                      <w:lang w:eastAsia="zh-CN"/>
                    </w:rPr>
                    <w:t>计</w:t>
                  </w:r>
                </w:p>
              </w:tc>
              <w:tc>
                <w:tcPr>
                  <w:tcW w:w="733" w:type="pct"/>
                  <w:tcBorders>
                    <w:tl2br w:val="nil"/>
                    <w:tr2bl w:val="nil"/>
                  </w:tcBorders>
                  <w:shd w:val="clear" w:color="auto" w:fill="auto"/>
                  <w:vAlign w:val="center"/>
                </w:tcPr>
                <w:p w14:paraId="6A1F3729">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w:t>
                  </w:r>
                </w:p>
              </w:tc>
              <w:tc>
                <w:tcPr>
                  <w:tcW w:w="706" w:type="pct"/>
                  <w:tcBorders>
                    <w:tl2br w:val="nil"/>
                    <w:tr2bl w:val="nil"/>
                  </w:tcBorders>
                  <w:shd w:val="clear" w:color="auto" w:fill="auto"/>
                  <w:vAlign w:val="center"/>
                </w:tcPr>
                <w:p w14:paraId="58455260">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w:t>
                  </w:r>
                </w:p>
              </w:tc>
              <w:tc>
                <w:tcPr>
                  <w:tcW w:w="667" w:type="pct"/>
                  <w:tcBorders>
                    <w:tl2br w:val="nil"/>
                    <w:tr2bl w:val="nil"/>
                  </w:tcBorders>
                  <w:shd w:val="clear" w:color="auto" w:fill="auto"/>
                  <w:vAlign w:val="center"/>
                </w:tcPr>
                <w:p w14:paraId="1325DE39">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0.5</w:t>
                  </w:r>
                </w:p>
              </w:tc>
              <w:tc>
                <w:tcPr>
                  <w:tcW w:w="667" w:type="pct"/>
                  <w:tcBorders>
                    <w:tl2br w:val="nil"/>
                    <w:tr2bl w:val="nil"/>
                  </w:tcBorders>
                  <w:shd w:val="clear" w:color="auto" w:fill="auto"/>
                  <w:vAlign w:val="center"/>
                </w:tcPr>
                <w:p w14:paraId="6827305C">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0</w:t>
                  </w:r>
                </w:p>
              </w:tc>
              <w:tc>
                <w:tcPr>
                  <w:tcW w:w="670" w:type="pct"/>
                  <w:tcBorders>
                    <w:tl2br w:val="nil"/>
                    <w:tr2bl w:val="nil"/>
                  </w:tcBorders>
                  <w:shd w:val="clear" w:color="auto" w:fill="auto"/>
                  <w:vAlign w:val="center"/>
                </w:tcPr>
                <w:p w14:paraId="41AB12D6">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0.5</w:t>
                  </w:r>
                </w:p>
              </w:tc>
              <w:tc>
                <w:tcPr>
                  <w:tcW w:w="707" w:type="pct"/>
                  <w:tcBorders>
                    <w:tl2br w:val="nil"/>
                    <w:tr2bl w:val="nil"/>
                  </w:tcBorders>
                  <w:shd w:val="clear" w:color="auto" w:fill="auto"/>
                  <w:vAlign w:val="center"/>
                </w:tcPr>
                <w:p w14:paraId="279A5F9C">
                  <w:pPr>
                    <w:pStyle w:val="18"/>
                    <w:keepNext w:val="0"/>
                    <w:keepLines w:val="0"/>
                    <w:pageBreakBefore w:val="0"/>
                    <w:widowControl/>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kern w:val="0"/>
                      <w:sz w:val="21"/>
                      <w:szCs w:val="21"/>
                      <w:highlight w:val="none"/>
                      <w:lang w:val="en-US" w:eastAsia="zh-CN"/>
                    </w:rPr>
                  </w:pPr>
                  <w:r>
                    <w:rPr>
                      <w:rFonts w:hint="eastAsia" w:ascii="Times New Roman" w:hAnsi="Times New Roman" w:eastAsia="宋体" w:cs="宋体"/>
                      <w:b/>
                      <w:bCs/>
                      <w:color w:val="auto"/>
                      <w:kern w:val="0"/>
                      <w:sz w:val="21"/>
                      <w:szCs w:val="21"/>
                      <w:highlight w:val="none"/>
                      <w:lang w:val="en-US" w:eastAsia="zh-CN"/>
                    </w:rPr>
                    <w:t>0.45</w:t>
                  </w:r>
                </w:p>
              </w:tc>
            </w:tr>
          </w:tbl>
          <w:p w14:paraId="0041A71C">
            <w:pPr>
              <w:keepNext w:val="0"/>
              <w:keepLines w:val="0"/>
              <w:pageBreakBefore w:val="0"/>
              <w:widowControl w:val="0"/>
              <w:kinsoku/>
              <w:wordWrap/>
              <w:overflowPunct/>
              <w:topLinePunct w:val="0"/>
              <w:autoSpaceDE/>
              <w:autoSpaceDN/>
              <w:bidi w:val="0"/>
              <w:adjustRightInd/>
              <w:snapToGrid/>
              <w:spacing w:before="32" w:beforeLines="10"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项目水平衡图如图2-1所示，扩建完成后全厂水平衡图见图2-2。</w:t>
            </w:r>
          </w:p>
          <w:p w14:paraId="0806044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宋体"/>
                <w:color w:val="auto"/>
                <w:sz w:val="24"/>
                <w:szCs w:val="24"/>
                <w:highlight w:val="none"/>
                <w:lang w:val="en-US" w:eastAsia="zh-CN"/>
              </w:rPr>
            </w:pPr>
            <w:r>
              <w:rPr>
                <w:rFonts w:hint="default" w:ascii="Times New Roman" w:hAnsi="Times New Roman"/>
                <w:color w:val="auto"/>
                <w:sz w:val="24"/>
                <w:highlight w:val="none"/>
              </w:rPr>
              <w:object>
                <v:shape id="_x0000_i1025" o:spt="75" type="#_x0000_t75" style="height:95.15pt;width:371.3pt;" o:ole="t" filled="f" o:preferrelative="t" stroked="f" coordsize="21600,21600">
                  <v:path/>
                  <v:fill on="f" focussize="0,0"/>
                  <v:stroke on="f"/>
                  <v:imagedata r:id="rId13" cropbottom="21620f" o:title=""/>
                  <o:lock v:ext="edit" aspectratio="t"/>
                  <w10:wrap type="none"/>
                  <w10:anchorlock/>
                </v:shape>
                <o:OLEObject Type="Embed" ProgID="Visio.Drawing.11" ShapeID="_x0000_i1025" DrawAspect="Content" ObjectID="_1468075725" r:id="rId12">
                  <o:LockedField>false</o:LockedField>
                </o:OLEObject>
              </w:object>
            </w:r>
          </w:p>
          <w:p w14:paraId="33CCA0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图2-1  扩建项目水平衡图</w:t>
            </w:r>
            <w:r>
              <w:rPr>
                <w:rFonts w:hint="eastAsia" w:ascii="Times New Roman" w:hAnsi="Times New Roman" w:eastAsia="黑体"/>
                <w:color w:val="auto"/>
                <w:sz w:val="24"/>
                <w:szCs w:val="24"/>
                <w:highlight w:val="none"/>
                <w:vertAlign w:val="baseline"/>
                <w:lang w:val="en-US" w:eastAsia="zh-CN"/>
              </w:rPr>
              <w:t>（m</w:t>
            </w:r>
            <w:r>
              <w:rPr>
                <w:rFonts w:hint="eastAsia" w:ascii="Times New Roman" w:hAnsi="Times New Roman" w:eastAsia="黑体"/>
                <w:color w:val="auto"/>
                <w:sz w:val="24"/>
                <w:szCs w:val="24"/>
                <w:highlight w:val="none"/>
                <w:vertAlign w:val="superscript"/>
                <w:lang w:val="en-US" w:eastAsia="zh-CN"/>
              </w:rPr>
              <w:t>3</w:t>
            </w:r>
            <w:r>
              <w:rPr>
                <w:rFonts w:hint="eastAsia" w:ascii="Times New Roman" w:hAnsi="Times New Roman" w:eastAsia="黑体"/>
                <w:color w:val="auto"/>
                <w:sz w:val="24"/>
                <w:szCs w:val="24"/>
                <w:highlight w:val="none"/>
                <w:vertAlign w:val="baseline"/>
                <w:lang w:val="en-US" w:eastAsia="zh-CN"/>
              </w:rPr>
              <w:t>/d）</w:t>
            </w:r>
          </w:p>
          <w:p w14:paraId="57C27E76">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center"/>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object>
                <v:shape id="_x0000_i1026" o:spt="75" type="#_x0000_t75" style="height:197.7pt;width:390.6pt;" o:ole="t" filled="f" o:preferrelative="t" stroked="f" coordsize="21600,21600">
                  <v:path/>
                  <v:fill on="f" focussize="0,0"/>
                  <v:stroke on="f"/>
                  <v:imagedata r:id="rId15" cropleft="7974f" croptop="11753f" cropright="6174f" cropbottom="17016f" o:title=""/>
                  <o:lock v:ext="edit" aspectratio="t"/>
                  <w10:wrap type="none"/>
                  <w10:anchorlock/>
                </v:shape>
                <o:OLEObject Type="Embed" ProgID="Visio.Drawing.15" ShapeID="_x0000_i1026" DrawAspect="Content" ObjectID="_1468075726" r:id="rId14">
                  <o:LockedField>false</o:LockedField>
                </o:OLEObject>
              </w:object>
            </w:r>
          </w:p>
          <w:p w14:paraId="638E9782">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center"/>
              <w:textAlignment w:val="auto"/>
              <w:rPr>
                <w:rFonts w:hint="eastAsia" w:ascii="Times New Roman" w:hAnsi="Times New Roman" w:eastAsia="宋体"/>
                <w:b/>
                <w:bCs/>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图2-1  扩建</w:t>
            </w:r>
            <w:r>
              <w:rPr>
                <w:rFonts w:hint="eastAsia" w:ascii="Times New Roman" w:hAnsi="Times New Roman" w:eastAsia="宋体" w:cs="Times New Roman"/>
                <w:color w:val="auto"/>
                <w:sz w:val="24"/>
                <w:szCs w:val="24"/>
                <w:highlight w:val="none"/>
                <w:vertAlign w:val="baseline"/>
                <w:lang w:val="en-US" w:eastAsia="zh-CN"/>
              </w:rPr>
              <w:t>后全厂</w:t>
            </w:r>
            <w:r>
              <w:rPr>
                <w:rFonts w:hint="default" w:ascii="Times New Roman" w:hAnsi="Times New Roman" w:eastAsia="宋体" w:cs="Times New Roman"/>
                <w:color w:val="auto"/>
                <w:sz w:val="24"/>
                <w:szCs w:val="24"/>
                <w:highlight w:val="none"/>
                <w:vertAlign w:val="baseline"/>
                <w:lang w:val="en-US" w:eastAsia="zh-CN"/>
              </w:rPr>
              <w:t>水平衡图</w:t>
            </w:r>
            <w:r>
              <w:rPr>
                <w:rFonts w:hint="eastAsia" w:ascii="Times New Roman" w:hAnsi="Times New Roman" w:eastAsia="黑体"/>
                <w:color w:val="auto"/>
                <w:sz w:val="24"/>
                <w:szCs w:val="24"/>
                <w:highlight w:val="none"/>
                <w:vertAlign w:val="baseline"/>
                <w:lang w:val="en-US" w:eastAsia="zh-CN"/>
              </w:rPr>
              <w:t>（m</w:t>
            </w:r>
            <w:r>
              <w:rPr>
                <w:rFonts w:hint="eastAsia" w:ascii="Times New Roman" w:hAnsi="Times New Roman" w:eastAsia="黑体"/>
                <w:color w:val="auto"/>
                <w:sz w:val="24"/>
                <w:szCs w:val="24"/>
                <w:highlight w:val="none"/>
                <w:vertAlign w:val="superscript"/>
                <w:lang w:val="en-US" w:eastAsia="zh-CN"/>
              </w:rPr>
              <w:t>3</w:t>
            </w:r>
            <w:r>
              <w:rPr>
                <w:rFonts w:hint="eastAsia" w:ascii="Times New Roman" w:hAnsi="Times New Roman" w:eastAsia="黑体"/>
                <w:color w:val="auto"/>
                <w:sz w:val="24"/>
                <w:szCs w:val="24"/>
                <w:highlight w:val="none"/>
                <w:vertAlign w:val="baseline"/>
                <w:lang w:val="en-US" w:eastAsia="zh-CN"/>
              </w:rPr>
              <w:t>/d）</w:t>
            </w:r>
          </w:p>
          <w:p w14:paraId="3F716F93">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2.9、厂区平面布置</w:t>
            </w:r>
          </w:p>
          <w:p w14:paraId="45FDAB3A">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建设单位租赁的厂房为森迪安防产业园2#厂房和10#厂房。租用的2#厂房作为现有工程建设场地，平面布置保持不变。新租用的10#厂房（位于现有工程2#厂房西侧）1F用于布置生产设备，厂房呈东西走向的规则矩形，厂房东侧主要布置2台抛丸机，厂房北侧布置1条喷粉线，厂房南侧布置成品库房，厂房西侧布置为原料区，2~4F作为预留厂房。项目平面布置详见</w:t>
            </w:r>
            <w:r>
              <w:rPr>
                <w:rFonts w:hint="eastAsia" w:ascii="Times New Roman" w:hAnsi="Times New Roman" w:eastAsia="宋体"/>
                <w:b w:val="0"/>
                <w:bCs w:val="0"/>
                <w:color w:val="auto"/>
                <w:sz w:val="24"/>
                <w:szCs w:val="24"/>
                <w:highlight w:val="none"/>
                <w:u w:val="single"/>
                <w:vertAlign w:val="baseline"/>
                <w:lang w:val="en-US" w:eastAsia="zh-CN"/>
              </w:rPr>
              <w:t>附图3-1</w:t>
            </w:r>
            <w:r>
              <w:rPr>
                <w:rFonts w:hint="eastAsia" w:ascii="Times New Roman" w:hAnsi="Times New Roman" w:eastAsia="宋体"/>
                <w:color w:val="auto"/>
                <w:sz w:val="24"/>
                <w:szCs w:val="24"/>
                <w:highlight w:val="none"/>
                <w:u w:val="none"/>
                <w:vertAlign w:val="baseline"/>
                <w:lang w:val="en-US" w:eastAsia="zh-CN"/>
              </w:rPr>
              <w:t>。</w:t>
            </w:r>
          </w:p>
          <w:p w14:paraId="1BF75003">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项目整个布置可做到物流、人流和信息流的流向清晰、明确，互不交叉和干扰；生产线的布置符合生产程序的物流走向。平面布局总体上功能组织合理、用地配置得当、结构清晰、道路顺畅，符合环保要求。</w:t>
            </w:r>
          </w:p>
        </w:tc>
      </w:tr>
      <w:tr w14:paraId="0F82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64" w:hRule="atLeast"/>
        </w:trPr>
        <w:tc>
          <w:tcPr>
            <w:tcW w:w="360" w:type="pct"/>
            <w:vAlign w:val="center"/>
          </w:tcPr>
          <w:p w14:paraId="2F4DA3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vertAlign w:val="baseline"/>
                <w:lang w:val="en-US" w:eastAsia="zh-CN"/>
              </w:rPr>
            </w:pPr>
            <w:r>
              <w:rPr>
                <w:rFonts w:hint="eastAsia" w:ascii="Times New Roman" w:hAnsi="Times New Roman"/>
                <w:b/>
                <w:bCs/>
                <w:color w:val="auto"/>
                <w:sz w:val="24"/>
                <w:szCs w:val="24"/>
                <w:highlight w:val="none"/>
                <w:vertAlign w:val="baseline"/>
                <w:lang w:val="en-US" w:eastAsia="zh-CN"/>
              </w:rPr>
              <w:t>工艺流程和产排污环节</w:t>
            </w:r>
          </w:p>
        </w:tc>
        <w:tc>
          <w:tcPr>
            <w:tcW w:w="4639" w:type="pct"/>
            <w:vAlign w:val="center"/>
          </w:tcPr>
          <w:p w14:paraId="21028403">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2.10、施工期工艺流程和产排污环节</w:t>
            </w:r>
          </w:p>
          <w:p w14:paraId="34443B00">
            <w:pPr>
              <w:pStyle w:val="3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color w:val="auto"/>
                <w:kern w:val="2"/>
                <w:sz w:val="24"/>
                <w:szCs w:val="24"/>
                <w:highlight w:val="none"/>
                <w:u w:val="none"/>
                <w:vertAlign w:val="baseline"/>
                <w:lang w:val="en-US" w:eastAsia="zh-CN" w:bidi="ar-SA"/>
              </w:rPr>
            </w:pPr>
            <w:r>
              <w:rPr>
                <w:rFonts w:hint="eastAsia" w:ascii="Times New Roman" w:hAnsi="Times New Roman" w:eastAsia="宋体" w:cstheme="minorBidi"/>
                <w:color w:val="auto"/>
                <w:kern w:val="2"/>
                <w:sz w:val="24"/>
                <w:szCs w:val="24"/>
                <w:highlight w:val="none"/>
                <w:u w:val="none"/>
                <w:vertAlign w:val="baseline"/>
                <w:lang w:val="en-US" w:eastAsia="zh-CN" w:bidi="ar-SA"/>
              </w:rPr>
              <w:t>项目租用已建成厂房，施工期主要是利用现有厂房进行新增设备安装，工期较短，土建施工较少，施工活动对周边环境影响较小。</w:t>
            </w:r>
          </w:p>
          <w:p w14:paraId="433BC0C2">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0" w:firstLineChars="200"/>
              <w:jc w:val="both"/>
              <w:textAlignment w:val="auto"/>
              <w:rPr>
                <w:rFonts w:hint="eastAsia" w:ascii="Times New Roman" w:hAnsi="Times New Roman" w:eastAsia="宋体" w:cstheme="minorBidi"/>
                <w:color w:val="auto"/>
                <w:kern w:val="2"/>
                <w:sz w:val="24"/>
                <w:szCs w:val="24"/>
                <w:highlight w:val="none"/>
                <w:u w:val="none"/>
                <w:vertAlign w:val="baseline"/>
                <w:lang w:val="en-US" w:eastAsia="zh-CN" w:bidi="ar-SA"/>
              </w:rPr>
            </w:pPr>
            <w:r>
              <w:rPr>
                <w:rFonts w:hint="eastAsia" w:ascii="Times New Roman" w:hAnsi="Times New Roman" w:eastAsia="宋体" w:cstheme="minorBidi"/>
                <w:color w:val="auto"/>
                <w:kern w:val="2"/>
                <w:sz w:val="24"/>
                <w:szCs w:val="24"/>
                <w:highlight w:val="none"/>
                <w:u w:val="none"/>
                <w:vertAlign w:val="baseline"/>
                <w:lang w:val="en-US" w:eastAsia="zh-CN" w:bidi="ar-SA"/>
              </w:rPr>
              <w:t>施工期废气主要是运输车辆产生的尾气，施工期废水主要为施工人员的生活污水，施工期噪声主要来源于施工现场各类机械设备和物料运输的交通噪声，施工期固体废物主要为改造过程中产生的建筑垃圾以及设备安装过程中产生的固体废物和施工人员的生活垃圾。</w:t>
            </w:r>
          </w:p>
          <w:p w14:paraId="17283F26">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0" w:firstLineChars="0"/>
              <w:jc w:val="both"/>
              <w:textAlignment w:val="auto"/>
              <w:rPr>
                <w:rFonts w:hint="eastAsia" w:ascii="Times New Roman" w:hAnsi="Times New Roman" w:eastAsia="宋体"/>
                <w:b/>
                <w:bCs/>
                <w:color w:val="auto"/>
                <w:sz w:val="24"/>
                <w:szCs w:val="24"/>
                <w:highlight w:val="none"/>
                <w:vertAlign w:val="baseline"/>
                <w:lang w:val="en-US" w:eastAsia="zh-CN"/>
              </w:rPr>
            </w:pPr>
            <w:r>
              <w:rPr>
                <w:rFonts w:hint="eastAsia" w:ascii="Times New Roman" w:hAnsi="Times New Roman" w:eastAsia="宋体"/>
                <w:b/>
                <w:bCs/>
                <w:color w:val="auto"/>
                <w:sz w:val="24"/>
                <w:szCs w:val="24"/>
                <w:highlight w:val="none"/>
                <w:vertAlign w:val="baseline"/>
                <w:lang w:val="en-US" w:eastAsia="zh-CN"/>
              </w:rPr>
              <w:t>2.11、运营期工艺流程和产排污环节</w:t>
            </w:r>
          </w:p>
          <w:p w14:paraId="0515ECAF">
            <w:pPr>
              <w:keepNext w:val="0"/>
              <w:keepLines w:val="0"/>
              <w:pageBreakBefore w:val="0"/>
              <w:widowControl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项目主要对现有工程生产的部分汽车冲焊零部件进行抛丸、喷粉、固化加工，其产品规格型号众多，但生产工序均基本相同，</w:t>
            </w:r>
            <w:r>
              <w:rPr>
                <w:rFonts w:hint="eastAsia" w:ascii="Times New Roman" w:hAnsi="Times New Roman" w:eastAsia="宋体"/>
                <w:color w:val="auto"/>
                <w:sz w:val="24"/>
                <w:szCs w:val="24"/>
                <w:highlight w:val="none"/>
                <w:u w:val="single"/>
                <w:vertAlign w:val="baseline"/>
                <w:lang w:val="en-US" w:eastAsia="zh-CN"/>
              </w:rPr>
              <w:t>工艺流程及产污环节具体如下图</w:t>
            </w:r>
            <w:r>
              <w:rPr>
                <w:rFonts w:hint="eastAsia" w:ascii="Times New Roman" w:hAnsi="Times New Roman" w:eastAsia="宋体"/>
                <w:color w:val="auto"/>
                <w:sz w:val="24"/>
                <w:szCs w:val="24"/>
                <w:highlight w:val="none"/>
                <w:u w:val="none"/>
                <w:vertAlign w:val="baseline"/>
                <w:lang w:val="en-US" w:eastAsia="zh-CN"/>
              </w:rPr>
              <w:t>：</w:t>
            </w:r>
          </w:p>
          <w:p w14:paraId="21FFE809">
            <w:pPr>
              <w:pStyle w:val="3"/>
              <w:ind w:firstLine="482"/>
              <w:rPr>
                <w:color w:val="auto"/>
              </w:rPr>
            </w:pPr>
          </w:p>
          <w:p w14:paraId="634B4200">
            <w:pPr>
              <w:pStyle w:val="38"/>
              <w:ind w:firstLine="0" w:firstLineChars="0"/>
              <w:jc w:val="center"/>
              <w:rPr>
                <w:color w:val="auto"/>
              </w:rPr>
            </w:pPr>
            <w:r>
              <w:rPr>
                <w:rFonts w:hint="eastAsia"/>
                <w:color w:val="auto"/>
              </w:rPr>
              <w:object>
                <v:shape id="_x0000_i1027" o:spt="75" type="#_x0000_t75" style="height:168.5pt;width:395.05pt;" o:ole="t" filled="f" o:preferrelative="t" stroked="f" coordsize="21600,21600">
                  <v:path/>
                  <v:fill on="f" focussize="0,0"/>
                  <v:stroke on="f"/>
                  <v:imagedata r:id="rId17" cropleft="10894f" croptop="9516f" cropright="12159f" cropbottom="43093f" o:title=""/>
                  <o:lock v:ext="edit" aspectratio="t"/>
                  <w10:wrap type="none"/>
                  <w10:anchorlock/>
                </v:shape>
                <o:OLEObject Type="Embed" ProgID="Visio.Drawing.15" ShapeID="_x0000_i1027" DrawAspect="Content" ObjectID="_1468075727" r:id="rId16">
                  <o:LockedField>false</o:LockedField>
                </o:OLEObject>
              </w:object>
            </w:r>
          </w:p>
          <w:p w14:paraId="115CA4D8">
            <w:pPr>
              <w:pStyle w:val="40"/>
              <w:spacing w:after="156" w:line="240" w:lineRule="auto"/>
              <w:rPr>
                <w:rFonts w:hint="default" w:ascii="Times New Roman" w:hAnsi="Times New Roman" w:eastAsia="宋体" w:cs="Times New Roman"/>
                <w:b/>
                <w:bCs/>
                <w:color w:val="auto"/>
                <w:sz w:val="24"/>
                <w:szCs w:val="24"/>
                <w:u w:val="double"/>
              </w:rPr>
            </w:pPr>
            <w:bookmarkStart w:id="7" w:name="_Ref19693"/>
            <w:r>
              <w:rPr>
                <w:rFonts w:hint="default" w:ascii="Times New Roman" w:hAnsi="Times New Roman" w:eastAsia="宋体" w:cs="Times New Roman"/>
                <w:color w:val="auto"/>
                <w:sz w:val="24"/>
                <w:szCs w:val="24"/>
              </w:rPr>
              <w:t>图2-</w:t>
            </w:r>
            <w:bookmarkEnd w:id="7"/>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扩建项目</w:t>
            </w:r>
            <w:r>
              <w:rPr>
                <w:rFonts w:hint="default" w:ascii="Times New Roman" w:hAnsi="Times New Roman" w:eastAsia="宋体" w:cs="Times New Roman"/>
                <w:color w:val="auto"/>
                <w:sz w:val="24"/>
                <w:szCs w:val="24"/>
              </w:rPr>
              <w:t>生产工艺流程及产污环节示意图</w:t>
            </w:r>
          </w:p>
          <w:p w14:paraId="425D8391">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u w:val="double"/>
              </w:rPr>
            </w:pPr>
            <w:r>
              <w:rPr>
                <w:rFonts w:hint="default" w:ascii="Times New Roman" w:hAnsi="Times New Roman" w:cs="Times New Roman"/>
                <w:b/>
                <w:bCs/>
                <w:color w:val="auto"/>
                <w:sz w:val="24"/>
                <w:szCs w:val="24"/>
                <w:u w:val="double"/>
              </w:rPr>
              <w:t>生产工艺简述：</w:t>
            </w:r>
          </w:p>
          <w:p w14:paraId="4E1BD0F3">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Style w:val="41"/>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抛丸：</w:t>
            </w:r>
            <w:r>
              <w:rPr>
                <w:rStyle w:val="41"/>
                <w:rFonts w:hint="default" w:ascii="Times New Roman" w:hAnsi="Times New Roman" w:cs="Times New Roman"/>
                <w:color w:val="auto"/>
                <w:sz w:val="24"/>
                <w:szCs w:val="24"/>
              </w:rPr>
              <w:t>使用抛丸机对工件进行处理，利用高速旋转叶轮将弹丸加速抛打至工件表面，对工件表面进行冲击，以打磨工件表面，祛除工件表面杂质、提高工件表面光滑度。</w:t>
            </w:r>
            <w:r>
              <w:rPr>
                <w:rStyle w:val="41"/>
                <w:rFonts w:hint="default" w:ascii="Times New Roman" w:hAnsi="Times New Roman" w:cs="Times New Roman"/>
                <w:color w:val="auto"/>
                <w:sz w:val="24"/>
                <w:szCs w:val="24"/>
                <w:lang w:val="en-US" w:eastAsia="zh-CN"/>
              </w:rPr>
              <w:t>设置</w:t>
            </w:r>
            <w:r>
              <w:rPr>
                <w:rStyle w:val="41"/>
                <w:rFonts w:hint="eastAsia" w:ascii="Times New Roman" w:hAnsi="Times New Roman" w:cs="Times New Roman"/>
                <w:color w:val="auto"/>
                <w:sz w:val="24"/>
                <w:szCs w:val="24"/>
                <w:lang w:val="en-US" w:eastAsia="zh-CN"/>
              </w:rPr>
              <w:t>2</w:t>
            </w:r>
            <w:r>
              <w:rPr>
                <w:rStyle w:val="41"/>
                <w:rFonts w:hint="default" w:ascii="Times New Roman" w:hAnsi="Times New Roman" w:cs="Times New Roman"/>
                <w:color w:val="auto"/>
                <w:sz w:val="24"/>
                <w:szCs w:val="24"/>
                <w:lang w:val="en-US" w:eastAsia="zh-CN"/>
              </w:rPr>
              <w:t>台抛丸机，平均每批次可加工</w:t>
            </w:r>
            <w:r>
              <w:rPr>
                <w:rStyle w:val="41"/>
                <w:rFonts w:hint="eastAsia" w:ascii="Times New Roman" w:hAnsi="Times New Roman" w:cs="Times New Roman"/>
                <w:color w:val="auto"/>
                <w:sz w:val="24"/>
                <w:szCs w:val="24"/>
                <w:lang w:val="en-US" w:eastAsia="zh-CN"/>
              </w:rPr>
              <w:t>20</w:t>
            </w:r>
            <w:r>
              <w:rPr>
                <w:rStyle w:val="41"/>
                <w:rFonts w:hint="default" w:ascii="Times New Roman" w:hAnsi="Times New Roman" w:cs="Times New Roman"/>
                <w:color w:val="auto"/>
                <w:sz w:val="24"/>
                <w:szCs w:val="24"/>
                <w:lang w:val="en-US" w:eastAsia="zh-CN"/>
              </w:rPr>
              <w:t>件，</w:t>
            </w:r>
            <w:r>
              <w:rPr>
                <w:rStyle w:val="41"/>
                <w:rFonts w:hint="eastAsia" w:ascii="Times New Roman" w:hAnsi="Times New Roman" w:cs="Times New Roman"/>
                <w:color w:val="auto"/>
                <w:sz w:val="24"/>
                <w:szCs w:val="24"/>
                <w:lang w:val="en-US" w:eastAsia="zh-CN"/>
              </w:rPr>
              <w:t>每批</w:t>
            </w:r>
            <w:r>
              <w:rPr>
                <w:rStyle w:val="41"/>
                <w:rFonts w:hint="default" w:ascii="Times New Roman" w:hAnsi="Times New Roman" w:cs="Times New Roman"/>
                <w:color w:val="auto"/>
                <w:sz w:val="24"/>
                <w:szCs w:val="24"/>
                <w:lang w:val="en-US" w:eastAsia="zh-CN"/>
              </w:rPr>
              <w:t>所需时长约</w:t>
            </w:r>
            <w:r>
              <w:rPr>
                <w:rStyle w:val="41"/>
                <w:rFonts w:hint="eastAsia" w:ascii="Times New Roman" w:hAnsi="Times New Roman" w:cs="Times New Roman"/>
                <w:color w:val="auto"/>
                <w:sz w:val="24"/>
                <w:szCs w:val="24"/>
                <w:lang w:val="en-US" w:eastAsia="zh-CN"/>
              </w:rPr>
              <w:t>30</w:t>
            </w:r>
            <w:r>
              <w:rPr>
                <w:rStyle w:val="41"/>
                <w:rFonts w:hint="default" w:ascii="Times New Roman" w:hAnsi="Times New Roman" w:cs="Times New Roman"/>
                <w:color w:val="auto"/>
                <w:sz w:val="24"/>
                <w:szCs w:val="24"/>
                <w:lang w:val="en-US" w:eastAsia="zh-CN"/>
              </w:rPr>
              <w:t>min</w:t>
            </w:r>
            <w:r>
              <w:rPr>
                <w:rStyle w:val="41"/>
                <w:rFonts w:hint="eastAsia" w:ascii="Times New Roman" w:hAnsi="Times New Roman" w:cs="Times New Roman"/>
                <w:color w:val="auto"/>
                <w:sz w:val="24"/>
                <w:szCs w:val="24"/>
                <w:lang w:val="en-US" w:eastAsia="zh-CN"/>
              </w:rPr>
              <w:t>，共计生产5000批/a，按最大负荷核算，年生产时间约1250h</w:t>
            </w:r>
            <w:r>
              <w:rPr>
                <w:rStyle w:val="41"/>
                <w:rFonts w:hint="default" w:ascii="Times New Roman" w:hAnsi="Times New Roman" w:cs="Times New Roman"/>
                <w:color w:val="auto"/>
                <w:sz w:val="24"/>
                <w:szCs w:val="24"/>
                <w:lang w:val="en-US" w:eastAsia="zh-CN"/>
              </w:rPr>
              <w:t>。</w:t>
            </w:r>
            <w:r>
              <w:rPr>
                <w:rStyle w:val="41"/>
                <w:rFonts w:hint="default" w:ascii="Times New Roman" w:hAnsi="Times New Roman" w:cs="Times New Roman"/>
                <w:color w:val="auto"/>
                <w:sz w:val="24"/>
                <w:szCs w:val="24"/>
              </w:rPr>
              <w:t>此工序产生抛丸废气G</w:t>
            </w:r>
            <w:r>
              <w:rPr>
                <w:rStyle w:val="41"/>
                <w:rFonts w:hint="eastAsia" w:ascii="Times New Roman" w:hAnsi="Times New Roman" w:cs="Times New Roman"/>
                <w:color w:val="auto"/>
                <w:sz w:val="24"/>
                <w:szCs w:val="24"/>
                <w:lang w:val="en-US" w:eastAsia="zh-CN"/>
              </w:rPr>
              <w:t>1</w:t>
            </w:r>
            <w:r>
              <w:rPr>
                <w:rStyle w:val="41"/>
                <w:rFonts w:hint="default" w:ascii="Times New Roman" w:hAnsi="Times New Roman" w:cs="Times New Roman"/>
                <w:color w:val="auto"/>
                <w:sz w:val="24"/>
                <w:szCs w:val="24"/>
              </w:rPr>
              <w:t>，废钢丸S</w:t>
            </w:r>
            <w:r>
              <w:rPr>
                <w:rStyle w:val="41"/>
                <w:rFonts w:hint="eastAsia" w:ascii="Times New Roman" w:hAnsi="Times New Roman" w:cs="Times New Roman"/>
                <w:color w:val="auto"/>
                <w:sz w:val="24"/>
                <w:szCs w:val="24"/>
                <w:lang w:val="en-US" w:eastAsia="zh-CN"/>
              </w:rPr>
              <w:t>1</w:t>
            </w:r>
            <w:r>
              <w:rPr>
                <w:rStyle w:val="41"/>
                <w:rFonts w:hint="default" w:ascii="Times New Roman" w:hAnsi="Times New Roman" w:cs="Times New Roman"/>
                <w:color w:val="auto"/>
                <w:sz w:val="24"/>
                <w:szCs w:val="24"/>
              </w:rPr>
              <w:t>以及设备噪声N。</w:t>
            </w:r>
          </w:p>
          <w:p w14:paraId="11FEF1D5">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Style w:val="41"/>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上挂</w:t>
            </w:r>
            <w:r>
              <w:rPr>
                <w:rFonts w:hint="eastAsia" w:ascii="Times New Roman" w:hAnsi="Times New Roman" w:cs="Times New Roman"/>
                <w:b/>
                <w:bCs/>
                <w:color w:val="auto"/>
                <w:sz w:val="24"/>
                <w:szCs w:val="24"/>
                <w:lang w:eastAsia="zh-CN"/>
              </w:rPr>
              <w:t>喷粉</w:t>
            </w:r>
            <w:r>
              <w:rPr>
                <w:rFonts w:hint="default" w:ascii="Times New Roman" w:hAnsi="Times New Roman" w:cs="Times New Roman"/>
                <w:b/>
                <w:bCs/>
                <w:color w:val="auto"/>
                <w:sz w:val="24"/>
                <w:szCs w:val="24"/>
              </w:rPr>
              <w:t>线：</w:t>
            </w:r>
            <w:r>
              <w:rPr>
                <w:rStyle w:val="41"/>
                <w:rFonts w:hint="default" w:ascii="Times New Roman" w:hAnsi="Times New Roman" w:cs="Times New Roman"/>
                <w:color w:val="auto"/>
                <w:sz w:val="24"/>
                <w:szCs w:val="24"/>
              </w:rPr>
              <w:t>抛丸完成</w:t>
            </w:r>
            <w:r>
              <w:rPr>
                <w:rStyle w:val="41"/>
                <w:rFonts w:hint="eastAsia" w:ascii="Times New Roman" w:hAnsi="Times New Roman" w:cs="Times New Roman"/>
                <w:color w:val="auto"/>
                <w:sz w:val="24"/>
                <w:szCs w:val="24"/>
                <w:lang w:eastAsia="zh-CN"/>
              </w:rPr>
              <w:t>后</w:t>
            </w:r>
            <w:r>
              <w:rPr>
                <w:rStyle w:val="41"/>
                <w:rFonts w:hint="default" w:ascii="Times New Roman" w:hAnsi="Times New Roman" w:cs="Times New Roman"/>
                <w:color w:val="auto"/>
                <w:sz w:val="24"/>
                <w:szCs w:val="24"/>
              </w:rPr>
              <w:t>的产品，由人工上挂工件在吊具上，通过链条输送</w:t>
            </w:r>
            <w:r>
              <w:rPr>
                <w:rStyle w:val="41"/>
                <w:rFonts w:hint="default" w:ascii="Times New Roman" w:hAnsi="Times New Roman" w:cs="Times New Roman"/>
                <w:color w:val="auto"/>
                <w:sz w:val="24"/>
                <w:szCs w:val="24"/>
                <w:lang w:eastAsia="zh-CN"/>
              </w:rPr>
              <w:t>，</w:t>
            </w:r>
            <w:r>
              <w:rPr>
                <w:rStyle w:val="41"/>
                <w:rFonts w:hint="default" w:ascii="Times New Roman" w:hAnsi="Times New Roman" w:cs="Times New Roman"/>
                <w:color w:val="auto"/>
                <w:sz w:val="24"/>
                <w:szCs w:val="24"/>
                <w:lang w:val="en-US" w:eastAsia="zh-CN"/>
              </w:rPr>
              <w:t>索链运行速度</w:t>
            </w:r>
            <w:r>
              <w:rPr>
                <w:rStyle w:val="41"/>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m/min</w:t>
            </w:r>
            <w:r>
              <w:rPr>
                <w:rStyle w:val="41"/>
                <w:rFonts w:hint="default" w:ascii="Times New Roman" w:hAnsi="Times New Roman" w:cs="Times New Roman"/>
                <w:color w:val="auto"/>
                <w:sz w:val="24"/>
                <w:szCs w:val="24"/>
                <w:lang w:eastAsia="zh-CN"/>
              </w:rPr>
              <w:t>，</w:t>
            </w:r>
            <w:r>
              <w:rPr>
                <w:rStyle w:val="41"/>
                <w:rFonts w:hint="eastAsia" w:ascii="Times New Roman" w:hAnsi="Times New Roman" w:cs="Times New Roman"/>
                <w:color w:val="auto"/>
                <w:sz w:val="24"/>
                <w:szCs w:val="24"/>
                <w:lang w:eastAsia="zh-CN"/>
              </w:rPr>
              <w:t>每个挂具间隔</w:t>
            </w:r>
            <w:r>
              <w:rPr>
                <w:rStyle w:val="41"/>
                <w:rFonts w:hint="eastAsia" w:ascii="Times New Roman" w:hAnsi="Times New Roman" w:cs="Times New Roman"/>
                <w:color w:val="auto"/>
                <w:sz w:val="24"/>
                <w:szCs w:val="24"/>
                <w:lang w:val="en-US" w:eastAsia="zh-CN"/>
              </w:rPr>
              <w:t>1.5m，</w:t>
            </w:r>
            <w:r>
              <w:rPr>
                <w:rStyle w:val="41"/>
                <w:rFonts w:hint="default" w:ascii="Times New Roman" w:hAnsi="Times New Roman" w:cs="Times New Roman"/>
                <w:color w:val="auto"/>
                <w:sz w:val="24"/>
                <w:szCs w:val="24"/>
                <w:lang w:val="en-US" w:eastAsia="zh-CN"/>
              </w:rPr>
              <w:t>单个吊具装载</w:t>
            </w:r>
            <w:r>
              <w:rPr>
                <w:rStyle w:val="41"/>
                <w:rFonts w:hint="eastAsia" w:ascii="Times New Roman" w:hAnsi="Times New Roman" w:cs="Times New Roman"/>
                <w:color w:val="auto"/>
                <w:sz w:val="24"/>
                <w:szCs w:val="24"/>
                <w:lang w:val="en-US" w:eastAsia="zh-CN"/>
              </w:rPr>
              <w:t>1</w:t>
            </w:r>
            <w:r>
              <w:rPr>
                <w:rStyle w:val="41"/>
                <w:rFonts w:hint="default" w:ascii="Times New Roman" w:hAnsi="Times New Roman" w:cs="Times New Roman"/>
                <w:color w:val="auto"/>
                <w:sz w:val="24"/>
                <w:szCs w:val="24"/>
                <w:lang w:val="en-US" w:eastAsia="zh-CN"/>
              </w:rPr>
              <w:t>件</w:t>
            </w:r>
            <w:r>
              <w:rPr>
                <w:rStyle w:val="41"/>
                <w:rFonts w:hint="eastAsia" w:ascii="Times New Roman" w:hAnsi="Times New Roman" w:cs="Times New Roman"/>
                <w:color w:val="auto"/>
                <w:sz w:val="24"/>
                <w:szCs w:val="24"/>
                <w:lang w:val="en-US" w:eastAsia="zh-CN"/>
              </w:rPr>
              <w:t>产品，则产品最快出线速度为1.1min/件，年加工产品数量为105263件（5%次品率），生产时间1930h</w:t>
            </w:r>
            <w:r>
              <w:rPr>
                <w:rStyle w:val="41"/>
                <w:rFonts w:hint="default" w:ascii="Times New Roman" w:hAnsi="Times New Roman" w:cs="Times New Roman"/>
                <w:color w:val="auto"/>
                <w:sz w:val="24"/>
                <w:szCs w:val="24"/>
              </w:rPr>
              <w:t>。</w:t>
            </w:r>
          </w:p>
          <w:p w14:paraId="4CCDE878">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喷</w:t>
            </w:r>
            <w:r>
              <w:rPr>
                <w:rFonts w:hint="eastAsia" w:ascii="Times New Roman" w:hAnsi="Times New Roman" w:cs="Times New Roman"/>
                <w:b/>
                <w:bCs/>
                <w:color w:val="auto"/>
                <w:sz w:val="24"/>
                <w:szCs w:val="24"/>
                <w:lang w:eastAsia="zh-CN"/>
              </w:rPr>
              <w:t>粉</w:t>
            </w:r>
            <w:r>
              <w:rPr>
                <w:rFonts w:hint="default" w:ascii="Times New Roman" w:hAnsi="Times New Roman" w:cs="Times New Roman"/>
                <w:b/>
                <w:bCs/>
                <w:color w:val="auto"/>
                <w:sz w:val="24"/>
                <w:szCs w:val="24"/>
              </w:rPr>
              <w:t>：</w:t>
            </w:r>
          </w:p>
          <w:p w14:paraId="72E2FEB3">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val="0"/>
                <w:bCs w:val="0"/>
                <w:color w:val="FF0000"/>
                <w:sz w:val="24"/>
                <w:szCs w:val="24"/>
                <w:lang w:val="en-US" w:eastAsia="zh-CN"/>
              </w:rPr>
            </w:pPr>
            <w:r>
              <w:rPr>
                <w:rFonts w:hint="eastAsia" w:ascii="Times New Roman" w:hAnsi="Times New Roman" w:cs="Times New Roman"/>
                <w:b w:val="0"/>
                <w:bCs w:val="0"/>
                <w:color w:val="auto"/>
                <w:sz w:val="24"/>
                <w:szCs w:val="24"/>
                <w:lang w:eastAsia="zh-CN"/>
              </w:rPr>
              <w:t>粉末涂料采用袋装方</w:t>
            </w:r>
            <w:r>
              <w:rPr>
                <w:rFonts w:hint="eastAsia" w:ascii="Times New Roman" w:hAnsi="Times New Roman" w:cs="Times New Roman"/>
                <w:b w:val="0"/>
                <w:bCs w:val="0"/>
                <w:color w:val="FF0000"/>
                <w:sz w:val="24"/>
                <w:szCs w:val="24"/>
                <w:lang w:eastAsia="zh-CN"/>
              </w:rPr>
              <w:t>式，人工开袋后，采用泵经管道送入喷粉箱中，喷粉箱为常闭状态，在开袋和落料过程中将产生投料粉尘</w:t>
            </w:r>
            <w:r>
              <w:rPr>
                <w:rFonts w:hint="eastAsia" w:ascii="Times New Roman" w:hAnsi="Times New Roman" w:cs="Times New Roman"/>
                <w:b w:val="0"/>
                <w:bCs w:val="0"/>
                <w:color w:val="FF0000"/>
                <w:sz w:val="24"/>
                <w:szCs w:val="24"/>
                <w:lang w:val="en-US" w:eastAsia="zh-CN"/>
              </w:rPr>
              <w:t>G2、废包装材料S2。</w:t>
            </w:r>
          </w:p>
          <w:p w14:paraId="58A503E9">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FF0000"/>
                <w:sz w:val="24"/>
                <w:szCs w:val="24"/>
                <w:lang w:val="en-US" w:eastAsia="zh-CN"/>
              </w:rPr>
            </w:pPr>
            <w:r>
              <w:rPr>
                <w:rFonts w:hint="eastAsia" w:ascii="Times New Roman" w:hAnsi="Times New Roman" w:cs="Times New Roman"/>
                <w:b w:val="0"/>
                <w:bCs w:val="0"/>
                <w:color w:val="FF0000"/>
                <w:sz w:val="24"/>
                <w:szCs w:val="24"/>
                <w:lang w:val="en-US" w:eastAsia="zh-CN"/>
              </w:rPr>
              <w:t>扩建项目产品为黑色，使用的塑料粉末均为黑色，不涉及换色。</w:t>
            </w:r>
          </w:p>
          <w:p w14:paraId="0A0E8DFA">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项目采用静电喷</w:t>
            </w:r>
            <w:r>
              <w:rPr>
                <w:rFonts w:hint="eastAsia" w:ascii="Times New Roman" w:hAnsi="Times New Roman" w:cs="Times New Roman"/>
                <w:color w:val="auto"/>
                <w:sz w:val="24"/>
                <w:szCs w:val="24"/>
                <w:lang w:eastAsia="zh-CN"/>
              </w:rPr>
              <w:t>粉</w:t>
            </w:r>
            <w:r>
              <w:rPr>
                <w:rFonts w:hint="default" w:ascii="Times New Roman" w:hAnsi="Times New Roman" w:cs="Times New Roman"/>
                <w:color w:val="auto"/>
                <w:sz w:val="24"/>
                <w:szCs w:val="24"/>
              </w:rPr>
              <w:t>，静电喷</w:t>
            </w:r>
            <w:r>
              <w:rPr>
                <w:rFonts w:hint="eastAsia" w:ascii="Times New Roman" w:hAnsi="Times New Roman" w:cs="Times New Roman"/>
                <w:color w:val="auto"/>
                <w:sz w:val="24"/>
                <w:szCs w:val="24"/>
                <w:lang w:eastAsia="zh-CN"/>
              </w:rPr>
              <w:t>粉</w:t>
            </w:r>
            <w:r>
              <w:rPr>
                <w:rFonts w:hint="default" w:ascii="Times New Roman" w:hAnsi="Times New Roman" w:cs="Times New Roman"/>
                <w:color w:val="auto"/>
                <w:sz w:val="24"/>
                <w:szCs w:val="24"/>
              </w:rPr>
              <w:t>是利用高压静电电场使带负电的涂料微粒沿着电场相反的方向定向运动，并将涂料微粒吸附在工件表面的一种喷涂方法。喷枪部分接负极，工件接地为正极，喷枪与工件之间形成一个高压电晕放电电场，当粉末粒子由喷枪口喷出经过放电区时，便补集大量的电子，成为带负电的微粒，在静电吸引的作用下，被吸附到带正电荷的工件上去。当粉末附着到一定厚度时，则会发生“同性相斥”作用，不能再吸附粉末，从而使各部分的粉层厚度均匀，然后经固化后粉层流平成为均匀的膜层。</w:t>
            </w:r>
          </w:p>
          <w:p w14:paraId="12FD7FEA">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喷粉</w:t>
            </w:r>
            <w:r>
              <w:rPr>
                <w:rFonts w:hint="default" w:ascii="Times New Roman" w:hAnsi="Times New Roman" w:cs="Times New Roman"/>
                <w:color w:val="auto"/>
                <w:sz w:val="24"/>
                <w:szCs w:val="24"/>
              </w:rPr>
              <w:t>室内部循环采用侧抽风，使喷房空气气流组织合理，风力柔和，增加粉末在喷房内空中滞留时间，提高上粉率，并使回收系统负荷减少，使回收系统效率高、寿命长；喷塑室进出口设置长引口，便于降低喷室内回收风速，提高上粉率，同时保证粉末不外溢，项目喷房内设置有供粉装置及粉末回收装置，</w:t>
            </w:r>
            <w:r>
              <w:rPr>
                <w:rFonts w:hint="eastAsia" w:ascii="Times New Roman" w:hAnsi="Times New Roman" w:cs="Times New Roman"/>
                <w:color w:val="auto"/>
                <w:sz w:val="24"/>
                <w:szCs w:val="24"/>
                <w:lang w:eastAsia="zh-CN"/>
              </w:rPr>
              <w:t>喷粉</w:t>
            </w:r>
            <w:r>
              <w:rPr>
                <w:rFonts w:hint="default" w:ascii="Times New Roman" w:hAnsi="Times New Roman" w:cs="Times New Roman"/>
                <w:color w:val="auto"/>
                <w:sz w:val="24"/>
                <w:szCs w:val="24"/>
              </w:rPr>
              <w:t>废气气流在喷塑房内经负压抽风进入粉料回收系统，设置</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rPr>
              <w:t>级</w:t>
            </w:r>
            <w:r>
              <w:rPr>
                <w:rFonts w:hint="default" w:ascii="Times New Roman" w:hAnsi="Times New Roman" w:cs="Times New Roman"/>
                <w:color w:val="auto"/>
                <w:sz w:val="24"/>
                <w:szCs w:val="24"/>
              </w:rPr>
              <w:t>滤筒回收装置处置。此工序产生喷</w:t>
            </w:r>
            <w:r>
              <w:rPr>
                <w:rFonts w:hint="eastAsia" w:ascii="Times New Roman" w:hAnsi="Times New Roman" w:cs="Times New Roman"/>
                <w:color w:val="auto"/>
                <w:sz w:val="24"/>
                <w:szCs w:val="24"/>
                <w:lang w:eastAsia="zh-CN"/>
              </w:rPr>
              <w:t>粉</w:t>
            </w:r>
            <w:r>
              <w:rPr>
                <w:rFonts w:hint="default" w:ascii="Times New Roman" w:hAnsi="Times New Roman" w:cs="Times New Roman"/>
                <w:color w:val="auto"/>
                <w:sz w:val="24"/>
                <w:szCs w:val="24"/>
              </w:rPr>
              <w:t>废气G</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27885D77">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cs="Times New Roman"/>
                <w:color w:val="FF0000"/>
                <w:sz w:val="24"/>
                <w:szCs w:val="24"/>
                <w:lang w:val="en-US" w:eastAsia="zh-CN"/>
              </w:rPr>
            </w:pPr>
            <w:r>
              <w:rPr>
                <w:rFonts w:hint="default" w:ascii="Times New Roman" w:hAnsi="Times New Roman" w:cs="Times New Roman"/>
                <w:b/>
                <w:bCs/>
                <w:color w:val="auto"/>
                <w:sz w:val="24"/>
                <w:szCs w:val="24"/>
              </w:rPr>
              <w:t>固化：</w:t>
            </w:r>
            <w:r>
              <w:rPr>
                <w:rFonts w:hint="default" w:ascii="Times New Roman" w:hAnsi="Times New Roman" w:cs="Times New Roman"/>
                <w:color w:val="FF0000"/>
                <w:sz w:val="24"/>
                <w:szCs w:val="24"/>
              </w:rPr>
              <w:t>经</w:t>
            </w:r>
            <w:r>
              <w:rPr>
                <w:rFonts w:hint="eastAsia" w:ascii="Times New Roman" w:hAnsi="Times New Roman" w:cs="Times New Roman"/>
                <w:color w:val="FF0000"/>
                <w:sz w:val="24"/>
                <w:szCs w:val="24"/>
                <w:lang w:eastAsia="zh-CN"/>
              </w:rPr>
              <w:t>喷粉</w:t>
            </w:r>
            <w:r>
              <w:rPr>
                <w:rFonts w:hint="default" w:ascii="Times New Roman" w:hAnsi="Times New Roman" w:cs="Times New Roman"/>
                <w:color w:val="FF0000"/>
                <w:sz w:val="24"/>
                <w:szCs w:val="24"/>
              </w:rPr>
              <w:t>完成后的工件通过输送链条输送至</w:t>
            </w:r>
            <w:r>
              <w:rPr>
                <w:rFonts w:hint="default" w:ascii="Times New Roman" w:hAnsi="Times New Roman" w:cs="Times New Roman"/>
                <w:color w:val="FF0000"/>
                <w:sz w:val="24"/>
                <w:szCs w:val="24"/>
                <w:lang w:eastAsia="zh-CN"/>
              </w:rPr>
              <w:t>烘道</w:t>
            </w:r>
            <w:r>
              <w:rPr>
                <w:rFonts w:hint="default" w:ascii="Times New Roman" w:hAnsi="Times New Roman" w:cs="Times New Roman"/>
                <w:color w:val="FF0000"/>
                <w:sz w:val="24"/>
                <w:szCs w:val="24"/>
              </w:rPr>
              <w:t>内进行加热固化，</w:t>
            </w:r>
            <w:r>
              <w:rPr>
                <w:rFonts w:hint="default" w:ascii="Times New Roman" w:hAnsi="Times New Roman" w:cs="Times New Roman"/>
                <w:color w:val="FF0000"/>
                <w:sz w:val="24"/>
                <w:szCs w:val="24"/>
                <w:lang w:eastAsia="zh-CN"/>
              </w:rPr>
              <w:t>烘道</w:t>
            </w:r>
            <w:r>
              <w:rPr>
                <w:rFonts w:hint="eastAsia" w:ascii="Times New Roman" w:hAnsi="Times New Roman" w:cs="Times New Roman"/>
                <w:color w:val="FF0000"/>
                <w:sz w:val="24"/>
                <w:szCs w:val="24"/>
                <w:lang w:eastAsia="zh-CN"/>
              </w:rPr>
              <w:t>由前段</w:t>
            </w:r>
            <w:r>
              <w:rPr>
                <w:rFonts w:hint="eastAsia" w:ascii="Times New Roman" w:hAnsi="Times New Roman" w:cs="Times New Roman"/>
                <w:color w:val="FF0000"/>
                <w:sz w:val="24"/>
                <w:szCs w:val="24"/>
                <w:lang w:val="en-US" w:eastAsia="zh-CN"/>
              </w:rPr>
              <w:t>-中段-后段组成，</w:t>
            </w:r>
            <w:r>
              <w:rPr>
                <w:rFonts w:hint="eastAsia" w:ascii="Times New Roman" w:hAnsi="Times New Roman" w:cs="Times New Roman"/>
                <w:color w:val="FF0000"/>
                <w:sz w:val="24"/>
                <w:szCs w:val="24"/>
                <w:lang w:eastAsia="zh-CN"/>
              </w:rPr>
              <w:t>前段和后段不设保温层，中段设保温层。前段由烘道中段逸散的烟气对产品进行预热，起节能作用。中段通入燃烧机燃烧</w:t>
            </w:r>
            <w:r>
              <w:rPr>
                <w:rFonts w:hint="default" w:ascii="Times New Roman" w:hAnsi="Times New Roman" w:cs="Times New Roman"/>
                <w:color w:val="FF0000"/>
                <w:sz w:val="24"/>
                <w:szCs w:val="24"/>
              </w:rPr>
              <w:t>天然气</w:t>
            </w:r>
            <w:r>
              <w:rPr>
                <w:rFonts w:hint="eastAsia" w:ascii="Times New Roman" w:hAnsi="Times New Roman" w:cs="Times New Roman"/>
                <w:color w:val="FF0000"/>
                <w:sz w:val="24"/>
                <w:szCs w:val="24"/>
                <w:lang w:eastAsia="zh-CN"/>
              </w:rPr>
              <w:t>产生的热空气对产品进行直接</w:t>
            </w:r>
            <w:r>
              <w:rPr>
                <w:rFonts w:hint="default" w:ascii="Times New Roman" w:hAnsi="Times New Roman" w:cs="Times New Roman"/>
                <w:color w:val="FF0000"/>
                <w:sz w:val="24"/>
                <w:szCs w:val="24"/>
              </w:rPr>
              <w:t>加热，</w:t>
            </w:r>
            <w:r>
              <w:rPr>
                <w:rFonts w:hint="eastAsia" w:ascii="Times New Roman" w:hAnsi="Times New Roman" w:cs="Times New Roman"/>
                <w:color w:val="FF0000"/>
                <w:sz w:val="24"/>
                <w:szCs w:val="24"/>
                <w:lang w:eastAsia="zh-CN"/>
              </w:rPr>
              <w:t>并进行热风循环，</w:t>
            </w:r>
            <w:r>
              <w:rPr>
                <w:rFonts w:hint="default" w:ascii="Times New Roman" w:hAnsi="Times New Roman" w:cs="Times New Roman"/>
                <w:color w:val="FF0000"/>
                <w:sz w:val="24"/>
                <w:szCs w:val="24"/>
              </w:rPr>
              <w:t>燃烧机天然气用量</w:t>
            </w:r>
            <w:r>
              <w:rPr>
                <w:rFonts w:hint="default" w:ascii="Times New Roman" w:hAnsi="Times New Roman" w:cs="Times New Roman"/>
                <w:color w:val="FF0000"/>
                <w:sz w:val="24"/>
                <w:szCs w:val="24"/>
                <w:lang w:val="en-US" w:eastAsia="zh-CN"/>
              </w:rPr>
              <w:t>约</w:t>
            </w:r>
            <w:r>
              <w:rPr>
                <w:rFonts w:hint="default" w:ascii="Times New Roman" w:hAnsi="Times New Roman" w:cs="Times New Roman"/>
                <w:color w:val="FF0000"/>
                <w:sz w:val="24"/>
                <w:szCs w:val="24"/>
              </w:rPr>
              <w:t>为</w:t>
            </w:r>
            <w:r>
              <w:rPr>
                <w:rFonts w:hint="default" w:ascii="Times New Roman" w:hAnsi="Times New Roman" w:cs="Times New Roman"/>
                <w:color w:val="FF0000"/>
                <w:sz w:val="24"/>
                <w:szCs w:val="24"/>
                <w:lang w:val="en-US" w:eastAsia="zh-CN"/>
              </w:rPr>
              <w:t>60</w:t>
            </w:r>
            <w:r>
              <w:rPr>
                <w:rFonts w:hint="default" w:ascii="Times New Roman" w:hAnsi="Times New Roman" w:cs="Times New Roman"/>
                <w:color w:val="FF0000"/>
                <w:sz w:val="24"/>
                <w:szCs w:val="24"/>
              </w:rPr>
              <w:t>m</w:t>
            </w:r>
            <w:r>
              <w:rPr>
                <w:rFonts w:hint="default" w:ascii="Times New Roman" w:hAnsi="Times New Roman" w:cs="Times New Roman"/>
                <w:color w:val="FF0000"/>
                <w:sz w:val="24"/>
                <w:szCs w:val="24"/>
                <w:vertAlign w:val="superscript"/>
              </w:rPr>
              <w:t>3</w:t>
            </w:r>
            <w:r>
              <w:rPr>
                <w:rFonts w:hint="default" w:ascii="Times New Roman" w:hAnsi="Times New Roman" w:cs="Times New Roman"/>
                <w:color w:val="FF0000"/>
                <w:sz w:val="24"/>
                <w:szCs w:val="24"/>
              </w:rPr>
              <w:t>/h，</w:t>
            </w:r>
            <w:r>
              <w:rPr>
                <w:rFonts w:hint="default" w:ascii="Times New Roman" w:hAnsi="Times New Roman" w:cs="Times New Roman"/>
                <w:color w:val="FF0000"/>
                <w:sz w:val="24"/>
                <w:szCs w:val="24"/>
                <w:lang w:val="en-US" w:eastAsia="zh-CN"/>
              </w:rPr>
              <w:t>烘道</w:t>
            </w:r>
            <w:r>
              <w:rPr>
                <w:rFonts w:hint="eastAsia" w:ascii="Times New Roman" w:hAnsi="Times New Roman" w:cs="Times New Roman"/>
                <w:color w:val="FF0000"/>
                <w:sz w:val="24"/>
                <w:szCs w:val="24"/>
                <w:lang w:val="en-US" w:eastAsia="zh-CN"/>
              </w:rPr>
              <w:t>内</w:t>
            </w:r>
            <w:r>
              <w:rPr>
                <w:rFonts w:hint="default" w:ascii="Times New Roman" w:hAnsi="Times New Roman" w:cs="Times New Roman"/>
                <w:color w:val="FF0000"/>
                <w:sz w:val="24"/>
                <w:szCs w:val="24"/>
              </w:rPr>
              <w:t>固化温度维持在180-220℃左右</w:t>
            </w:r>
            <w:r>
              <w:rPr>
                <w:rFonts w:hint="eastAsia" w:ascii="Times New Roman" w:hAnsi="Times New Roman" w:cs="Times New Roman"/>
                <w:color w:val="FF0000"/>
                <w:sz w:val="24"/>
                <w:szCs w:val="24"/>
                <w:lang w:eastAsia="zh-CN"/>
              </w:rPr>
              <w:t>，</w:t>
            </w:r>
            <w:r>
              <w:rPr>
                <w:rFonts w:hint="default" w:ascii="Times New Roman" w:hAnsi="Times New Roman" w:cs="Times New Roman"/>
                <w:color w:val="FF0000"/>
                <w:sz w:val="24"/>
                <w:szCs w:val="24"/>
              </w:rPr>
              <w:t>可使塑粉层熔化。</w:t>
            </w:r>
            <w:r>
              <w:rPr>
                <w:rFonts w:hint="eastAsia" w:ascii="Times New Roman" w:hAnsi="Times New Roman" w:cs="Times New Roman"/>
                <w:color w:val="FF0000"/>
                <w:sz w:val="24"/>
                <w:szCs w:val="24"/>
                <w:lang w:eastAsia="zh-CN"/>
              </w:rPr>
              <w:t>后段主要进行产品</w:t>
            </w:r>
            <w:r>
              <w:rPr>
                <w:rFonts w:hint="default" w:ascii="Times New Roman" w:hAnsi="Times New Roman" w:cs="Times New Roman"/>
                <w:color w:val="FF0000"/>
                <w:sz w:val="24"/>
                <w:szCs w:val="24"/>
              </w:rPr>
              <w:t>流平、</w:t>
            </w:r>
            <w:r>
              <w:rPr>
                <w:rFonts w:hint="eastAsia" w:ascii="Times New Roman" w:hAnsi="Times New Roman" w:cs="Times New Roman"/>
                <w:color w:val="FF0000"/>
                <w:sz w:val="24"/>
                <w:szCs w:val="24"/>
                <w:lang w:eastAsia="zh-CN"/>
              </w:rPr>
              <w:t>冷却</w:t>
            </w:r>
            <w:r>
              <w:rPr>
                <w:rFonts w:hint="default" w:ascii="Times New Roman" w:hAnsi="Times New Roman" w:cs="Times New Roman"/>
                <w:color w:val="FF0000"/>
                <w:sz w:val="24"/>
                <w:szCs w:val="24"/>
              </w:rPr>
              <w:t>，从而使表面平整</w:t>
            </w:r>
            <w:r>
              <w:rPr>
                <w:rFonts w:hint="eastAsia" w:ascii="Times New Roman" w:hAnsi="Times New Roman" w:cs="Times New Roman"/>
                <w:color w:val="FF0000"/>
                <w:sz w:val="24"/>
                <w:szCs w:val="24"/>
                <w:lang w:eastAsia="zh-CN"/>
              </w:rPr>
              <w:t>，采用自然冷却的方式，在烘道进、出口的温度控制在</w:t>
            </w:r>
            <w:r>
              <w:rPr>
                <w:rFonts w:hint="eastAsia" w:ascii="Times New Roman" w:hAnsi="Times New Roman" w:cs="Times New Roman"/>
                <w:color w:val="FF0000"/>
                <w:sz w:val="24"/>
                <w:szCs w:val="24"/>
                <w:lang w:val="en-US" w:eastAsia="zh-CN"/>
              </w:rPr>
              <w:t>35℃左右。</w:t>
            </w:r>
          </w:p>
          <w:p w14:paraId="701BF34F">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固化烘道长度为60m，传送速度按1.4m/min计，产品烘道内停留时间约43min即产品固化时间43min。</w:t>
            </w:r>
          </w:p>
          <w:p w14:paraId="3217B4C0">
            <w:pPr>
              <w:pStyle w:val="3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塑粉在固化过程中产生少量有机废气，通过烘道进出口集气罩收集。</w:t>
            </w:r>
            <w:r>
              <w:rPr>
                <w:rFonts w:hint="default" w:ascii="Times New Roman" w:hAnsi="Times New Roman" w:cs="Times New Roman"/>
                <w:color w:val="auto"/>
                <w:sz w:val="24"/>
                <w:szCs w:val="24"/>
              </w:rPr>
              <w:t>该工序会产生固化废气G</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（天然气燃烧废气及塑粉加热产生的有机废气）</w:t>
            </w:r>
            <w:r>
              <w:rPr>
                <w:rFonts w:hint="default" w:ascii="Times New Roman" w:hAnsi="Times New Roman" w:cs="Times New Roman"/>
                <w:color w:val="auto"/>
                <w:sz w:val="24"/>
                <w:szCs w:val="24"/>
              </w:rPr>
              <w:t>。</w:t>
            </w:r>
          </w:p>
          <w:p w14:paraId="4CED568C">
            <w:pPr>
              <w:pStyle w:val="38"/>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下线：</w:t>
            </w:r>
            <w:r>
              <w:rPr>
                <w:rFonts w:hint="eastAsia" w:ascii="Times New Roman" w:hAnsi="Times New Roman" w:cs="Times New Roman"/>
                <w:b w:val="0"/>
                <w:bCs w:val="0"/>
                <w:color w:val="auto"/>
                <w:sz w:val="24"/>
                <w:szCs w:val="24"/>
                <w:lang w:eastAsia="zh-CN"/>
              </w:rPr>
              <w:t>人工</w:t>
            </w:r>
            <w:r>
              <w:rPr>
                <w:rFonts w:hint="default" w:ascii="Times New Roman" w:hAnsi="Times New Roman" w:cs="Times New Roman"/>
                <w:color w:val="auto"/>
                <w:sz w:val="24"/>
                <w:szCs w:val="24"/>
              </w:rPr>
              <w:t>取下工件。</w:t>
            </w:r>
          </w:p>
          <w:p w14:paraId="5E4CC0D2">
            <w:pPr>
              <w:pStyle w:val="21"/>
              <w:keepNext w:val="0"/>
              <w:keepLines w:val="0"/>
              <w:pageBreakBefore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eastAsiaTheme="minorEastAsia"/>
                <w:b w:val="0"/>
                <w:bCs w:val="0"/>
                <w:color w:val="auto"/>
                <w:spacing w:val="0"/>
                <w:kern w:val="0"/>
                <w:sz w:val="24"/>
                <w:szCs w:val="24"/>
                <w:lang w:val="en-US" w:eastAsia="zh-CN" w:bidi="ar-SA"/>
              </w:rPr>
            </w:pPr>
            <w:r>
              <w:rPr>
                <w:rFonts w:hint="default" w:ascii="Times New Roman" w:hAnsi="Times New Roman" w:cs="Times New Roman" w:eastAsiaTheme="minorEastAsia"/>
                <w:b/>
                <w:bCs/>
                <w:color w:val="auto"/>
                <w:spacing w:val="0"/>
                <w:kern w:val="0"/>
                <w:sz w:val="24"/>
                <w:szCs w:val="24"/>
                <w:lang w:val="en-US" w:eastAsia="zh-CN" w:bidi="ar-SA"/>
              </w:rPr>
              <w:t>检验：</w:t>
            </w:r>
            <w:r>
              <w:rPr>
                <w:rFonts w:hint="default" w:ascii="Times New Roman" w:hAnsi="Times New Roman" w:cs="Times New Roman" w:eastAsiaTheme="minorEastAsia"/>
                <w:b w:val="0"/>
                <w:bCs w:val="0"/>
                <w:color w:val="auto"/>
                <w:spacing w:val="0"/>
                <w:kern w:val="0"/>
                <w:sz w:val="24"/>
                <w:szCs w:val="24"/>
                <w:lang w:val="en-US" w:eastAsia="zh-CN" w:bidi="ar-SA"/>
              </w:rPr>
              <w:t>人工</w:t>
            </w:r>
            <w:r>
              <w:rPr>
                <w:rFonts w:hint="eastAsia" w:cs="Times New Roman" w:eastAsiaTheme="minorEastAsia"/>
                <w:b w:val="0"/>
                <w:bCs w:val="0"/>
                <w:color w:val="auto"/>
                <w:spacing w:val="0"/>
                <w:kern w:val="0"/>
                <w:sz w:val="24"/>
                <w:szCs w:val="24"/>
                <w:lang w:val="en-US" w:eastAsia="zh-CN" w:bidi="ar-SA"/>
              </w:rPr>
              <w:t>肉眼检验工件涂层是否有起泡、皱皮、破损等情况</w:t>
            </w:r>
            <w:r>
              <w:rPr>
                <w:rFonts w:hint="default" w:ascii="Times New Roman" w:hAnsi="Times New Roman" w:cs="Times New Roman" w:eastAsiaTheme="minorEastAsia"/>
                <w:b w:val="0"/>
                <w:bCs w:val="0"/>
                <w:color w:val="auto"/>
                <w:spacing w:val="0"/>
                <w:kern w:val="0"/>
                <w:sz w:val="24"/>
                <w:szCs w:val="24"/>
                <w:lang w:val="en-US" w:eastAsia="zh-CN" w:bidi="ar-SA"/>
              </w:rPr>
              <w:t>，</w:t>
            </w:r>
            <w:r>
              <w:rPr>
                <w:rFonts w:hint="eastAsia" w:cs="Times New Roman" w:eastAsiaTheme="minorEastAsia"/>
                <w:b w:val="0"/>
                <w:bCs w:val="0"/>
                <w:color w:val="auto"/>
                <w:spacing w:val="0"/>
                <w:kern w:val="0"/>
                <w:sz w:val="24"/>
                <w:szCs w:val="24"/>
                <w:lang w:val="en-US" w:eastAsia="zh-CN" w:bidi="ar-SA"/>
              </w:rPr>
              <w:t>此工序将产生</w:t>
            </w:r>
            <w:r>
              <w:rPr>
                <w:rFonts w:hint="default" w:ascii="Times New Roman" w:hAnsi="Times New Roman" w:cs="Times New Roman" w:eastAsiaTheme="minorEastAsia"/>
                <w:b w:val="0"/>
                <w:bCs w:val="0"/>
                <w:color w:val="auto"/>
                <w:spacing w:val="0"/>
                <w:kern w:val="0"/>
                <w:sz w:val="24"/>
                <w:szCs w:val="24"/>
                <w:lang w:val="en-US" w:eastAsia="zh-CN" w:bidi="ar-SA"/>
              </w:rPr>
              <w:t>不合格品</w:t>
            </w:r>
            <w:r>
              <w:rPr>
                <w:rFonts w:hint="eastAsia" w:cs="Times New Roman" w:eastAsiaTheme="minorEastAsia"/>
                <w:b w:val="0"/>
                <w:bCs w:val="0"/>
                <w:color w:val="auto"/>
                <w:spacing w:val="0"/>
                <w:kern w:val="0"/>
                <w:sz w:val="24"/>
                <w:szCs w:val="24"/>
                <w:lang w:val="en-US" w:eastAsia="zh-CN" w:bidi="ar-SA"/>
              </w:rPr>
              <w:t>S3约5%，作为一般固废处置</w:t>
            </w:r>
            <w:r>
              <w:rPr>
                <w:rFonts w:hint="default" w:ascii="Times New Roman" w:hAnsi="Times New Roman" w:cs="Times New Roman" w:eastAsiaTheme="minorEastAsia"/>
                <w:b w:val="0"/>
                <w:bCs w:val="0"/>
                <w:color w:val="auto"/>
                <w:spacing w:val="0"/>
                <w:kern w:val="0"/>
                <w:sz w:val="24"/>
                <w:szCs w:val="24"/>
                <w:lang w:val="en-US" w:eastAsia="zh-CN" w:bidi="ar-SA"/>
              </w:rPr>
              <w:t>，合格品包装入库。</w:t>
            </w:r>
          </w:p>
          <w:p w14:paraId="353F87D7">
            <w:pPr>
              <w:pStyle w:val="21"/>
              <w:keepNext w:val="0"/>
              <w:keepLines w:val="0"/>
              <w:pageBreakBefore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Times New Roman" w:hAnsi="Times New Roman" w:eastAsia="宋体" w:cs="Calibri"/>
                <w:b/>
                <w:bCs/>
                <w:kern w:val="2"/>
                <w:sz w:val="24"/>
                <w:szCs w:val="21"/>
                <w:lang w:val="en-US" w:eastAsia="zh-CN" w:bidi="ar-SA"/>
              </w:rPr>
            </w:pPr>
            <w:r>
              <w:rPr>
                <w:rFonts w:hint="eastAsia" w:cs="Times New Roman" w:eastAsiaTheme="minorEastAsia"/>
                <w:b/>
                <w:bCs/>
                <w:color w:val="auto"/>
                <w:spacing w:val="0"/>
                <w:kern w:val="0"/>
                <w:sz w:val="24"/>
                <w:szCs w:val="24"/>
                <w:lang w:val="en-US" w:eastAsia="zh-CN" w:bidi="ar-SA"/>
              </w:rPr>
              <w:t>其他公辅工程产污环节识别：</w:t>
            </w:r>
          </w:p>
          <w:p w14:paraId="37784AF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宋体"/>
                <w:color w:val="auto"/>
                <w:sz w:val="24"/>
                <w:szCs w:val="24"/>
                <w:highlight w:val="none"/>
                <w:u w:val="none"/>
                <w:lang w:val="en-US" w:eastAsia="zh-CN"/>
              </w:rPr>
            </w:pPr>
            <w:r>
              <w:rPr>
                <w:rFonts w:hint="eastAsia" w:ascii="Times New Roman" w:hAnsi="Times New Roman" w:cs="宋体"/>
                <w:color w:val="auto"/>
                <w:sz w:val="24"/>
                <w:szCs w:val="24"/>
                <w:highlight w:val="none"/>
                <w:u w:val="none"/>
                <w:lang w:val="en-US" w:eastAsia="zh-CN"/>
              </w:rPr>
              <w:t>废气处理设施运行过程产生污染物，抛丸废气治理产生的除尘灰S4，喷粉废气治理产生的喷粉除尘灰S5，固化废气治理产生的废活性炭S6。</w:t>
            </w:r>
          </w:p>
          <w:p w14:paraId="4018EC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sz w:val="24"/>
                <w:lang w:val="en-US" w:eastAsia="zh-CN"/>
              </w:rPr>
            </w:pPr>
            <w:r>
              <w:rPr>
                <w:rFonts w:hint="eastAsia" w:ascii="Times New Roman" w:hAnsi="Times New Roman" w:eastAsia="宋体"/>
                <w:sz w:val="24"/>
                <w:lang w:val="en-US" w:eastAsia="zh-CN"/>
              </w:rPr>
              <w:t>项目设备运行过程使用手套、机油进行维护保养，维保过程中产生废油（S7）、废油桶（S8）、含油废棉纱和手套S9；空压机产生的空压机废油液S10（空压机工作过程中产生的高浓度废油液，主要成分为废矿物油，混有少量空气压缩产生的水分）。</w:t>
            </w:r>
          </w:p>
          <w:p w14:paraId="354D66A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u w:val="single"/>
                <w:lang w:val="en-US" w:eastAsia="zh-CN"/>
              </w:rPr>
              <w:t>项目生产过程中主要产污环节见下表</w:t>
            </w:r>
            <w:r>
              <w:rPr>
                <w:rFonts w:hint="eastAsia" w:ascii="Times New Roman" w:hAnsi="Times New Roman" w:cs="宋体"/>
                <w:color w:val="auto"/>
                <w:sz w:val="24"/>
                <w:szCs w:val="24"/>
                <w:highlight w:val="none"/>
                <w:lang w:val="en-US" w:eastAsia="zh-CN"/>
              </w:rPr>
              <w:t>：</w:t>
            </w:r>
          </w:p>
          <w:p w14:paraId="21852C5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黑体"/>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 xml:space="preserve">  产污环节及采取的处置措施</w:t>
            </w:r>
          </w:p>
          <w:tbl>
            <w:tblPr>
              <w:tblStyle w:val="22"/>
              <w:tblW w:w="49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0"/>
              <w:gridCol w:w="899"/>
              <w:gridCol w:w="1617"/>
              <w:gridCol w:w="1704"/>
              <w:gridCol w:w="3309"/>
            </w:tblGrid>
            <w:tr w14:paraId="0C25E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tcBorders>
                    <w:tl2br w:val="nil"/>
                    <w:tr2bl w:val="nil"/>
                  </w:tcBorders>
                  <w:noWrap w:val="0"/>
                  <w:vAlign w:val="center"/>
                </w:tcPr>
                <w:p w14:paraId="5F4FF9A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pacing w:val="2"/>
                      <w:sz w:val="21"/>
                      <w:szCs w:val="21"/>
                      <w:highlight w:val="none"/>
                    </w:rPr>
                  </w:pPr>
                  <w:r>
                    <w:rPr>
                      <w:rFonts w:hint="eastAsia" w:ascii="Times New Roman" w:hAnsi="Times New Roman" w:eastAsia="宋体"/>
                      <w:b/>
                      <w:bCs/>
                      <w:color w:val="auto"/>
                      <w:spacing w:val="2"/>
                      <w:sz w:val="21"/>
                      <w:szCs w:val="21"/>
                      <w:highlight w:val="none"/>
                    </w:rPr>
                    <w:t>类别</w:t>
                  </w:r>
                </w:p>
              </w:tc>
              <w:tc>
                <w:tcPr>
                  <w:tcW w:w="542" w:type="pct"/>
                  <w:tcBorders>
                    <w:tl2br w:val="nil"/>
                    <w:tr2bl w:val="nil"/>
                  </w:tcBorders>
                  <w:noWrap w:val="0"/>
                  <w:vAlign w:val="center"/>
                </w:tcPr>
                <w:p w14:paraId="323E065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pacing w:val="2"/>
                      <w:sz w:val="21"/>
                      <w:szCs w:val="21"/>
                      <w:highlight w:val="none"/>
                      <w:lang w:val="en-US" w:eastAsia="zh-CN"/>
                    </w:rPr>
                  </w:pPr>
                  <w:r>
                    <w:rPr>
                      <w:rFonts w:hint="eastAsia" w:ascii="Times New Roman" w:hAnsi="Times New Roman" w:eastAsia="宋体"/>
                      <w:b/>
                      <w:bCs/>
                      <w:color w:val="auto"/>
                      <w:spacing w:val="2"/>
                      <w:sz w:val="21"/>
                      <w:szCs w:val="21"/>
                      <w:highlight w:val="none"/>
                      <w:lang w:val="en-US" w:eastAsia="zh-CN"/>
                    </w:rPr>
                    <w:t>序号</w:t>
                  </w:r>
                </w:p>
              </w:tc>
              <w:tc>
                <w:tcPr>
                  <w:tcW w:w="976" w:type="pct"/>
                  <w:tcBorders>
                    <w:tl2br w:val="nil"/>
                    <w:tr2bl w:val="nil"/>
                  </w:tcBorders>
                  <w:noWrap w:val="0"/>
                  <w:vAlign w:val="center"/>
                </w:tcPr>
                <w:p w14:paraId="28B3500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pacing w:val="2"/>
                      <w:sz w:val="21"/>
                      <w:szCs w:val="21"/>
                      <w:highlight w:val="none"/>
                    </w:rPr>
                  </w:pPr>
                  <w:r>
                    <w:rPr>
                      <w:rFonts w:hint="eastAsia" w:ascii="Times New Roman" w:hAnsi="Times New Roman" w:eastAsia="宋体"/>
                      <w:b/>
                      <w:bCs/>
                      <w:color w:val="auto"/>
                      <w:spacing w:val="2"/>
                      <w:sz w:val="21"/>
                      <w:szCs w:val="21"/>
                      <w:highlight w:val="none"/>
                    </w:rPr>
                    <w:t>产污环节</w:t>
                  </w:r>
                </w:p>
              </w:tc>
              <w:tc>
                <w:tcPr>
                  <w:tcW w:w="1029" w:type="pct"/>
                  <w:tcBorders>
                    <w:tl2br w:val="nil"/>
                    <w:tr2bl w:val="nil"/>
                  </w:tcBorders>
                  <w:noWrap w:val="0"/>
                  <w:vAlign w:val="center"/>
                </w:tcPr>
                <w:p w14:paraId="1DB6DE8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pacing w:val="2"/>
                      <w:sz w:val="21"/>
                      <w:szCs w:val="21"/>
                      <w:highlight w:val="none"/>
                    </w:rPr>
                  </w:pPr>
                  <w:r>
                    <w:rPr>
                      <w:rFonts w:hint="eastAsia" w:ascii="Times New Roman" w:hAnsi="Times New Roman" w:eastAsia="宋体"/>
                      <w:b/>
                      <w:bCs/>
                      <w:color w:val="auto"/>
                      <w:spacing w:val="2"/>
                      <w:sz w:val="21"/>
                      <w:szCs w:val="21"/>
                      <w:highlight w:val="none"/>
                    </w:rPr>
                    <w:t>污染因子</w:t>
                  </w:r>
                </w:p>
              </w:tc>
              <w:tc>
                <w:tcPr>
                  <w:tcW w:w="1998" w:type="pct"/>
                  <w:tcBorders>
                    <w:tl2br w:val="nil"/>
                    <w:tr2bl w:val="nil"/>
                  </w:tcBorders>
                  <w:noWrap w:val="0"/>
                  <w:vAlign w:val="center"/>
                </w:tcPr>
                <w:p w14:paraId="3A90645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pacing w:val="2"/>
                      <w:sz w:val="21"/>
                      <w:szCs w:val="21"/>
                      <w:highlight w:val="none"/>
                    </w:rPr>
                  </w:pPr>
                  <w:r>
                    <w:rPr>
                      <w:rFonts w:hint="eastAsia" w:ascii="Times New Roman" w:hAnsi="Times New Roman" w:eastAsia="宋体"/>
                      <w:b/>
                      <w:bCs/>
                      <w:color w:val="auto"/>
                      <w:spacing w:val="2"/>
                      <w:sz w:val="21"/>
                      <w:szCs w:val="21"/>
                      <w:highlight w:val="none"/>
                    </w:rPr>
                    <w:t>采取</w:t>
                  </w:r>
                  <w:r>
                    <w:rPr>
                      <w:rFonts w:hint="eastAsia" w:ascii="Times New Roman" w:hAnsi="Times New Roman" w:eastAsia="宋体"/>
                      <w:b/>
                      <w:bCs/>
                      <w:color w:val="auto"/>
                      <w:spacing w:val="2"/>
                      <w:sz w:val="21"/>
                      <w:szCs w:val="21"/>
                      <w:highlight w:val="none"/>
                      <w:lang w:val="en-US" w:eastAsia="zh-CN"/>
                    </w:rPr>
                    <w:t>的</w:t>
                  </w:r>
                  <w:r>
                    <w:rPr>
                      <w:rFonts w:hint="eastAsia" w:ascii="Times New Roman" w:hAnsi="Times New Roman" w:eastAsia="宋体"/>
                      <w:b/>
                      <w:bCs/>
                      <w:color w:val="auto"/>
                      <w:spacing w:val="2"/>
                      <w:sz w:val="21"/>
                      <w:szCs w:val="21"/>
                      <w:highlight w:val="none"/>
                    </w:rPr>
                    <w:t>处理措施</w:t>
                  </w:r>
                </w:p>
              </w:tc>
            </w:tr>
            <w:tr w14:paraId="1CABF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restart"/>
                  <w:tcBorders>
                    <w:tl2br w:val="nil"/>
                    <w:tr2bl w:val="nil"/>
                  </w:tcBorders>
                  <w:noWrap w:val="0"/>
                  <w:vAlign w:val="center"/>
                </w:tcPr>
                <w:p w14:paraId="72B1D33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pacing w:val="2"/>
                      <w:sz w:val="21"/>
                      <w:szCs w:val="21"/>
                      <w:highlight w:val="none"/>
                    </w:rPr>
                  </w:pPr>
                  <w:r>
                    <w:rPr>
                      <w:rFonts w:hint="eastAsia" w:ascii="Times New Roman" w:hAnsi="Times New Roman" w:eastAsia="宋体"/>
                      <w:color w:val="auto"/>
                      <w:spacing w:val="2"/>
                      <w:sz w:val="21"/>
                      <w:szCs w:val="21"/>
                      <w:highlight w:val="none"/>
                    </w:rPr>
                    <w:t>废气</w:t>
                  </w:r>
                </w:p>
              </w:tc>
              <w:tc>
                <w:tcPr>
                  <w:tcW w:w="542" w:type="pct"/>
                  <w:tcBorders>
                    <w:tl2br w:val="nil"/>
                    <w:tr2bl w:val="nil"/>
                  </w:tcBorders>
                  <w:noWrap w:val="0"/>
                  <w:vAlign w:val="center"/>
                </w:tcPr>
                <w:p w14:paraId="57A017A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G1</w:t>
                  </w:r>
                </w:p>
              </w:tc>
              <w:tc>
                <w:tcPr>
                  <w:tcW w:w="976" w:type="pct"/>
                  <w:tcBorders>
                    <w:tl2br w:val="nil"/>
                    <w:tr2bl w:val="nil"/>
                  </w:tcBorders>
                  <w:noWrap w:val="0"/>
                  <w:vAlign w:val="center"/>
                </w:tcPr>
                <w:p w14:paraId="7289818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lang w:eastAsia="zh-CN"/>
                    </w:rPr>
                  </w:pPr>
                  <w:r>
                    <w:rPr>
                      <w:rFonts w:hint="eastAsia" w:ascii="Times New Roman" w:hAnsi="Times New Roman" w:eastAsia="宋体"/>
                      <w:color w:val="auto"/>
                      <w:spacing w:val="2"/>
                      <w:sz w:val="21"/>
                      <w:szCs w:val="21"/>
                      <w:highlight w:val="none"/>
                      <w:lang w:eastAsia="zh-CN"/>
                    </w:rPr>
                    <w:t>抛丸</w:t>
                  </w:r>
                </w:p>
              </w:tc>
              <w:tc>
                <w:tcPr>
                  <w:tcW w:w="1029" w:type="pct"/>
                  <w:tcBorders>
                    <w:tl2br w:val="nil"/>
                    <w:tr2bl w:val="nil"/>
                  </w:tcBorders>
                  <w:noWrap w:val="0"/>
                  <w:vAlign w:val="center"/>
                </w:tcPr>
                <w:p w14:paraId="6C6798BF">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颗粒物</w:t>
                  </w:r>
                </w:p>
              </w:tc>
              <w:tc>
                <w:tcPr>
                  <w:tcW w:w="1998" w:type="pct"/>
                  <w:tcBorders>
                    <w:tl2br w:val="nil"/>
                    <w:tr2bl w:val="nil"/>
                  </w:tcBorders>
                  <w:noWrap w:val="0"/>
                  <w:vAlign w:val="center"/>
                </w:tcPr>
                <w:p w14:paraId="65840DC5">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both"/>
                    <w:textAlignment w:val="auto"/>
                    <w:rPr>
                      <w:rFonts w:hint="eastAsia" w:ascii="Times New Roman" w:hAnsi="Times New Roman" w:eastAsia="宋体"/>
                      <w:color w:val="auto"/>
                      <w:spacing w:val="2"/>
                      <w:sz w:val="21"/>
                      <w:szCs w:val="21"/>
                      <w:highlight w:val="none"/>
                      <w:lang w:eastAsia="zh-CN"/>
                    </w:rPr>
                  </w:pPr>
                  <w:r>
                    <w:rPr>
                      <w:rFonts w:hint="eastAsia" w:ascii="Times New Roman" w:hAnsi="Times New Roman" w:eastAsia="宋体"/>
                      <w:b w:val="0"/>
                      <w:bCs w:val="0"/>
                      <w:color w:val="auto"/>
                      <w:kern w:val="44"/>
                      <w:sz w:val="21"/>
                      <w:szCs w:val="21"/>
                      <w:highlight w:val="none"/>
                      <w:lang w:val="en-US" w:eastAsia="zh-CN"/>
                    </w:rPr>
                    <w:t>项目2台抛丸机产生的废气经自带布袋除尘器收集处置后通过1根21m高</w:t>
                  </w:r>
                  <w:r>
                    <w:rPr>
                      <w:rFonts w:hint="eastAsia" w:ascii="Times New Roman" w:hAnsi="Times New Roman" w:eastAsia="宋体"/>
                      <w:b/>
                      <w:bCs/>
                      <w:color w:val="auto"/>
                      <w:kern w:val="44"/>
                      <w:sz w:val="21"/>
                      <w:szCs w:val="21"/>
                      <w:highlight w:val="none"/>
                      <w:lang w:val="en-US" w:eastAsia="zh-CN"/>
                    </w:rPr>
                    <w:t>DA002</w:t>
                  </w:r>
                  <w:r>
                    <w:rPr>
                      <w:rFonts w:hint="eastAsia" w:ascii="Times New Roman" w:hAnsi="Times New Roman" w:eastAsia="宋体"/>
                      <w:b w:val="0"/>
                      <w:bCs w:val="0"/>
                      <w:color w:val="auto"/>
                      <w:kern w:val="44"/>
                      <w:sz w:val="21"/>
                      <w:szCs w:val="21"/>
                      <w:highlight w:val="none"/>
                      <w:lang w:val="en-US" w:eastAsia="zh-CN"/>
                    </w:rPr>
                    <w:t>排气筒引至厂房屋顶排放。</w:t>
                  </w:r>
                </w:p>
              </w:tc>
            </w:tr>
            <w:tr w14:paraId="55E7D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37CDC9E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162AC4E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G2</w:t>
                  </w:r>
                </w:p>
              </w:tc>
              <w:tc>
                <w:tcPr>
                  <w:tcW w:w="976" w:type="pct"/>
                  <w:vMerge w:val="restart"/>
                  <w:tcBorders>
                    <w:tl2br w:val="nil"/>
                    <w:tr2bl w:val="nil"/>
                  </w:tcBorders>
                  <w:noWrap w:val="0"/>
                  <w:vAlign w:val="center"/>
                </w:tcPr>
                <w:p w14:paraId="60D0A0C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喷粉</w:t>
                  </w:r>
                </w:p>
              </w:tc>
              <w:tc>
                <w:tcPr>
                  <w:tcW w:w="1029" w:type="pct"/>
                  <w:tcBorders>
                    <w:tl2br w:val="nil"/>
                    <w:tr2bl w:val="nil"/>
                  </w:tcBorders>
                  <w:noWrap w:val="0"/>
                  <w:vAlign w:val="center"/>
                </w:tcPr>
                <w:p w14:paraId="13712DCB">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颗粒物</w:t>
                  </w:r>
                </w:p>
              </w:tc>
              <w:tc>
                <w:tcPr>
                  <w:tcW w:w="1998" w:type="pct"/>
                  <w:tcBorders>
                    <w:tl2br w:val="nil"/>
                    <w:tr2bl w:val="nil"/>
                  </w:tcBorders>
                  <w:noWrap w:val="0"/>
                  <w:vAlign w:val="center"/>
                </w:tcPr>
                <w:p w14:paraId="62B4AB51">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both"/>
                    <w:textAlignment w:val="auto"/>
                    <w:rPr>
                      <w:rFonts w:hint="eastAsia" w:ascii="Times New Roman" w:hAnsi="Times New Roman" w:eastAsia="宋体"/>
                      <w:b w:val="0"/>
                      <w:bCs w:val="0"/>
                      <w:color w:val="auto"/>
                      <w:kern w:val="44"/>
                      <w:sz w:val="21"/>
                      <w:szCs w:val="21"/>
                      <w:highlight w:val="none"/>
                      <w:lang w:val="en-US" w:eastAsia="zh-CN"/>
                    </w:rPr>
                  </w:pPr>
                  <w:r>
                    <w:rPr>
                      <w:rFonts w:hint="eastAsia" w:ascii="Times New Roman" w:hAnsi="Times New Roman" w:eastAsia="宋体"/>
                      <w:b w:val="0"/>
                      <w:bCs w:val="0"/>
                      <w:color w:val="auto"/>
                      <w:kern w:val="44"/>
                      <w:sz w:val="21"/>
                      <w:szCs w:val="21"/>
                      <w:highlight w:val="none"/>
                      <w:lang w:val="en-US" w:eastAsia="zh-CN"/>
                    </w:rPr>
                    <w:t>人工开袋及落料过程中产生少量粉尘，厂区内无组织排放。</w:t>
                  </w:r>
                </w:p>
              </w:tc>
            </w:tr>
            <w:tr w14:paraId="6B77B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20CD78C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567B729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G3</w:t>
                  </w:r>
                </w:p>
              </w:tc>
              <w:tc>
                <w:tcPr>
                  <w:tcW w:w="976" w:type="pct"/>
                  <w:vMerge w:val="continue"/>
                  <w:tcBorders>
                    <w:tl2br w:val="nil"/>
                    <w:tr2bl w:val="nil"/>
                  </w:tcBorders>
                  <w:noWrap w:val="0"/>
                  <w:vAlign w:val="center"/>
                </w:tcPr>
                <w:p w14:paraId="388085F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p>
              </w:tc>
              <w:tc>
                <w:tcPr>
                  <w:tcW w:w="1029" w:type="pct"/>
                  <w:tcBorders>
                    <w:tl2br w:val="nil"/>
                    <w:tr2bl w:val="nil"/>
                  </w:tcBorders>
                  <w:noWrap w:val="0"/>
                  <w:vAlign w:val="center"/>
                </w:tcPr>
                <w:p w14:paraId="785092A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lang w:eastAsia="zh-CN"/>
                    </w:rPr>
                  </w:pPr>
                  <w:r>
                    <w:rPr>
                      <w:rFonts w:hint="eastAsia" w:ascii="Times New Roman" w:hAnsi="Times New Roman" w:eastAsia="宋体"/>
                      <w:color w:val="auto"/>
                      <w:spacing w:val="2"/>
                      <w:sz w:val="21"/>
                      <w:szCs w:val="21"/>
                      <w:highlight w:val="none"/>
                      <w:lang w:val="en-US" w:eastAsia="zh-CN"/>
                    </w:rPr>
                    <w:t>颗粒物</w:t>
                  </w:r>
                </w:p>
              </w:tc>
              <w:tc>
                <w:tcPr>
                  <w:tcW w:w="1998" w:type="pct"/>
                  <w:tcBorders>
                    <w:tl2br w:val="nil"/>
                    <w:tr2bl w:val="nil"/>
                  </w:tcBorders>
                  <w:noWrap w:val="0"/>
                  <w:vAlign w:val="center"/>
                </w:tcPr>
                <w:p w14:paraId="52CC18E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eastAsia="zh-CN"/>
                    </w:rPr>
                    <w:t>喷粉废气经自带滤筒回收装置</w:t>
                  </w:r>
                  <w:r>
                    <w:rPr>
                      <w:rFonts w:hint="eastAsia" w:ascii="Times New Roman" w:hAnsi="Times New Roman" w:eastAsia="宋体"/>
                      <w:color w:val="auto"/>
                      <w:spacing w:val="2"/>
                      <w:sz w:val="21"/>
                      <w:szCs w:val="21"/>
                      <w:highlight w:val="none"/>
                      <w:lang w:val="en-US" w:eastAsia="zh-CN"/>
                    </w:rPr>
                    <w:t>处置后经1根21m高</w:t>
                  </w:r>
                  <w:r>
                    <w:rPr>
                      <w:rFonts w:hint="eastAsia" w:ascii="Times New Roman" w:hAnsi="Times New Roman" w:eastAsia="宋体"/>
                      <w:b/>
                      <w:bCs/>
                      <w:color w:val="auto"/>
                      <w:spacing w:val="2"/>
                      <w:sz w:val="21"/>
                      <w:szCs w:val="21"/>
                      <w:highlight w:val="none"/>
                      <w:lang w:val="en-US" w:eastAsia="zh-CN"/>
                    </w:rPr>
                    <w:t>DA003</w:t>
                  </w:r>
                  <w:r>
                    <w:rPr>
                      <w:rFonts w:hint="eastAsia" w:ascii="Times New Roman" w:hAnsi="Times New Roman" w:eastAsia="宋体"/>
                      <w:color w:val="auto"/>
                      <w:spacing w:val="2"/>
                      <w:sz w:val="21"/>
                      <w:szCs w:val="21"/>
                      <w:highlight w:val="none"/>
                      <w:lang w:val="en-US" w:eastAsia="zh-CN"/>
                    </w:rPr>
                    <w:t>排气筒引</w:t>
                  </w:r>
                  <w:r>
                    <w:rPr>
                      <w:rFonts w:hint="eastAsia" w:ascii="Times New Roman" w:hAnsi="Times New Roman" w:eastAsia="宋体"/>
                      <w:b w:val="0"/>
                      <w:bCs w:val="0"/>
                      <w:color w:val="auto"/>
                      <w:kern w:val="44"/>
                      <w:sz w:val="21"/>
                      <w:szCs w:val="21"/>
                      <w:highlight w:val="none"/>
                      <w:lang w:val="en-US" w:eastAsia="zh-CN"/>
                    </w:rPr>
                    <w:t>至</w:t>
                  </w:r>
                  <w:r>
                    <w:rPr>
                      <w:rFonts w:hint="eastAsia" w:ascii="Times New Roman" w:hAnsi="Times New Roman" w:eastAsia="宋体"/>
                      <w:color w:val="auto"/>
                      <w:spacing w:val="2"/>
                      <w:sz w:val="21"/>
                      <w:szCs w:val="21"/>
                      <w:highlight w:val="none"/>
                      <w:lang w:val="en-US" w:eastAsia="zh-CN"/>
                    </w:rPr>
                    <w:t>厂房屋顶排放。</w:t>
                  </w:r>
                </w:p>
              </w:tc>
            </w:tr>
            <w:tr w14:paraId="02B3E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155BDEB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2C9D45D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G4</w:t>
                  </w:r>
                </w:p>
              </w:tc>
              <w:tc>
                <w:tcPr>
                  <w:tcW w:w="976" w:type="pct"/>
                  <w:tcBorders>
                    <w:tl2br w:val="nil"/>
                    <w:tr2bl w:val="nil"/>
                  </w:tcBorders>
                  <w:noWrap w:val="0"/>
                  <w:vAlign w:val="center"/>
                </w:tcPr>
                <w:p w14:paraId="28909C3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固化</w:t>
                  </w:r>
                </w:p>
              </w:tc>
              <w:tc>
                <w:tcPr>
                  <w:tcW w:w="1029" w:type="pct"/>
                  <w:tcBorders>
                    <w:tl2br w:val="nil"/>
                    <w:tr2bl w:val="nil"/>
                  </w:tcBorders>
                  <w:noWrap w:val="0"/>
                  <w:vAlign w:val="center"/>
                </w:tcPr>
                <w:p w14:paraId="6B35087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非甲烷总烃、二氧化硫、氮氧化物、颗粒物</w:t>
                  </w:r>
                </w:p>
              </w:tc>
              <w:tc>
                <w:tcPr>
                  <w:tcW w:w="1998" w:type="pct"/>
                  <w:tcBorders>
                    <w:tl2br w:val="nil"/>
                    <w:tr2bl w:val="nil"/>
                  </w:tcBorders>
                  <w:noWrap w:val="0"/>
                  <w:vAlign w:val="center"/>
                </w:tcPr>
                <w:p w14:paraId="6CC56E5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default" w:ascii="Times New Roman" w:hAnsi="Times New Roman" w:eastAsia="宋体"/>
                      <w:b w:val="0"/>
                      <w:bCs w:val="0"/>
                      <w:color w:val="auto"/>
                      <w:kern w:val="44"/>
                      <w:sz w:val="21"/>
                      <w:szCs w:val="21"/>
                      <w:highlight w:val="none"/>
                      <w:lang w:val="en-US" w:eastAsia="zh-CN"/>
                    </w:rPr>
                  </w:pPr>
                  <w:r>
                    <w:rPr>
                      <w:rFonts w:hint="eastAsia" w:ascii="Times New Roman" w:hAnsi="Times New Roman" w:eastAsia="宋体"/>
                      <w:b w:val="0"/>
                      <w:bCs w:val="0"/>
                      <w:color w:val="auto"/>
                      <w:kern w:val="44"/>
                      <w:sz w:val="21"/>
                      <w:szCs w:val="21"/>
                      <w:highlight w:val="none"/>
                      <w:lang w:val="en-US" w:eastAsia="zh-CN"/>
                    </w:rPr>
                    <w:t>固化废气经烘道进出口集气罩收集后进入1套“干式过滤+活性炭”装置处置后经21m高</w:t>
                  </w:r>
                  <w:r>
                    <w:rPr>
                      <w:rFonts w:hint="eastAsia" w:ascii="Times New Roman" w:hAnsi="Times New Roman" w:eastAsia="宋体"/>
                      <w:b/>
                      <w:bCs/>
                      <w:color w:val="auto"/>
                      <w:kern w:val="44"/>
                      <w:sz w:val="21"/>
                      <w:szCs w:val="21"/>
                      <w:highlight w:val="none"/>
                      <w:lang w:val="en-US" w:eastAsia="zh-CN"/>
                    </w:rPr>
                    <w:t>DA004</w:t>
                  </w:r>
                  <w:r>
                    <w:rPr>
                      <w:rFonts w:hint="eastAsia" w:ascii="Times New Roman" w:hAnsi="Times New Roman" w:eastAsia="宋体"/>
                      <w:b w:val="0"/>
                      <w:bCs w:val="0"/>
                      <w:color w:val="auto"/>
                      <w:kern w:val="44"/>
                      <w:sz w:val="21"/>
                      <w:szCs w:val="21"/>
                      <w:highlight w:val="none"/>
                      <w:lang w:val="en-US" w:eastAsia="zh-CN"/>
                    </w:rPr>
                    <w:t>排气筒引至厂房屋顶排放。</w:t>
                  </w:r>
                </w:p>
              </w:tc>
            </w:tr>
            <w:tr w14:paraId="7BA66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tcBorders>
                    <w:tl2br w:val="nil"/>
                    <w:tr2bl w:val="nil"/>
                  </w:tcBorders>
                  <w:noWrap w:val="0"/>
                  <w:vAlign w:val="center"/>
                </w:tcPr>
                <w:p w14:paraId="7E0E57E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pacing w:val="2"/>
                      <w:sz w:val="21"/>
                      <w:szCs w:val="21"/>
                      <w:highlight w:val="none"/>
                      <w:lang w:eastAsia="zh-CN"/>
                    </w:rPr>
                  </w:pPr>
                  <w:r>
                    <w:rPr>
                      <w:rFonts w:hint="eastAsia" w:ascii="Times New Roman" w:hAnsi="Times New Roman" w:eastAsia="宋体"/>
                      <w:color w:val="auto"/>
                      <w:spacing w:val="2"/>
                      <w:sz w:val="21"/>
                      <w:szCs w:val="21"/>
                      <w:highlight w:val="none"/>
                      <w:lang w:val="en-US" w:eastAsia="zh-CN"/>
                    </w:rPr>
                    <w:t>废水</w:t>
                  </w:r>
                </w:p>
              </w:tc>
              <w:tc>
                <w:tcPr>
                  <w:tcW w:w="542" w:type="pct"/>
                  <w:tcBorders>
                    <w:tl2br w:val="nil"/>
                    <w:tr2bl w:val="nil"/>
                  </w:tcBorders>
                  <w:noWrap w:val="0"/>
                  <w:vAlign w:val="center"/>
                </w:tcPr>
                <w:p w14:paraId="52A47FB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pct"/>
                  <w:tcBorders>
                    <w:tl2br w:val="nil"/>
                    <w:tr2bl w:val="nil"/>
                  </w:tcBorders>
                  <w:noWrap w:val="0"/>
                  <w:vAlign w:val="center"/>
                </w:tcPr>
                <w:p w14:paraId="210C2E5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生活污水</w:t>
                  </w:r>
                </w:p>
              </w:tc>
              <w:tc>
                <w:tcPr>
                  <w:tcW w:w="1029" w:type="pct"/>
                  <w:tcBorders>
                    <w:tl2br w:val="nil"/>
                    <w:tr2bl w:val="nil"/>
                  </w:tcBorders>
                  <w:noWrap w:val="0"/>
                  <w:vAlign w:val="center"/>
                </w:tcPr>
                <w:p w14:paraId="640748E0">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center"/>
                    <w:textAlignment w:val="auto"/>
                    <w:rPr>
                      <w:rFonts w:hint="default" w:ascii="Times New Roman" w:hAnsi="Times New Roman" w:eastAsia="宋体"/>
                      <w:color w:val="auto"/>
                      <w:spacing w:val="2"/>
                      <w:sz w:val="21"/>
                      <w:szCs w:val="21"/>
                      <w:highlight w:val="none"/>
                      <w:lang w:val="en-US" w:eastAsia="zh-CN"/>
                    </w:rPr>
                  </w:pPr>
                  <w:r>
                    <w:rPr>
                      <w:rFonts w:hint="default" w:ascii="Times New Roman" w:hAnsi="Times New Roman" w:eastAsia="宋体" w:cs="Times New Roman"/>
                      <w:color w:val="auto"/>
                    </w:rPr>
                    <w:t>pH、</w:t>
                  </w:r>
                  <w:r>
                    <w:rPr>
                      <w:rFonts w:hint="default" w:ascii="Times New Roman" w:hAnsi="Times New Roman" w:eastAsia="宋体" w:cs="Times New Roman"/>
                      <w:color w:val="auto"/>
                      <w:spacing w:val="2"/>
                      <w:sz w:val="21"/>
                      <w:szCs w:val="21"/>
                      <w:highlight w:val="none"/>
                      <w:lang w:val="en-US" w:eastAsia="zh-CN"/>
                    </w:rPr>
                    <w:t>COD、氨氮、</w:t>
                  </w:r>
                  <w:r>
                    <w:rPr>
                      <w:rFonts w:hint="default" w:ascii="Times New Roman" w:hAnsi="Times New Roman" w:eastAsia="宋体" w:cs="Times New Roman"/>
                      <w:bCs/>
                      <w:color w:val="auto"/>
                    </w:rPr>
                    <w:t>SS</w:t>
                  </w:r>
                </w:p>
              </w:tc>
              <w:tc>
                <w:tcPr>
                  <w:tcW w:w="1998" w:type="pct"/>
                  <w:tcBorders>
                    <w:tl2br w:val="nil"/>
                    <w:tr2bl w:val="nil"/>
                  </w:tcBorders>
                  <w:noWrap w:val="0"/>
                  <w:vAlign w:val="center"/>
                </w:tcPr>
                <w:p w14:paraId="39B60076">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6" w:lineRule="auto"/>
                    <w:ind w:left="0" w:right="0"/>
                    <w:jc w:val="both"/>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依托森迪安防产业园现有</w:t>
                  </w:r>
                  <w:r>
                    <w:rPr>
                      <w:rFonts w:hint="eastAsia" w:ascii="Times New Roman" w:hAnsi="Times New Roman" w:eastAsia="宋体"/>
                      <w:b/>
                      <w:bCs/>
                      <w:color w:val="auto"/>
                      <w:spacing w:val="2"/>
                      <w:sz w:val="21"/>
                      <w:szCs w:val="21"/>
                      <w:highlight w:val="none"/>
                      <w:lang w:val="en-US" w:eastAsia="zh-CN"/>
                    </w:rPr>
                    <w:t>1#生化池</w:t>
                  </w:r>
                  <w:r>
                    <w:rPr>
                      <w:rFonts w:hint="eastAsia" w:ascii="Times New Roman" w:hAnsi="Times New Roman" w:eastAsia="宋体"/>
                      <w:color w:val="auto"/>
                      <w:spacing w:val="2"/>
                      <w:sz w:val="21"/>
                      <w:szCs w:val="21"/>
                      <w:highlight w:val="none"/>
                      <w:lang w:val="en-US" w:eastAsia="zh-CN"/>
                    </w:rPr>
                    <w:t>预处理后，排入园区市政污水管网，进入园区污水处理厂深度处理。</w:t>
                  </w:r>
                </w:p>
              </w:tc>
            </w:tr>
            <w:tr w14:paraId="77BF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tcBorders>
                    <w:tl2br w:val="nil"/>
                    <w:tr2bl w:val="nil"/>
                  </w:tcBorders>
                  <w:noWrap w:val="0"/>
                  <w:vAlign w:val="center"/>
                </w:tcPr>
                <w:p w14:paraId="2D6DF39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rPr>
                    <w:t>噪声</w:t>
                  </w:r>
                </w:p>
              </w:tc>
              <w:tc>
                <w:tcPr>
                  <w:tcW w:w="542" w:type="pct"/>
                  <w:tcBorders>
                    <w:tl2br w:val="nil"/>
                    <w:tr2bl w:val="nil"/>
                  </w:tcBorders>
                  <w:noWrap w:val="0"/>
                  <w:vAlign w:val="center"/>
                </w:tcPr>
                <w:p w14:paraId="042281D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N</w:t>
                  </w:r>
                </w:p>
              </w:tc>
              <w:tc>
                <w:tcPr>
                  <w:tcW w:w="976" w:type="pct"/>
                  <w:tcBorders>
                    <w:tl2br w:val="nil"/>
                    <w:tr2bl w:val="nil"/>
                  </w:tcBorders>
                  <w:noWrap w:val="0"/>
                  <w:vAlign w:val="center"/>
                </w:tcPr>
                <w:p w14:paraId="3FBC4AE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rPr>
                    <w:t>设备</w:t>
                  </w:r>
                  <w:r>
                    <w:rPr>
                      <w:rFonts w:hint="eastAsia" w:ascii="Times New Roman" w:hAnsi="Times New Roman" w:eastAsia="宋体"/>
                      <w:color w:val="auto"/>
                      <w:spacing w:val="2"/>
                      <w:sz w:val="21"/>
                      <w:szCs w:val="21"/>
                      <w:highlight w:val="none"/>
                      <w:lang w:val="en-US" w:eastAsia="zh-CN"/>
                    </w:rPr>
                    <w:t>噪声</w:t>
                  </w:r>
                </w:p>
              </w:tc>
              <w:tc>
                <w:tcPr>
                  <w:tcW w:w="1029" w:type="pct"/>
                  <w:tcBorders>
                    <w:tl2br w:val="nil"/>
                    <w:tr2bl w:val="nil"/>
                  </w:tcBorders>
                  <w:noWrap w:val="0"/>
                  <w:vAlign w:val="center"/>
                </w:tcPr>
                <w:p w14:paraId="770CF41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96" w:lineRule="auto"/>
                    <w:ind w:left="0" w:leftChars="0" w:right="0" w:right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rPr>
                    <w:t>噪声</w:t>
                  </w:r>
                </w:p>
              </w:tc>
              <w:tc>
                <w:tcPr>
                  <w:tcW w:w="1998" w:type="pct"/>
                  <w:tcBorders>
                    <w:tl2br w:val="nil"/>
                    <w:tr2bl w:val="nil"/>
                  </w:tcBorders>
                  <w:noWrap w:val="0"/>
                  <w:vAlign w:val="center"/>
                </w:tcPr>
                <w:p w14:paraId="176660D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96" w:lineRule="auto"/>
                    <w:ind w:left="0" w:leftChars="0" w:right="0" w:rightChars="0"/>
                    <w:jc w:val="both"/>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采用低噪声设备，</w:t>
                  </w:r>
                  <w:r>
                    <w:rPr>
                      <w:rFonts w:hint="eastAsia" w:ascii="Times New Roman" w:hAnsi="Times New Roman" w:eastAsia="宋体"/>
                      <w:color w:val="auto"/>
                      <w:spacing w:val="2"/>
                      <w:sz w:val="21"/>
                      <w:szCs w:val="21"/>
                      <w:highlight w:val="none"/>
                    </w:rPr>
                    <w:t>基础减振、车间隔声</w:t>
                  </w:r>
                  <w:r>
                    <w:rPr>
                      <w:rFonts w:hint="eastAsia" w:ascii="Times New Roman" w:hAnsi="Times New Roman" w:eastAsia="宋体"/>
                      <w:color w:val="auto"/>
                      <w:spacing w:val="2"/>
                      <w:sz w:val="21"/>
                      <w:szCs w:val="21"/>
                      <w:highlight w:val="none"/>
                      <w:lang w:eastAsia="zh-CN"/>
                    </w:rPr>
                    <w:t>、</w:t>
                  </w:r>
                  <w:r>
                    <w:rPr>
                      <w:rFonts w:hint="eastAsia" w:ascii="Times New Roman" w:hAnsi="Times New Roman" w:eastAsia="宋体"/>
                      <w:color w:val="auto"/>
                      <w:spacing w:val="2"/>
                      <w:sz w:val="21"/>
                      <w:szCs w:val="21"/>
                      <w:highlight w:val="none"/>
                      <w:lang w:val="en-US" w:eastAsia="zh-CN"/>
                    </w:rPr>
                    <w:t>距离衰减</w:t>
                  </w:r>
                  <w:r>
                    <w:rPr>
                      <w:rFonts w:hint="eastAsia" w:ascii="Times New Roman" w:hAnsi="Times New Roman" w:eastAsia="宋体"/>
                      <w:color w:val="auto"/>
                      <w:spacing w:val="2"/>
                      <w:sz w:val="21"/>
                      <w:szCs w:val="21"/>
                      <w:highlight w:val="none"/>
                    </w:rPr>
                    <w:t>等措施</w:t>
                  </w:r>
                  <w:r>
                    <w:rPr>
                      <w:rFonts w:hint="eastAsia" w:ascii="Times New Roman" w:hAnsi="Times New Roman" w:eastAsia="宋体"/>
                      <w:color w:val="auto"/>
                      <w:spacing w:val="2"/>
                      <w:sz w:val="21"/>
                      <w:szCs w:val="21"/>
                      <w:highlight w:val="none"/>
                      <w:lang w:eastAsia="zh-CN"/>
                    </w:rPr>
                    <w:t>。</w:t>
                  </w:r>
                </w:p>
              </w:tc>
            </w:tr>
            <w:tr w14:paraId="2B7EE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2" w:type="pct"/>
                  <w:vMerge w:val="restart"/>
                  <w:tcBorders>
                    <w:tl2br w:val="nil"/>
                    <w:tr2bl w:val="nil"/>
                  </w:tcBorders>
                  <w:noWrap w:val="0"/>
                  <w:vAlign w:val="center"/>
                </w:tcPr>
                <w:p w14:paraId="3E823C7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r>
                    <w:rPr>
                      <w:rFonts w:hint="eastAsia" w:ascii="Times New Roman" w:hAnsi="Times New Roman" w:eastAsia="宋体"/>
                      <w:color w:val="auto"/>
                      <w:spacing w:val="2"/>
                      <w:sz w:val="21"/>
                      <w:szCs w:val="21"/>
                      <w:highlight w:val="none"/>
                    </w:rPr>
                    <w:t>固废</w:t>
                  </w:r>
                </w:p>
              </w:tc>
              <w:tc>
                <w:tcPr>
                  <w:tcW w:w="542" w:type="pct"/>
                  <w:tcBorders>
                    <w:tl2br w:val="nil"/>
                    <w:tr2bl w:val="nil"/>
                  </w:tcBorders>
                  <w:noWrap w:val="0"/>
                  <w:vAlign w:val="center"/>
                </w:tcPr>
                <w:p w14:paraId="43E6CE5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S1</w:t>
                  </w:r>
                </w:p>
              </w:tc>
              <w:tc>
                <w:tcPr>
                  <w:tcW w:w="976" w:type="pct"/>
                  <w:tcBorders>
                    <w:tl2br w:val="nil"/>
                    <w:tr2bl w:val="nil"/>
                  </w:tcBorders>
                  <w:noWrap w:val="0"/>
                  <w:vAlign w:val="center"/>
                </w:tcPr>
                <w:p w14:paraId="1C2F57D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抛丸</w:t>
                  </w:r>
                </w:p>
              </w:tc>
              <w:tc>
                <w:tcPr>
                  <w:tcW w:w="1029" w:type="pct"/>
                  <w:tcBorders>
                    <w:tl2br w:val="nil"/>
                    <w:tr2bl w:val="nil"/>
                  </w:tcBorders>
                  <w:noWrap w:val="0"/>
                  <w:vAlign w:val="center"/>
                </w:tcPr>
                <w:p w14:paraId="05FFE9C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废钢丸</w:t>
                  </w:r>
                </w:p>
              </w:tc>
              <w:tc>
                <w:tcPr>
                  <w:tcW w:w="1998" w:type="pct"/>
                  <w:vMerge w:val="restart"/>
                  <w:tcBorders>
                    <w:tl2br w:val="nil"/>
                    <w:tr2bl w:val="nil"/>
                  </w:tcBorders>
                  <w:noWrap w:val="0"/>
                  <w:vAlign w:val="center"/>
                </w:tcPr>
                <w:p w14:paraId="4FF943E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default" w:ascii="Times New Roman" w:hAnsi="Times New Roman" w:eastAsia="宋体"/>
                      <w:color w:val="auto"/>
                      <w:spacing w:val="2"/>
                      <w:sz w:val="21"/>
                      <w:szCs w:val="21"/>
                      <w:highlight w:val="none"/>
                      <w:lang w:val="en-US"/>
                    </w:rPr>
                  </w:pPr>
                  <w:r>
                    <w:rPr>
                      <w:rFonts w:hint="eastAsia" w:ascii="Times New Roman" w:hAnsi="Times New Roman" w:eastAsia="宋体"/>
                      <w:color w:val="auto"/>
                      <w:spacing w:val="2"/>
                      <w:sz w:val="21"/>
                      <w:szCs w:val="21"/>
                      <w:highlight w:val="none"/>
                      <w:lang w:val="en-US" w:eastAsia="zh-CN"/>
                    </w:rPr>
                    <w:t>外售废旧物资回收单位综合利用。</w:t>
                  </w:r>
                </w:p>
              </w:tc>
            </w:tr>
            <w:tr w14:paraId="5F08A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2" w:type="pct"/>
                  <w:vMerge w:val="continue"/>
                  <w:tcBorders>
                    <w:tl2br w:val="nil"/>
                    <w:tr2bl w:val="nil"/>
                  </w:tcBorders>
                  <w:noWrap w:val="0"/>
                  <w:vAlign w:val="center"/>
                </w:tcPr>
                <w:p w14:paraId="4AD48BD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6AD90273">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S2</w:t>
                  </w:r>
                </w:p>
              </w:tc>
              <w:tc>
                <w:tcPr>
                  <w:tcW w:w="976" w:type="pct"/>
                  <w:tcBorders>
                    <w:tl2br w:val="nil"/>
                    <w:tr2bl w:val="nil"/>
                  </w:tcBorders>
                  <w:noWrap w:val="0"/>
                  <w:vAlign w:val="center"/>
                </w:tcPr>
                <w:p w14:paraId="2D0E6BF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喷粉</w:t>
                  </w:r>
                </w:p>
              </w:tc>
              <w:tc>
                <w:tcPr>
                  <w:tcW w:w="1029" w:type="pct"/>
                  <w:tcBorders>
                    <w:tl2br w:val="nil"/>
                    <w:tr2bl w:val="nil"/>
                  </w:tcBorders>
                  <w:noWrap w:val="0"/>
                  <w:vAlign w:val="center"/>
                </w:tcPr>
                <w:p w14:paraId="7C867BF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废包装</w:t>
                  </w:r>
                </w:p>
              </w:tc>
              <w:tc>
                <w:tcPr>
                  <w:tcW w:w="1998" w:type="pct"/>
                  <w:vMerge w:val="continue"/>
                  <w:tcBorders>
                    <w:tl2br w:val="nil"/>
                    <w:tr2bl w:val="nil"/>
                  </w:tcBorders>
                  <w:noWrap w:val="0"/>
                  <w:vAlign w:val="center"/>
                </w:tcPr>
                <w:p w14:paraId="2F6C3AE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72C23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405C94D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0ED7947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S3</w:t>
                  </w:r>
                </w:p>
              </w:tc>
              <w:tc>
                <w:tcPr>
                  <w:tcW w:w="976" w:type="pct"/>
                  <w:tcBorders>
                    <w:tl2br w:val="nil"/>
                    <w:tr2bl w:val="nil"/>
                  </w:tcBorders>
                  <w:noWrap w:val="0"/>
                  <w:vAlign w:val="center"/>
                </w:tcPr>
                <w:p w14:paraId="6876CA2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检验</w:t>
                  </w:r>
                </w:p>
              </w:tc>
              <w:tc>
                <w:tcPr>
                  <w:tcW w:w="1029" w:type="pct"/>
                  <w:tcBorders>
                    <w:tl2br w:val="nil"/>
                    <w:tr2bl w:val="nil"/>
                  </w:tcBorders>
                  <w:noWrap w:val="0"/>
                  <w:vAlign w:val="center"/>
                </w:tcPr>
                <w:p w14:paraId="0C2D14C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96"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次品件</w:t>
                  </w:r>
                </w:p>
              </w:tc>
              <w:tc>
                <w:tcPr>
                  <w:tcW w:w="1998" w:type="pct"/>
                  <w:vMerge w:val="continue"/>
                  <w:tcBorders>
                    <w:tl2br w:val="nil"/>
                    <w:tr2bl w:val="nil"/>
                  </w:tcBorders>
                  <w:noWrap w:val="0"/>
                  <w:vAlign w:val="center"/>
                </w:tcPr>
                <w:p w14:paraId="63020B2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96"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1D458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6E01F27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69E0F1E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S4</w:t>
                  </w:r>
                </w:p>
              </w:tc>
              <w:tc>
                <w:tcPr>
                  <w:tcW w:w="976" w:type="pct"/>
                  <w:tcBorders>
                    <w:tl2br w:val="nil"/>
                    <w:tr2bl w:val="nil"/>
                  </w:tcBorders>
                  <w:noWrap w:val="0"/>
                  <w:vAlign w:val="center"/>
                </w:tcPr>
                <w:p w14:paraId="5525C50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抛丸废气治理</w:t>
                  </w:r>
                </w:p>
              </w:tc>
              <w:tc>
                <w:tcPr>
                  <w:tcW w:w="1029" w:type="pct"/>
                  <w:tcBorders>
                    <w:tl2br w:val="nil"/>
                    <w:tr2bl w:val="nil"/>
                  </w:tcBorders>
                  <w:noWrap w:val="0"/>
                  <w:vAlign w:val="center"/>
                </w:tcPr>
                <w:p w14:paraId="588365C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除尘灰</w:t>
                  </w:r>
                </w:p>
              </w:tc>
              <w:tc>
                <w:tcPr>
                  <w:tcW w:w="1998" w:type="pct"/>
                  <w:vMerge w:val="continue"/>
                  <w:tcBorders>
                    <w:tl2br w:val="nil"/>
                    <w:tr2bl w:val="nil"/>
                  </w:tcBorders>
                  <w:noWrap w:val="0"/>
                  <w:vAlign w:val="center"/>
                </w:tcPr>
                <w:p w14:paraId="24D9C93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37F16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18E7C08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58895EA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S5</w:t>
                  </w:r>
                </w:p>
              </w:tc>
              <w:tc>
                <w:tcPr>
                  <w:tcW w:w="976" w:type="pct"/>
                  <w:tcBorders>
                    <w:tl2br w:val="nil"/>
                    <w:tr2bl w:val="nil"/>
                  </w:tcBorders>
                  <w:noWrap w:val="0"/>
                  <w:vAlign w:val="center"/>
                </w:tcPr>
                <w:p w14:paraId="3DCEC32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喷粉废气治理</w:t>
                  </w:r>
                </w:p>
              </w:tc>
              <w:tc>
                <w:tcPr>
                  <w:tcW w:w="1029" w:type="pct"/>
                  <w:tcBorders>
                    <w:tl2br w:val="nil"/>
                    <w:tr2bl w:val="nil"/>
                  </w:tcBorders>
                  <w:noWrap w:val="0"/>
                  <w:vAlign w:val="center"/>
                </w:tcPr>
                <w:p w14:paraId="53B8508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除尘灰</w:t>
                  </w:r>
                </w:p>
              </w:tc>
              <w:tc>
                <w:tcPr>
                  <w:tcW w:w="1998" w:type="pct"/>
                  <w:vMerge w:val="continue"/>
                  <w:tcBorders>
                    <w:tl2br w:val="nil"/>
                    <w:tr2bl w:val="nil"/>
                  </w:tcBorders>
                  <w:noWrap w:val="0"/>
                  <w:vAlign w:val="center"/>
                </w:tcPr>
                <w:p w14:paraId="2817668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6381A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2728231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05C215E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S6</w:t>
                  </w:r>
                </w:p>
              </w:tc>
              <w:tc>
                <w:tcPr>
                  <w:tcW w:w="976" w:type="pct"/>
                  <w:tcBorders>
                    <w:tl2br w:val="nil"/>
                    <w:tr2bl w:val="nil"/>
                  </w:tcBorders>
                  <w:noWrap w:val="0"/>
                  <w:vAlign w:val="center"/>
                </w:tcPr>
                <w:p w14:paraId="419A6DC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固化废气治理</w:t>
                  </w:r>
                </w:p>
              </w:tc>
              <w:tc>
                <w:tcPr>
                  <w:tcW w:w="1029" w:type="pct"/>
                  <w:tcBorders>
                    <w:tl2br w:val="nil"/>
                    <w:tr2bl w:val="nil"/>
                  </w:tcBorders>
                  <w:noWrap w:val="0"/>
                  <w:vAlign w:val="center"/>
                </w:tcPr>
                <w:p w14:paraId="26B13423">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废活性炭、废过滤棉</w:t>
                  </w:r>
                </w:p>
              </w:tc>
              <w:tc>
                <w:tcPr>
                  <w:tcW w:w="1998" w:type="pct"/>
                  <w:vMerge w:val="restart"/>
                  <w:tcBorders>
                    <w:tl2br w:val="nil"/>
                    <w:tr2bl w:val="nil"/>
                  </w:tcBorders>
                  <w:noWrap w:val="0"/>
                  <w:vAlign w:val="center"/>
                </w:tcPr>
                <w:p w14:paraId="27C13E4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属于危险废物，集中收集暂存于危废贮存点，并委托有相应危险废物处置资质单位定期进行转运处置。</w:t>
                  </w:r>
                </w:p>
              </w:tc>
            </w:tr>
            <w:tr w14:paraId="11D4E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1ADA99E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6D4BDFB1">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S7</w:t>
                  </w:r>
                </w:p>
              </w:tc>
              <w:tc>
                <w:tcPr>
                  <w:tcW w:w="976" w:type="pct"/>
                  <w:vMerge w:val="restart"/>
                  <w:tcBorders>
                    <w:tl2br w:val="nil"/>
                    <w:tr2bl w:val="nil"/>
                  </w:tcBorders>
                  <w:noWrap w:val="0"/>
                  <w:vAlign w:val="center"/>
                </w:tcPr>
                <w:p w14:paraId="23A88EFC">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设备保养</w:t>
                  </w:r>
                </w:p>
              </w:tc>
              <w:tc>
                <w:tcPr>
                  <w:tcW w:w="1029" w:type="pct"/>
                  <w:tcBorders>
                    <w:tl2br w:val="nil"/>
                    <w:tr2bl w:val="nil"/>
                  </w:tcBorders>
                  <w:shd w:val="clear" w:color="auto" w:fill="auto"/>
                  <w:noWrap w:val="0"/>
                  <w:vAlign w:val="center"/>
                </w:tcPr>
                <w:p w14:paraId="326799EB">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heme="minorBidi"/>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废机油</w:t>
                  </w:r>
                </w:p>
              </w:tc>
              <w:tc>
                <w:tcPr>
                  <w:tcW w:w="1998" w:type="pct"/>
                  <w:vMerge w:val="continue"/>
                  <w:tcBorders>
                    <w:tl2br w:val="nil"/>
                    <w:tr2bl w:val="nil"/>
                  </w:tcBorders>
                  <w:noWrap w:val="0"/>
                  <w:vAlign w:val="center"/>
                </w:tcPr>
                <w:p w14:paraId="027A305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68110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072EF90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661162DC">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S8</w:t>
                  </w:r>
                </w:p>
              </w:tc>
              <w:tc>
                <w:tcPr>
                  <w:tcW w:w="976" w:type="pct"/>
                  <w:vMerge w:val="continue"/>
                  <w:tcBorders>
                    <w:tl2br w:val="nil"/>
                    <w:tr2bl w:val="nil"/>
                  </w:tcBorders>
                  <w:noWrap w:val="0"/>
                  <w:vAlign w:val="center"/>
                </w:tcPr>
                <w:p w14:paraId="5FD8E414">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p>
              </w:tc>
              <w:tc>
                <w:tcPr>
                  <w:tcW w:w="1029" w:type="pct"/>
                  <w:tcBorders>
                    <w:tl2br w:val="nil"/>
                    <w:tr2bl w:val="nil"/>
                  </w:tcBorders>
                  <w:shd w:val="clear" w:color="auto" w:fill="auto"/>
                  <w:noWrap w:val="0"/>
                  <w:vAlign w:val="center"/>
                </w:tcPr>
                <w:p w14:paraId="30986477">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default" w:ascii="Times New Roman" w:hAnsi="Times New Roman" w:eastAsia="宋体" w:cstheme="minorBidi"/>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废油桶</w:t>
                  </w:r>
                </w:p>
              </w:tc>
              <w:tc>
                <w:tcPr>
                  <w:tcW w:w="1998" w:type="pct"/>
                  <w:vMerge w:val="continue"/>
                  <w:tcBorders>
                    <w:tl2br w:val="nil"/>
                    <w:tr2bl w:val="nil"/>
                  </w:tcBorders>
                  <w:noWrap w:val="0"/>
                  <w:vAlign w:val="center"/>
                </w:tcPr>
                <w:p w14:paraId="5B469BB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2C03C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20788C8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42649385">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S9</w:t>
                  </w:r>
                </w:p>
              </w:tc>
              <w:tc>
                <w:tcPr>
                  <w:tcW w:w="976" w:type="pct"/>
                  <w:vMerge w:val="continue"/>
                  <w:tcBorders>
                    <w:tl2br w:val="nil"/>
                    <w:tr2bl w:val="nil"/>
                  </w:tcBorders>
                  <w:noWrap w:val="0"/>
                  <w:vAlign w:val="center"/>
                </w:tcPr>
                <w:p w14:paraId="386AF981">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p>
              </w:tc>
              <w:tc>
                <w:tcPr>
                  <w:tcW w:w="1029" w:type="pct"/>
                  <w:tcBorders>
                    <w:tl2br w:val="nil"/>
                    <w:tr2bl w:val="nil"/>
                  </w:tcBorders>
                  <w:shd w:val="clear" w:color="auto" w:fill="auto"/>
                  <w:noWrap w:val="0"/>
                  <w:vAlign w:val="center"/>
                </w:tcPr>
                <w:p w14:paraId="19ED4BBF">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heme="minorBidi"/>
                      <w:color w:val="auto"/>
                      <w:spacing w:val="2"/>
                      <w:kern w:val="2"/>
                      <w:sz w:val="21"/>
                      <w:szCs w:val="21"/>
                      <w:highlight w:val="none"/>
                      <w:lang w:val="en-US" w:eastAsia="zh-CN" w:bidi="ar-SA"/>
                    </w:rPr>
                  </w:pPr>
                  <w:r>
                    <w:rPr>
                      <w:rFonts w:hint="eastAsia" w:ascii="Times New Roman" w:hAnsi="Times New Roman" w:eastAsia="宋体"/>
                      <w:color w:val="auto"/>
                      <w:spacing w:val="2"/>
                      <w:sz w:val="21"/>
                      <w:szCs w:val="21"/>
                      <w:highlight w:val="none"/>
                      <w:lang w:val="en-US" w:eastAsia="zh-CN"/>
                    </w:rPr>
                    <w:t>含油废棉纱手套</w:t>
                  </w:r>
                </w:p>
              </w:tc>
              <w:tc>
                <w:tcPr>
                  <w:tcW w:w="1998" w:type="pct"/>
                  <w:vMerge w:val="continue"/>
                  <w:tcBorders>
                    <w:tl2br w:val="nil"/>
                    <w:tr2bl w:val="nil"/>
                  </w:tcBorders>
                  <w:noWrap w:val="0"/>
                  <w:vAlign w:val="center"/>
                </w:tcPr>
                <w:p w14:paraId="4C96290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r w14:paraId="6B2FA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2" w:type="pct"/>
                  <w:vMerge w:val="continue"/>
                  <w:tcBorders>
                    <w:tl2br w:val="nil"/>
                    <w:tr2bl w:val="nil"/>
                  </w:tcBorders>
                  <w:noWrap w:val="0"/>
                  <w:vAlign w:val="center"/>
                </w:tcPr>
                <w:p w14:paraId="5EA825D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pacing w:val="2"/>
                      <w:sz w:val="21"/>
                      <w:szCs w:val="21"/>
                      <w:highlight w:val="none"/>
                    </w:rPr>
                  </w:pPr>
                </w:p>
              </w:tc>
              <w:tc>
                <w:tcPr>
                  <w:tcW w:w="542" w:type="pct"/>
                  <w:tcBorders>
                    <w:tl2br w:val="nil"/>
                    <w:tr2bl w:val="nil"/>
                  </w:tcBorders>
                  <w:noWrap w:val="0"/>
                  <w:vAlign w:val="center"/>
                </w:tcPr>
                <w:p w14:paraId="40D98929">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default"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S10</w:t>
                  </w:r>
                </w:p>
              </w:tc>
              <w:tc>
                <w:tcPr>
                  <w:tcW w:w="976" w:type="pct"/>
                  <w:tcBorders>
                    <w:tl2br w:val="nil"/>
                    <w:tr2bl w:val="nil"/>
                  </w:tcBorders>
                  <w:noWrap w:val="0"/>
                  <w:vAlign w:val="center"/>
                </w:tcPr>
                <w:p w14:paraId="40ADED45">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kern w:val="2"/>
                      <w:sz w:val="21"/>
                      <w:szCs w:val="21"/>
                      <w:highlight w:val="none"/>
                      <w:lang w:val="en-US" w:eastAsia="zh-CN" w:bidi="ar-SA"/>
                    </w:rPr>
                    <w:t>压缩空气加工</w:t>
                  </w:r>
                </w:p>
              </w:tc>
              <w:tc>
                <w:tcPr>
                  <w:tcW w:w="1029" w:type="pct"/>
                  <w:tcBorders>
                    <w:tl2br w:val="nil"/>
                    <w:tr2bl w:val="nil"/>
                  </w:tcBorders>
                  <w:shd w:val="clear" w:color="auto" w:fill="auto"/>
                  <w:noWrap w:val="0"/>
                  <w:vAlign w:val="center"/>
                </w:tcPr>
                <w:p w14:paraId="6322666B">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93" w:lineRule="auto"/>
                    <w:ind w:left="0" w:leftChars="0" w:right="0" w:rightChars="0"/>
                    <w:jc w:val="center"/>
                    <w:textAlignment w:val="auto"/>
                    <w:rPr>
                      <w:rFonts w:hint="eastAsia" w:ascii="Times New Roman" w:hAnsi="Times New Roman" w:eastAsia="宋体"/>
                      <w:color w:val="auto"/>
                      <w:spacing w:val="2"/>
                      <w:sz w:val="21"/>
                      <w:szCs w:val="21"/>
                      <w:highlight w:val="none"/>
                      <w:lang w:val="en-US" w:eastAsia="zh-CN"/>
                    </w:rPr>
                  </w:pPr>
                  <w:r>
                    <w:rPr>
                      <w:rFonts w:hint="eastAsia" w:ascii="Times New Roman" w:hAnsi="Times New Roman" w:eastAsia="宋体"/>
                      <w:color w:val="auto"/>
                      <w:spacing w:val="2"/>
                      <w:sz w:val="21"/>
                      <w:szCs w:val="21"/>
                      <w:highlight w:val="none"/>
                      <w:lang w:val="en-US" w:eastAsia="zh-CN"/>
                    </w:rPr>
                    <w:t>空压机废油液</w:t>
                  </w:r>
                </w:p>
              </w:tc>
              <w:tc>
                <w:tcPr>
                  <w:tcW w:w="1998" w:type="pct"/>
                  <w:vMerge w:val="continue"/>
                  <w:tcBorders>
                    <w:tl2br w:val="nil"/>
                    <w:tr2bl w:val="nil"/>
                  </w:tcBorders>
                  <w:noWrap w:val="0"/>
                  <w:vAlign w:val="center"/>
                </w:tcPr>
                <w:p w14:paraId="7341D0E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both"/>
                    <w:textAlignment w:val="auto"/>
                    <w:rPr>
                      <w:rFonts w:hint="eastAsia" w:ascii="Times New Roman" w:hAnsi="Times New Roman" w:eastAsia="宋体"/>
                      <w:color w:val="auto"/>
                      <w:spacing w:val="2"/>
                      <w:sz w:val="21"/>
                      <w:szCs w:val="21"/>
                      <w:highlight w:val="none"/>
                      <w:lang w:val="en-US" w:eastAsia="zh-CN"/>
                    </w:rPr>
                  </w:pPr>
                </w:p>
              </w:tc>
            </w:tr>
          </w:tbl>
          <w:p w14:paraId="2F918FE2">
            <w:pPr>
              <w:keepNext w:val="0"/>
              <w:keepLines w:val="0"/>
              <w:pageBreakBefore w:val="0"/>
              <w:widowControl w:val="0"/>
              <w:kinsoku/>
              <w:wordWrap/>
              <w:overflowPunct/>
              <w:topLinePunct w:val="0"/>
              <w:autoSpaceDE/>
              <w:autoSpaceDN/>
              <w:bidi w:val="0"/>
              <w:adjustRightInd/>
              <w:snapToGrid/>
              <w:spacing w:line="372" w:lineRule="auto"/>
              <w:ind w:firstLine="420" w:firstLineChars="200"/>
              <w:jc w:val="both"/>
              <w:textAlignment w:val="auto"/>
              <w:rPr>
                <w:rFonts w:hint="eastAsia" w:ascii="Times New Roman" w:hAnsi="Times New Roman"/>
                <w:color w:val="auto"/>
                <w:highlight w:val="none"/>
                <w:vertAlign w:val="baseline"/>
                <w:lang w:val="en-US" w:eastAsia="zh-CN"/>
              </w:rPr>
            </w:pPr>
          </w:p>
        </w:tc>
      </w:tr>
      <w:tr w14:paraId="3277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49" w:hRule="atLeast"/>
        </w:trPr>
        <w:tc>
          <w:tcPr>
            <w:tcW w:w="360" w:type="pct"/>
            <w:vAlign w:val="center"/>
          </w:tcPr>
          <w:p w14:paraId="7586F4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sz w:val="24"/>
                <w:szCs w:val="24"/>
                <w:highlight w:val="none"/>
                <w:vertAlign w:val="baseline"/>
                <w:lang w:val="en-US" w:eastAsia="zh-CN"/>
              </w:rPr>
            </w:pPr>
            <w:r>
              <w:rPr>
                <w:rFonts w:hint="eastAsia" w:ascii="Times New Roman" w:hAnsi="Times New Roman" w:cs="宋体"/>
                <w:b/>
                <w:bCs/>
                <w:color w:val="auto"/>
                <w:sz w:val="24"/>
                <w:szCs w:val="24"/>
                <w:highlight w:val="none"/>
              </w:rPr>
              <w:t>与项目有关的原有环境污染问题</w:t>
            </w:r>
          </w:p>
        </w:tc>
        <w:tc>
          <w:tcPr>
            <w:tcW w:w="4639" w:type="pct"/>
            <w:vAlign w:val="top"/>
          </w:tcPr>
          <w:p w14:paraId="4E6586FD">
            <w:pPr>
              <w:keepNext w:val="0"/>
              <w:keepLines w:val="0"/>
              <w:pageBreakBefore w:val="0"/>
              <w:widowControl w:val="0"/>
              <w:kinsoku/>
              <w:wordWrap/>
              <w:overflowPunct/>
              <w:topLinePunct w:val="0"/>
              <w:autoSpaceDE/>
              <w:autoSpaceDN/>
              <w:bidi w:val="0"/>
              <w:adjustRightInd/>
              <w:snapToGrid/>
              <w:spacing w:line="372" w:lineRule="auto"/>
              <w:jc w:val="both"/>
              <w:textAlignment w:val="auto"/>
              <w:rPr>
                <w:rFonts w:hint="default" w:ascii="Times New Roman" w:hAnsi="Times New Roman" w:eastAsia="宋体"/>
                <w:b/>
                <w:bCs/>
                <w:color w:val="auto"/>
                <w:sz w:val="24"/>
                <w:szCs w:val="24"/>
                <w:highlight w:val="none"/>
                <w:u w:val="none"/>
                <w:vertAlign w:val="baseline"/>
                <w:lang w:val="en-US" w:eastAsia="zh-CN"/>
              </w:rPr>
            </w:pPr>
            <w:r>
              <w:rPr>
                <w:rFonts w:hint="eastAsia" w:ascii="Times New Roman" w:hAnsi="Times New Roman" w:eastAsia="宋体"/>
                <w:b/>
                <w:bCs/>
                <w:color w:val="auto"/>
                <w:sz w:val="24"/>
                <w:szCs w:val="24"/>
                <w:highlight w:val="none"/>
                <w:u w:val="none"/>
                <w:vertAlign w:val="baseline"/>
                <w:lang w:val="en-US" w:eastAsia="zh-CN"/>
              </w:rPr>
              <w:t>2.12与项目有关的原有环境污染问题</w:t>
            </w:r>
          </w:p>
          <w:p w14:paraId="42590027">
            <w:pPr>
              <w:pStyle w:val="21"/>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2021年，重庆市成吉思机械制造有限公司租用森迪安防产业园2#厂房实施“汽车冲焊零部件生产项目”，生产规模为年产汽车冲焊零部件25万件，该</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val="en-US" w:eastAsia="zh-CN"/>
              </w:rPr>
              <w:t>目前正常运行。</w:t>
            </w:r>
          </w:p>
          <w:p w14:paraId="437B20A5">
            <w:pPr>
              <w:pStyle w:val="21"/>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本次扩建拟租用</w:t>
            </w:r>
            <w:r>
              <w:rPr>
                <w:rFonts w:hint="default" w:ascii="Times New Roman" w:hAnsi="Times New Roman" w:eastAsia="宋体" w:cs="Times New Roman"/>
                <w:sz w:val="24"/>
                <w:szCs w:val="24"/>
                <w:lang w:val="en-US" w:eastAsia="zh-CN"/>
              </w:rPr>
              <w:t>森迪安防产业园</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#厂房实施</w:t>
            </w:r>
            <w:r>
              <w:rPr>
                <w:rFonts w:hint="eastAsia" w:eastAsia="宋体" w:cs="Times New Roman"/>
                <w:sz w:val="24"/>
                <w:szCs w:val="24"/>
                <w:lang w:val="en-US" w:eastAsia="zh-CN"/>
              </w:rPr>
              <w:t>“</w:t>
            </w:r>
            <w:r>
              <w:rPr>
                <w:rFonts w:hint="default" w:ascii="Times New Roman" w:hAnsi="Times New Roman" w:eastAsia="宋体" w:cs="Times New Roman"/>
                <w:sz w:val="24"/>
                <w:szCs w:val="24"/>
                <w:lang w:val="en-US" w:eastAsia="zh-CN"/>
              </w:rPr>
              <w:t>汽车冲焊零部件</w:t>
            </w:r>
            <w:r>
              <w:rPr>
                <w:rFonts w:hint="eastAsia" w:ascii="Times New Roman" w:hAnsi="Times New Roman" w:eastAsia="宋体" w:cs="Times New Roman"/>
                <w:sz w:val="24"/>
                <w:szCs w:val="24"/>
                <w:lang w:val="en-US" w:eastAsia="zh-CN"/>
              </w:rPr>
              <w:t>加工</w:t>
            </w:r>
            <w:r>
              <w:rPr>
                <w:rFonts w:hint="default" w:ascii="Times New Roman" w:hAnsi="Times New Roman" w:eastAsia="宋体" w:cs="Times New Roman"/>
                <w:sz w:val="24"/>
                <w:szCs w:val="24"/>
                <w:lang w:val="en-US" w:eastAsia="zh-CN"/>
              </w:rPr>
              <w:t>项目</w:t>
            </w:r>
            <w:r>
              <w:rPr>
                <w:rFonts w:hint="eastAsia"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该厂房为空置厂房，无原有污染情况。</w:t>
            </w:r>
          </w:p>
          <w:p w14:paraId="5B33C9E0">
            <w:pPr>
              <w:pStyle w:val="21"/>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2.12.1现有工程概况及环保手续执行情况</w:t>
            </w:r>
          </w:p>
          <w:p w14:paraId="22CF0132">
            <w:pPr>
              <w:pStyle w:val="21"/>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现有工程环保手续办理情况见表2</w:t>
            </w:r>
            <w:r>
              <w:rPr>
                <w:rFonts w:hint="eastAsia" w:eastAsia="宋体" w:cs="Times New Roman"/>
                <w:sz w:val="24"/>
                <w:szCs w:val="24"/>
                <w:lang w:val="en-US" w:eastAsia="zh-CN"/>
              </w:rPr>
              <w:t>-11</w:t>
            </w:r>
            <w:r>
              <w:rPr>
                <w:rFonts w:hint="eastAsia" w:ascii="Times New Roman" w:hAnsi="Times New Roman" w:eastAsia="宋体" w:cs="Times New Roman"/>
                <w:sz w:val="24"/>
                <w:szCs w:val="24"/>
                <w:lang w:val="en-US" w:eastAsia="zh-CN"/>
              </w:rPr>
              <w:t>。</w:t>
            </w:r>
          </w:p>
          <w:p w14:paraId="6D47AE1C">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w:t>
            </w:r>
            <w:r>
              <w:rPr>
                <w:rFonts w:hint="eastAsia" w:eastAsia="宋体" w:cs="Times New Roman"/>
                <w:sz w:val="24"/>
                <w:szCs w:val="24"/>
                <w:lang w:val="en-US" w:eastAsia="zh-CN"/>
              </w:rPr>
              <w:t>-11</w:t>
            </w:r>
            <w:r>
              <w:rPr>
                <w:rFonts w:hint="eastAsia" w:ascii="Times New Roman" w:hAnsi="Times New Roman" w:eastAsia="宋体" w:cs="Times New Roman"/>
                <w:sz w:val="24"/>
                <w:szCs w:val="24"/>
                <w:lang w:val="en-US" w:eastAsia="zh-CN"/>
              </w:rPr>
              <w:t xml:space="preserve">  现有工程环保手续办理情况</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982"/>
            </w:tblGrid>
            <w:tr w14:paraId="5EC1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5EC88C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项目名称</w:t>
                  </w:r>
                </w:p>
              </w:tc>
              <w:tc>
                <w:tcPr>
                  <w:tcW w:w="6982" w:type="dxa"/>
                  <w:vAlign w:val="center"/>
                </w:tcPr>
                <w:p w14:paraId="74886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重庆市成吉思机械制造有限公司汽车冲焊零部件生产项目</w:t>
                  </w:r>
                </w:p>
              </w:tc>
            </w:tr>
            <w:tr w14:paraId="0BF3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584A1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环评批复文号</w:t>
                  </w:r>
                </w:p>
              </w:tc>
              <w:tc>
                <w:tcPr>
                  <w:tcW w:w="6982" w:type="dxa"/>
                  <w:vAlign w:val="center"/>
                </w:tcPr>
                <w:p w14:paraId="68CD3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渝（</w:t>
                  </w:r>
                  <w:r>
                    <w:rPr>
                      <w:rFonts w:hint="eastAsia" w:ascii="Times New Roman" w:hAnsi="Times New Roman" w:cs="Times New Roman"/>
                      <w:bCs/>
                      <w:color w:val="auto"/>
                      <w:sz w:val="21"/>
                      <w:szCs w:val="21"/>
                      <w:highlight w:val="none"/>
                      <w:vertAlign w:val="baseline"/>
                      <w:lang w:val="en-US" w:eastAsia="zh-CN"/>
                    </w:rPr>
                    <w:t>九</w:t>
                  </w:r>
                  <w:r>
                    <w:rPr>
                      <w:rFonts w:hint="default" w:ascii="Times New Roman" w:hAnsi="Times New Roman" w:cs="Times New Roman"/>
                      <w:bCs/>
                      <w:color w:val="auto"/>
                      <w:sz w:val="21"/>
                      <w:szCs w:val="21"/>
                      <w:highlight w:val="none"/>
                      <w:vertAlign w:val="baseline"/>
                      <w:lang w:val="en-US" w:eastAsia="zh-CN"/>
                    </w:rPr>
                    <w:t>）环准[20</w:t>
                  </w:r>
                  <w:r>
                    <w:rPr>
                      <w:rFonts w:hint="eastAsia" w:ascii="Times New Roman" w:hAnsi="Times New Roman" w:cs="Times New Roman"/>
                      <w:bCs/>
                      <w:color w:val="auto"/>
                      <w:sz w:val="21"/>
                      <w:szCs w:val="21"/>
                      <w:highlight w:val="none"/>
                      <w:vertAlign w:val="baseline"/>
                      <w:lang w:val="en-US" w:eastAsia="zh-CN"/>
                    </w:rPr>
                    <w:t>22</w:t>
                  </w:r>
                  <w:r>
                    <w:rPr>
                      <w:rFonts w:hint="default" w:ascii="Times New Roman" w:hAnsi="Times New Roman" w:cs="Times New Roman"/>
                      <w:bCs/>
                      <w:color w:val="auto"/>
                      <w:sz w:val="21"/>
                      <w:szCs w:val="21"/>
                      <w:highlight w:val="none"/>
                      <w:vertAlign w:val="baseline"/>
                      <w:lang w:val="en-US" w:eastAsia="zh-CN"/>
                    </w:rPr>
                    <w:t>]</w:t>
                  </w:r>
                  <w:r>
                    <w:rPr>
                      <w:rFonts w:hint="eastAsia" w:ascii="Times New Roman" w:hAnsi="Times New Roman" w:cs="Times New Roman"/>
                      <w:bCs/>
                      <w:color w:val="auto"/>
                      <w:sz w:val="21"/>
                      <w:szCs w:val="21"/>
                      <w:highlight w:val="none"/>
                      <w:vertAlign w:val="baseline"/>
                      <w:lang w:val="en-US" w:eastAsia="zh-CN"/>
                    </w:rPr>
                    <w:t>055</w:t>
                  </w:r>
                  <w:r>
                    <w:rPr>
                      <w:rFonts w:hint="default" w:ascii="Times New Roman" w:hAnsi="Times New Roman" w:cs="Times New Roman"/>
                      <w:bCs/>
                      <w:color w:val="auto"/>
                      <w:sz w:val="21"/>
                      <w:szCs w:val="21"/>
                      <w:highlight w:val="none"/>
                      <w:vertAlign w:val="baseline"/>
                      <w:lang w:val="en-US" w:eastAsia="zh-CN"/>
                    </w:rPr>
                    <w:t>号</w:t>
                  </w:r>
                </w:p>
              </w:tc>
            </w:tr>
            <w:tr w14:paraId="6800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205FB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批复时间</w:t>
                  </w:r>
                </w:p>
              </w:tc>
              <w:tc>
                <w:tcPr>
                  <w:tcW w:w="6982" w:type="dxa"/>
                  <w:vAlign w:val="center"/>
                </w:tcPr>
                <w:p w14:paraId="413E9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20</w:t>
                  </w:r>
                  <w:r>
                    <w:rPr>
                      <w:rFonts w:hint="eastAsia" w:ascii="Times New Roman" w:hAnsi="Times New Roman" w:cs="Times New Roman"/>
                      <w:bCs/>
                      <w:color w:val="auto"/>
                      <w:sz w:val="21"/>
                      <w:szCs w:val="21"/>
                      <w:highlight w:val="none"/>
                      <w:vertAlign w:val="baseline"/>
                      <w:lang w:val="en-US" w:eastAsia="zh-CN"/>
                    </w:rPr>
                    <w:t>22</w:t>
                  </w:r>
                  <w:r>
                    <w:rPr>
                      <w:rFonts w:hint="default" w:ascii="Times New Roman" w:hAnsi="Times New Roman" w:cs="Times New Roman"/>
                      <w:bCs/>
                      <w:color w:val="auto"/>
                      <w:sz w:val="21"/>
                      <w:szCs w:val="21"/>
                      <w:highlight w:val="none"/>
                      <w:vertAlign w:val="baseline"/>
                      <w:lang w:val="en-US" w:eastAsia="zh-CN"/>
                    </w:rPr>
                    <w:t>年</w:t>
                  </w:r>
                  <w:r>
                    <w:rPr>
                      <w:rFonts w:hint="eastAsia" w:ascii="Times New Roman" w:hAnsi="Times New Roman" w:cs="Times New Roman"/>
                      <w:bCs/>
                      <w:color w:val="auto"/>
                      <w:sz w:val="21"/>
                      <w:szCs w:val="21"/>
                      <w:highlight w:val="none"/>
                      <w:vertAlign w:val="baseline"/>
                      <w:lang w:val="en-US" w:eastAsia="zh-CN"/>
                    </w:rPr>
                    <w:t>8</w:t>
                  </w:r>
                  <w:r>
                    <w:rPr>
                      <w:rFonts w:hint="default" w:ascii="Times New Roman" w:hAnsi="Times New Roman" w:cs="Times New Roman"/>
                      <w:bCs/>
                      <w:color w:val="auto"/>
                      <w:sz w:val="21"/>
                      <w:szCs w:val="21"/>
                      <w:highlight w:val="none"/>
                      <w:vertAlign w:val="baseline"/>
                      <w:lang w:val="en-US" w:eastAsia="zh-CN"/>
                    </w:rPr>
                    <w:t>月</w:t>
                  </w:r>
                  <w:r>
                    <w:rPr>
                      <w:rFonts w:hint="eastAsia" w:ascii="Times New Roman" w:hAnsi="Times New Roman" w:cs="Times New Roman"/>
                      <w:bCs/>
                      <w:color w:val="auto"/>
                      <w:sz w:val="21"/>
                      <w:szCs w:val="21"/>
                      <w:highlight w:val="none"/>
                      <w:vertAlign w:val="baseline"/>
                      <w:lang w:val="en-US" w:eastAsia="zh-CN"/>
                    </w:rPr>
                    <w:t>16</w:t>
                  </w:r>
                  <w:r>
                    <w:rPr>
                      <w:rFonts w:hint="default" w:ascii="Times New Roman" w:hAnsi="Times New Roman" w:cs="Times New Roman"/>
                      <w:bCs/>
                      <w:color w:val="auto"/>
                      <w:sz w:val="21"/>
                      <w:szCs w:val="21"/>
                      <w:highlight w:val="none"/>
                      <w:vertAlign w:val="baseline"/>
                      <w:lang w:val="en-US" w:eastAsia="zh-CN"/>
                    </w:rPr>
                    <w:t>日</w:t>
                  </w:r>
                </w:p>
              </w:tc>
            </w:tr>
            <w:tr w14:paraId="7996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2A0439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批准建设内容</w:t>
                  </w:r>
                </w:p>
              </w:tc>
              <w:tc>
                <w:tcPr>
                  <w:tcW w:w="6982" w:type="dxa"/>
                  <w:vAlign w:val="center"/>
                </w:tcPr>
                <w:p w14:paraId="56872CED">
                  <w:pPr>
                    <w:keepNext w:val="0"/>
                    <w:keepLines w:val="0"/>
                    <w:widowControl/>
                    <w:suppressLineNumbers w:val="0"/>
                    <w:jc w:val="left"/>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租赁位于重庆市九龙城区西彭镇森迪大道1号森迪安防产业园（一期工程）的2#厂房（建筑面积约6133.64m</w:t>
                  </w:r>
                  <w:r>
                    <w:rPr>
                      <w:rFonts w:hint="eastAsia"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购置激光切管机、气动切管机、剪板机、液压机、冲床、二氧化碳保护焊机等设备进行汽车零部件冲压件、焊接件等的生产加工活动，并配套建设储运工程、辅助工程、环保工程等设施，公用工程则依托所在产业园现有设施。建成年产汽车冲焊零部件约25万件。</w:t>
                  </w:r>
                </w:p>
              </w:tc>
            </w:tr>
            <w:tr w14:paraId="2D18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1357" w:type="dxa"/>
                  <w:vAlign w:val="center"/>
                </w:tcPr>
                <w:p w14:paraId="7CFD1E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竣工环保验收情况</w:t>
                  </w:r>
                </w:p>
              </w:tc>
              <w:tc>
                <w:tcPr>
                  <w:tcW w:w="6982" w:type="dxa"/>
                  <w:vAlign w:val="center"/>
                </w:tcPr>
                <w:p w14:paraId="0FFFCBA9">
                  <w:pPr>
                    <w:pStyle w:val="9"/>
                    <w:keepNext w:val="0"/>
                    <w:keepLines w:val="0"/>
                    <w:pageBreakBefore w:val="0"/>
                    <w:widowControl/>
                    <w:kinsoku/>
                    <w:wordWrap/>
                    <w:overflowPunct/>
                    <w:topLinePunct w:val="0"/>
                    <w:autoSpaceDE/>
                    <w:autoSpaceDN/>
                    <w:bidi w:val="0"/>
                    <w:adjustRightInd/>
                    <w:snapToGrid w:val="0"/>
                    <w:spacing w:before="0" w:after="0" w:line="240" w:lineRule="auto"/>
                    <w:ind w:right="0" w:firstLine="482"/>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2022年8月31日完成排污许可登记（登记编号：</w:t>
                  </w:r>
                  <w:r>
                    <w:rPr>
                      <w:rFonts w:hint="default" w:ascii="Times New Roman" w:hAnsi="Times New Roman" w:eastAsia="宋体" w:cs="Times New Roman"/>
                      <w:color w:val="auto"/>
                      <w:kern w:val="0"/>
                      <w:sz w:val="21"/>
                      <w:szCs w:val="21"/>
                      <w:lang w:val="en-US" w:eastAsia="zh-CN" w:bidi="ar"/>
                    </w:rPr>
                    <w:t>915001070949415054001Y</w:t>
                  </w:r>
                  <w:r>
                    <w:rPr>
                      <w:rFonts w:hint="eastAsia" w:ascii="Times New Roman" w:hAnsi="Times New Roman" w:eastAsia="宋体" w:cs="Times New Roman"/>
                      <w:color w:val="auto"/>
                      <w:kern w:val="0"/>
                      <w:sz w:val="21"/>
                      <w:szCs w:val="21"/>
                      <w:lang w:val="en-US" w:eastAsia="zh-CN" w:bidi="ar"/>
                    </w:rPr>
                    <w:t>）。</w:t>
                  </w:r>
                </w:p>
                <w:p w14:paraId="215366F8">
                  <w:pPr>
                    <w:pStyle w:val="9"/>
                    <w:keepNext w:val="0"/>
                    <w:keepLines w:val="0"/>
                    <w:pageBreakBefore w:val="0"/>
                    <w:widowControl/>
                    <w:kinsoku/>
                    <w:wordWrap/>
                    <w:overflowPunct/>
                    <w:topLinePunct w:val="0"/>
                    <w:autoSpaceDE/>
                    <w:autoSpaceDN/>
                    <w:bidi w:val="0"/>
                    <w:adjustRightInd/>
                    <w:snapToGrid w:val="0"/>
                    <w:spacing w:before="0" w:after="0" w:line="240" w:lineRule="auto"/>
                    <w:ind w:right="0" w:firstLine="482"/>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2023年4月20日，建设单位组织验收组对“汽车冲焊零部件生产项目”进行竣工环境保护验收，并取得专家组意见，通过专家组验收。</w:t>
                  </w:r>
                </w:p>
                <w:p w14:paraId="0A716DE2">
                  <w:pPr>
                    <w:pStyle w:val="9"/>
                    <w:keepNext w:val="0"/>
                    <w:keepLines w:val="0"/>
                    <w:pageBreakBefore w:val="0"/>
                    <w:widowControl/>
                    <w:kinsoku/>
                    <w:wordWrap/>
                    <w:overflowPunct/>
                    <w:topLinePunct w:val="0"/>
                    <w:autoSpaceDE/>
                    <w:autoSpaceDN/>
                    <w:bidi w:val="0"/>
                    <w:adjustRightInd/>
                    <w:snapToGrid w:val="0"/>
                    <w:spacing w:before="0" w:after="0" w:line="240" w:lineRule="auto"/>
                    <w:ind w:right="0" w:firstLine="482"/>
                    <w:textAlignment w:val="auto"/>
                    <w:rPr>
                      <w:rFonts w:hint="default"/>
                      <w:lang w:val="en-US" w:eastAsia="zh-CN"/>
                    </w:rPr>
                  </w:pPr>
                  <w:r>
                    <w:rPr>
                      <w:rFonts w:hint="eastAsia" w:ascii="Times New Roman" w:hAnsi="Times New Roman" w:eastAsia="宋体" w:cs="Times New Roman"/>
                      <w:color w:val="auto"/>
                      <w:kern w:val="0"/>
                      <w:sz w:val="21"/>
                      <w:szCs w:val="21"/>
                      <w:lang w:val="en-US" w:eastAsia="zh-CN" w:bidi="ar"/>
                    </w:rPr>
                    <w:t>验收内容：</w:t>
                  </w:r>
                  <w:r>
                    <w:rPr>
                      <w:rFonts w:hint="default" w:ascii="Times New Roman" w:hAnsi="Times New Roman" w:eastAsia="宋体" w:cs="Times New Roman"/>
                      <w:color w:val="auto"/>
                      <w:kern w:val="0"/>
                      <w:sz w:val="21"/>
                      <w:szCs w:val="21"/>
                      <w:lang w:val="en-US" w:eastAsia="zh-CN" w:bidi="ar"/>
                    </w:rPr>
                    <w:t>租赁位于重庆市九龙城区西彭镇森迪大道1号森迪安防产业园（一期工程）的2#厂房（建筑面积约6133.64m</w:t>
                  </w:r>
                  <w:r>
                    <w:rPr>
                      <w:rFonts w:hint="eastAsia"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购置激光切管机、气动切管机、剪板机、液压机、冲床、二氧化碳保护焊机等设备进行汽车零部件冲压件、焊接件等的生产加工活动，并配套建设储运工程、辅助工程、环保工程等设施，公用工程则依托所在产业园现有设施。建成年产汽车冲焊零部件约25万件。</w:t>
                  </w:r>
                </w:p>
              </w:tc>
            </w:tr>
            <w:tr w14:paraId="793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6BF7E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建设单位现有建设内容</w:t>
                  </w:r>
                </w:p>
              </w:tc>
              <w:tc>
                <w:tcPr>
                  <w:tcW w:w="6982" w:type="dxa"/>
                  <w:vAlign w:val="center"/>
                </w:tcPr>
                <w:p w14:paraId="713E892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lang w:val="en-US" w:eastAsia="zh-CN"/>
                    </w:rPr>
                    <w:t>现有工程现有建设内容与验收内容基本一致。</w:t>
                  </w:r>
                </w:p>
              </w:tc>
            </w:tr>
            <w:tr w14:paraId="405F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2E56B8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在建工程</w:t>
                  </w:r>
                </w:p>
              </w:tc>
              <w:tc>
                <w:tcPr>
                  <w:tcW w:w="6982" w:type="dxa"/>
                  <w:vAlign w:val="center"/>
                </w:tcPr>
                <w:p w14:paraId="2E9C3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无在建内容。</w:t>
                  </w:r>
                </w:p>
              </w:tc>
            </w:tr>
          </w:tbl>
          <w:p w14:paraId="0A22816C">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2.12.2现有工程产品方案</w:t>
            </w:r>
          </w:p>
          <w:p w14:paraId="53783B80">
            <w:pPr>
              <w:pStyle w:val="20"/>
              <w:keepNext w:val="0"/>
              <w:keepLines w:val="0"/>
              <w:pageBreakBefore w:val="0"/>
              <w:widowControl/>
              <w:kinsoku/>
              <w:wordWrap/>
              <w:overflowPunct/>
              <w:topLinePunct w:val="0"/>
              <w:autoSpaceDE/>
              <w:autoSpaceDN/>
              <w:bidi w:val="0"/>
              <w:adjustRightInd w:val="0"/>
              <w:snapToGrid w:val="0"/>
              <w:spacing w:before="0" w:after="0"/>
              <w:ind w:right="0" w:firstLine="42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现有工程产品方案见表2-</w:t>
            </w:r>
            <w:r>
              <w:rPr>
                <w:rFonts w:hint="eastAsia" w:ascii="Times New Roman" w:hAnsi="Times New Roman" w:cs="Times New Roman"/>
                <w:lang w:val="en-US" w:eastAsia="zh-CN"/>
              </w:rPr>
              <w:t>12</w:t>
            </w:r>
            <w:r>
              <w:rPr>
                <w:rFonts w:hint="default" w:ascii="Times New Roman" w:hAnsi="Times New Roman" w:cs="Times New Roman"/>
                <w:lang w:val="en-US" w:eastAsia="zh-CN"/>
              </w:rPr>
              <w:t>。</w:t>
            </w:r>
          </w:p>
          <w:p w14:paraId="7C9E9A09">
            <w:pPr>
              <w:pStyle w:val="20"/>
              <w:keepNext w:val="0"/>
              <w:keepLines w:val="0"/>
              <w:pageBreakBefore w:val="0"/>
              <w:widowControl/>
              <w:kinsoku/>
              <w:wordWrap/>
              <w:overflowPunct/>
              <w:topLinePunct w:val="0"/>
              <w:autoSpaceDE/>
              <w:autoSpaceDN/>
              <w:bidi w:val="0"/>
              <w:adjustRightInd w:val="0"/>
              <w:snapToGrid w:val="0"/>
              <w:spacing w:before="0" w:after="0"/>
              <w:ind w:right="0" w:firstLine="0"/>
              <w:jc w:val="center"/>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表2-12  现有工程产品方案一览表</w:t>
            </w:r>
          </w:p>
          <w:tbl>
            <w:tblPr>
              <w:tblStyle w:val="23"/>
              <w:tblW w:w="496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10"/>
              <w:gridCol w:w="992"/>
              <w:gridCol w:w="1267"/>
              <w:gridCol w:w="2192"/>
              <w:gridCol w:w="1350"/>
              <w:gridCol w:w="1525"/>
            </w:tblGrid>
            <w:tr w14:paraId="611F0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0" w:hRule="atLeast"/>
                <w:jc w:val="center"/>
              </w:trPr>
              <w:tc>
                <w:tcPr>
                  <w:tcW w:w="606" w:type="pct"/>
                  <w:tcBorders>
                    <w:tl2br w:val="nil"/>
                    <w:tr2bl w:val="nil"/>
                  </w:tcBorders>
                  <w:vAlign w:val="center"/>
                </w:tcPr>
                <w:p w14:paraId="3A52194C">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序号</w:t>
                  </w:r>
                </w:p>
              </w:tc>
              <w:tc>
                <w:tcPr>
                  <w:tcW w:w="1355" w:type="pct"/>
                  <w:gridSpan w:val="2"/>
                  <w:tcBorders>
                    <w:tl2br w:val="nil"/>
                    <w:tr2bl w:val="nil"/>
                  </w:tcBorders>
                  <w:vAlign w:val="center"/>
                </w:tcPr>
                <w:p w14:paraId="0D6FD7AD">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产品名称</w:t>
                  </w:r>
                </w:p>
              </w:tc>
              <w:tc>
                <w:tcPr>
                  <w:tcW w:w="1312" w:type="pct"/>
                  <w:tcBorders>
                    <w:tl2br w:val="nil"/>
                    <w:tr2bl w:val="nil"/>
                  </w:tcBorders>
                  <w:vAlign w:val="center"/>
                </w:tcPr>
                <w:p w14:paraId="1D164665">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规格</w:t>
                  </w:r>
                </w:p>
              </w:tc>
              <w:tc>
                <w:tcPr>
                  <w:tcW w:w="810" w:type="pct"/>
                  <w:tcBorders>
                    <w:tl2br w:val="nil"/>
                    <w:tr2bl w:val="nil"/>
                  </w:tcBorders>
                  <w:vAlign w:val="center"/>
                </w:tcPr>
                <w:p w14:paraId="11AAC726">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产能</w:t>
                  </w:r>
                </w:p>
              </w:tc>
              <w:tc>
                <w:tcPr>
                  <w:tcW w:w="914" w:type="pct"/>
                  <w:tcBorders>
                    <w:tl2br w:val="nil"/>
                    <w:tr2bl w:val="nil"/>
                  </w:tcBorders>
                  <w:vAlign w:val="center"/>
                </w:tcPr>
                <w:p w14:paraId="2CE0F6B8">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备注</w:t>
                  </w:r>
                </w:p>
              </w:tc>
            </w:tr>
            <w:tr w14:paraId="59C9F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5BD6D94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595" w:type="pct"/>
                  <w:vMerge w:val="restart"/>
                  <w:tcBorders>
                    <w:tl2br w:val="nil"/>
                    <w:tr2bl w:val="nil"/>
                  </w:tcBorders>
                  <w:vAlign w:val="center"/>
                </w:tcPr>
                <w:p w14:paraId="78D1C2D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汽车冲焊零部件</w:t>
                  </w:r>
                </w:p>
              </w:tc>
              <w:tc>
                <w:tcPr>
                  <w:tcW w:w="759" w:type="pct"/>
                  <w:tcBorders>
                    <w:tl2br w:val="nil"/>
                    <w:tr2bl w:val="nil"/>
                  </w:tcBorders>
                  <w:vAlign w:val="center"/>
                </w:tcPr>
                <w:p w14:paraId="4CD9709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货  架</w:t>
                  </w:r>
                </w:p>
              </w:tc>
              <w:tc>
                <w:tcPr>
                  <w:tcW w:w="1312" w:type="pct"/>
                  <w:vMerge w:val="restart"/>
                  <w:tcBorders>
                    <w:tl2br w:val="nil"/>
                    <w:tr2bl w:val="nil"/>
                  </w:tcBorders>
                  <w:vAlign w:val="center"/>
                </w:tcPr>
                <w:p w14:paraId="39941CF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无固定规格，根据客户图纸定制</w:t>
                  </w:r>
                </w:p>
              </w:tc>
              <w:tc>
                <w:tcPr>
                  <w:tcW w:w="810" w:type="pct"/>
                  <w:tcBorders>
                    <w:tl2br w:val="nil"/>
                    <w:tr2bl w:val="nil"/>
                  </w:tcBorders>
                  <w:vAlign w:val="center"/>
                </w:tcPr>
                <w:p w14:paraId="22517A4A">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6万件/a</w:t>
                  </w:r>
                </w:p>
              </w:tc>
              <w:tc>
                <w:tcPr>
                  <w:tcW w:w="914" w:type="pct"/>
                  <w:tcBorders>
                    <w:tl2br w:val="nil"/>
                    <w:tr2bl w:val="nil"/>
                  </w:tcBorders>
                  <w:vAlign w:val="center"/>
                </w:tcPr>
                <w:p w14:paraId="07F09F2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65E2D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12CF0AD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w:t>
                  </w:r>
                </w:p>
              </w:tc>
              <w:tc>
                <w:tcPr>
                  <w:tcW w:w="595" w:type="pct"/>
                  <w:vMerge w:val="continue"/>
                  <w:tcBorders>
                    <w:tl2br w:val="nil"/>
                    <w:tr2bl w:val="nil"/>
                  </w:tcBorders>
                  <w:vAlign w:val="center"/>
                </w:tcPr>
                <w:p w14:paraId="546EE68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vAlign w:val="center"/>
                </w:tcPr>
                <w:p w14:paraId="53F511DA">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保险杠</w:t>
                  </w:r>
                </w:p>
              </w:tc>
              <w:tc>
                <w:tcPr>
                  <w:tcW w:w="1312" w:type="pct"/>
                  <w:vMerge w:val="continue"/>
                  <w:tcBorders>
                    <w:tl2br w:val="nil"/>
                    <w:tr2bl w:val="nil"/>
                  </w:tcBorders>
                  <w:vAlign w:val="center"/>
                </w:tcPr>
                <w:p w14:paraId="150E161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810" w:type="pct"/>
                  <w:tcBorders>
                    <w:tl2br w:val="nil"/>
                    <w:tr2bl w:val="nil"/>
                  </w:tcBorders>
                  <w:vAlign w:val="center"/>
                </w:tcPr>
                <w:p w14:paraId="0E2A16F9">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2.4</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3FA88F3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50A8C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7F76361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3</w:t>
                  </w:r>
                </w:p>
              </w:tc>
              <w:tc>
                <w:tcPr>
                  <w:tcW w:w="595" w:type="pct"/>
                  <w:vMerge w:val="continue"/>
                  <w:tcBorders>
                    <w:tl2br w:val="nil"/>
                    <w:tr2bl w:val="nil"/>
                  </w:tcBorders>
                  <w:vAlign w:val="center"/>
                </w:tcPr>
                <w:p w14:paraId="04F1A6D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vAlign w:val="center"/>
                </w:tcPr>
                <w:p w14:paraId="3DBFC7B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摇  臂</w:t>
                  </w:r>
                </w:p>
              </w:tc>
              <w:tc>
                <w:tcPr>
                  <w:tcW w:w="1312" w:type="pct"/>
                  <w:vMerge w:val="continue"/>
                  <w:tcBorders>
                    <w:tl2br w:val="nil"/>
                    <w:tr2bl w:val="nil"/>
                  </w:tcBorders>
                  <w:vAlign w:val="center"/>
                </w:tcPr>
                <w:p w14:paraId="5E40D80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810" w:type="pct"/>
                  <w:tcBorders>
                    <w:tl2br w:val="nil"/>
                    <w:tr2bl w:val="nil"/>
                  </w:tcBorders>
                  <w:vAlign w:val="center"/>
                </w:tcPr>
                <w:p w14:paraId="512BE63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3.6</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1816E43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5202F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05BA86D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4</w:t>
                  </w:r>
                </w:p>
              </w:tc>
              <w:tc>
                <w:tcPr>
                  <w:tcW w:w="595" w:type="pct"/>
                  <w:vMerge w:val="continue"/>
                  <w:tcBorders>
                    <w:tl2br w:val="nil"/>
                    <w:tr2bl w:val="nil"/>
                  </w:tcBorders>
                  <w:vAlign w:val="center"/>
                </w:tcPr>
                <w:p w14:paraId="504BCEE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vAlign w:val="center"/>
                </w:tcPr>
                <w:p w14:paraId="3FD66B4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搁  脚</w:t>
                  </w:r>
                </w:p>
              </w:tc>
              <w:tc>
                <w:tcPr>
                  <w:tcW w:w="1312" w:type="pct"/>
                  <w:vMerge w:val="continue"/>
                  <w:tcBorders>
                    <w:tl2br w:val="nil"/>
                    <w:tr2bl w:val="nil"/>
                  </w:tcBorders>
                  <w:vAlign w:val="center"/>
                </w:tcPr>
                <w:p w14:paraId="7AB1AD0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810" w:type="pct"/>
                  <w:tcBorders>
                    <w:tl2br w:val="nil"/>
                    <w:tr2bl w:val="nil"/>
                  </w:tcBorders>
                  <w:vAlign w:val="center"/>
                </w:tcPr>
                <w:p w14:paraId="6B9388F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6</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23F16B8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4FDC0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5E1B71C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5</w:t>
                  </w:r>
                </w:p>
              </w:tc>
              <w:tc>
                <w:tcPr>
                  <w:tcW w:w="595" w:type="pct"/>
                  <w:vMerge w:val="continue"/>
                  <w:tcBorders>
                    <w:tl2br w:val="nil"/>
                    <w:tr2bl w:val="nil"/>
                  </w:tcBorders>
                  <w:vAlign w:val="center"/>
                </w:tcPr>
                <w:p w14:paraId="62516F7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vAlign w:val="center"/>
                </w:tcPr>
                <w:p w14:paraId="03CBDBB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扶  手</w:t>
                  </w:r>
                </w:p>
              </w:tc>
              <w:tc>
                <w:tcPr>
                  <w:tcW w:w="1312" w:type="pct"/>
                  <w:vMerge w:val="continue"/>
                  <w:tcBorders>
                    <w:tl2br w:val="nil"/>
                    <w:tr2bl w:val="nil"/>
                  </w:tcBorders>
                  <w:vAlign w:val="center"/>
                </w:tcPr>
                <w:p w14:paraId="2ADE549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810" w:type="pct"/>
                  <w:tcBorders>
                    <w:tl2br w:val="nil"/>
                    <w:tr2bl w:val="nil"/>
                  </w:tcBorders>
                  <w:vAlign w:val="center"/>
                </w:tcPr>
                <w:p w14:paraId="202E1F8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1</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7A47B5B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4AC64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31FECC2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6</w:t>
                  </w:r>
                </w:p>
              </w:tc>
              <w:tc>
                <w:tcPr>
                  <w:tcW w:w="595" w:type="pct"/>
                  <w:vMerge w:val="continue"/>
                  <w:tcBorders>
                    <w:tl2br w:val="nil"/>
                    <w:tr2bl w:val="nil"/>
                  </w:tcBorders>
                  <w:vAlign w:val="center"/>
                </w:tcPr>
                <w:p w14:paraId="0E58009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vAlign w:val="center"/>
                </w:tcPr>
                <w:p w14:paraId="20C4298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托  架</w:t>
                  </w:r>
                </w:p>
              </w:tc>
              <w:tc>
                <w:tcPr>
                  <w:tcW w:w="1312" w:type="pct"/>
                  <w:vMerge w:val="continue"/>
                  <w:tcBorders>
                    <w:tl2br w:val="nil"/>
                    <w:tr2bl w:val="nil"/>
                  </w:tcBorders>
                  <w:vAlign w:val="center"/>
                </w:tcPr>
                <w:p w14:paraId="73408C3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810" w:type="pct"/>
                  <w:tcBorders>
                    <w:tl2br w:val="nil"/>
                    <w:tr2bl w:val="nil"/>
                  </w:tcBorders>
                  <w:vAlign w:val="center"/>
                </w:tcPr>
                <w:p w14:paraId="1CC9D58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6</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2FFF9BA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444AD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275" w:type="pct"/>
                  <w:gridSpan w:val="4"/>
                  <w:tcBorders>
                    <w:tl2br w:val="nil"/>
                    <w:tr2bl w:val="nil"/>
                  </w:tcBorders>
                  <w:vAlign w:val="center"/>
                </w:tcPr>
                <w:p w14:paraId="4C2546A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kern w:val="0"/>
                      <w:sz w:val="21"/>
                      <w:szCs w:val="21"/>
                      <w:highlight w:val="none"/>
                      <w:lang w:val="en-US" w:eastAsia="zh-CN" w:bidi="ar"/>
                    </w:rPr>
                    <w:t>合计</w:t>
                  </w:r>
                </w:p>
              </w:tc>
              <w:tc>
                <w:tcPr>
                  <w:tcW w:w="810" w:type="pct"/>
                  <w:tcBorders>
                    <w:tl2br w:val="nil"/>
                    <w:tr2bl w:val="nil"/>
                  </w:tcBorders>
                  <w:vAlign w:val="center"/>
                </w:tcPr>
                <w:p w14:paraId="6FF1A40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25</w:t>
                  </w:r>
                  <w:r>
                    <w:rPr>
                      <w:rFonts w:hint="eastAsia" w:ascii="Times New Roman" w:hAnsi="Times New Roman" w:eastAsia="宋体"/>
                      <w:color w:val="auto"/>
                      <w:sz w:val="21"/>
                      <w:szCs w:val="21"/>
                      <w:highlight w:val="none"/>
                      <w:vertAlign w:val="baseline"/>
                      <w:lang w:val="en-US" w:eastAsia="zh-CN"/>
                    </w:rPr>
                    <w:t>万件/a</w:t>
                  </w:r>
                </w:p>
              </w:tc>
              <w:tc>
                <w:tcPr>
                  <w:tcW w:w="914" w:type="pct"/>
                  <w:tcBorders>
                    <w:tl2br w:val="nil"/>
                    <w:tr2bl w:val="nil"/>
                  </w:tcBorders>
                  <w:vAlign w:val="center"/>
                </w:tcPr>
                <w:p w14:paraId="5D4B8A4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r>
            <w:tr w14:paraId="798A0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3956D1F5">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注</w:t>
                  </w:r>
                  <w:r>
                    <w:rPr>
                      <w:rFonts w:hint="eastAsia" w:ascii="Times New Roman" w:hAnsi="Times New Roman" w:eastAsia="宋体" w:cs="宋体"/>
                      <w:color w:val="auto"/>
                      <w:kern w:val="0"/>
                      <w:sz w:val="21"/>
                      <w:szCs w:val="21"/>
                      <w:highlight w:val="none"/>
                      <w:lang w:val="en-US" w:eastAsia="zh-CN" w:bidi="ar"/>
                    </w:rPr>
                    <w:t>：项目产品均为汽车冲焊零部件，产品方案随客户需求不断变化。</w:t>
                  </w:r>
                </w:p>
              </w:tc>
            </w:tr>
          </w:tbl>
          <w:p w14:paraId="14B63C02">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2.12.3现有工程排污许可执行情况</w:t>
            </w:r>
          </w:p>
          <w:p w14:paraId="2768786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现有工程已取得排污许可证，证书编号：</w:t>
            </w:r>
            <w:r>
              <w:rPr>
                <w:rFonts w:hint="default" w:ascii="Times New Roman" w:hAnsi="Times New Roman" w:eastAsia="宋体" w:cs="Times New Roman"/>
                <w:color w:val="auto"/>
                <w:kern w:val="0"/>
                <w:sz w:val="24"/>
                <w:szCs w:val="24"/>
                <w:lang w:val="en-US" w:eastAsia="zh-CN" w:bidi="ar"/>
              </w:rPr>
              <w:t>915001070949415054001Y</w:t>
            </w:r>
            <w:r>
              <w:rPr>
                <w:rFonts w:hint="default" w:ascii="Times New Roman" w:hAnsi="Times New Roman" w:cs="Times New Roman"/>
                <w:bCs/>
                <w:color w:val="auto"/>
                <w:sz w:val="24"/>
                <w:szCs w:val="24"/>
                <w:highlight w:val="none"/>
                <w:lang w:eastAsia="zh-CN"/>
              </w:rPr>
              <w:t>，有效期限：</w:t>
            </w:r>
            <w:r>
              <w:rPr>
                <w:rFonts w:hint="default" w:ascii="Times New Roman" w:hAnsi="Times New Roman" w:cs="Times New Roman"/>
                <w:bCs/>
                <w:color w:val="auto"/>
                <w:sz w:val="24"/>
                <w:szCs w:val="24"/>
                <w:highlight w:val="none"/>
                <w:lang w:val="en-US" w:eastAsia="zh-CN"/>
              </w:rPr>
              <w:t>202</w:t>
            </w:r>
            <w:r>
              <w:rPr>
                <w:rFonts w:hint="eastAsia"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31</w:t>
            </w:r>
            <w:r>
              <w:rPr>
                <w:rFonts w:hint="default" w:ascii="Times New Roman" w:hAnsi="Times New Roman" w:cs="Times New Roman"/>
                <w:bCs/>
                <w:color w:val="auto"/>
                <w:sz w:val="24"/>
                <w:szCs w:val="24"/>
                <w:highlight w:val="none"/>
                <w:lang w:val="en-US" w:eastAsia="zh-CN"/>
              </w:rPr>
              <w:t>至202</w:t>
            </w:r>
            <w:r>
              <w:rPr>
                <w:rFonts w:hint="eastAsia" w:ascii="Times New Roman" w:hAnsi="Times New Roman"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30</w:t>
            </w:r>
            <w:r>
              <w:rPr>
                <w:rFonts w:hint="default" w:ascii="Times New Roman" w:hAnsi="Times New Roman" w:cs="Times New Roman"/>
                <w:bCs/>
                <w:color w:val="auto"/>
                <w:sz w:val="24"/>
                <w:szCs w:val="24"/>
                <w:highlight w:val="none"/>
                <w:lang w:eastAsia="zh-CN"/>
              </w:rPr>
              <w:t>。</w:t>
            </w:r>
          </w:p>
          <w:p w14:paraId="12B9C04E">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2.12.4现有工程组成</w:t>
            </w:r>
          </w:p>
          <w:p w14:paraId="13690C79">
            <w:pPr>
              <w:pStyle w:val="20"/>
              <w:keepNext w:val="0"/>
              <w:keepLines w:val="0"/>
              <w:pageBreakBefore w:val="0"/>
              <w:widowControl/>
              <w:kinsoku/>
              <w:wordWrap/>
              <w:overflowPunct/>
              <w:topLinePunct w:val="0"/>
              <w:autoSpaceDE/>
              <w:autoSpaceDN/>
              <w:bidi w:val="0"/>
              <w:adjustRightInd w:val="0"/>
              <w:snapToGrid w:val="0"/>
              <w:spacing w:before="0" w:after="0"/>
              <w:ind w:right="0" w:firstLine="420"/>
              <w:textAlignment w:val="baseline"/>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重庆市成吉思机械制造有限公司汽车冲焊零部件生产项目现有实际建设情况详见表2-13。</w:t>
            </w:r>
          </w:p>
          <w:p w14:paraId="2929C405">
            <w:pPr>
              <w:pStyle w:val="20"/>
              <w:keepNext w:val="0"/>
              <w:keepLines w:val="0"/>
              <w:pageBreakBefore w:val="0"/>
              <w:widowControl/>
              <w:kinsoku/>
              <w:wordWrap/>
              <w:overflowPunct/>
              <w:topLinePunct w:val="0"/>
              <w:autoSpaceDE/>
              <w:autoSpaceDN/>
              <w:bidi w:val="0"/>
              <w:adjustRightInd w:val="0"/>
              <w:snapToGrid w:val="0"/>
              <w:spacing w:before="0" w:after="0"/>
              <w:ind w:right="0" w:firstLine="420"/>
              <w:jc w:val="center"/>
              <w:textAlignment w:val="baseline"/>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表2-13  现有工程实际建设情况表</w:t>
            </w:r>
          </w:p>
          <w:tbl>
            <w:tblPr>
              <w:tblStyle w:val="23"/>
              <w:tblW w:w="49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12"/>
              <w:gridCol w:w="1003"/>
              <w:gridCol w:w="6207"/>
            </w:tblGrid>
            <w:tr w14:paraId="74C75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tcBorders>
                    <w:tl2br w:val="nil"/>
                    <w:tr2bl w:val="nil"/>
                  </w:tcBorders>
                  <w:vAlign w:val="center"/>
                </w:tcPr>
                <w:p w14:paraId="55B9696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项目类别</w:t>
                  </w:r>
                </w:p>
              </w:tc>
              <w:tc>
                <w:tcPr>
                  <w:tcW w:w="610" w:type="pct"/>
                  <w:tcBorders>
                    <w:tl2br w:val="nil"/>
                    <w:tr2bl w:val="nil"/>
                  </w:tcBorders>
                  <w:vAlign w:val="center"/>
                </w:tcPr>
                <w:p w14:paraId="0060C05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建设内容</w:t>
                  </w:r>
                </w:p>
              </w:tc>
              <w:tc>
                <w:tcPr>
                  <w:tcW w:w="3774" w:type="pct"/>
                  <w:tcBorders>
                    <w:tl2br w:val="nil"/>
                    <w:tr2bl w:val="nil"/>
                  </w:tcBorders>
                  <w:vAlign w:val="center"/>
                </w:tcPr>
                <w:p w14:paraId="6323BB1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规模及内容</w:t>
                  </w:r>
                </w:p>
              </w:tc>
            </w:tr>
            <w:tr w14:paraId="6DE71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tcBorders>
                    <w:tl2br w:val="nil"/>
                    <w:tr2bl w:val="nil"/>
                  </w:tcBorders>
                  <w:vAlign w:val="center"/>
                </w:tcPr>
                <w:p w14:paraId="20B45A9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主体工程</w:t>
                  </w:r>
                </w:p>
              </w:tc>
              <w:tc>
                <w:tcPr>
                  <w:tcW w:w="610" w:type="pct"/>
                  <w:tcBorders>
                    <w:tl2br w:val="nil"/>
                    <w:tr2bl w:val="nil"/>
                  </w:tcBorders>
                  <w:vAlign w:val="center"/>
                </w:tcPr>
                <w:p w14:paraId="17E0AAE2">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生产厂房</w:t>
                  </w:r>
                </w:p>
              </w:tc>
              <w:tc>
                <w:tcPr>
                  <w:tcW w:w="3774" w:type="pct"/>
                  <w:tcBorders>
                    <w:tl2br w:val="nil"/>
                    <w:tr2bl w:val="nil"/>
                  </w:tcBorders>
                  <w:vAlign w:val="center"/>
                </w:tcPr>
                <w:p w14:paraId="29336B72">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钢结构建筑，层高13m，总建筑面积约6133.64m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，呈南北走向，大致分东（仓储）、西（生产）两个区域，生产区域自北向南按功能又划分为下料区、冲压区、焊接区等。</w:t>
                  </w:r>
                </w:p>
                <w:p w14:paraId="3A3449D8">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下料区</w:t>
                  </w:r>
                  <w:r>
                    <w:rPr>
                      <w:rFonts w:hint="eastAsia" w:ascii="Times New Roman" w:hAnsi="Times New Roman" w:eastAsia="宋体"/>
                      <w:color w:val="auto"/>
                      <w:sz w:val="21"/>
                      <w:szCs w:val="21"/>
                      <w:highlight w:val="none"/>
                      <w:vertAlign w:val="baseline"/>
                      <w:lang w:val="en-US" w:eastAsia="zh-CN"/>
                    </w:rPr>
                    <w:t>：集中分布在生产区域北部，布置激光切管机、气动切管机、剪板机、冲弧机、缩管机、弯管机等工艺设备及相关配套辅助设备，进行下料、整形等工艺作业；</w:t>
                  </w:r>
                </w:p>
                <w:p w14:paraId="0E7C9E12">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冲压区</w:t>
                  </w:r>
                  <w:r>
                    <w:rPr>
                      <w:rFonts w:hint="eastAsia" w:ascii="Times New Roman" w:hAnsi="Times New Roman" w:eastAsia="宋体"/>
                      <w:color w:val="auto"/>
                      <w:sz w:val="21"/>
                      <w:szCs w:val="21"/>
                      <w:highlight w:val="none"/>
                      <w:vertAlign w:val="baseline"/>
                      <w:lang w:val="en-US" w:eastAsia="zh-CN"/>
                    </w:rPr>
                    <w:t>：主要设在生产区域中部，布置液压机、压力机等工艺设备及相关配套辅助设备，进行拉伸、成型、冲孔、冲压落料件等工艺作业；</w:t>
                  </w:r>
                </w:p>
                <w:p w14:paraId="6FE5DBA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焊接区</w:t>
                  </w:r>
                  <w:r>
                    <w:rPr>
                      <w:rFonts w:hint="eastAsia" w:ascii="Times New Roman" w:hAnsi="Times New Roman" w:eastAsia="宋体"/>
                      <w:color w:val="auto"/>
                      <w:sz w:val="21"/>
                      <w:szCs w:val="21"/>
                      <w:highlight w:val="none"/>
                      <w:vertAlign w:val="baseline"/>
                      <w:lang w:val="en-US" w:eastAsia="zh-CN"/>
                    </w:rPr>
                    <w:t>：主要设在生产区域南部，布置二保焊机、焊接机器人、中频点焊机、砂轮机等设备及相关配套辅助设备，进行焊接、打磨等工艺作业。</w:t>
                  </w:r>
                </w:p>
                <w:p w14:paraId="7C442533">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项目建成后年生产</w:t>
                  </w:r>
                  <w:r>
                    <w:rPr>
                      <w:rFonts w:hint="eastAsia" w:ascii="Times New Roman" w:hAnsi="Times New Roman" w:eastAsia="宋体" w:cs="宋体"/>
                      <w:color w:val="auto"/>
                      <w:kern w:val="0"/>
                      <w:sz w:val="21"/>
                      <w:szCs w:val="21"/>
                      <w:highlight w:val="none"/>
                      <w:lang w:val="en-US" w:eastAsia="zh-CN" w:bidi="ar"/>
                    </w:rPr>
                    <w:t>汽车冲焊零部件约</w:t>
                  </w:r>
                  <w:r>
                    <w:rPr>
                      <w:rFonts w:hint="eastAsia" w:ascii="Times New Roman" w:hAnsi="Times New Roman" w:eastAsia="宋体"/>
                      <w:color w:val="auto"/>
                      <w:sz w:val="21"/>
                      <w:szCs w:val="21"/>
                      <w:highlight w:val="none"/>
                      <w:vertAlign w:val="baseline"/>
                      <w:lang w:val="en-US" w:eastAsia="zh-CN"/>
                    </w:rPr>
                    <w:t>25万件。</w:t>
                  </w:r>
                </w:p>
              </w:tc>
            </w:tr>
            <w:tr w14:paraId="6B6D6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restart"/>
                  <w:tcBorders>
                    <w:tl2br w:val="nil"/>
                    <w:tr2bl w:val="nil"/>
                  </w:tcBorders>
                  <w:vAlign w:val="center"/>
                </w:tcPr>
                <w:p w14:paraId="278AB3E3">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辅助工程</w:t>
                  </w:r>
                </w:p>
              </w:tc>
              <w:tc>
                <w:tcPr>
                  <w:tcW w:w="610" w:type="pct"/>
                  <w:tcBorders>
                    <w:tl2br w:val="nil"/>
                    <w:tr2bl w:val="nil"/>
                  </w:tcBorders>
                  <w:vAlign w:val="center"/>
                </w:tcPr>
                <w:p w14:paraId="6D09E75E">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办公区</w:t>
                  </w:r>
                </w:p>
              </w:tc>
              <w:tc>
                <w:tcPr>
                  <w:tcW w:w="3774" w:type="pct"/>
                  <w:tcBorders>
                    <w:tl2br w:val="nil"/>
                    <w:tr2bl w:val="nil"/>
                  </w:tcBorders>
                  <w:vAlign w:val="center"/>
                </w:tcPr>
                <w:p w14:paraId="616F6595">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分为办公区域和生产办公室，办公区域位于厂房南部，建筑面积约300m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，主要用以日常办公；生产办公室位于厂房北部，建筑面积约150m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，主要用于生产调度等；</w:t>
                  </w:r>
                </w:p>
              </w:tc>
            </w:tr>
            <w:tr w14:paraId="2C1C3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7473DCB8">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694CA2D4">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钳工组</w:t>
                  </w:r>
                </w:p>
              </w:tc>
              <w:tc>
                <w:tcPr>
                  <w:tcW w:w="3774" w:type="pct"/>
                  <w:tcBorders>
                    <w:tl2br w:val="nil"/>
                    <w:tr2bl w:val="nil"/>
                  </w:tcBorders>
                  <w:vAlign w:val="center"/>
                </w:tcPr>
                <w:p w14:paraId="3B9CDB3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位于冲压区东侧，面积约200m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，主要用于模具维修作业。</w:t>
                  </w:r>
                </w:p>
              </w:tc>
            </w:tr>
            <w:tr w14:paraId="138E7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restart"/>
                  <w:tcBorders>
                    <w:tl2br w:val="nil"/>
                    <w:tr2bl w:val="nil"/>
                  </w:tcBorders>
                  <w:vAlign w:val="center"/>
                </w:tcPr>
                <w:p w14:paraId="1FF180E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储运工程</w:t>
                  </w:r>
                </w:p>
              </w:tc>
              <w:tc>
                <w:tcPr>
                  <w:tcW w:w="610" w:type="pct"/>
                  <w:tcBorders>
                    <w:tl2br w:val="nil"/>
                    <w:tr2bl w:val="nil"/>
                  </w:tcBorders>
                  <w:vAlign w:val="center"/>
                </w:tcPr>
                <w:p w14:paraId="6D00A91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原料区</w:t>
                  </w:r>
                </w:p>
              </w:tc>
              <w:tc>
                <w:tcPr>
                  <w:tcW w:w="3774" w:type="pct"/>
                  <w:tcBorders>
                    <w:tl2br w:val="nil"/>
                    <w:tr2bl w:val="nil"/>
                  </w:tcBorders>
                  <w:vAlign w:val="center"/>
                </w:tcPr>
                <w:p w14:paraId="7C7BCF1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位于下料区，面积约120m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，分两部分分别用于钢材、管材等原料的临时存放；</w:t>
                  </w:r>
                </w:p>
              </w:tc>
            </w:tr>
            <w:tr w14:paraId="7B359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490B55D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32CD9FC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模具区</w:t>
                  </w:r>
                </w:p>
              </w:tc>
              <w:tc>
                <w:tcPr>
                  <w:tcW w:w="3774" w:type="pct"/>
                  <w:tcBorders>
                    <w:tl2br w:val="nil"/>
                    <w:tr2bl w:val="nil"/>
                  </w:tcBorders>
                  <w:vAlign w:val="center"/>
                </w:tcPr>
                <w:p w14:paraId="2D5D81A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位于冲压区中部，建筑面积约150m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，用于模具存放；</w:t>
                  </w:r>
                </w:p>
              </w:tc>
            </w:tr>
            <w:tr w14:paraId="30D82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3D5CA49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3DAF91C3">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油料区</w:t>
                  </w:r>
                </w:p>
              </w:tc>
              <w:tc>
                <w:tcPr>
                  <w:tcW w:w="3774" w:type="pct"/>
                  <w:tcBorders>
                    <w:tl2br w:val="nil"/>
                    <w:tr2bl w:val="nil"/>
                  </w:tcBorders>
                  <w:vAlign w:val="center"/>
                </w:tcPr>
                <w:p w14:paraId="6ED78A3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位于冲压区西南角，建筑面积约6m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，用于机油、液压油等临时存储，油料区地面应进行防渗处理，油料盛装容器下方区域均应设置防漏托盘；</w:t>
                  </w:r>
                </w:p>
              </w:tc>
            </w:tr>
            <w:tr w14:paraId="437D1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2BEF115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4CA8E7C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白坯库房</w:t>
                  </w:r>
                </w:p>
              </w:tc>
              <w:tc>
                <w:tcPr>
                  <w:tcW w:w="3774" w:type="pct"/>
                  <w:tcBorders>
                    <w:tl2br w:val="nil"/>
                    <w:tr2bl w:val="nil"/>
                  </w:tcBorders>
                  <w:vAlign w:val="center"/>
                </w:tcPr>
                <w:p w14:paraId="4ABC312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位于钳工组南侧，面积约200m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，用于白坯件临时存储；</w:t>
                  </w:r>
                </w:p>
              </w:tc>
            </w:tr>
            <w:tr w14:paraId="7664C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62D184F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318D13C6">
                  <w:pPr>
                    <w:keepNext w:val="0"/>
                    <w:keepLines w:val="0"/>
                    <w:pageBreakBefore w:val="0"/>
                    <w:widowControl w:val="0"/>
                    <w:kinsoku/>
                    <w:wordWrap/>
                    <w:overflowPunct/>
                    <w:topLinePunct w:val="0"/>
                    <w:autoSpaceDE/>
                    <w:autoSpaceDN/>
                    <w:bidi w:val="0"/>
                    <w:adjustRightInd/>
                    <w:snapToGrid/>
                    <w:spacing w:before="70" w:beforeLines="22"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半成品</w:t>
                  </w:r>
                </w:p>
                <w:p w14:paraId="511AE407">
                  <w:pPr>
                    <w:keepNext w:val="0"/>
                    <w:keepLines w:val="0"/>
                    <w:pageBreakBefore w:val="0"/>
                    <w:widowControl w:val="0"/>
                    <w:kinsoku/>
                    <w:wordWrap/>
                    <w:overflowPunct/>
                    <w:topLinePunct w:val="0"/>
                    <w:autoSpaceDE/>
                    <w:autoSpaceDN/>
                    <w:bidi w:val="0"/>
                    <w:adjustRightInd/>
                    <w:snapToGrid/>
                    <w:spacing w:after="63" w:afterLines="20"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库  房</w:t>
                  </w:r>
                </w:p>
              </w:tc>
              <w:tc>
                <w:tcPr>
                  <w:tcW w:w="3774" w:type="pct"/>
                  <w:tcBorders>
                    <w:tl2br w:val="nil"/>
                    <w:tr2bl w:val="nil"/>
                  </w:tcBorders>
                  <w:vAlign w:val="center"/>
                </w:tcPr>
                <w:p w14:paraId="4493BBE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位于白坯件库房南侧，建筑面积约400m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，用于待表面处理的半成品件临时存储；</w:t>
                  </w:r>
                </w:p>
              </w:tc>
            </w:tr>
            <w:tr w14:paraId="4C74B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14" w:hRule="atLeast"/>
                <w:jc w:val="center"/>
              </w:trPr>
              <w:tc>
                <w:tcPr>
                  <w:tcW w:w="615" w:type="pct"/>
                  <w:vMerge w:val="continue"/>
                  <w:tcBorders>
                    <w:tl2br w:val="nil"/>
                    <w:tr2bl w:val="nil"/>
                  </w:tcBorders>
                  <w:vAlign w:val="center"/>
                </w:tcPr>
                <w:p w14:paraId="413BCE68">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3995C6B4">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外协表面处理回厂件暂存区</w:t>
                  </w:r>
                </w:p>
              </w:tc>
              <w:tc>
                <w:tcPr>
                  <w:tcW w:w="3774" w:type="pct"/>
                  <w:tcBorders>
                    <w:tl2br w:val="nil"/>
                    <w:tr2bl w:val="nil"/>
                  </w:tcBorders>
                  <w:vAlign w:val="center"/>
                </w:tcPr>
                <w:p w14:paraId="7B07952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位于钳工组北侧，建筑面积约300m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，用于外协进行表面处理回厂件的临时存储；</w:t>
                  </w:r>
                </w:p>
              </w:tc>
            </w:tr>
            <w:tr w14:paraId="72F17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4DE17E4A">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7B5A679A">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成品库房</w:t>
                  </w:r>
                </w:p>
              </w:tc>
              <w:tc>
                <w:tcPr>
                  <w:tcW w:w="3774" w:type="pct"/>
                  <w:tcBorders>
                    <w:tl2br w:val="nil"/>
                    <w:tr2bl w:val="nil"/>
                  </w:tcBorders>
                  <w:vAlign w:val="center"/>
                </w:tcPr>
                <w:p w14:paraId="7B372E31">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位于厂房东南角，建筑面积约600m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，用于成品存放；</w:t>
                  </w:r>
                </w:p>
              </w:tc>
            </w:tr>
            <w:tr w14:paraId="0D7D0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586BF58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76BBC6C8">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综合库房</w:t>
                  </w:r>
                </w:p>
              </w:tc>
              <w:tc>
                <w:tcPr>
                  <w:tcW w:w="3774" w:type="pct"/>
                  <w:tcBorders>
                    <w:tl2br w:val="nil"/>
                    <w:tr2bl w:val="nil"/>
                  </w:tcBorders>
                  <w:vAlign w:val="center"/>
                </w:tcPr>
                <w:p w14:paraId="194172A5">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位于厂房西南角，建筑面积约50m</w:t>
                  </w:r>
                  <w:r>
                    <w:rPr>
                      <w:rFonts w:hint="eastAsia" w:ascii="Times New Roman" w:hAnsi="Times New Roman" w:eastAsia="宋体"/>
                      <w:color w:val="auto"/>
                      <w:sz w:val="21"/>
                      <w:szCs w:val="21"/>
                      <w:highlight w:val="none"/>
                      <w:vertAlign w:val="superscript"/>
                      <w:lang w:val="en-US" w:eastAsia="zh-CN"/>
                    </w:rPr>
                    <w:t>2</w:t>
                  </w:r>
                  <w:r>
                    <w:rPr>
                      <w:rFonts w:hint="eastAsia" w:ascii="Times New Roman" w:hAnsi="Times New Roman" w:eastAsia="宋体"/>
                      <w:color w:val="auto"/>
                      <w:sz w:val="21"/>
                      <w:szCs w:val="21"/>
                      <w:highlight w:val="none"/>
                      <w:vertAlign w:val="baseline"/>
                      <w:lang w:val="en-US" w:eastAsia="zh-CN"/>
                    </w:rPr>
                    <w:t>，主要用于劳保用品、焊丝、手动工具等的存放。</w:t>
                  </w:r>
                </w:p>
              </w:tc>
            </w:tr>
            <w:tr w14:paraId="060AA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restart"/>
                  <w:tcBorders>
                    <w:tl2br w:val="nil"/>
                    <w:tr2bl w:val="nil"/>
                  </w:tcBorders>
                  <w:vAlign w:val="center"/>
                </w:tcPr>
                <w:p w14:paraId="2059A8E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rPr>
                    <w:t>公用工程</w:t>
                  </w:r>
                </w:p>
              </w:tc>
              <w:tc>
                <w:tcPr>
                  <w:tcW w:w="610" w:type="pct"/>
                  <w:tcBorders>
                    <w:tl2br w:val="nil"/>
                    <w:tr2bl w:val="nil"/>
                  </w:tcBorders>
                  <w:vAlign w:val="center"/>
                </w:tcPr>
                <w:p w14:paraId="590163D8">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rPr>
                    <w:t>给水</w:t>
                  </w:r>
                </w:p>
              </w:tc>
              <w:tc>
                <w:tcPr>
                  <w:tcW w:w="3774" w:type="pct"/>
                  <w:tcBorders>
                    <w:tl2br w:val="nil"/>
                    <w:tr2bl w:val="nil"/>
                  </w:tcBorders>
                  <w:vAlign w:val="center"/>
                </w:tcPr>
                <w:p w14:paraId="776204A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rPr>
                    <w:t>依托</w:t>
                  </w:r>
                  <w:r>
                    <w:rPr>
                      <w:rFonts w:hint="eastAsia" w:ascii="Times New Roman" w:hAnsi="Times New Roman" w:eastAsia="宋体"/>
                      <w:color w:val="auto"/>
                      <w:kern w:val="44"/>
                      <w:sz w:val="21"/>
                      <w:szCs w:val="21"/>
                      <w:highlight w:val="none"/>
                      <w:lang w:val="en-US" w:eastAsia="zh-CN"/>
                    </w:rPr>
                    <w:t>森迪安防产业园</w:t>
                  </w:r>
                  <w:r>
                    <w:rPr>
                      <w:rFonts w:hint="eastAsia" w:ascii="Times New Roman" w:hAnsi="Times New Roman" w:eastAsia="宋体"/>
                      <w:color w:val="auto"/>
                      <w:kern w:val="44"/>
                      <w:sz w:val="21"/>
                      <w:szCs w:val="21"/>
                      <w:highlight w:val="none"/>
                      <w:lang w:eastAsia="zh-CN"/>
                    </w:rPr>
                    <w:t>现有供水系统（</w:t>
                  </w:r>
                  <w:r>
                    <w:rPr>
                      <w:rFonts w:hint="default" w:ascii="Times New Roman" w:hAnsi="Times New Roman" w:eastAsia="宋体"/>
                      <w:color w:val="auto"/>
                      <w:kern w:val="44"/>
                      <w:sz w:val="21"/>
                      <w:szCs w:val="21"/>
                      <w:highlight w:val="none"/>
                    </w:rPr>
                    <w:t>市政给水管网接入</w:t>
                  </w:r>
                  <w:r>
                    <w:rPr>
                      <w:rFonts w:hint="eastAsia" w:ascii="Times New Roman" w:hAnsi="Times New Roman" w:eastAsia="宋体"/>
                      <w:color w:val="auto"/>
                      <w:kern w:val="44"/>
                      <w:sz w:val="21"/>
                      <w:szCs w:val="21"/>
                      <w:highlight w:val="none"/>
                      <w:lang w:eastAsia="zh-CN"/>
                    </w:rPr>
                    <w:t>）；</w:t>
                  </w:r>
                </w:p>
              </w:tc>
            </w:tr>
            <w:tr w14:paraId="3AD85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465A833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2DD8526D">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rPr>
                    <w:t>排水</w:t>
                  </w:r>
                </w:p>
              </w:tc>
              <w:tc>
                <w:tcPr>
                  <w:tcW w:w="3774" w:type="pct"/>
                  <w:tcBorders>
                    <w:tl2br w:val="nil"/>
                    <w:tr2bl w:val="nil"/>
                  </w:tcBorders>
                  <w:vAlign w:val="center"/>
                </w:tcPr>
                <w:p w14:paraId="3FEE4A56">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lang w:val="en-US" w:eastAsia="zh-CN"/>
                    </w:rPr>
                    <w:t>采取</w:t>
                  </w:r>
                  <w:r>
                    <w:rPr>
                      <w:rFonts w:hint="eastAsia" w:ascii="Times New Roman" w:hAnsi="Times New Roman" w:eastAsia="宋体"/>
                      <w:color w:val="auto"/>
                      <w:kern w:val="44"/>
                      <w:sz w:val="21"/>
                      <w:szCs w:val="21"/>
                      <w:highlight w:val="none"/>
                      <w:lang w:eastAsia="zh-CN"/>
                    </w:rPr>
                    <w:t>雨污分流</w:t>
                  </w:r>
                  <w:r>
                    <w:rPr>
                      <w:rFonts w:hint="eastAsia" w:ascii="Times New Roman" w:hAnsi="Times New Roman" w:eastAsia="宋体"/>
                      <w:color w:val="auto"/>
                      <w:kern w:val="44"/>
                      <w:sz w:val="21"/>
                      <w:szCs w:val="21"/>
                      <w:highlight w:val="none"/>
                      <w:lang w:val="en-US" w:eastAsia="zh-CN"/>
                    </w:rPr>
                    <w:t>制</w:t>
                  </w:r>
                  <w:r>
                    <w:rPr>
                      <w:rFonts w:hint="eastAsia" w:ascii="Times New Roman" w:hAnsi="Times New Roman" w:eastAsia="宋体"/>
                      <w:color w:val="auto"/>
                      <w:kern w:val="44"/>
                      <w:sz w:val="21"/>
                      <w:szCs w:val="21"/>
                      <w:highlight w:val="none"/>
                      <w:lang w:eastAsia="zh-CN"/>
                    </w:rPr>
                    <w:t>。</w:t>
                  </w:r>
                  <w:r>
                    <w:rPr>
                      <w:rFonts w:hint="eastAsia" w:ascii="Times New Roman" w:hAnsi="Times New Roman" w:eastAsia="宋体"/>
                      <w:color w:val="auto"/>
                      <w:kern w:val="44"/>
                      <w:sz w:val="21"/>
                      <w:szCs w:val="21"/>
                      <w:highlight w:val="none"/>
                      <w:lang w:val="en-US" w:eastAsia="zh-CN"/>
                    </w:rPr>
                    <w:t>雨水主要为屋顶雨水，由现有收集系统进入森迪安防产业园现有雨水管网；运营期</w:t>
                  </w:r>
                  <w:r>
                    <w:rPr>
                      <w:rFonts w:hint="eastAsia" w:ascii="Times New Roman" w:hAnsi="Times New Roman" w:eastAsia="宋体"/>
                      <w:color w:val="auto"/>
                      <w:kern w:val="44"/>
                      <w:sz w:val="21"/>
                      <w:szCs w:val="21"/>
                      <w:highlight w:val="none"/>
                      <w:lang w:eastAsia="zh-CN"/>
                    </w:rPr>
                    <w:t>生活污水依托</w:t>
                  </w:r>
                  <w:r>
                    <w:rPr>
                      <w:rFonts w:hint="eastAsia" w:ascii="Times New Roman" w:hAnsi="Times New Roman" w:eastAsia="宋体"/>
                      <w:color w:val="auto"/>
                      <w:kern w:val="44"/>
                      <w:sz w:val="21"/>
                      <w:szCs w:val="21"/>
                      <w:highlight w:val="none"/>
                      <w:lang w:val="en-US" w:eastAsia="zh-CN"/>
                    </w:rPr>
                    <w:t>森迪安防产业园已建1#</w:t>
                  </w:r>
                  <w:r>
                    <w:rPr>
                      <w:rFonts w:hint="eastAsia" w:ascii="Times New Roman" w:hAnsi="Times New Roman" w:eastAsia="宋体"/>
                      <w:color w:val="auto"/>
                      <w:kern w:val="44"/>
                      <w:sz w:val="21"/>
                      <w:szCs w:val="21"/>
                      <w:highlight w:val="none"/>
                      <w:lang w:eastAsia="zh-CN"/>
                    </w:rPr>
                    <w:t>生化池</w:t>
                  </w:r>
                  <w:r>
                    <w:rPr>
                      <w:rFonts w:hint="eastAsia" w:ascii="Times New Roman" w:hAnsi="Times New Roman" w:eastAsia="宋体"/>
                      <w:color w:val="auto"/>
                      <w:kern w:val="44"/>
                      <w:sz w:val="21"/>
                      <w:szCs w:val="21"/>
                      <w:highlight w:val="none"/>
                      <w:lang w:val="en-US" w:eastAsia="zh-CN"/>
                    </w:rPr>
                    <w:t>进行预</w:t>
                  </w:r>
                  <w:r>
                    <w:rPr>
                      <w:rFonts w:hint="eastAsia" w:ascii="Times New Roman" w:hAnsi="Times New Roman" w:eastAsia="宋体"/>
                      <w:color w:val="auto"/>
                      <w:kern w:val="44"/>
                      <w:sz w:val="21"/>
                      <w:szCs w:val="21"/>
                      <w:highlight w:val="none"/>
                      <w:lang w:eastAsia="zh-CN"/>
                    </w:rPr>
                    <w:t>处理达标</w:t>
                  </w:r>
                  <w:r>
                    <w:rPr>
                      <w:rFonts w:hint="eastAsia" w:ascii="Times New Roman" w:hAnsi="Times New Roman" w:eastAsia="宋体"/>
                      <w:color w:val="auto"/>
                      <w:kern w:val="44"/>
                      <w:sz w:val="21"/>
                      <w:szCs w:val="21"/>
                      <w:highlight w:val="none"/>
                      <w:lang w:val="en-US" w:eastAsia="zh-CN"/>
                    </w:rPr>
                    <w:t>后</w:t>
                  </w:r>
                  <w:r>
                    <w:rPr>
                      <w:rFonts w:hint="eastAsia" w:ascii="Times New Roman" w:hAnsi="Times New Roman" w:eastAsia="宋体"/>
                      <w:color w:val="auto"/>
                      <w:kern w:val="44"/>
                      <w:sz w:val="21"/>
                      <w:szCs w:val="21"/>
                      <w:highlight w:val="none"/>
                      <w:lang w:eastAsia="zh-CN"/>
                    </w:rPr>
                    <w:t>，经</w:t>
                  </w:r>
                  <w:r>
                    <w:rPr>
                      <w:rFonts w:hint="eastAsia" w:ascii="Times New Roman" w:hAnsi="Times New Roman" w:eastAsia="宋体"/>
                      <w:color w:val="auto"/>
                      <w:kern w:val="44"/>
                      <w:sz w:val="21"/>
                      <w:szCs w:val="21"/>
                      <w:highlight w:val="none"/>
                      <w:lang w:val="en-US" w:eastAsia="zh-CN"/>
                    </w:rPr>
                    <w:t>园区</w:t>
                  </w:r>
                  <w:r>
                    <w:rPr>
                      <w:rFonts w:hint="eastAsia" w:ascii="Times New Roman" w:hAnsi="Times New Roman" w:eastAsia="宋体"/>
                      <w:color w:val="auto"/>
                      <w:kern w:val="44"/>
                      <w:sz w:val="21"/>
                      <w:szCs w:val="21"/>
                      <w:highlight w:val="none"/>
                      <w:lang w:eastAsia="zh-CN"/>
                    </w:rPr>
                    <w:t>市政污水管网排入</w:t>
                  </w:r>
                  <w:r>
                    <w:rPr>
                      <w:rFonts w:hint="eastAsia" w:ascii="Times New Roman" w:hAnsi="Times New Roman" w:eastAsia="宋体"/>
                      <w:color w:val="auto"/>
                      <w:kern w:val="44"/>
                      <w:sz w:val="21"/>
                      <w:szCs w:val="21"/>
                      <w:highlight w:val="none"/>
                      <w:lang w:val="en-US" w:eastAsia="zh-CN"/>
                    </w:rPr>
                    <w:t>西彭工业园区污水处理厂</w:t>
                  </w:r>
                  <w:r>
                    <w:rPr>
                      <w:rFonts w:hint="eastAsia" w:ascii="Times New Roman" w:hAnsi="Times New Roman" w:eastAsia="宋体"/>
                      <w:color w:val="auto"/>
                      <w:kern w:val="44"/>
                      <w:sz w:val="21"/>
                      <w:szCs w:val="21"/>
                      <w:highlight w:val="none"/>
                      <w:lang w:eastAsia="zh-CN"/>
                    </w:rPr>
                    <w:t>深度处理</w:t>
                  </w:r>
                  <w:r>
                    <w:rPr>
                      <w:rFonts w:hint="eastAsia" w:ascii="Times New Roman" w:hAnsi="Times New Roman" w:eastAsia="宋体"/>
                      <w:color w:val="auto"/>
                      <w:kern w:val="44"/>
                      <w:sz w:val="21"/>
                      <w:szCs w:val="21"/>
                      <w:highlight w:val="none"/>
                      <w:lang w:val="en-US" w:eastAsia="zh-CN"/>
                    </w:rPr>
                    <w:t>达标后排入桥头河，最终汇入长江；</w:t>
                  </w:r>
                </w:p>
              </w:tc>
            </w:tr>
            <w:tr w14:paraId="1B14C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5EAD431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p>
              </w:tc>
              <w:tc>
                <w:tcPr>
                  <w:tcW w:w="610" w:type="pct"/>
                  <w:tcBorders>
                    <w:tl2br w:val="nil"/>
                    <w:tr2bl w:val="nil"/>
                  </w:tcBorders>
                  <w:vAlign w:val="center"/>
                </w:tcPr>
                <w:p w14:paraId="5C10F8E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供电</w:t>
                  </w:r>
                </w:p>
              </w:tc>
              <w:tc>
                <w:tcPr>
                  <w:tcW w:w="3774" w:type="pct"/>
                  <w:tcBorders>
                    <w:tl2br w:val="nil"/>
                    <w:tr2bl w:val="nil"/>
                  </w:tcBorders>
                  <w:vAlign w:val="center"/>
                </w:tcPr>
                <w:p w14:paraId="599A221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lang w:eastAsia="zh-CN"/>
                    </w:rPr>
                    <w:t>依托</w:t>
                  </w:r>
                  <w:r>
                    <w:rPr>
                      <w:rFonts w:hint="eastAsia" w:ascii="Times New Roman" w:hAnsi="Times New Roman" w:eastAsia="宋体"/>
                      <w:color w:val="auto"/>
                      <w:kern w:val="44"/>
                      <w:sz w:val="21"/>
                      <w:szCs w:val="21"/>
                      <w:highlight w:val="none"/>
                      <w:lang w:val="en-US" w:eastAsia="zh-CN"/>
                    </w:rPr>
                    <w:t>森迪安防产业园</w:t>
                  </w:r>
                  <w:r>
                    <w:rPr>
                      <w:rFonts w:hint="eastAsia" w:ascii="Times New Roman" w:hAnsi="Times New Roman" w:eastAsia="宋体"/>
                      <w:color w:val="auto"/>
                      <w:kern w:val="44"/>
                      <w:sz w:val="21"/>
                      <w:szCs w:val="21"/>
                      <w:highlight w:val="none"/>
                      <w:lang w:eastAsia="zh-CN"/>
                    </w:rPr>
                    <w:t>现有供</w:t>
                  </w:r>
                  <w:r>
                    <w:rPr>
                      <w:rFonts w:hint="eastAsia" w:ascii="Times New Roman" w:hAnsi="Times New Roman" w:eastAsia="宋体"/>
                      <w:color w:val="auto"/>
                      <w:kern w:val="44"/>
                      <w:sz w:val="21"/>
                      <w:szCs w:val="21"/>
                      <w:highlight w:val="none"/>
                      <w:lang w:val="en-US" w:eastAsia="zh-CN"/>
                    </w:rPr>
                    <w:t>电</w:t>
                  </w:r>
                  <w:r>
                    <w:rPr>
                      <w:rFonts w:hint="eastAsia" w:ascii="Times New Roman" w:hAnsi="Times New Roman" w:eastAsia="宋体"/>
                      <w:color w:val="auto"/>
                      <w:kern w:val="44"/>
                      <w:sz w:val="21"/>
                      <w:szCs w:val="21"/>
                      <w:highlight w:val="none"/>
                      <w:lang w:eastAsia="zh-CN"/>
                    </w:rPr>
                    <w:t>系统（</w:t>
                  </w:r>
                  <w:r>
                    <w:rPr>
                      <w:rFonts w:hint="default" w:ascii="Times New Roman" w:hAnsi="Times New Roman" w:eastAsia="宋体"/>
                      <w:color w:val="auto"/>
                      <w:kern w:val="44"/>
                      <w:sz w:val="21"/>
                      <w:szCs w:val="21"/>
                      <w:highlight w:val="none"/>
                      <w:lang w:eastAsia="zh-CN"/>
                    </w:rPr>
                    <w:t>市政</w:t>
                  </w:r>
                  <w:r>
                    <w:rPr>
                      <w:rFonts w:hint="eastAsia" w:ascii="Times New Roman" w:hAnsi="Times New Roman" w:eastAsia="宋体"/>
                      <w:color w:val="auto"/>
                      <w:kern w:val="44"/>
                      <w:sz w:val="21"/>
                      <w:szCs w:val="21"/>
                      <w:highlight w:val="none"/>
                      <w:lang w:eastAsia="zh-CN"/>
                    </w:rPr>
                    <w:t>电网</w:t>
                  </w:r>
                  <w:r>
                    <w:rPr>
                      <w:rFonts w:hint="default" w:ascii="Times New Roman" w:hAnsi="Times New Roman" w:eastAsia="宋体"/>
                      <w:color w:val="auto"/>
                      <w:kern w:val="44"/>
                      <w:sz w:val="21"/>
                      <w:szCs w:val="21"/>
                      <w:highlight w:val="none"/>
                      <w:lang w:eastAsia="zh-CN"/>
                    </w:rPr>
                    <w:t>接入</w:t>
                  </w:r>
                  <w:r>
                    <w:rPr>
                      <w:rFonts w:hint="eastAsia" w:ascii="Times New Roman" w:hAnsi="Times New Roman" w:eastAsia="宋体"/>
                      <w:color w:val="auto"/>
                      <w:kern w:val="44"/>
                      <w:sz w:val="21"/>
                      <w:szCs w:val="21"/>
                      <w:highlight w:val="none"/>
                      <w:lang w:eastAsia="zh-CN"/>
                    </w:rPr>
                    <w:t>）。</w:t>
                  </w:r>
                </w:p>
              </w:tc>
            </w:tr>
            <w:tr w14:paraId="3F530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restart"/>
                  <w:tcBorders>
                    <w:tl2br w:val="nil"/>
                    <w:tr2bl w:val="nil"/>
                  </w:tcBorders>
                  <w:vAlign w:val="center"/>
                </w:tcPr>
                <w:p w14:paraId="248A6D74">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环保工程</w:t>
                  </w:r>
                </w:p>
              </w:tc>
              <w:tc>
                <w:tcPr>
                  <w:tcW w:w="610" w:type="pct"/>
                  <w:tcBorders>
                    <w:tl2br w:val="nil"/>
                    <w:tr2bl w:val="nil"/>
                  </w:tcBorders>
                  <w:vAlign w:val="center"/>
                </w:tcPr>
                <w:p w14:paraId="488A00F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eastAsia="zh-CN"/>
                    </w:rPr>
                    <w:t>废气</w:t>
                  </w:r>
                </w:p>
              </w:tc>
              <w:tc>
                <w:tcPr>
                  <w:tcW w:w="3774" w:type="pct"/>
                  <w:tcBorders>
                    <w:tl2br w:val="nil"/>
                    <w:tr2bl w:val="nil"/>
                  </w:tcBorders>
                  <w:vAlign w:val="center"/>
                </w:tcPr>
                <w:p w14:paraId="3CA908B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40" w:lineRule="auto"/>
                    <w:ind w:left="0" w:right="0"/>
                    <w:jc w:val="both"/>
                    <w:textAlignment w:val="auto"/>
                    <w:rPr>
                      <w:rFonts w:hint="eastAsia" w:ascii="Times New Roman" w:hAnsi="Times New Roman" w:eastAsia="宋体"/>
                      <w:b w:val="0"/>
                      <w:bCs w:val="0"/>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焊接烟尘</w:t>
                  </w:r>
                  <w:r>
                    <w:rPr>
                      <w:rFonts w:hint="eastAsia" w:ascii="Times New Roman" w:hAnsi="Times New Roman" w:eastAsia="宋体"/>
                      <w:b w:val="0"/>
                      <w:bCs w:val="0"/>
                      <w:color w:val="auto"/>
                      <w:kern w:val="44"/>
                      <w:sz w:val="21"/>
                      <w:szCs w:val="21"/>
                      <w:highlight w:val="none"/>
                      <w:lang w:val="en-US" w:eastAsia="zh-CN"/>
                    </w:rPr>
                    <w:t>：项目二保焊机、焊接机器人等产生的焊接烟尘产尘点设置固定集气罩收集，合并由一套布袋除尘器集中处理后，通过1根15m高</w:t>
                  </w:r>
                  <w:r>
                    <w:rPr>
                      <w:rFonts w:hint="eastAsia" w:ascii="Times New Roman" w:hAnsi="Times New Roman" w:eastAsia="宋体"/>
                      <w:b/>
                      <w:bCs/>
                      <w:color w:val="auto"/>
                      <w:kern w:val="44"/>
                      <w:sz w:val="21"/>
                      <w:szCs w:val="21"/>
                      <w:highlight w:val="none"/>
                      <w:lang w:val="en-US" w:eastAsia="zh-CN"/>
                    </w:rPr>
                    <w:t>DA001</w:t>
                  </w:r>
                  <w:r>
                    <w:rPr>
                      <w:rFonts w:hint="eastAsia" w:ascii="Times New Roman" w:hAnsi="Times New Roman" w:eastAsia="宋体"/>
                      <w:b w:val="0"/>
                      <w:bCs w:val="0"/>
                      <w:color w:val="auto"/>
                      <w:kern w:val="44"/>
                      <w:sz w:val="21"/>
                      <w:szCs w:val="21"/>
                      <w:highlight w:val="none"/>
                      <w:lang w:val="en-US" w:eastAsia="zh-CN"/>
                    </w:rPr>
                    <w:t>排气筒排放。</w:t>
                  </w:r>
                </w:p>
                <w:p w14:paraId="7660BCB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40" w:lineRule="auto"/>
                    <w:ind w:left="0" w:right="0"/>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kern w:val="44"/>
                      <w:sz w:val="21"/>
                      <w:szCs w:val="21"/>
                      <w:highlight w:val="none"/>
                      <w:lang w:val="en-US" w:eastAsia="zh-CN"/>
                    </w:rPr>
                    <w:t>打磨粉尘：</w:t>
                  </w:r>
                  <w:r>
                    <w:rPr>
                      <w:rFonts w:hint="eastAsia" w:ascii="Times New Roman" w:hAnsi="Times New Roman" w:eastAsia="宋体"/>
                      <w:b w:val="0"/>
                      <w:bCs w:val="0"/>
                      <w:color w:val="auto"/>
                      <w:kern w:val="44"/>
                      <w:sz w:val="21"/>
                      <w:szCs w:val="21"/>
                      <w:highlight w:val="none"/>
                      <w:lang w:val="en-US" w:eastAsia="zh-CN"/>
                    </w:rPr>
                    <w:t>自然沉降，车间内呈无组织排放；</w:t>
                  </w:r>
                </w:p>
              </w:tc>
            </w:tr>
            <w:tr w14:paraId="730C6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5B6F3B3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10" w:type="pct"/>
                  <w:tcBorders>
                    <w:tl2br w:val="nil"/>
                    <w:tr2bl w:val="nil"/>
                  </w:tcBorders>
                  <w:vAlign w:val="center"/>
                </w:tcPr>
                <w:p w14:paraId="354ECBB7">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rPr>
                    <w:t>废水</w:t>
                  </w:r>
                </w:p>
              </w:tc>
              <w:tc>
                <w:tcPr>
                  <w:tcW w:w="3774" w:type="pct"/>
                  <w:tcBorders>
                    <w:tl2br w:val="nil"/>
                    <w:tr2bl w:val="nil"/>
                  </w:tcBorders>
                  <w:vAlign w:val="center"/>
                </w:tcPr>
                <w:p w14:paraId="01DEECA7">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both"/>
                    <w:textAlignment w:val="auto"/>
                    <w:rPr>
                      <w:rFonts w:hint="eastAsia" w:ascii="Times New Roman" w:hAnsi="Times New Roman" w:eastAsia="宋体"/>
                      <w:color w:val="auto"/>
                      <w:kern w:val="44"/>
                      <w:sz w:val="21"/>
                      <w:szCs w:val="21"/>
                      <w:highlight w:val="none"/>
                      <w:lang w:val="en-US" w:eastAsia="zh-CN"/>
                    </w:rPr>
                  </w:pPr>
                  <w:r>
                    <w:rPr>
                      <w:rFonts w:hint="eastAsia" w:ascii="Times New Roman" w:hAnsi="Times New Roman" w:eastAsia="宋体"/>
                      <w:color w:val="auto"/>
                      <w:kern w:val="44"/>
                      <w:sz w:val="21"/>
                      <w:szCs w:val="21"/>
                      <w:highlight w:val="none"/>
                      <w:lang w:val="en-US" w:eastAsia="zh-CN"/>
                    </w:rPr>
                    <w:t>运营期外排污废水主要为员工办公生活污水，</w:t>
                  </w:r>
                  <w:r>
                    <w:rPr>
                      <w:rFonts w:hint="eastAsia" w:ascii="Times New Roman" w:hAnsi="Times New Roman" w:eastAsia="宋体"/>
                      <w:color w:val="auto"/>
                      <w:kern w:val="44"/>
                      <w:sz w:val="21"/>
                      <w:szCs w:val="21"/>
                      <w:highlight w:val="none"/>
                      <w:lang w:eastAsia="zh-CN"/>
                    </w:rPr>
                    <w:t>依托</w:t>
                  </w:r>
                  <w:r>
                    <w:rPr>
                      <w:rFonts w:hint="eastAsia" w:ascii="Times New Roman" w:hAnsi="Times New Roman" w:eastAsia="宋体"/>
                      <w:color w:val="auto"/>
                      <w:kern w:val="44"/>
                      <w:sz w:val="21"/>
                      <w:szCs w:val="21"/>
                      <w:highlight w:val="none"/>
                      <w:lang w:val="en-US" w:eastAsia="zh-CN"/>
                    </w:rPr>
                    <w:t>森迪安防产业园现有</w:t>
                  </w:r>
                  <w:r>
                    <w:rPr>
                      <w:rFonts w:hint="eastAsia" w:ascii="Times New Roman" w:hAnsi="Times New Roman" w:eastAsia="宋体"/>
                      <w:b/>
                      <w:bCs/>
                      <w:color w:val="auto"/>
                      <w:kern w:val="44"/>
                      <w:sz w:val="21"/>
                      <w:szCs w:val="21"/>
                      <w:highlight w:val="none"/>
                      <w:lang w:val="en-US" w:eastAsia="zh-CN"/>
                    </w:rPr>
                    <w:t>1#</w:t>
                  </w:r>
                  <w:r>
                    <w:rPr>
                      <w:rFonts w:hint="eastAsia" w:ascii="Times New Roman" w:hAnsi="Times New Roman" w:eastAsia="宋体"/>
                      <w:b/>
                      <w:bCs/>
                      <w:color w:val="auto"/>
                      <w:kern w:val="44"/>
                      <w:sz w:val="21"/>
                      <w:szCs w:val="21"/>
                      <w:highlight w:val="none"/>
                      <w:lang w:eastAsia="zh-CN"/>
                    </w:rPr>
                    <w:t>生化池</w:t>
                  </w:r>
                  <w:r>
                    <w:rPr>
                      <w:rFonts w:hint="eastAsia" w:ascii="Times New Roman" w:hAnsi="Times New Roman" w:eastAsia="宋体"/>
                      <w:color w:val="auto"/>
                      <w:kern w:val="44"/>
                      <w:sz w:val="21"/>
                      <w:szCs w:val="21"/>
                      <w:highlight w:val="none"/>
                      <w:lang w:val="en-US" w:eastAsia="zh-CN"/>
                    </w:rPr>
                    <w:t>预</w:t>
                  </w:r>
                  <w:r>
                    <w:rPr>
                      <w:rFonts w:hint="eastAsia" w:ascii="Times New Roman" w:hAnsi="Times New Roman" w:eastAsia="宋体"/>
                      <w:color w:val="auto"/>
                      <w:kern w:val="44"/>
                      <w:sz w:val="21"/>
                      <w:szCs w:val="21"/>
                      <w:highlight w:val="none"/>
                      <w:lang w:eastAsia="zh-CN"/>
                    </w:rPr>
                    <w:t>处理达</w:t>
                  </w:r>
                  <w:r>
                    <w:rPr>
                      <w:rFonts w:hint="eastAsia" w:ascii="Times New Roman" w:hAnsi="Times New Roman" w:eastAsia="宋体"/>
                      <w:color w:val="auto"/>
                      <w:kern w:val="44"/>
                      <w:sz w:val="21"/>
                      <w:szCs w:val="21"/>
                      <w:highlight w:val="none"/>
                      <w:lang w:val="en-US" w:eastAsia="zh-CN"/>
                    </w:rPr>
                    <w:t>《污水综合排放标准》（GB8978-1996）三级标准</w:t>
                  </w:r>
                  <w:r>
                    <w:rPr>
                      <w:rFonts w:hint="eastAsia" w:ascii="Times New Roman" w:hAnsi="Times New Roman" w:eastAsia="宋体"/>
                      <w:color w:val="auto"/>
                      <w:kern w:val="44"/>
                      <w:sz w:val="21"/>
                      <w:szCs w:val="21"/>
                      <w:highlight w:val="none"/>
                      <w:lang w:eastAsia="zh-CN"/>
                    </w:rPr>
                    <w:t>，经市政污水管网，排入</w:t>
                  </w:r>
                  <w:r>
                    <w:rPr>
                      <w:rFonts w:hint="eastAsia" w:ascii="Times New Roman" w:hAnsi="Times New Roman" w:eastAsia="宋体"/>
                      <w:color w:val="auto"/>
                      <w:kern w:val="44"/>
                      <w:sz w:val="21"/>
                      <w:szCs w:val="21"/>
                      <w:highlight w:val="none"/>
                      <w:lang w:val="en-US" w:eastAsia="zh-CN"/>
                    </w:rPr>
                    <w:t>西彭工业园区污水处理厂深度</w:t>
                  </w:r>
                  <w:r>
                    <w:rPr>
                      <w:rFonts w:hint="eastAsia" w:ascii="Times New Roman" w:hAnsi="Times New Roman" w:eastAsia="宋体"/>
                      <w:color w:val="auto"/>
                      <w:kern w:val="44"/>
                      <w:sz w:val="21"/>
                      <w:szCs w:val="21"/>
                      <w:highlight w:val="none"/>
                      <w:lang w:eastAsia="zh-CN"/>
                    </w:rPr>
                    <w:t>处理</w:t>
                  </w:r>
                  <w:r>
                    <w:rPr>
                      <w:rFonts w:hint="eastAsia" w:ascii="Times New Roman" w:hAnsi="Times New Roman" w:eastAsia="宋体"/>
                      <w:color w:val="auto"/>
                      <w:kern w:val="44"/>
                      <w:sz w:val="21"/>
                      <w:szCs w:val="21"/>
                      <w:highlight w:val="none"/>
                      <w:lang w:val="en-US" w:eastAsia="zh-CN"/>
                    </w:rPr>
                    <w:t>达《污水综合排放标准》（GB8978-1996）一级标准后，排入桥头河，最终汇入长江。</w:t>
                  </w:r>
                </w:p>
              </w:tc>
            </w:tr>
            <w:tr w14:paraId="59BB5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3377B06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10" w:type="pct"/>
                  <w:tcBorders>
                    <w:tl2br w:val="nil"/>
                    <w:tr2bl w:val="nil"/>
                  </w:tcBorders>
                  <w:vAlign w:val="center"/>
                </w:tcPr>
                <w:p w14:paraId="009B8A3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噪声</w:t>
                  </w:r>
                  <w:r>
                    <w:rPr>
                      <w:rFonts w:hint="eastAsia" w:ascii="Times New Roman" w:hAnsi="Times New Roman" w:eastAsia="宋体" w:cs="Times New Roman"/>
                      <w:color w:val="auto"/>
                      <w:sz w:val="21"/>
                      <w:szCs w:val="21"/>
                      <w:highlight w:val="none"/>
                    </w:rPr>
                    <w:t>治理</w:t>
                  </w:r>
                </w:p>
              </w:tc>
              <w:tc>
                <w:tcPr>
                  <w:tcW w:w="3774" w:type="pct"/>
                  <w:tcBorders>
                    <w:tl2br w:val="nil"/>
                    <w:tr2bl w:val="nil"/>
                  </w:tcBorders>
                  <w:vAlign w:val="center"/>
                </w:tcPr>
                <w:p w14:paraId="3F4E108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kern w:val="44"/>
                      <w:sz w:val="21"/>
                      <w:szCs w:val="21"/>
                      <w:highlight w:val="none"/>
                    </w:rPr>
                    <w:t>高噪声设备</w:t>
                  </w:r>
                  <w:r>
                    <w:rPr>
                      <w:rFonts w:hint="eastAsia" w:ascii="Times New Roman" w:hAnsi="Times New Roman" w:eastAsia="宋体"/>
                      <w:color w:val="auto"/>
                      <w:kern w:val="44"/>
                      <w:sz w:val="21"/>
                      <w:szCs w:val="21"/>
                      <w:highlight w:val="none"/>
                      <w:lang w:val="en-US" w:eastAsia="zh-CN"/>
                    </w:rPr>
                    <w:t>应采取减振基础、隔声等措施</w:t>
                  </w:r>
                  <w:r>
                    <w:rPr>
                      <w:rFonts w:hint="eastAsia" w:ascii="Times New Roman" w:hAnsi="Times New Roman" w:eastAsia="宋体"/>
                      <w:color w:val="auto"/>
                      <w:sz w:val="21"/>
                      <w:szCs w:val="21"/>
                      <w:highlight w:val="none"/>
                      <w:lang w:eastAsia="zh-CN"/>
                    </w:rPr>
                    <w:t>；</w:t>
                  </w:r>
                </w:p>
              </w:tc>
            </w:tr>
            <w:tr w14:paraId="4E180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2B2E8DF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10" w:type="pct"/>
                  <w:vMerge w:val="restart"/>
                  <w:tcBorders>
                    <w:tl2br w:val="nil"/>
                    <w:tr2bl w:val="nil"/>
                  </w:tcBorders>
                  <w:vAlign w:val="center"/>
                </w:tcPr>
                <w:p w14:paraId="4F7D657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固废处理</w:t>
                  </w:r>
                </w:p>
              </w:tc>
              <w:tc>
                <w:tcPr>
                  <w:tcW w:w="3774" w:type="pct"/>
                  <w:tcBorders>
                    <w:tl2br w:val="nil"/>
                    <w:tr2bl w:val="nil"/>
                  </w:tcBorders>
                  <w:vAlign w:val="center"/>
                </w:tcPr>
                <w:p w14:paraId="12E3280D">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both"/>
                    <w:textAlignment w:val="auto"/>
                    <w:rPr>
                      <w:rFonts w:hint="eastAsia" w:ascii="Times New Roman" w:hAnsi="Times New Roman" w:eastAsia="宋体"/>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一般固废</w:t>
                  </w:r>
                  <w:r>
                    <w:rPr>
                      <w:rFonts w:hint="eastAsia" w:ascii="Times New Roman" w:hAnsi="Times New Roman" w:eastAsia="宋体"/>
                      <w:color w:val="auto"/>
                      <w:kern w:val="44"/>
                      <w:sz w:val="21"/>
                      <w:szCs w:val="21"/>
                      <w:highlight w:val="none"/>
                      <w:lang w:val="en-US" w:eastAsia="zh-CN"/>
                    </w:rPr>
                    <w:t>：项目运营期产生一般固废主要为：废边角料、不合格品、焊渣、除尘灰等；厂房西北侧设置1处一般固废暂存区，面积约20 m</w:t>
                  </w:r>
                  <w:r>
                    <w:rPr>
                      <w:rFonts w:hint="eastAsia" w:ascii="Times New Roman" w:hAnsi="Times New Roman" w:eastAsia="宋体"/>
                      <w:color w:val="auto"/>
                      <w:kern w:val="44"/>
                      <w:sz w:val="21"/>
                      <w:szCs w:val="21"/>
                      <w:highlight w:val="none"/>
                      <w:vertAlign w:val="superscript"/>
                      <w:lang w:val="en-US" w:eastAsia="zh-CN"/>
                    </w:rPr>
                    <w:t>2</w:t>
                  </w:r>
                  <w:r>
                    <w:rPr>
                      <w:rFonts w:hint="eastAsia" w:ascii="Times New Roman" w:hAnsi="Times New Roman" w:eastAsia="宋体"/>
                      <w:color w:val="auto"/>
                      <w:kern w:val="44"/>
                      <w:sz w:val="21"/>
                      <w:szCs w:val="21"/>
                      <w:highlight w:val="none"/>
                      <w:lang w:val="en-US" w:eastAsia="zh-CN"/>
                    </w:rPr>
                    <w:t>，定期外售综合利用；一般固废贮存过程应满足相应防渗漏、防雨淋、防扬尘等环境保护要求。</w:t>
                  </w:r>
                </w:p>
              </w:tc>
            </w:tr>
            <w:tr w14:paraId="3E7F2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328EF44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10" w:type="pct"/>
                  <w:vMerge w:val="continue"/>
                  <w:tcBorders>
                    <w:tl2br w:val="nil"/>
                    <w:tr2bl w:val="nil"/>
                  </w:tcBorders>
                  <w:vAlign w:val="center"/>
                </w:tcPr>
                <w:p w14:paraId="08B550F5">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3774" w:type="pct"/>
                  <w:tcBorders>
                    <w:tl2br w:val="nil"/>
                    <w:tr2bl w:val="nil"/>
                  </w:tcBorders>
                  <w:vAlign w:val="center"/>
                </w:tcPr>
                <w:p w14:paraId="3824E640">
                  <w:pPr>
                    <w:keepNext w:val="0"/>
                    <w:keepLines w:val="0"/>
                    <w:pageBreakBefore w:val="0"/>
                    <w:widowControl w:val="0"/>
                    <w:kinsoku/>
                    <w:wordWrap/>
                    <w:overflowPunct/>
                    <w:topLinePunct w:val="0"/>
                    <w:autoSpaceDE/>
                    <w:autoSpaceDN/>
                    <w:bidi w:val="0"/>
                    <w:adjustRightInd/>
                    <w:snapToGrid/>
                    <w:spacing w:before="70" w:beforeLines="22" w:after="70" w:afterLines="22" w:line="240" w:lineRule="auto"/>
                    <w:jc w:val="both"/>
                    <w:textAlignment w:val="auto"/>
                    <w:rPr>
                      <w:rFonts w:hint="eastAsia" w:ascii="Times New Roman" w:hAnsi="Times New Roman" w:eastAsia="宋体"/>
                      <w:b w:val="0"/>
                      <w:bCs w:val="0"/>
                      <w:color w:val="auto"/>
                      <w:kern w:val="44"/>
                      <w:sz w:val="21"/>
                      <w:szCs w:val="21"/>
                      <w:highlight w:val="none"/>
                      <w:lang w:val="en-US" w:eastAsia="zh-CN"/>
                    </w:rPr>
                  </w:pPr>
                  <w:r>
                    <w:rPr>
                      <w:rFonts w:hint="eastAsia" w:ascii="Times New Roman" w:hAnsi="Times New Roman" w:eastAsia="宋体"/>
                      <w:b/>
                      <w:bCs/>
                      <w:color w:val="auto"/>
                      <w:kern w:val="44"/>
                      <w:sz w:val="21"/>
                      <w:szCs w:val="21"/>
                      <w:highlight w:val="none"/>
                      <w:lang w:val="en-US" w:eastAsia="zh-CN"/>
                    </w:rPr>
                    <w:t>危险废物</w:t>
                  </w:r>
                  <w:r>
                    <w:rPr>
                      <w:rFonts w:hint="eastAsia" w:ascii="Times New Roman" w:hAnsi="Times New Roman" w:eastAsia="宋体"/>
                      <w:b w:val="0"/>
                      <w:bCs w:val="0"/>
                      <w:color w:val="auto"/>
                      <w:kern w:val="44"/>
                      <w:sz w:val="21"/>
                      <w:szCs w:val="21"/>
                      <w:highlight w:val="none"/>
                      <w:lang w:val="en-US" w:eastAsia="zh-CN"/>
                    </w:rPr>
                    <w:t>：于生产厂房东南角设置1处危废贮存点，面积约10m</w:t>
                  </w:r>
                  <w:r>
                    <w:rPr>
                      <w:rFonts w:hint="eastAsia" w:ascii="Times New Roman" w:hAnsi="Times New Roman" w:eastAsia="宋体"/>
                      <w:b w:val="0"/>
                      <w:bCs w:val="0"/>
                      <w:color w:val="auto"/>
                      <w:kern w:val="44"/>
                      <w:sz w:val="21"/>
                      <w:szCs w:val="21"/>
                      <w:highlight w:val="none"/>
                      <w:vertAlign w:val="superscript"/>
                      <w:lang w:val="en-US" w:eastAsia="zh-CN"/>
                    </w:rPr>
                    <w:t>2</w:t>
                  </w:r>
                  <w:r>
                    <w:rPr>
                      <w:rFonts w:hint="eastAsia" w:ascii="Times New Roman" w:hAnsi="Times New Roman" w:eastAsia="宋体"/>
                      <w:b w:val="0"/>
                      <w:bCs w:val="0"/>
                      <w:color w:val="auto"/>
                      <w:kern w:val="44"/>
                      <w:sz w:val="21"/>
                      <w:szCs w:val="21"/>
                      <w:highlight w:val="none"/>
                      <w:lang w:val="en-US" w:eastAsia="zh-CN"/>
                    </w:rPr>
                    <w:t>。用于存放项目运营期产生的废切削液、含油铁屑、废机油、废液压油、废油桶、空压机含油废水、含油废棉纱手套等危险废物，危险废物应分类存储，定期交有相应危险废物处置资质的单位转运处置。</w:t>
                  </w:r>
                </w:p>
              </w:tc>
            </w:tr>
            <w:tr w14:paraId="5D9E0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15" w:type="pct"/>
                  <w:vMerge w:val="continue"/>
                  <w:tcBorders>
                    <w:tl2br w:val="nil"/>
                    <w:tr2bl w:val="nil"/>
                  </w:tcBorders>
                  <w:vAlign w:val="center"/>
                </w:tcPr>
                <w:p w14:paraId="36CFD90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610" w:type="pct"/>
                  <w:vMerge w:val="continue"/>
                  <w:tcBorders>
                    <w:tl2br w:val="nil"/>
                    <w:tr2bl w:val="nil"/>
                  </w:tcBorders>
                  <w:vAlign w:val="center"/>
                </w:tcPr>
                <w:p w14:paraId="6B4CCEB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eastAsia" w:ascii="Times New Roman" w:hAnsi="Times New Roman" w:eastAsia="宋体"/>
                      <w:color w:val="auto"/>
                      <w:sz w:val="21"/>
                      <w:szCs w:val="21"/>
                      <w:highlight w:val="none"/>
                      <w:vertAlign w:val="baseline"/>
                      <w:lang w:val="en-US" w:eastAsia="zh-CN"/>
                    </w:rPr>
                  </w:pPr>
                </w:p>
              </w:tc>
              <w:tc>
                <w:tcPr>
                  <w:tcW w:w="3774" w:type="pct"/>
                  <w:tcBorders>
                    <w:tl2br w:val="nil"/>
                    <w:tr2bl w:val="nil"/>
                  </w:tcBorders>
                  <w:vAlign w:val="center"/>
                </w:tcPr>
                <w:p w14:paraId="1A8DEFD2">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生活垃圾</w:t>
                  </w:r>
                  <w:r>
                    <w:rPr>
                      <w:rFonts w:hint="eastAsia" w:ascii="Times New Roman" w:hAnsi="Times New Roman" w:eastAsia="宋体"/>
                      <w:color w:val="auto"/>
                      <w:sz w:val="21"/>
                      <w:szCs w:val="21"/>
                      <w:highlight w:val="none"/>
                      <w:vertAlign w:val="baseline"/>
                      <w:lang w:val="en-US" w:eastAsia="zh-CN"/>
                    </w:rPr>
                    <w:t>：集中收集交环卫部门统一清运处理。</w:t>
                  </w:r>
                </w:p>
              </w:tc>
            </w:tr>
          </w:tbl>
          <w:p w14:paraId="5FC60DE5">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2.12.5现有工程主要原辅材料消耗</w:t>
            </w:r>
          </w:p>
          <w:p w14:paraId="1A86E483">
            <w:pPr>
              <w:pStyle w:val="20"/>
              <w:keepNext w:val="0"/>
              <w:keepLines w:val="0"/>
              <w:pageBreakBefore w:val="0"/>
              <w:widowControl/>
              <w:kinsoku/>
              <w:wordWrap/>
              <w:overflowPunct/>
              <w:topLinePunct w:val="0"/>
              <w:autoSpaceDE/>
              <w:autoSpaceDN/>
              <w:bidi w:val="0"/>
              <w:adjustRightInd w:val="0"/>
              <w:snapToGrid w:val="0"/>
              <w:spacing w:before="0" w:after="0"/>
              <w:ind w:right="0" w:firstLine="420"/>
              <w:textAlignment w:val="baseline"/>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现有工程主要原辅料消耗详见表2-14。</w:t>
            </w:r>
          </w:p>
          <w:p w14:paraId="567558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-14</w:t>
            </w:r>
            <w:r>
              <w:rPr>
                <w:rFonts w:hint="default" w:ascii="Times New Roman" w:hAnsi="Times New Roman" w:eastAsia="宋体" w:cs="Times New Roman"/>
                <w:color w:val="auto"/>
                <w:sz w:val="24"/>
                <w:szCs w:val="24"/>
                <w:highlight w:val="none"/>
                <w:vertAlign w:val="baseline"/>
                <w:lang w:val="en-US" w:eastAsia="zh-CN"/>
              </w:rPr>
              <w:t xml:space="preserve">  主要原辅材料消耗量一览表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6"/>
              <w:gridCol w:w="1401"/>
              <w:gridCol w:w="1861"/>
              <w:gridCol w:w="1304"/>
              <w:gridCol w:w="1230"/>
              <w:gridCol w:w="1703"/>
            </w:tblGrid>
            <w:tr w14:paraId="65F4E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tcBorders>
                    <w:tl2br w:val="nil"/>
                    <w:tr2bl w:val="nil"/>
                  </w:tcBorders>
                  <w:vAlign w:val="center"/>
                </w:tcPr>
                <w:p w14:paraId="0EB2A68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类别</w:t>
                  </w:r>
                </w:p>
              </w:tc>
              <w:tc>
                <w:tcPr>
                  <w:tcW w:w="835" w:type="pct"/>
                  <w:tcBorders>
                    <w:tl2br w:val="nil"/>
                    <w:tr2bl w:val="nil"/>
                  </w:tcBorders>
                  <w:vAlign w:val="center"/>
                </w:tcPr>
                <w:p w14:paraId="647B091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名称</w:t>
                  </w:r>
                </w:p>
              </w:tc>
              <w:tc>
                <w:tcPr>
                  <w:tcW w:w="1109" w:type="pct"/>
                  <w:tcBorders>
                    <w:tl2br w:val="nil"/>
                    <w:tr2bl w:val="nil"/>
                  </w:tcBorders>
                  <w:vAlign w:val="center"/>
                </w:tcPr>
                <w:p w14:paraId="2857F6E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主要成分/规格</w:t>
                  </w:r>
                </w:p>
              </w:tc>
              <w:tc>
                <w:tcPr>
                  <w:tcW w:w="777" w:type="pct"/>
                  <w:tcBorders>
                    <w:tl2br w:val="nil"/>
                    <w:tr2bl w:val="nil"/>
                  </w:tcBorders>
                  <w:vAlign w:val="center"/>
                </w:tcPr>
                <w:p w14:paraId="2F6C735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年用量</w:t>
                  </w:r>
                </w:p>
              </w:tc>
              <w:tc>
                <w:tcPr>
                  <w:tcW w:w="733" w:type="pct"/>
                  <w:tcBorders>
                    <w:tl2br w:val="nil"/>
                    <w:tr2bl w:val="nil"/>
                  </w:tcBorders>
                  <w:vAlign w:val="center"/>
                </w:tcPr>
                <w:p w14:paraId="32B6AE5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最大暂存量</w:t>
                  </w:r>
                </w:p>
              </w:tc>
              <w:tc>
                <w:tcPr>
                  <w:tcW w:w="1015" w:type="pct"/>
                  <w:tcBorders>
                    <w:tl2br w:val="nil"/>
                    <w:tr2bl w:val="nil"/>
                  </w:tcBorders>
                  <w:vAlign w:val="center"/>
                </w:tcPr>
                <w:p w14:paraId="4EF61DD9">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备注</w:t>
                  </w:r>
                </w:p>
              </w:tc>
            </w:tr>
            <w:tr w14:paraId="06B6B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restart"/>
                  <w:tcBorders>
                    <w:tl2br w:val="nil"/>
                    <w:tr2bl w:val="nil"/>
                  </w:tcBorders>
                  <w:vAlign w:val="center"/>
                </w:tcPr>
                <w:p w14:paraId="3DD74B3C">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原料</w:t>
                  </w:r>
                </w:p>
              </w:tc>
              <w:tc>
                <w:tcPr>
                  <w:tcW w:w="835" w:type="pct"/>
                  <w:tcBorders>
                    <w:tl2br w:val="nil"/>
                    <w:tr2bl w:val="nil"/>
                  </w:tcBorders>
                  <w:vAlign w:val="center"/>
                </w:tcPr>
                <w:p w14:paraId="67911480">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钢  板</w:t>
                  </w:r>
                </w:p>
              </w:tc>
              <w:tc>
                <w:tcPr>
                  <w:tcW w:w="1109" w:type="pct"/>
                  <w:tcBorders>
                    <w:tl2br w:val="nil"/>
                    <w:tr2bl w:val="nil"/>
                  </w:tcBorders>
                  <w:vAlign w:val="center"/>
                </w:tcPr>
                <w:p w14:paraId="672609F8">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Q235/3 mm</w:t>
                  </w:r>
                </w:p>
              </w:tc>
              <w:tc>
                <w:tcPr>
                  <w:tcW w:w="777" w:type="pct"/>
                  <w:tcBorders>
                    <w:tl2br w:val="nil"/>
                    <w:tr2bl w:val="nil"/>
                  </w:tcBorders>
                  <w:vAlign w:val="center"/>
                </w:tcPr>
                <w:p w14:paraId="438E1B4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700t</w:t>
                  </w:r>
                </w:p>
              </w:tc>
              <w:tc>
                <w:tcPr>
                  <w:tcW w:w="733" w:type="pct"/>
                  <w:tcBorders>
                    <w:tl2br w:val="nil"/>
                    <w:tr2bl w:val="nil"/>
                  </w:tcBorders>
                  <w:vAlign w:val="center"/>
                </w:tcPr>
                <w:p w14:paraId="193E3666">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50t</w:t>
                  </w:r>
                </w:p>
              </w:tc>
              <w:tc>
                <w:tcPr>
                  <w:tcW w:w="1015" w:type="pct"/>
                  <w:tcBorders>
                    <w:tl2br w:val="nil"/>
                    <w:tr2bl w:val="nil"/>
                  </w:tcBorders>
                  <w:vAlign w:val="center"/>
                </w:tcPr>
                <w:p w14:paraId="6124CB2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外购</w:t>
                  </w:r>
                </w:p>
              </w:tc>
            </w:tr>
            <w:tr w14:paraId="7E67F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continue"/>
                  <w:tcBorders>
                    <w:tl2br w:val="nil"/>
                    <w:tr2bl w:val="nil"/>
                  </w:tcBorders>
                  <w:vAlign w:val="center"/>
                </w:tcPr>
                <w:p w14:paraId="404E1313">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35" w:type="pct"/>
                  <w:tcBorders>
                    <w:tl2br w:val="nil"/>
                    <w:tr2bl w:val="nil"/>
                  </w:tcBorders>
                  <w:vAlign w:val="center"/>
                </w:tcPr>
                <w:p w14:paraId="5D44EF7D">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钢  管</w:t>
                  </w:r>
                </w:p>
              </w:tc>
              <w:tc>
                <w:tcPr>
                  <w:tcW w:w="1109" w:type="pct"/>
                  <w:tcBorders>
                    <w:tl2br w:val="nil"/>
                    <w:tr2bl w:val="nil"/>
                  </w:tcBorders>
                  <w:vAlign w:val="center"/>
                </w:tcPr>
                <w:p w14:paraId="0D2546C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Φ12</w:t>
                  </w:r>
                  <w:r>
                    <w:rPr>
                      <w:rFonts w:hint="eastAsia" w:ascii="Times New Roman" w:hAnsi="Times New Roman" w:eastAsia="宋体" w:cs="宋体"/>
                      <w:color w:val="auto"/>
                      <w:kern w:val="0"/>
                      <w:sz w:val="21"/>
                      <w:szCs w:val="21"/>
                      <w:highlight w:val="none"/>
                      <w:lang w:val="en-US" w:eastAsia="zh-CN" w:bidi="ar"/>
                    </w:rPr>
                    <w:t>~</w:t>
                  </w:r>
                  <w:r>
                    <w:rPr>
                      <w:rFonts w:hint="eastAsia" w:ascii="Times New Roman" w:hAnsi="Times New Roman" w:eastAsia="宋体"/>
                      <w:color w:val="auto"/>
                      <w:sz w:val="21"/>
                      <w:szCs w:val="21"/>
                      <w:highlight w:val="none"/>
                      <w:vertAlign w:val="baseline"/>
                      <w:lang w:val="en-US" w:eastAsia="zh-CN"/>
                    </w:rPr>
                    <w:t>25*1.2</w:t>
                  </w:r>
                  <w:r>
                    <w:rPr>
                      <w:rFonts w:hint="eastAsia" w:ascii="Times New Roman" w:hAnsi="Times New Roman" w:eastAsia="宋体" w:cs="宋体"/>
                      <w:color w:val="auto"/>
                      <w:kern w:val="0"/>
                      <w:sz w:val="21"/>
                      <w:szCs w:val="21"/>
                      <w:highlight w:val="none"/>
                      <w:lang w:val="en-US" w:eastAsia="zh-CN" w:bidi="ar"/>
                    </w:rPr>
                    <w:t>~</w:t>
                  </w:r>
                  <w:r>
                    <w:rPr>
                      <w:rFonts w:hint="eastAsia" w:ascii="Times New Roman" w:hAnsi="Times New Roman" w:eastAsia="宋体"/>
                      <w:color w:val="auto"/>
                      <w:sz w:val="21"/>
                      <w:szCs w:val="21"/>
                      <w:highlight w:val="none"/>
                      <w:vertAlign w:val="baseline"/>
                      <w:lang w:val="en-US" w:eastAsia="zh-CN"/>
                    </w:rPr>
                    <w:t>2mm</w:t>
                  </w:r>
                </w:p>
              </w:tc>
              <w:tc>
                <w:tcPr>
                  <w:tcW w:w="777" w:type="pct"/>
                  <w:tcBorders>
                    <w:tl2br w:val="nil"/>
                    <w:tr2bl w:val="nil"/>
                  </w:tcBorders>
                  <w:vAlign w:val="center"/>
                </w:tcPr>
                <w:p w14:paraId="5343148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100t</w:t>
                  </w:r>
                </w:p>
              </w:tc>
              <w:tc>
                <w:tcPr>
                  <w:tcW w:w="733" w:type="pct"/>
                  <w:tcBorders>
                    <w:tl2br w:val="nil"/>
                    <w:tr2bl w:val="nil"/>
                  </w:tcBorders>
                  <w:vAlign w:val="center"/>
                </w:tcPr>
                <w:p w14:paraId="17421E70">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10t</w:t>
                  </w:r>
                </w:p>
              </w:tc>
              <w:tc>
                <w:tcPr>
                  <w:tcW w:w="1015" w:type="pct"/>
                  <w:tcBorders>
                    <w:tl2br w:val="nil"/>
                    <w:tr2bl w:val="nil"/>
                  </w:tcBorders>
                  <w:vAlign w:val="center"/>
                </w:tcPr>
                <w:p w14:paraId="57888145">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外购</w:t>
                  </w:r>
                </w:p>
              </w:tc>
            </w:tr>
            <w:tr w14:paraId="2B6D8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restart"/>
                  <w:tcBorders>
                    <w:tl2br w:val="nil"/>
                    <w:tr2bl w:val="nil"/>
                  </w:tcBorders>
                  <w:vAlign w:val="center"/>
                </w:tcPr>
                <w:p w14:paraId="0C6D4D91">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辅料</w:t>
                  </w:r>
                </w:p>
              </w:tc>
              <w:tc>
                <w:tcPr>
                  <w:tcW w:w="835" w:type="pct"/>
                  <w:tcBorders>
                    <w:tl2br w:val="nil"/>
                    <w:tr2bl w:val="nil"/>
                  </w:tcBorders>
                  <w:vAlign w:val="center"/>
                </w:tcPr>
                <w:p w14:paraId="77FE61B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lang w:val="en-US" w:eastAsia="zh-CN" w:bidi="ar"/>
                    </w:rPr>
                    <w:t>气保焊丝</w:t>
                  </w:r>
                </w:p>
              </w:tc>
              <w:tc>
                <w:tcPr>
                  <w:tcW w:w="1109" w:type="pct"/>
                  <w:tcBorders>
                    <w:tl2br w:val="nil"/>
                    <w:tr2bl w:val="nil"/>
                  </w:tcBorders>
                  <w:vAlign w:val="center"/>
                </w:tcPr>
                <w:p w14:paraId="503918B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ER50-6，Φ1.0mm</w:t>
                  </w:r>
                </w:p>
              </w:tc>
              <w:tc>
                <w:tcPr>
                  <w:tcW w:w="777" w:type="pct"/>
                  <w:tcBorders>
                    <w:tl2br w:val="nil"/>
                    <w:tr2bl w:val="nil"/>
                  </w:tcBorders>
                  <w:vAlign w:val="center"/>
                </w:tcPr>
                <w:p w14:paraId="185EB1A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45t</w:t>
                  </w:r>
                </w:p>
              </w:tc>
              <w:tc>
                <w:tcPr>
                  <w:tcW w:w="733" w:type="pct"/>
                  <w:tcBorders>
                    <w:tl2br w:val="nil"/>
                    <w:tr2bl w:val="nil"/>
                  </w:tcBorders>
                  <w:vAlign w:val="center"/>
                </w:tcPr>
                <w:p w14:paraId="6E0A213C">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2t</w:t>
                  </w:r>
                </w:p>
              </w:tc>
              <w:tc>
                <w:tcPr>
                  <w:tcW w:w="1015" w:type="pct"/>
                  <w:tcBorders>
                    <w:tl2br w:val="nil"/>
                    <w:tr2bl w:val="nil"/>
                  </w:tcBorders>
                  <w:vAlign w:val="center"/>
                </w:tcPr>
                <w:p w14:paraId="64ED0CA4">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外购</w:t>
                  </w:r>
                </w:p>
              </w:tc>
            </w:tr>
            <w:tr w14:paraId="6109D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6" w:hRule="atLeast"/>
                <w:jc w:val="center"/>
              </w:trPr>
              <w:tc>
                <w:tcPr>
                  <w:tcW w:w="528" w:type="pct"/>
                  <w:vMerge w:val="continue"/>
                  <w:tcBorders>
                    <w:tl2br w:val="nil"/>
                    <w:tr2bl w:val="nil"/>
                  </w:tcBorders>
                  <w:vAlign w:val="center"/>
                </w:tcPr>
                <w:p w14:paraId="3C1C8E4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35" w:type="pct"/>
                  <w:tcBorders>
                    <w:tl2br w:val="nil"/>
                    <w:tr2bl w:val="nil"/>
                  </w:tcBorders>
                  <w:vAlign w:val="center"/>
                </w:tcPr>
                <w:p w14:paraId="2AE99DF3">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水基切削液</w:t>
                  </w:r>
                </w:p>
              </w:tc>
              <w:tc>
                <w:tcPr>
                  <w:tcW w:w="1109" w:type="pct"/>
                  <w:tcBorders>
                    <w:tl2br w:val="nil"/>
                    <w:tr2bl w:val="nil"/>
                  </w:tcBorders>
                  <w:vAlign w:val="center"/>
                </w:tcPr>
                <w:p w14:paraId="078E978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20kg/桶</w:t>
                  </w:r>
                </w:p>
              </w:tc>
              <w:tc>
                <w:tcPr>
                  <w:tcW w:w="777" w:type="pct"/>
                  <w:tcBorders>
                    <w:tl2br w:val="nil"/>
                    <w:tr2bl w:val="nil"/>
                  </w:tcBorders>
                  <w:vAlign w:val="center"/>
                </w:tcPr>
                <w:p w14:paraId="72ADA7A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0.02t</w:t>
                  </w:r>
                </w:p>
              </w:tc>
              <w:tc>
                <w:tcPr>
                  <w:tcW w:w="733" w:type="pct"/>
                  <w:tcBorders>
                    <w:tl2br w:val="nil"/>
                    <w:tr2bl w:val="nil"/>
                  </w:tcBorders>
                  <w:vAlign w:val="center"/>
                </w:tcPr>
                <w:p w14:paraId="0AC449B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0.02t</w:t>
                  </w:r>
                </w:p>
              </w:tc>
              <w:tc>
                <w:tcPr>
                  <w:tcW w:w="1015" w:type="pct"/>
                  <w:tcBorders>
                    <w:tl2br w:val="nil"/>
                    <w:tr2bl w:val="nil"/>
                  </w:tcBorders>
                  <w:vAlign w:val="center"/>
                </w:tcPr>
                <w:p w14:paraId="1034E1F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外购</w:t>
                  </w:r>
                </w:p>
              </w:tc>
            </w:tr>
            <w:tr w14:paraId="798D1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continue"/>
                  <w:tcBorders>
                    <w:tl2br w:val="nil"/>
                    <w:tr2bl w:val="nil"/>
                  </w:tcBorders>
                  <w:vAlign w:val="center"/>
                </w:tcPr>
                <w:p w14:paraId="2E59CF2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c>
                <w:tcPr>
                  <w:tcW w:w="835" w:type="pct"/>
                  <w:tcBorders>
                    <w:tl2br w:val="nil"/>
                    <w:tr2bl w:val="nil"/>
                  </w:tcBorders>
                  <w:vAlign w:val="center"/>
                </w:tcPr>
                <w:p w14:paraId="762BE054">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CO</w:t>
                  </w:r>
                  <w:r>
                    <w:rPr>
                      <w:rFonts w:hint="eastAsia" w:ascii="Times New Roman" w:hAnsi="Times New Roman" w:eastAsia="宋体"/>
                      <w:color w:val="auto"/>
                      <w:sz w:val="21"/>
                      <w:szCs w:val="21"/>
                      <w:highlight w:val="none"/>
                      <w:vertAlign w:val="subscript"/>
                      <w:lang w:val="en-US" w:eastAsia="zh-CN"/>
                    </w:rPr>
                    <w:t>2</w:t>
                  </w:r>
                </w:p>
              </w:tc>
              <w:tc>
                <w:tcPr>
                  <w:tcW w:w="1109" w:type="pct"/>
                  <w:tcBorders>
                    <w:tl2br w:val="nil"/>
                    <w:tr2bl w:val="nil"/>
                  </w:tcBorders>
                  <w:vAlign w:val="center"/>
                </w:tcPr>
                <w:p w14:paraId="018CA190">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设CO</w:t>
                  </w:r>
                  <w:r>
                    <w:rPr>
                      <w:rFonts w:hint="eastAsia" w:ascii="Times New Roman" w:hAnsi="Times New Roman" w:eastAsia="宋体"/>
                      <w:color w:val="auto"/>
                      <w:sz w:val="21"/>
                      <w:szCs w:val="21"/>
                      <w:highlight w:val="none"/>
                      <w:vertAlign w:val="subscript"/>
                      <w:lang w:val="en-US" w:eastAsia="zh-CN"/>
                    </w:rPr>
                    <w:t>2</w:t>
                  </w:r>
                  <w:r>
                    <w:rPr>
                      <w:rFonts w:hint="eastAsia" w:ascii="Times New Roman" w:hAnsi="Times New Roman" w:eastAsia="宋体"/>
                      <w:color w:val="auto"/>
                      <w:sz w:val="21"/>
                      <w:szCs w:val="21"/>
                      <w:highlight w:val="none"/>
                      <w:vertAlign w:val="baseline"/>
                      <w:lang w:val="en-US" w:eastAsia="zh-CN"/>
                    </w:rPr>
                    <w:t>气站</w:t>
                  </w:r>
                </w:p>
              </w:tc>
              <w:tc>
                <w:tcPr>
                  <w:tcW w:w="777" w:type="pct"/>
                  <w:tcBorders>
                    <w:tl2br w:val="nil"/>
                    <w:tr2bl w:val="nil"/>
                  </w:tcBorders>
                  <w:vAlign w:val="center"/>
                </w:tcPr>
                <w:p w14:paraId="276345A3">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20t</w:t>
                  </w:r>
                </w:p>
              </w:tc>
              <w:tc>
                <w:tcPr>
                  <w:tcW w:w="733" w:type="pct"/>
                  <w:tcBorders>
                    <w:tl2br w:val="nil"/>
                    <w:tr2bl w:val="nil"/>
                  </w:tcBorders>
                  <w:vAlign w:val="center"/>
                </w:tcPr>
                <w:p w14:paraId="03FA4F64">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5t</w:t>
                  </w:r>
                </w:p>
              </w:tc>
              <w:tc>
                <w:tcPr>
                  <w:tcW w:w="1015" w:type="pct"/>
                  <w:tcBorders>
                    <w:tl2br w:val="nil"/>
                    <w:tr2bl w:val="nil"/>
                  </w:tcBorders>
                  <w:vAlign w:val="center"/>
                </w:tcPr>
                <w:p w14:paraId="2690686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外购，用于气保焊接设备</w:t>
                  </w:r>
                </w:p>
              </w:tc>
            </w:tr>
            <w:tr w14:paraId="78350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continue"/>
                  <w:tcBorders>
                    <w:tl2br w:val="nil"/>
                    <w:tr2bl w:val="nil"/>
                  </w:tcBorders>
                  <w:vAlign w:val="center"/>
                </w:tcPr>
                <w:p w14:paraId="381B71D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c>
                <w:tcPr>
                  <w:tcW w:w="835" w:type="pct"/>
                  <w:tcBorders>
                    <w:tl2br w:val="nil"/>
                    <w:tr2bl w:val="nil"/>
                  </w:tcBorders>
                  <w:vAlign w:val="center"/>
                </w:tcPr>
                <w:p w14:paraId="54D5BA4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机油</w:t>
                  </w:r>
                </w:p>
              </w:tc>
              <w:tc>
                <w:tcPr>
                  <w:tcW w:w="1109" w:type="pct"/>
                  <w:tcBorders>
                    <w:tl2br w:val="nil"/>
                    <w:tr2bl w:val="nil"/>
                  </w:tcBorders>
                  <w:vAlign w:val="center"/>
                </w:tcPr>
                <w:p w14:paraId="2515C01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200L/桶</w:t>
                  </w:r>
                </w:p>
              </w:tc>
              <w:tc>
                <w:tcPr>
                  <w:tcW w:w="777" w:type="pct"/>
                  <w:tcBorders>
                    <w:tl2br w:val="nil"/>
                    <w:tr2bl w:val="nil"/>
                  </w:tcBorders>
                  <w:vAlign w:val="center"/>
                </w:tcPr>
                <w:p w14:paraId="103C73D8">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0.3t</w:t>
                  </w:r>
                </w:p>
              </w:tc>
              <w:tc>
                <w:tcPr>
                  <w:tcW w:w="733" w:type="pct"/>
                  <w:tcBorders>
                    <w:tl2br w:val="nil"/>
                    <w:tr2bl w:val="nil"/>
                  </w:tcBorders>
                  <w:vAlign w:val="center"/>
                </w:tcPr>
                <w:p w14:paraId="4AA9B4DE">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0.3t</w:t>
                  </w:r>
                </w:p>
              </w:tc>
              <w:tc>
                <w:tcPr>
                  <w:tcW w:w="1015" w:type="pct"/>
                  <w:tcBorders>
                    <w:tl2br w:val="nil"/>
                    <w:tr2bl w:val="nil"/>
                  </w:tcBorders>
                  <w:vAlign w:val="center"/>
                </w:tcPr>
                <w:p w14:paraId="3248B472">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外购，机械润滑</w:t>
                  </w:r>
                </w:p>
              </w:tc>
            </w:tr>
            <w:tr w14:paraId="07E09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continue"/>
                  <w:tcBorders>
                    <w:tl2br w:val="nil"/>
                    <w:tr2bl w:val="nil"/>
                  </w:tcBorders>
                  <w:vAlign w:val="center"/>
                </w:tcPr>
                <w:p w14:paraId="1329FC3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c>
                <w:tcPr>
                  <w:tcW w:w="835" w:type="pct"/>
                  <w:tcBorders>
                    <w:tl2br w:val="nil"/>
                    <w:tr2bl w:val="nil"/>
                  </w:tcBorders>
                  <w:vAlign w:val="center"/>
                </w:tcPr>
                <w:p w14:paraId="6B99DD75">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液压油</w:t>
                  </w:r>
                </w:p>
              </w:tc>
              <w:tc>
                <w:tcPr>
                  <w:tcW w:w="1109" w:type="pct"/>
                  <w:tcBorders>
                    <w:tl2br w:val="nil"/>
                    <w:tr2bl w:val="nil"/>
                  </w:tcBorders>
                  <w:vAlign w:val="center"/>
                </w:tcPr>
                <w:p w14:paraId="3F935549">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200L/桶</w:t>
                  </w:r>
                </w:p>
              </w:tc>
              <w:tc>
                <w:tcPr>
                  <w:tcW w:w="777" w:type="pct"/>
                  <w:tcBorders>
                    <w:tl2br w:val="nil"/>
                    <w:tr2bl w:val="nil"/>
                  </w:tcBorders>
                  <w:vAlign w:val="center"/>
                </w:tcPr>
                <w:p w14:paraId="3342D5F8">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0.5t</w:t>
                  </w:r>
                </w:p>
              </w:tc>
              <w:tc>
                <w:tcPr>
                  <w:tcW w:w="733" w:type="pct"/>
                  <w:tcBorders>
                    <w:tl2br w:val="nil"/>
                    <w:tr2bl w:val="nil"/>
                  </w:tcBorders>
                  <w:vAlign w:val="center"/>
                </w:tcPr>
                <w:p w14:paraId="17EA1884">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0.5t</w:t>
                  </w:r>
                </w:p>
              </w:tc>
              <w:tc>
                <w:tcPr>
                  <w:tcW w:w="1015" w:type="pct"/>
                  <w:tcBorders>
                    <w:tl2br w:val="nil"/>
                    <w:tr2bl w:val="nil"/>
                  </w:tcBorders>
                  <w:vAlign w:val="center"/>
                </w:tcPr>
                <w:p w14:paraId="181141B9">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外购，液压设备</w:t>
                  </w:r>
                </w:p>
              </w:tc>
            </w:tr>
            <w:tr w14:paraId="0589D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restart"/>
                  <w:tcBorders>
                    <w:tl2br w:val="nil"/>
                    <w:tr2bl w:val="nil"/>
                  </w:tcBorders>
                  <w:vAlign w:val="center"/>
                </w:tcPr>
                <w:p w14:paraId="5E80C423">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能源</w:t>
                  </w:r>
                </w:p>
              </w:tc>
              <w:tc>
                <w:tcPr>
                  <w:tcW w:w="835" w:type="pct"/>
                  <w:tcBorders>
                    <w:tl2br w:val="nil"/>
                    <w:tr2bl w:val="nil"/>
                  </w:tcBorders>
                  <w:vAlign w:val="center"/>
                </w:tcPr>
                <w:p w14:paraId="678C17B1">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水</w:t>
                  </w:r>
                </w:p>
              </w:tc>
              <w:tc>
                <w:tcPr>
                  <w:tcW w:w="1109" w:type="pct"/>
                  <w:tcBorders>
                    <w:tl2br w:val="nil"/>
                    <w:tr2bl w:val="nil"/>
                  </w:tcBorders>
                  <w:vAlign w:val="center"/>
                </w:tcPr>
                <w:p w14:paraId="77C70863">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管网接入</w:t>
                  </w:r>
                </w:p>
              </w:tc>
              <w:tc>
                <w:tcPr>
                  <w:tcW w:w="777" w:type="pct"/>
                  <w:tcBorders>
                    <w:tl2br w:val="nil"/>
                    <w:tr2bl w:val="nil"/>
                  </w:tcBorders>
                  <w:vAlign w:val="center"/>
                </w:tcPr>
                <w:p w14:paraId="5A0B45D3">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1050.4 m</w:t>
                  </w:r>
                  <w:r>
                    <w:rPr>
                      <w:rFonts w:hint="eastAsia" w:ascii="Times New Roman" w:hAnsi="Times New Roman" w:eastAsia="宋体"/>
                      <w:color w:val="auto"/>
                      <w:sz w:val="21"/>
                      <w:szCs w:val="21"/>
                      <w:highlight w:val="none"/>
                      <w:vertAlign w:val="superscript"/>
                      <w:lang w:val="en-US" w:eastAsia="zh-CN"/>
                    </w:rPr>
                    <w:t>3</w:t>
                  </w:r>
                </w:p>
              </w:tc>
              <w:tc>
                <w:tcPr>
                  <w:tcW w:w="733" w:type="pct"/>
                  <w:tcBorders>
                    <w:tl2br w:val="nil"/>
                    <w:tr2bl w:val="nil"/>
                  </w:tcBorders>
                  <w:vAlign w:val="center"/>
                </w:tcPr>
                <w:p w14:paraId="5FA9276B">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w:t>
                  </w:r>
                </w:p>
              </w:tc>
              <w:tc>
                <w:tcPr>
                  <w:tcW w:w="1015" w:type="pct"/>
                  <w:tcBorders>
                    <w:tl2br w:val="nil"/>
                    <w:tr2bl w:val="nil"/>
                  </w:tcBorders>
                  <w:vAlign w:val="center"/>
                </w:tcPr>
                <w:p w14:paraId="6AC02482">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市政供水</w:t>
                  </w:r>
                </w:p>
              </w:tc>
            </w:tr>
            <w:tr w14:paraId="1219E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8" w:type="pct"/>
                  <w:vMerge w:val="continue"/>
                  <w:tcBorders>
                    <w:tl2br w:val="nil"/>
                    <w:tr2bl w:val="nil"/>
                  </w:tcBorders>
                  <w:vAlign w:val="center"/>
                </w:tcPr>
                <w:p w14:paraId="50A2644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olor w:val="auto"/>
                      <w:sz w:val="21"/>
                      <w:szCs w:val="21"/>
                      <w:highlight w:val="none"/>
                      <w:vertAlign w:val="baseline"/>
                      <w:lang w:val="en-US" w:eastAsia="zh-CN"/>
                    </w:rPr>
                  </w:pPr>
                </w:p>
              </w:tc>
              <w:tc>
                <w:tcPr>
                  <w:tcW w:w="835" w:type="pct"/>
                  <w:tcBorders>
                    <w:tl2br w:val="nil"/>
                    <w:tr2bl w:val="nil"/>
                  </w:tcBorders>
                  <w:vAlign w:val="center"/>
                </w:tcPr>
                <w:p w14:paraId="35D08103">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电</w:t>
                  </w:r>
                </w:p>
              </w:tc>
              <w:tc>
                <w:tcPr>
                  <w:tcW w:w="1109" w:type="pct"/>
                  <w:tcBorders>
                    <w:tl2br w:val="nil"/>
                    <w:tr2bl w:val="nil"/>
                  </w:tcBorders>
                  <w:vAlign w:val="center"/>
                </w:tcPr>
                <w:p w14:paraId="4BD4EAD0">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电网接入</w:t>
                  </w:r>
                </w:p>
              </w:tc>
              <w:tc>
                <w:tcPr>
                  <w:tcW w:w="777" w:type="pct"/>
                  <w:tcBorders>
                    <w:tl2br w:val="nil"/>
                    <w:tr2bl w:val="nil"/>
                  </w:tcBorders>
                  <w:vAlign w:val="center"/>
                </w:tcPr>
                <w:p w14:paraId="67468333">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50万kW·h</w:t>
                  </w:r>
                </w:p>
              </w:tc>
              <w:tc>
                <w:tcPr>
                  <w:tcW w:w="733" w:type="pct"/>
                  <w:tcBorders>
                    <w:tl2br w:val="nil"/>
                    <w:tr2bl w:val="nil"/>
                  </w:tcBorders>
                  <w:vAlign w:val="center"/>
                </w:tcPr>
                <w:p w14:paraId="76AA55C9">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w:t>
                  </w:r>
                </w:p>
              </w:tc>
              <w:tc>
                <w:tcPr>
                  <w:tcW w:w="1015" w:type="pct"/>
                  <w:tcBorders>
                    <w:tl2br w:val="nil"/>
                    <w:tr2bl w:val="nil"/>
                  </w:tcBorders>
                  <w:vAlign w:val="center"/>
                </w:tcPr>
                <w:p w14:paraId="100DAC71">
                  <w:pPr>
                    <w:keepNext w:val="0"/>
                    <w:keepLines w:val="0"/>
                    <w:pageBreakBefore w:val="0"/>
                    <w:widowControl w:val="0"/>
                    <w:kinsoku/>
                    <w:wordWrap/>
                    <w:overflowPunct/>
                    <w:topLinePunct w:val="0"/>
                    <w:autoSpaceDE/>
                    <w:autoSpaceDN/>
                    <w:bidi w:val="0"/>
                    <w:adjustRightInd/>
                    <w:snapToGrid/>
                    <w:spacing w:line="305"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市政供电</w:t>
                  </w:r>
                </w:p>
              </w:tc>
            </w:tr>
          </w:tbl>
          <w:p w14:paraId="5D25B404">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2.12.6现有工程主要生产设备</w:t>
            </w:r>
          </w:p>
          <w:p w14:paraId="7B820932">
            <w:pPr>
              <w:pStyle w:val="20"/>
              <w:keepNext w:val="0"/>
              <w:keepLines w:val="0"/>
              <w:pageBreakBefore w:val="0"/>
              <w:widowControl/>
              <w:kinsoku/>
              <w:wordWrap/>
              <w:overflowPunct/>
              <w:topLinePunct w:val="0"/>
              <w:autoSpaceDE/>
              <w:autoSpaceDN/>
              <w:bidi w:val="0"/>
              <w:adjustRightInd w:val="0"/>
              <w:snapToGrid w:val="0"/>
              <w:spacing w:before="0" w:after="0"/>
              <w:ind w:right="0" w:firstLine="420"/>
              <w:textAlignment w:val="baseline"/>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现有工程主要生产设备详见表2-15。</w:t>
            </w:r>
          </w:p>
          <w:p w14:paraId="329DA8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表2</w:t>
            </w:r>
            <w:r>
              <w:rPr>
                <w:rFonts w:hint="eastAsia" w:ascii="Times New Roman" w:hAnsi="Times New Roman" w:eastAsia="宋体" w:cs="Times New Roman"/>
                <w:color w:val="auto"/>
                <w:sz w:val="24"/>
                <w:szCs w:val="24"/>
                <w:highlight w:val="none"/>
                <w:vertAlign w:val="baseline"/>
                <w:lang w:val="en-US" w:eastAsia="zh-CN"/>
              </w:rPr>
              <w:t>-15</w:t>
            </w:r>
            <w:r>
              <w:rPr>
                <w:rFonts w:hint="default" w:ascii="Times New Roman" w:hAnsi="Times New Roman" w:eastAsia="宋体" w:cs="Times New Roman"/>
                <w:color w:val="auto"/>
                <w:sz w:val="24"/>
                <w:szCs w:val="24"/>
                <w:highlight w:val="none"/>
                <w:vertAlign w:val="baseline"/>
                <w:lang w:val="en-US" w:eastAsia="zh-CN"/>
              </w:rPr>
              <w:t xml:space="preserve">  现有工程主要设备一览表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01"/>
              <w:gridCol w:w="1921"/>
              <w:gridCol w:w="2624"/>
              <w:gridCol w:w="1287"/>
              <w:gridCol w:w="1555"/>
            </w:tblGrid>
            <w:tr w14:paraId="24618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3B2F5D8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序号</w:t>
                  </w:r>
                </w:p>
              </w:tc>
              <w:tc>
                <w:tcPr>
                  <w:tcW w:w="1145" w:type="pct"/>
                  <w:tcBorders>
                    <w:tl2br w:val="nil"/>
                    <w:tr2bl w:val="nil"/>
                  </w:tcBorders>
                  <w:vAlign w:val="center"/>
                </w:tcPr>
                <w:p w14:paraId="4C55396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设备名称</w:t>
                  </w:r>
                </w:p>
              </w:tc>
              <w:tc>
                <w:tcPr>
                  <w:tcW w:w="1564" w:type="pct"/>
                  <w:tcBorders>
                    <w:tl2br w:val="nil"/>
                    <w:tr2bl w:val="nil"/>
                  </w:tcBorders>
                  <w:vAlign w:val="center"/>
                </w:tcPr>
                <w:p w14:paraId="36412A2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参数/规格</w:t>
                  </w:r>
                </w:p>
              </w:tc>
              <w:tc>
                <w:tcPr>
                  <w:tcW w:w="767" w:type="pct"/>
                  <w:tcBorders>
                    <w:tl2br w:val="nil"/>
                    <w:tr2bl w:val="nil"/>
                  </w:tcBorders>
                  <w:vAlign w:val="center"/>
                </w:tcPr>
                <w:p w14:paraId="7BB4462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数量/台</w:t>
                  </w:r>
                </w:p>
              </w:tc>
              <w:tc>
                <w:tcPr>
                  <w:tcW w:w="925" w:type="pct"/>
                  <w:tcBorders>
                    <w:tl2br w:val="nil"/>
                    <w:tr2bl w:val="nil"/>
                  </w:tcBorders>
                  <w:vAlign w:val="center"/>
                </w:tcPr>
                <w:p w14:paraId="3414094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应用工序</w:t>
                  </w:r>
                </w:p>
              </w:tc>
            </w:tr>
            <w:tr w14:paraId="7B042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4E5AFD18">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w:t>
                  </w:r>
                </w:p>
              </w:tc>
              <w:tc>
                <w:tcPr>
                  <w:tcW w:w="1145" w:type="pct"/>
                  <w:tcBorders>
                    <w:tl2br w:val="nil"/>
                    <w:tr2bl w:val="nil"/>
                  </w:tcBorders>
                  <w:vAlign w:val="center"/>
                </w:tcPr>
                <w:p w14:paraId="5E020C5A">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剪板机</w:t>
                  </w:r>
                </w:p>
              </w:tc>
              <w:tc>
                <w:tcPr>
                  <w:tcW w:w="1564" w:type="pct"/>
                  <w:tcBorders>
                    <w:tl2br w:val="nil"/>
                    <w:tr2bl w:val="nil"/>
                  </w:tcBorders>
                  <w:vAlign w:val="center"/>
                </w:tcPr>
                <w:p w14:paraId="083EBF0A">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Q1Y6*2500、QB11-3*1300</w:t>
                  </w:r>
                </w:p>
              </w:tc>
              <w:tc>
                <w:tcPr>
                  <w:tcW w:w="767" w:type="pct"/>
                  <w:tcBorders>
                    <w:tl2br w:val="nil"/>
                    <w:tr2bl w:val="nil"/>
                  </w:tcBorders>
                  <w:vAlign w:val="center"/>
                </w:tcPr>
                <w:p w14:paraId="2FEC9979">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925" w:type="pct"/>
                  <w:vMerge w:val="restart"/>
                  <w:tcBorders>
                    <w:tl2br w:val="nil"/>
                    <w:tr2bl w:val="nil"/>
                  </w:tcBorders>
                  <w:vAlign w:val="center"/>
                </w:tcPr>
                <w:p w14:paraId="291ECC7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下料</w:t>
                  </w:r>
                </w:p>
              </w:tc>
            </w:tr>
            <w:tr w14:paraId="23EB2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2AF62391">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2</w:t>
                  </w:r>
                </w:p>
              </w:tc>
              <w:tc>
                <w:tcPr>
                  <w:tcW w:w="1145" w:type="pct"/>
                  <w:tcBorders>
                    <w:tl2br w:val="nil"/>
                    <w:tr2bl w:val="nil"/>
                  </w:tcBorders>
                  <w:vAlign w:val="center"/>
                </w:tcPr>
                <w:p w14:paraId="4F84A769">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激光切管机</w:t>
                  </w:r>
                </w:p>
              </w:tc>
              <w:tc>
                <w:tcPr>
                  <w:tcW w:w="1564" w:type="pct"/>
                  <w:tcBorders>
                    <w:tl2br w:val="nil"/>
                    <w:tr2bl w:val="nil"/>
                  </w:tcBorders>
                  <w:vAlign w:val="center"/>
                </w:tcPr>
                <w:p w14:paraId="7FA85A03">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FLT-6022L</w:t>
                  </w:r>
                </w:p>
              </w:tc>
              <w:tc>
                <w:tcPr>
                  <w:tcW w:w="767" w:type="pct"/>
                  <w:tcBorders>
                    <w:tl2br w:val="nil"/>
                    <w:tr2bl w:val="nil"/>
                  </w:tcBorders>
                  <w:vAlign w:val="center"/>
                </w:tcPr>
                <w:p w14:paraId="37FCCA52">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5CE8F7A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08033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34DE62BF">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3</w:t>
                  </w:r>
                </w:p>
              </w:tc>
              <w:tc>
                <w:tcPr>
                  <w:tcW w:w="1145" w:type="pct"/>
                  <w:tcBorders>
                    <w:tl2br w:val="nil"/>
                    <w:tr2bl w:val="nil"/>
                  </w:tcBorders>
                  <w:vAlign w:val="center"/>
                </w:tcPr>
                <w:p w14:paraId="4E6EA43E">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气动切管机</w:t>
                  </w:r>
                </w:p>
              </w:tc>
              <w:tc>
                <w:tcPr>
                  <w:tcW w:w="1564" w:type="pct"/>
                  <w:tcBorders>
                    <w:tl2br w:val="nil"/>
                    <w:tr2bl w:val="nil"/>
                  </w:tcBorders>
                  <w:vAlign w:val="center"/>
                </w:tcPr>
                <w:p w14:paraId="2A9A4749">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315F</w:t>
                  </w:r>
                </w:p>
              </w:tc>
              <w:tc>
                <w:tcPr>
                  <w:tcW w:w="767" w:type="pct"/>
                  <w:tcBorders>
                    <w:tl2br w:val="nil"/>
                    <w:tr2bl w:val="nil"/>
                  </w:tcBorders>
                  <w:vAlign w:val="center"/>
                </w:tcPr>
                <w:p w14:paraId="14EFA626">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w:t>
                  </w:r>
                </w:p>
              </w:tc>
              <w:tc>
                <w:tcPr>
                  <w:tcW w:w="925" w:type="pct"/>
                  <w:vMerge w:val="continue"/>
                  <w:tcBorders>
                    <w:tl2br w:val="nil"/>
                    <w:tr2bl w:val="nil"/>
                  </w:tcBorders>
                  <w:vAlign w:val="center"/>
                </w:tcPr>
                <w:p w14:paraId="318908D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02E2F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894EFBE">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4</w:t>
                  </w:r>
                </w:p>
              </w:tc>
              <w:tc>
                <w:tcPr>
                  <w:tcW w:w="1145" w:type="pct"/>
                  <w:tcBorders>
                    <w:tl2br w:val="nil"/>
                    <w:tr2bl w:val="nil"/>
                  </w:tcBorders>
                  <w:vAlign w:val="center"/>
                </w:tcPr>
                <w:p w14:paraId="36587BAE">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冲弧机</w:t>
                  </w:r>
                </w:p>
              </w:tc>
              <w:tc>
                <w:tcPr>
                  <w:tcW w:w="1564" w:type="pct"/>
                  <w:tcBorders>
                    <w:tl2br w:val="nil"/>
                    <w:tr2bl w:val="nil"/>
                  </w:tcBorders>
                  <w:vAlign w:val="center"/>
                </w:tcPr>
                <w:p w14:paraId="50F96B69">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CH-50NC</w:t>
                  </w:r>
                </w:p>
              </w:tc>
              <w:tc>
                <w:tcPr>
                  <w:tcW w:w="767" w:type="pct"/>
                  <w:tcBorders>
                    <w:tl2br w:val="nil"/>
                    <w:tr2bl w:val="nil"/>
                  </w:tcBorders>
                  <w:vAlign w:val="center"/>
                </w:tcPr>
                <w:p w14:paraId="40E7C69A">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restart"/>
                  <w:tcBorders>
                    <w:tl2br w:val="nil"/>
                    <w:tr2bl w:val="nil"/>
                  </w:tcBorders>
                  <w:vAlign w:val="center"/>
                </w:tcPr>
                <w:p w14:paraId="4939803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整形</w:t>
                  </w:r>
                </w:p>
              </w:tc>
            </w:tr>
            <w:tr w14:paraId="04427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3DF04377">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w:t>
                  </w:r>
                </w:p>
              </w:tc>
              <w:tc>
                <w:tcPr>
                  <w:tcW w:w="1145" w:type="pct"/>
                  <w:tcBorders>
                    <w:tl2br w:val="nil"/>
                    <w:tr2bl w:val="nil"/>
                  </w:tcBorders>
                  <w:vAlign w:val="center"/>
                </w:tcPr>
                <w:p w14:paraId="4476B5A6">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缩管机</w:t>
                  </w:r>
                </w:p>
              </w:tc>
              <w:tc>
                <w:tcPr>
                  <w:tcW w:w="1564" w:type="pct"/>
                  <w:tcBorders>
                    <w:tl2br w:val="nil"/>
                    <w:tr2bl w:val="nil"/>
                  </w:tcBorders>
                  <w:vAlign w:val="center"/>
                </w:tcPr>
                <w:p w14:paraId="0D0FBE57">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TM-2S</w:t>
                  </w:r>
                </w:p>
              </w:tc>
              <w:tc>
                <w:tcPr>
                  <w:tcW w:w="767" w:type="pct"/>
                  <w:tcBorders>
                    <w:tl2br w:val="nil"/>
                    <w:tr2bl w:val="nil"/>
                  </w:tcBorders>
                  <w:vAlign w:val="center"/>
                </w:tcPr>
                <w:p w14:paraId="3CAF02C0">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1628EC1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6D935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AD88894">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6</w:t>
                  </w:r>
                </w:p>
              </w:tc>
              <w:tc>
                <w:tcPr>
                  <w:tcW w:w="1145" w:type="pct"/>
                  <w:tcBorders>
                    <w:tl2br w:val="nil"/>
                    <w:tr2bl w:val="nil"/>
                  </w:tcBorders>
                  <w:vAlign w:val="center"/>
                </w:tcPr>
                <w:p w14:paraId="7F40D3A3">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弯管机</w:t>
                  </w:r>
                </w:p>
              </w:tc>
              <w:tc>
                <w:tcPr>
                  <w:tcW w:w="1564" w:type="pct"/>
                  <w:tcBorders>
                    <w:tl2br w:val="nil"/>
                    <w:tr2bl w:val="nil"/>
                  </w:tcBorders>
                  <w:vAlign w:val="center"/>
                </w:tcPr>
                <w:p w14:paraId="781614D1">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DB-38</w:t>
                  </w:r>
                </w:p>
              </w:tc>
              <w:tc>
                <w:tcPr>
                  <w:tcW w:w="767" w:type="pct"/>
                  <w:tcBorders>
                    <w:tl2br w:val="nil"/>
                    <w:tr2bl w:val="nil"/>
                  </w:tcBorders>
                  <w:vAlign w:val="center"/>
                </w:tcPr>
                <w:p w14:paraId="3950FE5A">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w:t>
                  </w:r>
                </w:p>
              </w:tc>
              <w:tc>
                <w:tcPr>
                  <w:tcW w:w="925" w:type="pct"/>
                  <w:vMerge w:val="continue"/>
                  <w:tcBorders>
                    <w:tl2br w:val="nil"/>
                    <w:tr2bl w:val="nil"/>
                  </w:tcBorders>
                  <w:vAlign w:val="center"/>
                </w:tcPr>
                <w:p w14:paraId="26A0ED6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48835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8476DE8">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7</w:t>
                  </w:r>
                </w:p>
              </w:tc>
              <w:tc>
                <w:tcPr>
                  <w:tcW w:w="1145" w:type="pct"/>
                  <w:tcBorders>
                    <w:tl2br w:val="nil"/>
                    <w:tr2bl w:val="nil"/>
                  </w:tcBorders>
                  <w:vAlign w:val="center"/>
                </w:tcPr>
                <w:p w14:paraId="45FE9051">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液压机</w:t>
                  </w:r>
                </w:p>
              </w:tc>
              <w:tc>
                <w:tcPr>
                  <w:tcW w:w="1564" w:type="pct"/>
                  <w:tcBorders>
                    <w:tl2br w:val="nil"/>
                    <w:tr2bl w:val="nil"/>
                  </w:tcBorders>
                  <w:vAlign w:val="center"/>
                </w:tcPr>
                <w:p w14:paraId="747CF9C6">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YL27-400</w:t>
                  </w:r>
                </w:p>
              </w:tc>
              <w:tc>
                <w:tcPr>
                  <w:tcW w:w="767" w:type="pct"/>
                  <w:tcBorders>
                    <w:tl2br w:val="nil"/>
                    <w:tr2bl w:val="nil"/>
                  </w:tcBorders>
                  <w:vAlign w:val="center"/>
                </w:tcPr>
                <w:p w14:paraId="6CFB864A">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925" w:type="pct"/>
                  <w:vMerge w:val="restart"/>
                  <w:tcBorders>
                    <w:tl2br w:val="nil"/>
                    <w:tr2bl w:val="nil"/>
                  </w:tcBorders>
                  <w:vAlign w:val="center"/>
                </w:tcPr>
                <w:p w14:paraId="3D72F23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拉伸、成型</w:t>
                  </w:r>
                </w:p>
              </w:tc>
            </w:tr>
            <w:tr w14:paraId="364A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0CE2A179">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8</w:t>
                  </w:r>
                </w:p>
              </w:tc>
              <w:tc>
                <w:tcPr>
                  <w:tcW w:w="1145" w:type="pct"/>
                  <w:tcBorders>
                    <w:tl2br w:val="nil"/>
                    <w:tr2bl w:val="nil"/>
                  </w:tcBorders>
                  <w:vAlign w:val="center"/>
                </w:tcPr>
                <w:p w14:paraId="2A3CE844">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液压机</w:t>
                  </w:r>
                </w:p>
              </w:tc>
              <w:tc>
                <w:tcPr>
                  <w:tcW w:w="1564" w:type="pct"/>
                  <w:tcBorders>
                    <w:tl2br w:val="nil"/>
                    <w:tr2bl w:val="nil"/>
                  </w:tcBorders>
                  <w:vAlign w:val="center"/>
                </w:tcPr>
                <w:p w14:paraId="686E6AB6">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YL32-200</w:t>
                  </w:r>
                </w:p>
              </w:tc>
              <w:tc>
                <w:tcPr>
                  <w:tcW w:w="767" w:type="pct"/>
                  <w:tcBorders>
                    <w:tl2br w:val="nil"/>
                    <w:tr2bl w:val="nil"/>
                  </w:tcBorders>
                  <w:vAlign w:val="center"/>
                </w:tcPr>
                <w:p w14:paraId="5543840F">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925" w:type="pct"/>
                  <w:vMerge w:val="continue"/>
                  <w:tcBorders>
                    <w:tl2br w:val="nil"/>
                    <w:tr2bl w:val="nil"/>
                  </w:tcBorders>
                  <w:vAlign w:val="center"/>
                </w:tcPr>
                <w:p w14:paraId="714EB85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3EC1B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70D776C">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9</w:t>
                  </w:r>
                </w:p>
              </w:tc>
              <w:tc>
                <w:tcPr>
                  <w:tcW w:w="1145" w:type="pct"/>
                  <w:tcBorders>
                    <w:tl2br w:val="nil"/>
                    <w:tr2bl w:val="nil"/>
                  </w:tcBorders>
                  <w:vAlign w:val="center"/>
                </w:tcPr>
                <w:p w14:paraId="0D4A685C">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液压机</w:t>
                  </w:r>
                </w:p>
              </w:tc>
              <w:tc>
                <w:tcPr>
                  <w:tcW w:w="1564" w:type="pct"/>
                  <w:tcBorders>
                    <w:tl2br w:val="nil"/>
                    <w:tr2bl w:val="nil"/>
                  </w:tcBorders>
                  <w:vAlign w:val="center"/>
                </w:tcPr>
                <w:p w14:paraId="65935F70">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YH27-800</w:t>
                  </w:r>
                </w:p>
              </w:tc>
              <w:tc>
                <w:tcPr>
                  <w:tcW w:w="767" w:type="pct"/>
                  <w:tcBorders>
                    <w:tl2br w:val="nil"/>
                    <w:tr2bl w:val="nil"/>
                  </w:tcBorders>
                  <w:vAlign w:val="center"/>
                </w:tcPr>
                <w:p w14:paraId="0119C541">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3C91B8E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7675C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4B6768B1">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10</w:t>
                  </w:r>
                </w:p>
              </w:tc>
              <w:tc>
                <w:tcPr>
                  <w:tcW w:w="1145" w:type="pct"/>
                  <w:tcBorders>
                    <w:tl2br w:val="nil"/>
                    <w:tr2bl w:val="nil"/>
                  </w:tcBorders>
                  <w:vAlign w:val="center"/>
                </w:tcPr>
                <w:p w14:paraId="2623E26B">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液压机</w:t>
                  </w:r>
                </w:p>
              </w:tc>
              <w:tc>
                <w:tcPr>
                  <w:tcW w:w="1564" w:type="pct"/>
                  <w:tcBorders>
                    <w:tl2br w:val="nil"/>
                    <w:tr2bl w:val="nil"/>
                  </w:tcBorders>
                  <w:vAlign w:val="center"/>
                </w:tcPr>
                <w:p w14:paraId="073BFA66">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KY32-630B</w:t>
                  </w:r>
                </w:p>
              </w:tc>
              <w:tc>
                <w:tcPr>
                  <w:tcW w:w="767" w:type="pct"/>
                  <w:tcBorders>
                    <w:tl2br w:val="nil"/>
                    <w:tr2bl w:val="nil"/>
                  </w:tcBorders>
                  <w:vAlign w:val="center"/>
                </w:tcPr>
                <w:p w14:paraId="68DE0F9C">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1A27329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0EA92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97" w:type="pct"/>
                  <w:tcBorders>
                    <w:tl2br w:val="nil"/>
                    <w:tr2bl w:val="nil"/>
                  </w:tcBorders>
                  <w:vAlign w:val="center"/>
                </w:tcPr>
                <w:p w14:paraId="0E102017">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11</w:t>
                  </w:r>
                </w:p>
              </w:tc>
              <w:tc>
                <w:tcPr>
                  <w:tcW w:w="1145" w:type="pct"/>
                  <w:tcBorders>
                    <w:tl2br w:val="nil"/>
                    <w:tr2bl w:val="nil"/>
                  </w:tcBorders>
                  <w:vAlign w:val="center"/>
                </w:tcPr>
                <w:p w14:paraId="6571A254">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液压机</w:t>
                  </w:r>
                </w:p>
              </w:tc>
              <w:tc>
                <w:tcPr>
                  <w:tcW w:w="1564" w:type="pct"/>
                  <w:tcBorders>
                    <w:tl2br w:val="nil"/>
                    <w:tr2bl w:val="nil"/>
                  </w:tcBorders>
                  <w:vAlign w:val="center"/>
                </w:tcPr>
                <w:p w14:paraId="4EB7B03F">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JH21-250B</w:t>
                  </w:r>
                </w:p>
              </w:tc>
              <w:tc>
                <w:tcPr>
                  <w:tcW w:w="767" w:type="pct"/>
                  <w:tcBorders>
                    <w:tl2br w:val="nil"/>
                    <w:tr2bl w:val="nil"/>
                  </w:tcBorders>
                  <w:vAlign w:val="center"/>
                </w:tcPr>
                <w:p w14:paraId="43756D84">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5632D45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568CD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3F1F5D8F">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12</w:t>
                  </w:r>
                </w:p>
              </w:tc>
              <w:tc>
                <w:tcPr>
                  <w:tcW w:w="1145" w:type="pct"/>
                  <w:tcBorders>
                    <w:tl2br w:val="nil"/>
                    <w:tr2bl w:val="nil"/>
                  </w:tcBorders>
                  <w:vAlign w:val="center"/>
                </w:tcPr>
                <w:p w14:paraId="322D9642">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压力机</w:t>
                  </w:r>
                </w:p>
                <w:p w14:paraId="23E16311">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（冲床）</w:t>
                  </w:r>
                </w:p>
              </w:tc>
              <w:tc>
                <w:tcPr>
                  <w:tcW w:w="1564" w:type="pct"/>
                  <w:tcBorders>
                    <w:tl2br w:val="nil"/>
                    <w:tr2bl w:val="nil"/>
                  </w:tcBorders>
                  <w:vAlign w:val="center"/>
                </w:tcPr>
                <w:p w14:paraId="4F32E31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JC23-16、JC23-25、JC23-35、JC23-80、JC23-100、JC23-125</w:t>
                  </w:r>
                </w:p>
              </w:tc>
              <w:tc>
                <w:tcPr>
                  <w:tcW w:w="767" w:type="pct"/>
                  <w:tcBorders>
                    <w:tl2br w:val="nil"/>
                    <w:tr2bl w:val="nil"/>
                  </w:tcBorders>
                  <w:vAlign w:val="center"/>
                </w:tcPr>
                <w:p w14:paraId="45001637">
                  <w:pPr>
                    <w:keepNext w:val="0"/>
                    <w:keepLines w:val="0"/>
                    <w:pageBreakBefore w:val="0"/>
                    <w:widowControl w:val="0"/>
                    <w:kinsoku/>
                    <w:wordWrap/>
                    <w:overflowPunct/>
                    <w:topLinePunct w:val="0"/>
                    <w:autoSpaceDE/>
                    <w:autoSpaceDN/>
                    <w:bidi w:val="0"/>
                    <w:adjustRightInd/>
                    <w:snapToGrid/>
                    <w:spacing w:line="29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27</w:t>
                  </w:r>
                </w:p>
              </w:tc>
              <w:tc>
                <w:tcPr>
                  <w:tcW w:w="925" w:type="pct"/>
                  <w:tcBorders>
                    <w:tl2br w:val="nil"/>
                    <w:tr2bl w:val="nil"/>
                  </w:tcBorders>
                  <w:vAlign w:val="center"/>
                </w:tcPr>
                <w:p w14:paraId="2B1979C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冲孔、冲压落料件等工艺</w:t>
                  </w:r>
                </w:p>
              </w:tc>
            </w:tr>
            <w:tr w14:paraId="431B5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5" w:hRule="atLeast"/>
                <w:jc w:val="center"/>
              </w:trPr>
              <w:tc>
                <w:tcPr>
                  <w:tcW w:w="597" w:type="pct"/>
                  <w:tcBorders>
                    <w:tl2br w:val="nil"/>
                    <w:tr2bl w:val="nil"/>
                  </w:tcBorders>
                  <w:vAlign w:val="center"/>
                </w:tcPr>
                <w:p w14:paraId="6A54BA42">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13</w:t>
                  </w:r>
                </w:p>
              </w:tc>
              <w:tc>
                <w:tcPr>
                  <w:tcW w:w="1145" w:type="pct"/>
                  <w:tcBorders>
                    <w:tl2br w:val="nil"/>
                    <w:tr2bl w:val="nil"/>
                  </w:tcBorders>
                  <w:vAlign w:val="center"/>
                </w:tcPr>
                <w:p w14:paraId="0C4389F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保护焊机</w:t>
                  </w:r>
                </w:p>
              </w:tc>
              <w:tc>
                <w:tcPr>
                  <w:tcW w:w="1564" w:type="pct"/>
                  <w:tcBorders>
                    <w:tl2br w:val="nil"/>
                    <w:tr2bl w:val="nil"/>
                  </w:tcBorders>
                  <w:vAlign w:val="center"/>
                </w:tcPr>
                <w:p w14:paraId="74D50F1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KR2-350、NBC350IGBT</w:t>
                  </w:r>
                </w:p>
              </w:tc>
              <w:tc>
                <w:tcPr>
                  <w:tcW w:w="767" w:type="pct"/>
                  <w:tcBorders>
                    <w:tl2br w:val="nil"/>
                    <w:tr2bl w:val="nil"/>
                  </w:tcBorders>
                  <w:vAlign w:val="center"/>
                </w:tcPr>
                <w:p w14:paraId="0EC06B77">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16</w:t>
                  </w:r>
                </w:p>
              </w:tc>
              <w:tc>
                <w:tcPr>
                  <w:tcW w:w="925" w:type="pct"/>
                  <w:vMerge w:val="restart"/>
                  <w:tcBorders>
                    <w:tl2br w:val="nil"/>
                    <w:tr2bl w:val="nil"/>
                  </w:tcBorders>
                  <w:vAlign w:val="center"/>
                </w:tcPr>
                <w:p w14:paraId="706A802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CO</w:t>
                  </w:r>
                  <w:r>
                    <w:rPr>
                      <w:rFonts w:hint="eastAsia" w:ascii="Times New Roman" w:hAnsi="Times New Roman" w:eastAsia="宋体" w:cs="宋体"/>
                      <w:b w:val="0"/>
                      <w:bCs/>
                      <w:color w:val="auto"/>
                      <w:kern w:val="0"/>
                      <w:sz w:val="21"/>
                      <w:szCs w:val="21"/>
                      <w:highlight w:val="none"/>
                      <w:vertAlign w:val="subscript"/>
                      <w:lang w:val="en-US" w:eastAsia="zh-CN" w:bidi="ar"/>
                    </w:rPr>
                    <w:t>2</w:t>
                  </w:r>
                  <w:r>
                    <w:rPr>
                      <w:rFonts w:hint="eastAsia" w:ascii="Times New Roman" w:hAnsi="Times New Roman" w:eastAsia="宋体" w:cs="宋体"/>
                      <w:b w:val="0"/>
                      <w:bCs/>
                      <w:color w:val="auto"/>
                      <w:kern w:val="0"/>
                      <w:sz w:val="21"/>
                      <w:szCs w:val="21"/>
                      <w:highlight w:val="none"/>
                      <w:lang w:val="en-US" w:eastAsia="zh-CN" w:bidi="ar"/>
                    </w:rPr>
                    <w:t>保护焊</w:t>
                  </w:r>
                </w:p>
              </w:tc>
            </w:tr>
            <w:tr w14:paraId="47F95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0B300AE">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14</w:t>
                  </w:r>
                </w:p>
              </w:tc>
              <w:tc>
                <w:tcPr>
                  <w:tcW w:w="1145" w:type="pct"/>
                  <w:tcBorders>
                    <w:tl2br w:val="nil"/>
                    <w:tr2bl w:val="nil"/>
                  </w:tcBorders>
                  <w:vAlign w:val="center"/>
                </w:tcPr>
                <w:p w14:paraId="62B9E6DA">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焊接机器人</w:t>
                  </w:r>
                </w:p>
              </w:tc>
              <w:tc>
                <w:tcPr>
                  <w:tcW w:w="1564" w:type="pct"/>
                  <w:tcBorders>
                    <w:tl2br w:val="nil"/>
                    <w:tr2bl w:val="nil"/>
                  </w:tcBorders>
                  <w:vAlign w:val="center"/>
                </w:tcPr>
                <w:p w14:paraId="49530162">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CPVE400</w:t>
                  </w:r>
                </w:p>
              </w:tc>
              <w:tc>
                <w:tcPr>
                  <w:tcW w:w="767" w:type="pct"/>
                  <w:tcBorders>
                    <w:tl2br w:val="nil"/>
                    <w:tr2bl w:val="nil"/>
                  </w:tcBorders>
                  <w:vAlign w:val="center"/>
                </w:tcPr>
                <w:p w14:paraId="0C2BC13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5</w:t>
                  </w:r>
                </w:p>
              </w:tc>
              <w:tc>
                <w:tcPr>
                  <w:tcW w:w="925" w:type="pct"/>
                  <w:vMerge w:val="continue"/>
                  <w:tcBorders>
                    <w:tl2br w:val="nil"/>
                    <w:tr2bl w:val="nil"/>
                  </w:tcBorders>
                  <w:vAlign w:val="center"/>
                </w:tcPr>
                <w:p w14:paraId="5398FD1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745D5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793AD816">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15</w:t>
                  </w:r>
                </w:p>
              </w:tc>
              <w:tc>
                <w:tcPr>
                  <w:tcW w:w="1145" w:type="pct"/>
                  <w:tcBorders>
                    <w:tl2br w:val="nil"/>
                    <w:tr2bl w:val="nil"/>
                  </w:tcBorders>
                  <w:vAlign w:val="center"/>
                </w:tcPr>
                <w:p w14:paraId="20A17D61">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中频点焊机</w:t>
                  </w:r>
                </w:p>
              </w:tc>
              <w:tc>
                <w:tcPr>
                  <w:tcW w:w="1564" w:type="pct"/>
                  <w:tcBorders>
                    <w:tl2br w:val="nil"/>
                    <w:tr2bl w:val="nil"/>
                  </w:tcBorders>
                  <w:vAlign w:val="center"/>
                </w:tcPr>
                <w:p w14:paraId="19B1D795">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DN-40、DN-100</w:t>
                  </w:r>
                </w:p>
              </w:tc>
              <w:tc>
                <w:tcPr>
                  <w:tcW w:w="767" w:type="pct"/>
                  <w:tcBorders>
                    <w:tl2br w:val="nil"/>
                    <w:tr2bl w:val="nil"/>
                  </w:tcBorders>
                  <w:vAlign w:val="center"/>
                </w:tcPr>
                <w:p w14:paraId="0E89512C">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4</w:t>
                  </w:r>
                </w:p>
              </w:tc>
              <w:tc>
                <w:tcPr>
                  <w:tcW w:w="925" w:type="pct"/>
                  <w:tcBorders>
                    <w:tl2br w:val="nil"/>
                    <w:tr2bl w:val="nil"/>
                  </w:tcBorders>
                  <w:vAlign w:val="center"/>
                </w:tcPr>
                <w:p w14:paraId="5F19A57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电阻焊</w:t>
                  </w:r>
                </w:p>
              </w:tc>
            </w:tr>
            <w:tr w14:paraId="5C03D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2DAB2C03">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16</w:t>
                  </w:r>
                </w:p>
              </w:tc>
              <w:tc>
                <w:tcPr>
                  <w:tcW w:w="1145" w:type="pct"/>
                  <w:tcBorders>
                    <w:tl2br w:val="nil"/>
                    <w:tr2bl w:val="nil"/>
                  </w:tcBorders>
                  <w:vAlign w:val="center"/>
                </w:tcPr>
                <w:p w14:paraId="291CD684">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砂轮机</w:t>
                  </w:r>
                </w:p>
              </w:tc>
              <w:tc>
                <w:tcPr>
                  <w:tcW w:w="1564" w:type="pct"/>
                  <w:tcBorders>
                    <w:tl2br w:val="nil"/>
                    <w:tr2bl w:val="nil"/>
                  </w:tcBorders>
                  <w:vAlign w:val="center"/>
                </w:tcPr>
                <w:p w14:paraId="6ACB8B2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S380-15</w:t>
                  </w:r>
                </w:p>
              </w:tc>
              <w:tc>
                <w:tcPr>
                  <w:tcW w:w="767" w:type="pct"/>
                  <w:tcBorders>
                    <w:tl2br w:val="nil"/>
                    <w:tr2bl w:val="nil"/>
                  </w:tcBorders>
                  <w:vAlign w:val="center"/>
                </w:tcPr>
                <w:p w14:paraId="794D989B">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4</w:t>
                  </w:r>
                </w:p>
              </w:tc>
              <w:tc>
                <w:tcPr>
                  <w:tcW w:w="925" w:type="pct"/>
                  <w:tcBorders>
                    <w:tl2br w:val="nil"/>
                    <w:tr2bl w:val="nil"/>
                  </w:tcBorders>
                  <w:vAlign w:val="center"/>
                </w:tcPr>
                <w:p w14:paraId="72161D5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打磨毛刺</w:t>
                  </w:r>
                </w:p>
              </w:tc>
            </w:tr>
            <w:tr w14:paraId="1E254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006C48CE">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17</w:t>
                  </w:r>
                </w:p>
              </w:tc>
              <w:tc>
                <w:tcPr>
                  <w:tcW w:w="1145" w:type="pct"/>
                  <w:tcBorders>
                    <w:tl2br w:val="nil"/>
                    <w:tr2bl w:val="nil"/>
                  </w:tcBorders>
                  <w:vAlign w:val="center"/>
                </w:tcPr>
                <w:p w14:paraId="11699E59">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攻丝机</w:t>
                  </w:r>
                </w:p>
              </w:tc>
              <w:tc>
                <w:tcPr>
                  <w:tcW w:w="1564" w:type="pct"/>
                  <w:tcBorders>
                    <w:tl2br w:val="nil"/>
                    <w:tr2bl w:val="nil"/>
                  </w:tcBorders>
                  <w:vAlign w:val="center"/>
                </w:tcPr>
                <w:p w14:paraId="44974C7F">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SWJ-10B</w:t>
                  </w:r>
                </w:p>
              </w:tc>
              <w:tc>
                <w:tcPr>
                  <w:tcW w:w="767" w:type="pct"/>
                  <w:tcBorders>
                    <w:tl2br w:val="nil"/>
                    <w:tr2bl w:val="nil"/>
                  </w:tcBorders>
                  <w:vAlign w:val="center"/>
                </w:tcPr>
                <w:p w14:paraId="4B4EF7EE">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5</w:t>
                  </w:r>
                </w:p>
              </w:tc>
              <w:tc>
                <w:tcPr>
                  <w:tcW w:w="925" w:type="pct"/>
                  <w:vMerge w:val="restart"/>
                  <w:tcBorders>
                    <w:tl2br w:val="nil"/>
                    <w:tr2bl w:val="nil"/>
                  </w:tcBorders>
                  <w:vAlign w:val="center"/>
                </w:tcPr>
                <w:p w14:paraId="2B7F9A2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冲压模具维修维护</w:t>
                  </w:r>
                </w:p>
              </w:tc>
            </w:tr>
            <w:tr w14:paraId="465BB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5067D3AB">
                  <w:pPr>
                    <w:keepNext w:val="0"/>
                    <w:keepLines w:val="0"/>
                    <w:pageBreakBefore w:val="0"/>
                    <w:widowControl w:val="0"/>
                    <w:kinsoku/>
                    <w:wordWrap/>
                    <w:overflowPunct/>
                    <w:topLinePunct w:val="0"/>
                    <w:autoSpaceDE/>
                    <w:autoSpaceDN/>
                    <w:bidi w:val="0"/>
                    <w:adjustRightInd/>
                    <w:snapToGrid/>
                    <w:spacing w:line="296"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18</w:t>
                  </w:r>
                </w:p>
              </w:tc>
              <w:tc>
                <w:tcPr>
                  <w:tcW w:w="1145" w:type="pct"/>
                  <w:tcBorders>
                    <w:tl2br w:val="nil"/>
                    <w:tr2bl w:val="nil"/>
                  </w:tcBorders>
                  <w:vAlign w:val="center"/>
                </w:tcPr>
                <w:p w14:paraId="4E650648">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台钻</w:t>
                  </w:r>
                </w:p>
              </w:tc>
              <w:tc>
                <w:tcPr>
                  <w:tcW w:w="1564" w:type="pct"/>
                  <w:tcBorders>
                    <w:tl2br w:val="nil"/>
                    <w:tr2bl w:val="nil"/>
                  </w:tcBorders>
                  <w:vAlign w:val="center"/>
                </w:tcPr>
                <w:p w14:paraId="223F26C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Z4116</w:t>
                  </w:r>
                </w:p>
              </w:tc>
              <w:tc>
                <w:tcPr>
                  <w:tcW w:w="767" w:type="pct"/>
                  <w:tcBorders>
                    <w:tl2br w:val="nil"/>
                    <w:tr2bl w:val="nil"/>
                  </w:tcBorders>
                  <w:vAlign w:val="center"/>
                </w:tcPr>
                <w:p w14:paraId="4947718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4</w:t>
                  </w:r>
                </w:p>
              </w:tc>
              <w:tc>
                <w:tcPr>
                  <w:tcW w:w="925" w:type="pct"/>
                  <w:vMerge w:val="continue"/>
                  <w:tcBorders>
                    <w:tl2br w:val="nil"/>
                    <w:tr2bl w:val="nil"/>
                  </w:tcBorders>
                  <w:vAlign w:val="center"/>
                </w:tcPr>
                <w:p w14:paraId="106628C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5D30D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225621E1">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19</w:t>
                  </w:r>
                </w:p>
              </w:tc>
              <w:tc>
                <w:tcPr>
                  <w:tcW w:w="1145" w:type="pct"/>
                  <w:tcBorders>
                    <w:tl2br w:val="nil"/>
                    <w:tr2bl w:val="nil"/>
                  </w:tcBorders>
                  <w:vAlign w:val="center"/>
                </w:tcPr>
                <w:p w14:paraId="1C36E6D7">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平面磨床</w:t>
                  </w:r>
                </w:p>
              </w:tc>
              <w:tc>
                <w:tcPr>
                  <w:tcW w:w="1564" w:type="pct"/>
                  <w:tcBorders>
                    <w:tl2br w:val="nil"/>
                    <w:tr2bl w:val="nil"/>
                  </w:tcBorders>
                  <w:vAlign w:val="center"/>
                </w:tcPr>
                <w:p w14:paraId="753A245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M71330G/F</w:t>
                  </w:r>
                </w:p>
              </w:tc>
              <w:tc>
                <w:tcPr>
                  <w:tcW w:w="767" w:type="pct"/>
                  <w:tcBorders>
                    <w:tl2br w:val="nil"/>
                    <w:tr2bl w:val="nil"/>
                  </w:tcBorders>
                  <w:vAlign w:val="center"/>
                </w:tcPr>
                <w:p w14:paraId="20442B71">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7409A26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6E597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17BC203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20</w:t>
                  </w:r>
                </w:p>
              </w:tc>
              <w:tc>
                <w:tcPr>
                  <w:tcW w:w="1145" w:type="pct"/>
                  <w:tcBorders>
                    <w:tl2br w:val="nil"/>
                    <w:tr2bl w:val="nil"/>
                  </w:tcBorders>
                  <w:vAlign w:val="center"/>
                </w:tcPr>
                <w:p w14:paraId="2F45F46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车床</w:t>
                  </w:r>
                </w:p>
              </w:tc>
              <w:tc>
                <w:tcPr>
                  <w:tcW w:w="1564" w:type="pct"/>
                  <w:tcBorders>
                    <w:tl2br w:val="nil"/>
                    <w:tr2bl w:val="nil"/>
                  </w:tcBorders>
                  <w:vAlign w:val="center"/>
                </w:tcPr>
                <w:p w14:paraId="218E8D7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C6140A</w:t>
                  </w:r>
                </w:p>
              </w:tc>
              <w:tc>
                <w:tcPr>
                  <w:tcW w:w="767" w:type="pct"/>
                  <w:tcBorders>
                    <w:tl2br w:val="nil"/>
                    <w:tr2bl w:val="nil"/>
                  </w:tcBorders>
                  <w:vAlign w:val="center"/>
                </w:tcPr>
                <w:p w14:paraId="2C2E6D7D">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6D0B1A2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3EC14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25883EF8">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21</w:t>
                  </w:r>
                </w:p>
              </w:tc>
              <w:tc>
                <w:tcPr>
                  <w:tcW w:w="1145" w:type="pct"/>
                  <w:tcBorders>
                    <w:tl2br w:val="nil"/>
                    <w:tr2bl w:val="nil"/>
                  </w:tcBorders>
                  <w:vAlign w:val="center"/>
                </w:tcPr>
                <w:p w14:paraId="170029EB">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铣床</w:t>
                  </w:r>
                </w:p>
              </w:tc>
              <w:tc>
                <w:tcPr>
                  <w:tcW w:w="1564" w:type="pct"/>
                  <w:tcBorders>
                    <w:tl2br w:val="nil"/>
                    <w:tr2bl w:val="nil"/>
                  </w:tcBorders>
                  <w:vAlign w:val="center"/>
                </w:tcPr>
                <w:p w14:paraId="1F02AFBE">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HS-A38B、N-8N</w:t>
                  </w:r>
                </w:p>
              </w:tc>
              <w:tc>
                <w:tcPr>
                  <w:tcW w:w="767" w:type="pct"/>
                  <w:tcBorders>
                    <w:tl2br w:val="nil"/>
                    <w:tr2bl w:val="nil"/>
                  </w:tcBorders>
                  <w:vAlign w:val="center"/>
                </w:tcPr>
                <w:p w14:paraId="09AB2EE9">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925" w:type="pct"/>
                  <w:vMerge w:val="continue"/>
                  <w:tcBorders>
                    <w:tl2br w:val="nil"/>
                    <w:tr2bl w:val="nil"/>
                  </w:tcBorders>
                  <w:vAlign w:val="center"/>
                </w:tcPr>
                <w:p w14:paraId="4A2C878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064C3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2DCB3114">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22</w:t>
                  </w:r>
                </w:p>
              </w:tc>
              <w:tc>
                <w:tcPr>
                  <w:tcW w:w="1145" w:type="pct"/>
                  <w:tcBorders>
                    <w:tl2br w:val="nil"/>
                    <w:tr2bl w:val="nil"/>
                  </w:tcBorders>
                  <w:vAlign w:val="center"/>
                </w:tcPr>
                <w:p w14:paraId="348D173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空压机</w:t>
                  </w:r>
                </w:p>
              </w:tc>
              <w:tc>
                <w:tcPr>
                  <w:tcW w:w="1564" w:type="pct"/>
                  <w:tcBorders>
                    <w:tl2br w:val="nil"/>
                    <w:tr2bl w:val="nil"/>
                  </w:tcBorders>
                  <w:vAlign w:val="center"/>
                </w:tcPr>
                <w:p w14:paraId="516D1422">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V-0.6/8、Y-0.8/12.5</w:t>
                  </w:r>
                </w:p>
              </w:tc>
              <w:tc>
                <w:tcPr>
                  <w:tcW w:w="767" w:type="pct"/>
                  <w:tcBorders>
                    <w:tl2br w:val="nil"/>
                    <w:tr2bl w:val="nil"/>
                  </w:tcBorders>
                  <w:vAlign w:val="center"/>
                </w:tcPr>
                <w:p w14:paraId="14F5FE3D">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w:t>
                  </w:r>
                </w:p>
              </w:tc>
              <w:tc>
                <w:tcPr>
                  <w:tcW w:w="925" w:type="pct"/>
                  <w:vMerge w:val="restart"/>
                  <w:tcBorders>
                    <w:tl2br w:val="nil"/>
                    <w:tr2bl w:val="nil"/>
                  </w:tcBorders>
                  <w:vAlign w:val="center"/>
                </w:tcPr>
                <w:p w14:paraId="23D8B126">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提供压缩空气</w:t>
                  </w:r>
                </w:p>
              </w:tc>
            </w:tr>
            <w:tr w14:paraId="4A938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32E62F8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23</w:t>
                  </w:r>
                </w:p>
              </w:tc>
              <w:tc>
                <w:tcPr>
                  <w:tcW w:w="1145" w:type="pct"/>
                  <w:tcBorders>
                    <w:tl2br w:val="nil"/>
                    <w:tr2bl w:val="nil"/>
                  </w:tcBorders>
                  <w:vAlign w:val="center"/>
                </w:tcPr>
                <w:p w14:paraId="08BB69ED">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螺杆空压机</w:t>
                  </w:r>
                </w:p>
              </w:tc>
              <w:tc>
                <w:tcPr>
                  <w:tcW w:w="1564" w:type="pct"/>
                  <w:tcBorders>
                    <w:tl2br w:val="nil"/>
                    <w:tr2bl w:val="nil"/>
                  </w:tcBorders>
                  <w:vAlign w:val="center"/>
                </w:tcPr>
                <w:p w14:paraId="70792AC9">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2.0A</w:t>
                  </w:r>
                </w:p>
              </w:tc>
              <w:tc>
                <w:tcPr>
                  <w:tcW w:w="767" w:type="pct"/>
                  <w:tcBorders>
                    <w:tl2br w:val="nil"/>
                    <w:tr2bl w:val="nil"/>
                  </w:tcBorders>
                  <w:vAlign w:val="center"/>
                </w:tcPr>
                <w:p w14:paraId="0B3C8564">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w:t>
                  </w:r>
                </w:p>
              </w:tc>
              <w:tc>
                <w:tcPr>
                  <w:tcW w:w="925" w:type="pct"/>
                  <w:vMerge w:val="continue"/>
                  <w:tcBorders>
                    <w:tl2br w:val="nil"/>
                    <w:tr2bl w:val="nil"/>
                  </w:tcBorders>
                  <w:vAlign w:val="center"/>
                </w:tcPr>
                <w:p w14:paraId="22A0D282">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p>
              </w:tc>
            </w:tr>
            <w:tr w14:paraId="65240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585C7909">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stheme="minorBidi"/>
                      <w:color w:val="auto"/>
                      <w:kern w:val="2"/>
                      <w:sz w:val="21"/>
                      <w:szCs w:val="21"/>
                      <w:highlight w:val="none"/>
                      <w:vertAlign w:val="baseline"/>
                      <w:lang w:val="en-US" w:eastAsia="zh-CN" w:bidi="ar-SA"/>
                    </w:rPr>
                    <w:t>24</w:t>
                  </w:r>
                </w:p>
              </w:tc>
              <w:tc>
                <w:tcPr>
                  <w:tcW w:w="1145" w:type="pct"/>
                  <w:tcBorders>
                    <w:tl2br w:val="nil"/>
                    <w:tr2bl w:val="nil"/>
                  </w:tcBorders>
                  <w:vAlign w:val="center"/>
                </w:tcPr>
                <w:p w14:paraId="075DF549">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手动叉车</w:t>
                  </w:r>
                </w:p>
              </w:tc>
              <w:tc>
                <w:tcPr>
                  <w:tcW w:w="1564" w:type="pct"/>
                  <w:tcBorders>
                    <w:tl2br w:val="nil"/>
                    <w:tr2bl w:val="nil"/>
                  </w:tcBorders>
                  <w:vAlign w:val="center"/>
                </w:tcPr>
                <w:p w14:paraId="78695135">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2.5T、3T</w:t>
                  </w:r>
                </w:p>
              </w:tc>
              <w:tc>
                <w:tcPr>
                  <w:tcW w:w="767" w:type="pct"/>
                  <w:tcBorders>
                    <w:tl2br w:val="nil"/>
                    <w:tr2bl w:val="nil"/>
                  </w:tcBorders>
                  <w:vAlign w:val="center"/>
                </w:tcPr>
                <w:p w14:paraId="718C1D62">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3</w:t>
                  </w:r>
                </w:p>
              </w:tc>
              <w:tc>
                <w:tcPr>
                  <w:tcW w:w="925" w:type="pct"/>
                  <w:vMerge w:val="restart"/>
                  <w:tcBorders>
                    <w:tl2br w:val="nil"/>
                    <w:tr2bl w:val="nil"/>
                  </w:tcBorders>
                  <w:vAlign w:val="center"/>
                </w:tcPr>
                <w:p w14:paraId="5103561B">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场内运输，与扩建项目共用</w:t>
                  </w:r>
                </w:p>
              </w:tc>
            </w:tr>
            <w:tr w14:paraId="02A6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97" w:type="pct"/>
                  <w:tcBorders>
                    <w:tl2br w:val="nil"/>
                    <w:tr2bl w:val="nil"/>
                  </w:tcBorders>
                  <w:vAlign w:val="center"/>
                </w:tcPr>
                <w:p w14:paraId="4987430D">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25</w:t>
                  </w:r>
                </w:p>
              </w:tc>
              <w:tc>
                <w:tcPr>
                  <w:tcW w:w="1145" w:type="pct"/>
                  <w:tcBorders>
                    <w:tl2br w:val="nil"/>
                    <w:tr2bl w:val="nil"/>
                  </w:tcBorders>
                  <w:vAlign w:val="center"/>
                </w:tcPr>
                <w:p w14:paraId="412CEA9F">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液压堆垛机</w:t>
                  </w:r>
                </w:p>
              </w:tc>
              <w:tc>
                <w:tcPr>
                  <w:tcW w:w="1564" w:type="pct"/>
                  <w:tcBorders>
                    <w:tl2br w:val="nil"/>
                    <w:tr2bl w:val="nil"/>
                  </w:tcBorders>
                  <w:vAlign w:val="center"/>
                </w:tcPr>
                <w:p w14:paraId="3FC7755A">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CTY2T</w:t>
                  </w:r>
                </w:p>
              </w:tc>
              <w:tc>
                <w:tcPr>
                  <w:tcW w:w="767" w:type="pct"/>
                  <w:tcBorders>
                    <w:tl2br w:val="nil"/>
                    <w:tr2bl w:val="nil"/>
                  </w:tcBorders>
                  <w:vAlign w:val="center"/>
                </w:tcPr>
                <w:p w14:paraId="38A385EE">
                  <w:pPr>
                    <w:keepNext w:val="0"/>
                    <w:keepLines w:val="0"/>
                    <w:pageBreakBefore w:val="0"/>
                    <w:widowControl w:val="0"/>
                    <w:kinsoku/>
                    <w:wordWrap/>
                    <w:overflowPunct/>
                    <w:topLinePunct w:val="0"/>
                    <w:autoSpaceDE/>
                    <w:autoSpaceDN/>
                    <w:bidi w:val="0"/>
                    <w:adjustRightInd/>
                    <w:snapToGrid/>
                    <w:spacing w:line="30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val="0"/>
                      <w:bCs/>
                      <w:color w:val="auto"/>
                      <w:kern w:val="0"/>
                      <w:sz w:val="21"/>
                      <w:szCs w:val="21"/>
                      <w:highlight w:val="none"/>
                      <w:lang w:val="en-US" w:eastAsia="zh-CN" w:bidi="ar"/>
                    </w:rPr>
                    <w:t>1</w:t>
                  </w:r>
                </w:p>
              </w:tc>
              <w:tc>
                <w:tcPr>
                  <w:tcW w:w="925" w:type="pct"/>
                  <w:vMerge w:val="continue"/>
                  <w:tcBorders>
                    <w:tl2br w:val="nil"/>
                    <w:tr2bl w:val="nil"/>
                  </w:tcBorders>
                  <w:vAlign w:val="center"/>
                </w:tcPr>
                <w:p w14:paraId="461426D1">
                  <w:pPr>
                    <w:keepNext w:val="0"/>
                    <w:keepLines w:val="0"/>
                    <w:pageBreakBefore w:val="0"/>
                    <w:widowControl w:val="0"/>
                    <w:kinsoku/>
                    <w:wordWrap/>
                    <w:overflowPunct/>
                    <w:topLinePunct w:val="0"/>
                    <w:autoSpaceDE/>
                    <w:autoSpaceDN/>
                    <w:bidi w:val="0"/>
                    <w:adjustRightInd/>
                    <w:snapToGrid/>
                    <w:spacing w:line="293" w:lineRule="auto"/>
                    <w:jc w:val="center"/>
                    <w:textAlignment w:val="auto"/>
                    <w:rPr>
                      <w:rFonts w:hint="default" w:ascii="Times New Roman" w:hAnsi="Times New Roman" w:eastAsia="宋体" w:cs="宋体"/>
                      <w:b w:val="0"/>
                      <w:bCs/>
                      <w:color w:val="auto"/>
                      <w:kern w:val="0"/>
                      <w:sz w:val="21"/>
                      <w:szCs w:val="21"/>
                      <w:highlight w:val="none"/>
                      <w:lang w:val="en-US" w:eastAsia="zh-CN" w:bidi="ar"/>
                    </w:rPr>
                  </w:pPr>
                </w:p>
              </w:tc>
            </w:tr>
            <w:tr w14:paraId="7B42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795AB146">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cs="宋体"/>
                      <w:b w:val="0"/>
                      <w:bCs/>
                      <w:color w:val="auto"/>
                      <w:kern w:val="0"/>
                      <w:sz w:val="21"/>
                      <w:szCs w:val="21"/>
                      <w:highlight w:val="none"/>
                      <w:lang w:val="en-US" w:eastAsia="zh-CN" w:bidi="ar"/>
                    </w:rPr>
                  </w:pPr>
                  <w:r>
                    <w:rPr>
                      <w:rFonts w:hint="eastAsia" w:ascii="Times New Roman" w:hAnsi="Times New Roman" w:eastAsia="宋体" w:cs="宋体"/>
                      <w:b/>
                      <w:bCs w:val="0"/>
                      <w:color w:val="auto"/>
                      <w:kern w:val="0"/>
                      <w:sz w:val="21"/>
                      <w:szCs w:val="21"/>
                      <w:highlight w:val="none"/>
                      <w:lang w:val="en-US" w:eastAsia="zh-CN" w:bidi="ar"/>
                    </w:rPr>
                    <w:t>注</w:t>
                  </w:r>
                  <w:r>
                    <w:rPr>
                      <w:rFonts w:hint="eastAsia" w:ascii="Times New Roman" w:hAnsi="Times New Roman" w:eastAsia="宋体" w:cs="宋体"/>
                      <w:b w:val="0"/>
                      <w:bCs/>
                      <w:color w:val="auto"/>
                      <w:kern w:val="0"/>
                      <w:sz w:val="21"/>
                      <w:szCs w:val="21"/>
                      <w:highlight w:val="none"/>
                      <w:lang w:val="en-US" w:eastAsia="zh-CN" w:bidi="ar"/>
                    </w:rPr>
                    <w:t>：项目采用工艺设备均不属于《产业结构调整指导目录（2024年本）》、《部分工业行业淘汰落后生产工艺装备和产品指导目录（</w:t>
                  </w:r>
                  <w:r>
                    <w:rPr>
                      <w:rFonts w:hint="default" w:ascii="Times New Roman" w:hAnsi="Times New Roman" w:eastAsia="宋体" w:cs="宋体"/>
                      <w:b w:val="0"/>
                      <w:bCs/>
                      <w:color w:val="auto"/>
                      <w:kern w:val="0"/>
                      <w:sz w:val="21"/>
                      <w:szCs w:val="21"/>
                      <w:highlight w:val="none"/>
                      <w:lang w:val="en-US" w:eastAsia="zh-CN" w:bidi="ar"/>
                    </w:rPr>
                    <w:t>2010</w:t>
                  </w:r>
                  <w:r>
                    <w:rPr>
                      <w:rFonts w:hint="eastAsia" w:ascii="Times New Roman" w:hAnsi="Times New Roman" w:eastAsia="宋体" w:cs="宋体"/>
                      <w:b w:val="0"/>
                      <w:bCs/>
                      <w:color w:val="auto"/>
                      <w:kern w:val="0"/>
                      <w:sz w:val="21"/>
                      <w:szCs w:val="21"/>
                      <w:highlight w:val="none"/>
                      <w:lang w:val="en-US" w:eastAsia="zh-CN" w:bidi="ar"/>
                    </w:rPr>
                    <w:t>年本）》以及《高耗能落后机电设备（产品）淘汰目录（第一、二、三、四批）》淘汰目录范畴。</w:t>
                  </w:r>
                </w:p>
              </w:tc>
            </w:tr>
          </w:tbl>
          <w:p w14:paraId="7AE13117">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2.12.7现有工程总平面布置</w:t>
            </w:r>
          </w:p>
          <w:p w14:paraId="0B290A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olor w:val="auto"/>
                <w:sz w:val="24"/>
                <w:szCs w:val="24"/>
                <w:highlight w:val="none"/>
                <w:u w:val="none"/>
                <w:vertAlign w:val="baseline"/>
                <w:lang w:val="en-US" w:eastAsia="zh-CN"/>
              </w:rPr>
            </w:pPr>
            <w:r>
              <w:rPr>
                <w:rFonts w:hint="eastAsia" w:ascii="Times New Roman" w:hAnsi="Times New Roman" w:eastAsia="宋体"/>
                <w:color w:val="auto"/>
                <w:sz w:val="24"/>
                <w:szCs w:val="24"/>
                <w:highlight w:val="none"/>
                <w:u w:val="none"/>
                <w:vertAlign w:val="baseline"/>
                <w:lang w:val="en-US" w:eastAsia="zh-CN"/>
              </w:rPr>
              <w:t>建设单位租赁森迪安防产业园2#厂房实施现有工程，厂房呈南北走向的规则矩形。生产区域基本集中分布于厂房西部，自北向南依次为下料区、冲压区、焊接区等；厂房东部主要用于白坯件、半成品件、外协表面处理回厂件暂存区、成品件等存储区；办公区分布于厂房南北两端。项目平面布置详见</w:t>
            </w:r>
            <w:r>
              <w:rPr>
                <w:rFonts w:hint="eastAsia" w:ascii="Times New Roman" w:hAnsi="Times New Roman" w:eastAsia="宋体"/>
                <w:b w:val="0"/>
                <w:bCs w:val="0"/>
                <w:color w:val="auto"/>
                <w:sz w:val="24"/>
                <w:szCs w:val="24"/>
                <w:highlight w:val="none"/>
                <w:u w:val="single"/>
                <w:vertAlign w:val="baseline"/>
                <w:lang w:val="en-US" w:eastAsia="zh-CN"/>
              </w:rPr>
              <w:t>附图3-2</w:t>
            </w:r>
            <w:r>
              <w:rPr>
                <w:rFonts w:hint="eastAsia" w:ascii="Times New Roman" w:hAnsi="Times New Roman" w:eastAsia="宋体"/>
                <w:color w:val="auto"/>
                <w:sz w:val="24"/>
                <w:szCs w:val="24"/>
                <w:highlight w:val="none"/>
                <w:u w:val="none"/>
                <w:vertAlign w:val="baseline"/>
                <w:lang w:val="en-US" w:eastAsia="zh-CN"/>
              </w:rPr>
              <w:t>。</w:t>
            </w:r>
          </w:p>
          <w:p w14:paraId="15C078BF">
            <w:pPr>
              <w:pStyle w:val="2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建设单位另租用</w:t>
            </w:r>
            <w:r>
              <w:rPr>
                <w:rFonts w:hint="eastAsia" w:ascii="Times New Roman" w:hAnsi="Times New Roman" w:eastAsia="宋体"/>
                <w:color w:val="auto"/>
                <w:sz w:val="24"/>
                <w:szCs w:val="24"/>
                <w:highlight w:val="none"/>
                <w:u w:val="none"/>
                <w:vertAlign w:val="baseline"/>
                <w:lang w:val="en-US" w:eastAsia="zh-CN"/>
              </w:rPr>
              <w:t>森迪安防产业园</w:t>
            </w:r>
            <w:r>
              <w:rPr>
                <w:rFonts w:hint="default" w:ascii="Times New Roman" w:hAnsi="Times New Roman" w:eastAsia="宋体" w:cs="Times New Roman"/>
                <w:color w:val="auto"/>
                <w:sz w:val="24"/>
                <w:szCs w:val="24"/>
                <w:highlight w:val="none"/>
                <w:u w:val="none"/>
                <w:vertAlign w:val="baseline"/>
                <w:lang w:val="en-US" w:eastAsia="zh-CN"/>
              </w:rPr>
              <w:t>10#厂房实</w:t>
            </w:r>
            <w:r>
              <w:rPr>
                <w:rFonts w:hint="eastAsia" w:ascii="Times New Roman" w:hAnsi="Times New Roman" w:eastAsia="宋体"/>
                <w:color w:val="auto"/>
                <w:sz w:val="24"/>
                <w:szCs w:val="24"/>
                <w:highlight w:val="none"/>
                <w:u w:val="none"/>
                <w:vertAlign w:val="baseline"/>
                <w:lang w:val="en-US" w:eastAsia="zh-CN"/>
              </w:rPr>
              <w:t>施扩建项目，该厂房位于现有工程西侧，中间间隔森迪安防产业园通道（约15m）。</w:t>
            </w:r>
          </w:p>
          <w:p w14:paraId="30730108">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2.12.8现有工程主要生产工艺流程</w:t>
            </w:r>
          </w:p>
          <w:p w14:paraId="37F4C2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highlight w:val="none"/>
                <w:u w:val="none"/>
                <w:vertAlign w:val="baseline"/>
                <w:lang w:val="en-US" w:eastAsia="zh-CN"/>
              </w:rPr>
            </w:pPr>
            <w:r>
              <w:rPr>
                <w:rFonts w:hint="default" w:ascii="Times New Roman" w:hAnsi="Times New Roman"/>
                <w:color w:val="auto"/>
                <w:sz w:val="24"/>
                <w:highlight w:val="none"/>
              </w:rPr>
              <w:object>
                <v:shape id="_x0000_i1028" o:spt="75" type="#_x0000_t75" style="height:158.7pt;width:415.9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14:paraId="17A8705B">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0" w:firstLineChars="200"/>
              <w:jc w:val="both"/>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图例：G废气、S固废、N噪声</w:t>
            </w:r>
          </w:p>
          <w:p w14:paraId="4F6CC58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32"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图2-2  汽车冲焊零部件生产工艺流程及产污环节图</w:t>
            </w:r>
          </w:p>
          <w:p w14:paraId="75F048C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宋体"/>
                <w:color w:val="auto"/>
                <w:sz w:val="24"/>
                <w:szCs w:val="24"/>
                <w:highlight w:val="none"/>
                <w:lang w:val="en-US" w:eastAsia="zh-CN"/>
              </w:rPr>
            </w:pPr>
            <w:r>
              <w:rPr>
                <w:rFonts w:hint="default" w:ascii="Times New Roman" w:hAnsi="Times New Roman" w:cs="宋体"/>
                <w:color w:val="auto"/>
                <w:sz w:val="24"/>
                <w:szCs w:val="24"/>
                <w:highlight w:val="none"/>
                <w:u w:val="single"/>
                <w:lang w:val="en-US" w:eastAsia="zh-CN"/>
              </w:rPr>
              <w:t>工艺流程</w:t>
            </w:r>
            <w:r>
              <w:rPr>
                <w:rFonts w:hint="eastAsia" w:ascii="Times New Roman" w:hAnsi="Times New Roman" w:cs="宋体"/>
                <w:color w:val="auto"/>
                <w:sz w:val="24"/>
                <w:szCs w:val="24"/>
                <w:highlight w:val="none"/>
                <w:u w:val="single"/>
                <w:lang w:val="en-US" w:eastAsia="zh-CN"/>
              </w:rPr>
              <w:t>简述</w:t>
            </w:r>
            <w:r>
              <w:rPr>
                <w:rFonts w:hint="eastAsia" w:ascii="Times New Roman" w:hAnsi="Times New Roman" w:cs="宋体"/>
                <w:color w:val="auto"/>
                <w:sz w:val="24"/>
                <w:szCs w:val="24"/>
                <w:highlight w:val="none"/>
                <w:lang w:val="en-US" w:eastAsia="zh-CN"/>
              </w:rPr>
              <w:t>：</w:t>
            </w:r>
          </w:p>
          <w:p w14:paraId="1C8D274A">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72" w:lineRule="auto"/>
              <w:ind w:left="0" w:leftChars="0" w:right="0" w:rightChars="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1）</w:t>
            </w:r>
            <w:r>
              <w:rPr>
                <w:rFonts w:hint="eastAsia" w:ascii="Times New Roman" w:hAnsi="Times New Roman" w:cs="宋体"/>
                <w:b/>
                <w:bCs/>
                <w:color w:val="auto"/>
                <w:sz w:val="24"/>
                <w:szCs w:val="24"/>
                <w:highlight w:val="none"/>
                <w:lang w:val="en-US" w:eastAsia="zh-CN"/>
              </w:rPr>
              <w:t>下料</w:t>
            </w:r>
            <w:r>
              <w:rPr>
                <w:rFonts w:hint="eastAsia" w:ascii="Times New Roman" w:hAnsi="Times New Roman" w:cs="宋体"/>
                <w:color w:val="auto"/>
                <w:sz w:val="24"/>
                <w:szCs w:val="24"/>
                <w:highlight w:val="none"/>
                <w:lang w:val="en-US" w:eastAsia="zh-CN"/>
              </w:rPr>
              <w:t>：根据工件设计要求，板材采用剪板机裁切成指定的尺寸，管材则采用气动切管机、激光切管机进行切割下料。激光切管机运行无需工作气体，气动切管机工作过程中将采用切削液进行润滑、降温。</w:t>
            </w:r>
          </w:p>
          <w:p w14:paraId="1493E0B9">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72" w:lineRule="auto"/>
              <w:ind w:left="0" w:leftChars="0" w:right="0" w:rightChars="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此工序中将会产生噪声</w:t>
            </w:r>
            <w:r>
              <w:rPr>
                <w:rFonts w:hint="default" w:ascii="Times New Roman" w:hAnsi="Times New Roman" w:cs="宋体"/>
                <w:color w:val="auto"/>
                <w:sz w:val="24"/>
                <w:szCs w:val="24"/>
                <w:highlight w:val="none"/>
                <w:lang w:val="en-US" w:eastAsia="zh-CN"/>
              </w:rPr>
              <w:t>N</w:t>
            </w:r>
            <w:r>
              <w:rPr>
                <w:rFonts w:hint="eastAsia" w:ascii="Times New Roman" w:hAnsi="Times New Roman" w:cs="宋体"/>
                <w:color w:val="auto"/>
                <w:sz w:val="24"/>
                <w:szCs w:val="24"/>
                <w:highlight w:val="none"/>
                <w:lang w:val="en-US" w:eastAsia="zh-CN"/>
              </w:rPr>
              <w:t>、废边角料</w:t>
            </w:r>
            <w:r>
              <w:rPr>
                <w:rFonts w:hint="default" w:ascii="Times New Roman" w:hAnsi="Times New Roman" w:cs="宋体"/>
                <w:color w:val="auto"/>
                <w:sz w:val="24"/>
                <w:szCs w:val="24"/>
                <w:highlight w:val="none"/>
                <w:lang w:val="en-US" w:eastAsia="zh-CN"/>
              </w:rPr>
              <w:t>S1</w:t>
            </w:r>
            <w:r>
              <w:rPr>
                <w:rFonts w:hint="eastAsia" w:ascii="Times New Roman" w:hAnsi="Times New Roman" w:cs="宋体"/>
                <w:color w:val="auto"/>
                <w:sz w:val="24"/>
                <w:szCs w:val="24"/>
                <w:highlight w:val="none"/>
                <w:lang w:val="en-US" w:eastAsia="zh-CN"/>
              </w:rPr>
              <w:t>、含油铁屑S2等。</w:t>
            </w:r>
            <w:r>
              <w:rPr>
                <w:rFonts w:hint="eastAsia" w:ascii="Times New Roman" w:hAnsi="Times New Roman" w:cs="宋体"/>
                <w:color w:val="auto"/>
                <w:sz w:val="24"/>
                <w:szCs w:val="24"/>
                <w:highlight w:val="none"/>
                <w:u w:val="single"/>
                <w:lang w:val="en-US" w:eastAsia="zh-CN"/>
              </w:rPr>
              <w:t>另</w:t>
            </w:r>
            <w:r>
              <w:rPr>
                <w:rFonts w:hint="eastAsia" w:ascii="Times New Roman" w:hAnsi="Times New Roman" w:cs="宋体"/>
                <w:i w:val="0"/>
                <w:iCs w:val="0"/>
                <w:color w:val="auto"/>
                <w:sz w:val="24"/>
                <w:szCs w:val="24"/>
                <w:highlight w:val="none"/>
                <w:u w:val="single"/>
                <w:lang w:val="en-US" w:eastAsia="zh-CN"/>
              </w:rPr>
              <w:t>，切削液根据需要定期补充，每年更换一次，会产生废切削液S6</w:t>
            </w:r>
            <w:r>
              <w:rPr>
                <w:rFonts w:hint="eastAsia" w:ascii="Times New Roman" w:hAnsi="Times New Roman" w:cs="宋体"/>
                <w:color w:val="auto"/>
                <w:sz w:val="24"/>
                <w:szCs w:val="24"/>
                <w:highlight w:val="none"/>
                <w:lang w:val="en-US" w:eastAsia="zh-CN"/>
              </w:rPr>
              <w:t>。</w:t>
            </w:r>
          </w:p>
          <w:p w14:paraId="5D51D8B0">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72" w:lineRule="auto"/>
              <w:ind w:left="0" w:leftChars="0" w:right="0" w:rightChars="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2）</w:t>
            </w:r>
            <w:r>
              <w:rPr>
                <w:rFonts w:hint="eastAsia" w:ascii="Times New Roman" w:hAnsi="Times New Roman" w:cs="宋体"/>
                <w:b/>
                <w:bCs/>
                <w:color w:val="auto"/>
                <w:sz w:val="24"/>
                <w:szCs w:val="24"/>
                <w:highlight w:val="none"/>
                <w:lang w:val="en-US" w:eastAsia="zh-CN"/>
              </w:rPr>
              <w:t>成型</w:t>
            </w:r>
            <w:r>
              <w:rPr>
                <w:rFonts w:hint="eastAsia" w:ascii="Times New Roman" w:hAnsi="Times New Roman" w:cs="宋体"/>
                <w:color w:val="auto"/>
                <w:sz w:val="24"/>
                <w:szCs w:val="24"/>
                <w:highlight w:val="none"/>
                <w:lang w:val="en-US" w:eastAsia="zh-CN"/>
              </w:rPr>
              <w:t>：</w:t>
            </w:r>
            <w:r>
              <w:rPr>
                <w:rFonts w:hint="eastAsia" w:ascii="Times New Roman" w:hAnsi="Times New Roman" w:cs="宋体"/>
                <w:b w:val="0"/>
                <w:bCs w:val="0"/>
                <w:color w:val="auto"/>
                <w:sz w:val="24"/>
                <w:szCs w:val="24"/>
                <w:highlight w:val="none"/>
                <w:lang w:val="en-US" w:eastAsia="zh-CN"/>
              </w:rPr>
              <w:t>根据生产工艺需求，部分管材需要利用冲弧机、缩管机、弯管机等进行造型处理，按设计要求，制成特定形状。</w:t>
            </w:r>
          </w:p>
          <w:p w14:paraId="3AB0100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3）</w:t>
            </w:r>
            <w:r>
              <w:rPr>
                <w:rFonts w:hint="eastAsia" w:ascii="Times New Roman" w:hAnsi="Times New Roman" w:cs="宋体"/>
                <w:b/>
                <w:bCs/>
                <w:color w:val="auto"/>
                <w:sz w:val="24"/>
                <w:szCs w:val="24"/>
                <w:highlight w:val="none"/>
                <w:lang w:val="en-US" w:eastAsia="zh-CN"/>
              </w:rPr>
              <w:t>冲压</w:t>
            </w:r>
            <w:r>
              <w:rPr>
                <w:rFonts w:hint="eastAsia" w:ascii="Times New Roman" w:hAnsi="Times New Roman" w:cs="宋体"/>
                <w:b w:val="0"/>
                <w:bCs w:val="0"/>
                <w:color w:val="auto"/>
                <w:sz w:val="24"/>
                <w:szCs w:val="24"/>
                <w:highlight w:val="none"/>
                <w:lang w:val="en-US" w:eastAsia="zh-CN"/>
              </w:rPr>
              <w:t>：将分切好的板料由冲床通过冲床模具对钢板材和钢卷材施力，使之产生变形或分离，从而获得一定尺寸、形状和性能的冲压件。冲压件部分（占比约20%）直接为汽车冲压件成品，剩余部分则需要进行焊接工序。</w:t>
            </w:r>
          </w:p>
          <w:p w14:paraId="7F71862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此工序中将会产生噪声</w:t>
            </w:r>
            <w:r>
              <w:rPr>
                <w:rFonts w:hint="default" w:ascii="Times New Roman" w:hAnsi="Times New Roman" w:cs="宋体"/>
                <w:color w:val="auto"/>
                <w:sz w:val="24"/>
                <w:szCs w:val="24"/>
                <w:highlight w:val="none"/>
                <w:lang w:val="en-US" w:eastAsia="zh-CN"/>
              </w:rPr>
              <w:t>N</w:t>
            </w:r>
            <w:r>
              <w:rPr>
                <w:rFonts w:hint="eastAsia" w:ascii="Times New Roman" w:hAnsi="Times New Roman" w:cs="宋体"/>
                <w:color w:val="auto"/>
                <w:sz w:val="24"/>
                <w:szCs w:val="24"/>
                <w:highlight w:val="none"/>
                <w:lang w:val="en-US" w:eastAsia="zh-CN"/>
              </w:rPr>
              <w:t>、废边角料</w:t>
            </w:r>
            <w:r>
              <w:rPr>
                <w:rFonts w:hint="default" w:ascii="Times New Roman" w:hAnsi="Times New Roman" w:cs="宋体"/>
                <w:color w:val="auto"/>
                <w:sz w:val="24"/>
                <w:szCs w:val="24"/>
                <w:highlight w:val="none"/>
                <w:lang w:val="en-US" w:eastAsia="zh-CN"/>
              </w:rPr>
              <w:t>S1</w:t>
            </w:r>
            <w:r>
              <w:rPr>
                <w:rFonts w:hint="eastAsia" w:ascii="Times New Roman" w:hAnsi="Times New Roman" w:cs="宋体"/>
                <w:color w:val="auto"/>
                <w:sz w:val="24"/>
                <w:szCs w:val="24"/>
                <w:highlight w:val="none"/>
                <w:lang w:val="en-US" w:eastAsia="zh-CN"/>
              </w:rPr>
              <w:t>等</w:t>
            </w:r>
            <w:r>
              <w:rPr>
                <w:rFonts w:hint="eastAsia" w:ascii="Times New Roman" w:hAnsi="Times New Roman" w:cs="宋体"/>
                <w:b w:val="0"/>
                <w:bCs w:val="0"/>
                <w:color w:val="auto"/>
                <w:sz w:val="24"/>
                <w:szCs w:val="24"/>
                <w:highlight w:val="none"/>
                <w:lang w:val="en-US" w:eastAsia="zh-CN"/>
              </w:rPr>
              <w:t>。</w:t>
            </w:r>
          </w:p>
          <w:p w14:paraId="13D6F86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4）</w:t>
            </w:r>
            <w:r>
              <w:rPr>
                <w:rFonts w:hint="eastAsia" w:ascii="Times New Roman" w:hAnsi="Times New Roman" w:cs="宋体"/>
                <w:b/>
                <w:bCs/>
                <w:color w:val="auto"/>
                <w:sz w:val="24"/>
                <w:szCs w:val="24"/>
                <w:highlight w:val="none"/>
                <w:lang w:val="en-US" w:eastAsia="zh-CN"/>
              </w:rPr>
              <w:t>焊接</w:t>
            </w:r>
            <w:r>
              <w:rPr>
                <w:rFonts w:hint="eastAsia" w:ascii="Times New Roman" w:hAnsi="Times New Roman" w:cs="宋体"/>
                <w:b w:val="0"/>
                <w:bCs w:val="0"/>
                <w:color w:val="auto"/>
                <w:sz w:val="24"/>
                <w:szCs w:val="24"/>
                <w:highlight w:val="none"/>
                <w:lang w:val="en-US" w:eastAsia="zh-CN"/>
              </w:rPr>
              <w:t>：将上述冲压件、成型管件等，按产品图纸采用二氧化碳保护方式进行焊接，得到汽车零部件焊接件。</w:t>
            </w:r>
          </w:p>
          <w:p w14:paraId="5A3C13F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此工序中将会产生</w:t>
            </w:r>
            <w:r>
              <w:rPr>
                <w:rFonts w:hint="eastAsia" w:ascii="Times New Roman" w:hAnsi="Times New Roman" w:cs="宋体"/>
                <w:b w:val="0"/>
                <w:bCs w:val="0"/>
                <w:color w:val="auto"/>
                <w:sz w:val="24"/>
                <w:szCs w:val="24"/>
                <w:highlight w:val="none"/>
                <w:lang w:val="en-US" w:eastAsia="zh-CN"/>
              </w:rPr>
              <w:t>焊接烟尘G1、焊渣S3等。</w:t>
            </w:r>
          </w:p>
          <w:p w14:paraId="01B5566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5）</w:t>
            </w:r>
            <w:r>
              <w:rPr>
                <w:rFonts w:hint="eastAsia" w:ascii="Times New Roman" w:hAnsi="Times New Roman" w:cs="宋体"/>
                <w:b/>
                <w:bCs/>
                <w:color w:val="auto"/>
                <w:sz w:val="24"/>
                <w:szCs w:val="24"/>
                <w:highlight w:val="none"/>
                <w:lang w:val="en-US" w:eastAsia="zh-CN"/>
              </w:rPr>
              <w:t>打磨</w:t>
            </w:r>
            <w:r>
              <w:rPr>
                <w:rFonts w:hint="eastAsia" w:ascii="Times New Roman" w:hAnsi="Times New Roman" w:cs="宋体"/>
                <w:color w:val="auto"/>
                <w:sz w:val="24"/>
                <w:szCs w:val="24"/>
                <w:highlight w:val="none"/>
                <w:lang w:val="en-US" w:eastAsia="zh-CN"/>
              </w:rPr>
              <w:t>：利用砂轮机对部分焊接件进行打磨修整，去除小毛刺等。</w:t>
            </w:r>
          </w:p>
          <w:p w14:paraId="3104AA2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此工序中将会产生噪声N、</w:t>
            </w:r>
            <w:r>
              <w:rPr>
                <w:rFonts w:hint="eastAsia" w:ascii="Times New Roman" w:hAnsi="Times New Roman" w:cs="宋体"/>
                <w:b w:val="0"/>
                <w:bCs w:val="0"/>
                <w:color w:val="auto"/>
                <w:sz w:val="24"/>
                <w:szCs w:val="24"/>
                <w:highlight w:val="none"/>
                <w:lang w:val="en-US" w:eastAsia="zh-CN"/>
              </w:rPr>
              <w:t>打磨废气G2、打磨金属屑S4等。</w:t>
            </w:r>
          </w:p>
          <w:p w14:paraId="7D1229B3">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6）</w:t>
            </w:r>
            <w:r>
              <w:rPr>
                <w:rFonts w:hint="eastAsia" w:ascii="Times New Roman" w:hAnsi="Times New Roman" w:cs="宋体"/>
                <w:b/>
                <w:bCs/>
                <w:color w:val="auto"/>
                <w:sz w:val="24"/>
                <w:szCs w:val="24"/>
                <w:highlight w:val="none"/>
                <w:lang w:val="en-US" w:eastAsia="zh-CN"/>
              </w:rPr>
              <w:t>委外表面处理</w:t>
            </w:r>
            <w:r>
              <w:rPr>
                <w:rFonts w:hint="eastAsia" w:ascii="Times New Roman" w:hAnsi="Times New Roman" w:cs="宋体"/>
                <w:color w:val="auto"/>
                <w:sz w:val="24"/>
                <w:szCs w:val="24"/>
                <w:highlight w:val="none"/>
                <w:lang w:val="en-US" w:eastAsia="zh-CN"/>
              </w:rPr>
              <w:t>：项目上述焊接件部分作为成品，进入检验环节，部分（占比约30%）委外进行进一步表面处理作业。</w:t>
            </w:r>
          </w:p>
          <w:p w14:paraId="751C76E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7）</w:t>
            </w:r>
            <w:r>
              <w:rPr>
                <w:rFonts w:hint="eastAsia" w:ascii="Times New Roman" w:hAnsi="Times New Roman" w:cs="宋体"/>
                <w:b/>
                <w:bCs/>
                <w:color w:val="auto"/>
                <w:sz w:val="24"/>
                <w:szCs w:val="24"/>
                <w:highlight w:val="none"/>
                <w:lang w:val="en-US" w:eastAsia="zh-CN"/>
              </w:rPr>
              <w:t>检验</w:t>
            </w:r>
            <w:r>
              <w:rPr>
                <w:rFonts w:hint="eastAsia" w:ascii="Times New Roman" w:hAnsi="Times New Roman" w:cs="宋体"/>
                <w:color w:val="auto"/>
                <w:sz w:val="24"/>
                <w:szCs w:val="24"/>
                <w:highlight w:val="none"/>
                <w:lang w:val="en-US" w:eastAsia="zh-CN"/>
              </w:rPr>
              <w:t>：对项目冲压件、焊接件成品进行尺寸、形状等检测，合格品进入包装工序。此工序中将会产生不合格品S5。</w:t>
            </w:r>
          </w:p>
          <w:p w14:paraId="57D36FD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8）</w:t>
            </w:r>
            <w:r>
              <w:rPr>
                <w:rFonts w:hint="eastAsia" w:ascii="Times New Roman" w:hAnsi="Times New Roman" w:cs="宋体"/>
                <w:b/>
                <w:bCs/>
                <w:color w:val="auto"/>
                <w:sz w:val="24"/>
                <w:szCs w:val="24"/>
                <w:highlight w:val="none"/>
                <w:lang w:val="en-US" w:eastAsia="zh-CN"/>
              </w:rPr>
              <w:t>包装入库</w:t>
            </w:r>
            <w:r>
              <w:rPr>
                <w:rFonts w:hint="eastAsia" w:ascii="Times New Roman" w:hAnsi="Times New Roman" w:cs="宋体"/>
                <w:color w:val="auto"/>
                <w:sz w:val="24"/>
                <w:szCs w:val="24"/>
                <w:highlight w:val="none"/>
                <w:lang w:val="en-US" w:eastAsia="zh-CN"/>
              </w:rPr>
              <w:t>：对合格的产品进行包装，包装后运输至成品仓储区储存。</w:t>
            </w:r>
          </w:p>
          <w:p w14:paraId="180F4977">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2.12.9现有工程污染物产生、排放及治理情况</w:t>
            </w:r>
          </w:p>
          <w:p w14:paraId="0D0F3567">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0"/>
                <w:sz w:val="24"/>
                <w:szCs w:val="20"/>
                <w:lang w:val="en-US" w:eastAsia="zh-CN" w:bidi="ar-SA"/>
              </w:rPr>
              <w:t>（一）</w:t>
            </w:r>
            <w:r>
              <w:rPr>
                <w:rFonts w:hint="eastAsia" w:ascii="Times New Roman" w:hAnsi="Times New Roman" w:eastAsia="宋体" w:cs="Times New Roman"/>
                <w:b/>
                <w:bCs/>
                <w:color w:val="auto"/>
                <w:highlight w:val="none"/>
                <w:lang w:val="en-US" w:eastAsia="zh-CN"/>
              </w:rPr>
              <w:t>废气</w:t>
            </w:r>
          </w:p>
          <w:p w14:paraId="221A5F1A">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现有工程产生的废气主要为焊接废气、打磨废气。各废气治理措施如下：</w:t>
            </w:r>
          </w:p>
          <w:p w14:paraId="1AEAA2A6">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b/>
                <w:bCs/>
                <w:color w:val="auto"/>
                <w:sz w:val="24"/>
                <w:szCs w:val="21"/>
                <w:highlight w:val="none"/>
                <w:lang w:eastAsia="zh-CN"/>
              </w:rPr>
              <w:t>①</w:t>
            </w:r>
            <w:r>
              <w:rPr>
                <w:rFonts w:hint="default" w:ascii="Times New Roman" w:hAnsi="Times New Roman" w:cs="Times New Roman"/>
                <w:color w:val="auto"/>
                <w:sz w:val="24"/>
                <w:szCs w:val="21"/>
                <w:highlight w:val="none"/>
                <w:lang w:val="en-US" w:eastAsia="zh-CN"/>
              </w:rPr>
              <w:t>焊接烟尘</w:t>
            </w:r>
          </w:p>
          <w:p w14:paraId="6B90B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项目人工焊接、焊接机器人等焊接烟尘经固定式集气罩收集后，集中引至1套布袋除尘器集中处理，后通过15m高的排气筒排放。</w:t>
            </w:r>
          </w:p>
          <w:p w14:paraId="2652F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default"/>
                <w:b w:val="0"/>
                <w:bCs w:val="0"/>
                <w:color w:val="auto"/>
                <w:sz w:val="24"/>
                <w:szCs w:val="21"/>
                <w:highlight w:val="none"/>
                <w:lang w:val="en-US" w:eastAsia="zh-CN"/>
              </w:rPr>
            </w:pPr>
            <w:r>
              <w:rPr>
                <w:rFonts w:hint="default" w:ascii="Times New Roman" w:hAnsi="Times New Roman" w:cs="Times New Roman"/>
                <w:b/>
                <w:bCs/>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项目打磨废气经车间自然沉降，无组织排放。</w:t>
            </w:r>
          </w:p>
          <w:p w14:paraId="44D14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现有工程废气污染物排放总量见表2-16。</w:t>
            </w:r>
          </w:p>
          <w:p w14:paraId="7594B9E5">
            <w:pPr>
              <w:adjustRightInd w:val="0"/>
              <w:snapToGrid w:val="0"/>
              <w:spacing w:line="360" w:lineRule="auto"/>
              <w:ind w:firstLine="480" w:firstLineChars="200"/>
              <w:jc w:val="center"/>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表2</w:t>
            </w:r>
            <w:r>
              <w:rPr>
                <w:rFonts w:hint="eastAsia" w:ascii="Times New Roman" w:hAnsi="Times New Roman" w:cs="Times New Roman"/>
                <w:b w:val="0"/>
                <w:bCs/>
                <w:color w:val="auto"/>
                <w:sz w:val="24"/>
                <w:szCs w:val="24"/>
                <w:highlight w:val="none"/>
                <w:lang w:val="en-US" w:eastAsia="zh-CN"/>
              </w:rPr>
              <w:t>-16</w:t>
            </w:r>
            <w:r>
              <w:rPr>
                <w:rFonts w:hint="default" w:ascii="Times New Roman" w:hAnsi="Times New Roman" w:cs="Times New Roman"/>
                <w:b w:val="0"/>
                <w:bCs/>
                <w:color w:val="auto"/>
                <w:sz w:val="24"/>
                <w:szCs w:val="24"/>
                <w:highlight w:val="none"/>
                <w:lang w:val="en-US" w:eastAsia="zh-CN"/>
              </w:rPr>
              <w:t xml:space="preserve">  现有工程废气污染物排放总量  （t/a）</w:t>
            </w:r>
          </w:p>
          <w:tbl>
            <w:tblPr>
              <w:tblStyle w:val="22"/>
              <w:tblW w:w="490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1390"/>
              <w:gridCol w:w="2596"/>
              <w:gridCol w:w="2737"/>
            </w:tblGrid>
            <w:tr w14:paraId="47B1A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56" w:type="pct"/>
                  <w:gridSpan w:val="2"/>
                  <w:tcBorders>
                    <w:tl2br w:val="nil"/>
                    <w:tr2bl w:val="nil"/>
                  </w:tcBorders>
                  <w:noWrap w:val="0"/>
                  <w:vAlign w:val="center"/>
                </w:tcPr>
                <w:p w14:paraId="2BF1BF84">
                  <w:pPr>
                    <w:spacing w:line="240" w:lineRule="auto"/>
                    <w:ind w:firstLine="0" w:firstLineChars="0"/>
                    <w:jc w:val="center"/>
                    <w:rPr>
                      <w:rFonts w:hint="eastAsia" w:ascii="Times New Roman" w:hAnsi="宋体" w:eastAsia="宋体"/>
                      <w:sz w:val="21"/>
                      <w:szCs w:val="21"/>
                      <w:lang w:eastAsia="zh-CN"/>
                    </w:rPr>
                  </w:pPr>
                  <w:r>
                    <w:rPr>
                      <w:rFonts w:hint="eastAsia" w:hAnsi="宋体"/>
                      <w:sz w:val="21"/>
                      <w:szCs w:val="21"/>
                      <w:lang w:eastAsia="zh-CN"/>
                    </w:rPr>
                    <w:t>污染物</w:t>
                  </w:r>
                </w:p>
              </w:tc>
              <w:tc>
                <w:tcPr>
                  <w:tcW w:w="1578" w:type="pct"/>
                  <w:tcBorders>
                    <w:tl2br w:val="nil"/>
                    <w:tr2bl w:val="nil"/>
                  </w:tcBorders>
                  <w:noWrap w:val="0"/>
                  <w:vAlign w:val="center"/>
                </w:tcPr>
                <w:p w14:paraId="3119E839">
                  <w:pPr>
                    <w:spacing w:line="240" w:lineRule="auto"/>
                    <w:ind w:firstLine="0" w:firstLineChars="0"/>
                    <w:jc w:val="center"/>
                    <w:rPr>
                      <w:rFonts w:ascii="Times New Roman" w:hAnsi="宋体"/>
                      <w:sz w:val="21"/>
                      <w:szCs w:val="21"/>
                    </w:rPr>
                  </w:pPr>
                  <w:r>
                    <w:rPr>
                      <w:rFonts w:hint="eastAsia" w:hAnsi="宋体"/>
                      <w:sz w:val="21"/>
                      <w:szCs w:val="21"/>
                      <w:lang w:eastAsia="zh-CN"/>
                    </w:rPr>
                    <w:t>环评批准总量</w:t>
                  </w:r>
                  <w:r>
                    <w:rPr>
                      <w:rFonts w:hint="eastAsia" w:ascii="Times New Roman" w:hAnsi="宋体"/>
                      <w:sz w:val="21"/>
                      <w:szCs w:val="21"/>
                    </w:rPr>
                    <w:t>（</w:t>
                  </w:r>
                  <w:r>
                    <w:rPr>
                      <w:rFonts w:ascii="Times New Roman" w:hAnsi="宋体"/>
                      <w:sz w:val="21"/>
                      <w:szCs w:val="21"/>
                    </w:rPr>
                    <w:t>t/a</w:t>
                  </w:r>
                  <w:r>
                    <w:rPr>
                      <w:rFonts w:hint="eastAsia" w:ascii="Times New Roman" w:hAnsi="宋体"/>
                      <w:sz w:val="21"/>
                      <w:szCs w:val="21"/>
                    </w:rPr>
                    <w:t>）</w:t>
                  </w:r>
                </w:p>
              </w:tc>
              <w:tc>
                <w:tcPr>
                  <w:tcW w:w="1664" w:type="pct"/>
                  <w:tcBorders>
                    <w:tl2br w:val="nil"/>
                    <w:tr2bl w:val="nil"/>
                  </w:tcBorders>
                  <w:noWrap w:val="0"/>
                  <w:vAlign w:val="center"/>
                </w:tcPr>
                <w:p w14:paraId="5EC390E6">
                  <w:pPr>
                    <w:spacing w:line="240" w:lineRule="auto"/>
                    <w:ind w:firstLine="0" w:firstLineChars="0"/>
                    <w:jc w:val="center"/>
                    <w:rPr>
                      <w:rFonts w:hint="eastAsia" w:hAnsi="宋体"/>
                      <w:sz w:val="21"/>
                      <w:szCs w:val="21"/>
                      <w:lang w:eastAsia="zh-CN"/>
                    </w:rPr>
                  </w:pPr>
                  <w:r>
                    <w:rPr>
                      <w:rFonts w:hint="eastAsia" w:hAnsi="宋体"/>
                      <w:sz w:val="21"/>
                      <w:szCs w:val="21"/>
                      <w:lang w:eastAsia="zh-CN"/>
                    </w:rPr>
                    <w:t>验收核算排放总量</w:t>
                  </w:r>
                  <w:r>
                    <w:rPr>
                      <w:rFonts w:hint="eastAsia" w:ascii="Times New Roman" w:hAnsi="宋体"/>
                      <w:sz w:val="21"/>
                      <w:szCs w:val="21"/>
                    </w:rPr>
                    <w:t>（</w:t>
                  </w:r>
                  <w:r>
                    <w:rPr>
                      <w:rFonts w:ascii="Times New Roman" w:hAnsi="宋体"/>
                      <w:sz w:val="21"/>
                      <w:szCs w:val="21"/>
                    </w:rPr>
                    <w:t>t/a</w:t>
                  </w:r>
                  <w:r>
                    <w:rPr>
                      <w:rFonts w:hint="eastAsia" w:ascii="Times New Roman" w:hAnsi="宋体"/>
                      <w:sz w:val="21"/>
                      <w:szCs w:val="21"/>
                    </w:rPr>
                    <w:t>）</w:t>
                  </w:r>
                </w:p>
              </w:tc>
            </w:tr>
            <w:tr w14:paraId="586426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911" w:type="pct"/>
                  <w:tcBorders>
                    <w:tl2br w:val="nil"/>
                    <w:tr2bl w:val="nil"/>
                  </w:tcBorders>
                  <w:noWrap w:val="0"/>
                  <w:vAlign w:val="center"/>
                </w:tcPr>
                <w:p w14:paraId="12F795E4">
                  <w:pPr>
                    <w:spacing w:line="240" w:lineRule="auto"/>
                    <w:ind w:firstLine="0" w:firstLineChars="0"/>
                    <w:jc w:val="center"/>
                    <w:rPr>
                      <w:rFonts w:hint="eastAsia" w:ascii="Times New Roman" w:hAnsi="宋体"/>
                      <w:sz w:val="21"/>
                      <w:szCs w:val="21"/>
                    </w:rPr>
                  </w:pPr>
                  <w:r>
                    <w:rPr>
                      <w:rFonts w:hint="eastAsia" w:ascii="Times New Roman" w:hAnsi="宋体"/>
                      <w:sz w:val="21"/>
                      <w:szCs w:val="21"/>
                    </w:rPr>
                    <w:t>废气</w:t>
                  </w:r>
                </w:p>
              </w:tc>
              <w:tc>
                <w:tcPr>
                  <w:tcW w:w="845" w:type="pct"/>
                  <w:tcBorders>
                    <w:tl2br w:val="nil"/>
                    <w:tr2bl w:val="nil"/>
                  </w:tcBorders>
                  <w:noWrap w:val="0"/>
                  <w:vAlign w:val="center"/>
                </w:tcPr>
                <w:p w14:paraId="6CD77C3D">
                  <w:pPr>
                    <w:spacing w:line="240" w:lineRule="auto"/>
                    <w:ind w:firstLine="0" w:firstLineChars="0"/>
                    <w:jc w:val="center"/>
                    <w:rPr>
                      <w:rFonts w:ascii="Times New Roman" w:hAnsi="宋体"/>
                      <w:sz w:val="21"/>
                      <w:szCs w:val="21"/>
                    </w:rPr>
                  </w:pPr>
                  <w:r>
                    <w:rPr>
                      <w:rFonts w:hint="eastAsia" w:ascii="Times New Roman" w:hAnsi="宋体"/>
                      <w:sz w:val="21"/>
                      <w:szCs w:val="21"/>
                    </w:rPr>
                    <w:t>颗粒物</w:t>
                  </w:r>
                </w:p>
              </w:tc>
              <w:tc>
                <w:tcPr>
                  <w:tcW w:w="1578" w:type="pct"/>
                  <w:tcBorders>
                    <w:tl2br w:val="nil"/>
                    <w:tr2bl w:val="nil"/>
                  </w:tcBorders>
                  <w:noWrap w:val="0"/>
                  <w:vAlign w:val="center"/>
                </w:tcPr>
                <w:p w14:paraId="112A0A5E">
                  <w:pPr>
                    <w:spacing w:line="240" w:lineRule="auto"/>
                    <w:ind w:firstLine="0" w:firstLineChars="0"/>
                    <w:jc w:val="center"/>
                    <w:rPr>
                      <w:rFonts w:hint="default" w:ascii="Times New Roman" w:hAnsi="宋体" w:eastAsiaTheme="minorEastAsia"/>
                      <w:sz w:val="21"/>
                      <w:szCs w:val="21"/>
                      <w:lang w:val="en-US" w:eastAsia="zh-CN"/>
                    </w:rPr>
                  </w:pPr>
                  <w:r>
                    <w:rPr>
                      <w:rFonts w:hint="eastAsia" w:ascii="Times New Roman" w:hAnsi="宋体"/>
                      <w:sz w:val="21"/>
                      <w:szCs w:val="21"/>
                      <w:lang w:val="en-US" w:eastAsia="zh-CN"/>
                    </w:rPr>
                    <w:t>0.06</w:t>
                  </w:r>
                </w:p>
              </w:tc>
              <w:tc>
                <w:tcPr>
                  <w:tcW w:w="1664" w:type="pct"/>
                  <w:tcBorders>
                    <w:tl2br w:val="nil"/>
                    <w:tr2bl w:val="nil"/>
                  </w:tcBorders>
                  <w:noWrap w:val="0"/>
                  <w:vAlign w:val="center"/>
                </w:tcPr>
                <w:p w14:paraId="37A79A32">
                  <w:pPr>
                    <w:spacing w:line="240" w:lineRule="auto"/>
                    <w:ind w:firstLine="0" w:firstLineChars="0"/>
                    <w:jc w:val="center"/>
                    <w:rPr>
                      <w:rFonts w:hint="default" w:ascii="Times New Roman" w:hAnsi="宋体" w:eastAsiaTheme="minorEastAsia"/>
                      <w:sz w:val="21"/>
                      <w:szCs w:val="21"/>
                      <w:lang w:val="en-US" w:eastAsia="zh-CN"/>
                    </w:rPr>
                  </w:pPr>
                  <w:r>
                    <w:rPr>
                      <w:rFonts w:hint="eastAsia" w:ascii="Times New Roman" w:hAnsi="宋体"/>
                      <w:sz w:val="21"/>
                      <w:szCs w:val="21"/>
                      <w:lang w:val="en-US" w:eastAsia="zh-CN"/>
                    </w:rPr>
                    <w:t>0.03</w:t>
                  </w:r>
                </w:p>
              </w:tc>
            </w:tr>
          </w:tbl>
          <w:p w14:paraId="4604D112">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kern w:val="0"/>
                <w:sz w:val="24"/>
                <w:szCs w:val="20"/>
                <w:lang w:val="en-US" w:eastAsia="zh-CN" w:bidi="ar-SA"/>
              </w:rPr>
            </w:pPr>
            <w:r>
              <w:rPr>
                <w:rFonts w:hint="eastAsia" w:ascii="Times New Roman" w:hAnsi="Times New Roman" w:eastAsia="宋体" w:cs="Times New Roman"/>
                <w:b w:val="0"/>
                <w:bCs w:val="0"/>
                <w:color w:val="auto"/>
                <w:kern w:val="0"/>
                <w:sz w:val="24"/>
                <w:szCs w:val="20"/>
                <w:lang w:val="en-US" w:eastAsia="zh-CN" w:bidi="ar-SA"/>
              </w:rPr>
              <w:t>根据现有工程验收监测报告，废气监测结果详见表2-17~表2-18。</w:t>
            </w:r>
          </w:p>
          <w:p w14:paraId="07B96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表</w:t>
            </w:r>
            <w:r>
              <w:rPr>
                <w:rFonts w:hint="eastAsia" w:ascii="Times New Roman" w:hAnsi="Times New Roman" w:eastAsia="宋体" w:cs="Times New Roman"/>
                <w:b w:val="0"/>
                <w:bCs w:val="0"/>
                <w:color w:val="auto"/>
                <w:sz w:val="24"/>
                <w:highlight w:val="none"/>
                <w:lang w:val="en-US" w:eastAsia="zh-CN"/>
              </w:rPr>
              <w:t>2-17</w:t>
            </w:r>
            <w:r>
              <w:rPr>
                <w:rFonts w:hint="default" w:ascii="Times New Roman" w:hAnsi="Times New Roman" w:eastAsia="宋体" w:cs="Times New Roman"/>
                <w:b w:val="0"/>
                <w:bCs w:val="0"/>
                <w:color w:val="auto"/>
                <w:sz w:val="24"/>
                <w:highlight w:val="none"/>
                <w:lang w:eastAsia="zh-CN"/>
              </w:rPr>
              <w:t xml:space="preserve">  </w:t>
            </w:r>
            <w:r>
              <w:rPr>
                <w:rFonts w:hint="default" w:ascii="Times New Roman" w:hAnsi="Times New Roman" w:eastAsia="宋体" w:cs="Times New Roman"/>
                <w:b w:val="0"/>
                <w:bCs w:val="0"/>
                <w:color w:val="auto"/>
                <w:sz w:val="24"/>
                <w:highlight w:val="none"/>
                <w:lang w:val="en-US" w:eastAsia="zh-CN"/>
              </w:rPr>
              <w:t>有</w:t>
            </w:r>
            <w:r>
              <w:rPr>
                <w:rFonts w:hint="default" w:ascii="Times New Roman" w:hAnsi="Times New Roman" w:eastAsia="宋体" w:cs="Times New Roman"/>
                <w:b w:val="0"/>
                <w:bCs w:val="0"/>
                <w:color w:val="auto"/>
                <w:sz w:val="24"/>
                <w:highlight w:val="none"/>
                <w:lang w:eastAsia="zh-CN"/>
              </w:rPr>
              <w:t>组织废气监测结果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1056"/>
              <w:gridCol w:w="2077"/>
              <w:gridCol w:w="958"/>
              <w:gridCol w:w="1121"/>
              <w:gridCol w:w="1037"/>
              <w:gridCol w:w="1137"/>
              <w:gridCol w:w="1002"/>
            </w:tblGrid>
            <w:tr w14:paraId="28710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57" w:type="dxa"/>
                  <w:bottom w:w="0" w:type="dxa"/>
                  <w:right w:w="57" w:type="dxa"/>
                </w:tblCellMar>
              </w:tblPrEx>
              <w:trPr>
                <w:trHeight w:val="23" w:hRule="atLeast"/>
                <w:jc w:val="center"/>
              </w:trPr>
              <w:tc>
                <w:tcPr>
                  <w:tcW w:w="5000" w:type="pct"/>
                  <w:gridSpan w:val="7"/>
                  <w:tcBorders>
                    <w:tl2br w:val="nil"/>
                    <w:tr2bl w:val="nil"/>
                  </w:tcBorders>
                  <w:shd w:val="clear" w:color="auto" w:fill="auto"/>
                  <w:vAlign w:val="center"/>
                </w:tcPr>
                <w:p w14:paraId="68C634D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bidi="ar"/>
                    </w:rPr>
                    <w:t>1</w:t>
                  </w:r>
                  <w:r>
                    <w:rPr>
                      <w:rFonts w:hint="default" w:ascii="Times New Roman" w:hAnsi="Times New Roman" w:eastAsia="宋体" w:cs="Times New Roman"/>
                      <w:color w:val="auto"/>
                      <w:kern w:val="2"/>
                      <w:sz w:val="21"/>
                      <w:szCs w:val="21"/>
                      <w:highlight w:val="none"/>
                      <w:lang w:val="en-US" w:eastAsia="zh-CN" w:bidi="ar"/>
                    </w:rPr>
                    <w:t>.</w:t>
                  </w:r>
                  <w:r>
                    <w:rPr>
                      <w:rFonts w:hint="eastAsia" w:ascii="Times New Roman" w:hAnsi="Times New Roman" w:eastAsia="宋体" w:cs="Times New Roman"/>
                      <w:color w:val="auto"/>
                      <w:kern w:val="2"/>
                      <w:sz w:val="21"/>
                      <w:szCs w:val="21"/>
                      <w:highlight w:val="none"/>
                      <w:lang w:val="en-US" w:eastAsia="zh-CN" w:bidi="ar"/>
                    </w:rPr>
                    <w:t>焊接烟尘排放口</w:t>
                  </w:r>
                  <w:r>
                    <w:rPr>
                      <w:rFonts w:hint="default" w:ascii="Times New Roman" w:hAnsi="Times New Roman" w:eastAsia="宋体" w:cs="Times New Roman"/>
                      <w:color w:val="auto"/>
                      <w:kern w:val="2"/>
                      <w:sz w:val="21"/>
                      <w:szCs w:val="21"/>
                      <w:highlight w:val="none"/>
                      <w:lang w:val="en-US" w:eastAsia="zh-CN" w:bidi="ar"/>
                    </w:rPr>
                    <w:t>（◎B</w:t>
                  </w:r>
                  <w:r>
                    <w:rPr>
                      <w:rFonts w:hint="eastAsia" w:ascii="Times New Roman" w:hAnsi="Times New Roman" w:eastAsia="宋体"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w:t>
                  </w:r>
                </w:p>
              </w:tc>
            </w:tr>
            <w:tr w14:paraId="7918A9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tcBorders>
                    <w:tl2br w:val="nil"/>
                    <w:tr2bl w:val="nil"/>
                  </w:tcBorders>
                  <w:shd w:val="clear" w:color="auto" w:fill="auto"/>
                  <w:vAlign w:val="center"/>
                </w:tcPr>
                <w:p w14:paraId="06282A0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val="en-US" w:eastAsia="zh-CN" w:bidi="ar"/>
                    </w:rPr>
                    <w:t>检测时间</w:t>
                  </w:r>
                </w:p>
              </w:tc>
              <w:tc>
                <w:tcPr>
                  <w:tcW w:w="1238" w:type="pct"/>
                  <w:tcBorders>
                    <w:tl2br w:val="nil"/>
                    <w:tr2bl w:val="nil"/>
                  </w:tcBorders>
                  <w:shd w:val="clear" w:color="auto" w:fill="auto"/>
                  <w:vAlign w:val="center"/>
                </w:tcPr>
                <w:p w14:paraId="0F4B489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检测项目</w:t>
                  </w:r>
                </w:p>
              </w:tc>
              <w:tc>
                <w:tcPr>
                  <w:tcW w:w="571" w:type="pct"/>
                  <w:tcBorders>
                    <w:tl2br w:val="nil"/>
                    <w:tr2bl w:val="nil"/>
                  </w:tcBorders>
                  <w:shd w:val="clear" w:color="auto" w:fill="auto"/>
                  <w:vAlign w:val="center"/>
                </w:tcPr>
                <w:p w14:paraId="617CD4B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单位</w:t>
                  </w:r>
                </w:p>
              </w:tc>
              <w:tc>
                <w:tcPr>
                  <w:tcW w:w="668" w:type="pct"/>
                  <w:tcBorders>
                    <w:tl2br w:val="nil"/>
                    <w:tr2bl w:val="nil"/>
                  </w:tcBorders>
                  <w:shd w:val="clear" w:color="auto" w:fill="auto"/>
                  <w:vAlign w:val="center"/>
                </w:tcPr>
                <w:p w14:paraId="7E8AFF1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第一次</w:t>
                  </w:r>
                </w:p>
              </w:tc>
              <w:tc>
                <w:tcPr>
                  <w:tcW w:w="618" w:type="pct"/>
                  <w:tcBorders>
                    <w:tl2br w:val="nil"/>
                    <w:tr2bl w:val="nil"/>
                  </w:tcBorders>
                  <w:shd w:val="clear" w:color="auto" w:fill="auto"/>
                  <w:vAlign w:val="center"/>
                </w:tcPr>
                <w:p w14:paraId="1E4CC675">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第二次</w:t>
                  </w:r>
                </w:p>
              </w:tc>
              <w:tc>
                <w:tcPr>
                  <w:tcW w:w="678" w:type="pct"/>
                  <w:tcBorders>
                    <w:tl2br w:val="nil"/>
                    <w:tr2bl w:val="nil"/>
                  </w:tcBorders>
                  <w:shd w:val="clear" w:color="auto" w:fill="auto"/>
                  <w:vAlign w:val="center"/>
                </w:tcPr>
                <w:p w14:paraId="0A085A43">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第三次</w:t>
                  </w:r>
                </w:p>
              </w:tc>
              <w:tc>
                <w:tcPr>
                  <w:tcW w:w="594" w:type="pct"/>
                  <w:tcBorders>
                    <w:tl2br w:val="nil"/>
                    <w:tr2bl w:val="nil"/>
                  </w:tcBorders>
                  <w:shd w:val="clear" w:color="auto" w:fill="auto"/>
                  <w:vAlign w:val="center"/>
                </w:tcPr>
                <w:p w14:paraId="460CF55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标准限值</w:t>
                  </w:r>
                </w:p>
              </w:tc>
            </w:tr>
            <w:tr w14:paraId="38D46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restart"/>
                  <w:tcBorders>
                    <w:tl2br w:val="nil"/>
                    <w:tr2bl w:val="nil"/>
                  </w:tcBorders>
                  <w:shd w:val="clear" w:color="auto" w:fill="auto"/>
                  <w:vAlign w:val="center"/>
                </w:tcPr>
                <w:p w14:paraId="25C2B73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2022.09.16</w:t>
                  </w:r>
                </w:p>
              </w:tc>
              <w:tc>
                <w:tcPr>
                  <w:tcW w:w="1238" w:type="pct"/>
                  <w:tcBorders>
                    <w:tl2br w:val="nil"/>
                    <w:tr2bl w:val="nil"/>
                  </w:tcBorders>
                  <w:shd w:val="clear" w:color="auto" w:fill="auto"/>
                  <w:vAlign w:val="center"/>
                </w:tcPr>
                <w:p w14:paraId="776839F4">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排气温度</w:t>
                  </w:r>
                </w:p>
              </w:tc>
              <w:tc>
                <w:tcPr>
                  <w:tcW w:w="571" w:type="pct"/>
                  <w:tcBorders>
                    <w:tl2br w:val="nil"/>
                    <w:tr2bl w:val="nil"/>
                  </w:tcBorders>
                  <w:shd w:val="clear" w:color="auto" w:fill="auto"/>
                  <w:vAlign w:val="center"/>
                </w:tcPr>
                <w:p w14:paraId="641F7AA4">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8" w:type="pct"/>
                  <w:tcBorders>
                    <w:tl2br w:val="nil"/>
                    <w:tr2bl w:val="nil"/>
                  </w:tcBorders>
                  <w:shd w:val="clear" w:color="auto" w:fill="auto"/>
                  <w:vAlign w:val="center"/>
                </w:tcPr>
                <w:p w14:paraId="56198F6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28</w:t>
                  </w:r>
                </w:p>
              </w:tc>
              <w:tc>
                <w:tcPr>
                  <w:tcW w:w="618" w:type="pct"/>
                  <w:tcBorders>
                    <w:tl2br w:val="nil"/>
                    <w:tr2bl w:val="nil"/>
                  </w:tcBorders>
                  <w:shd w:val="clear" w:color="auto" w:fill="auto"/>
                  <w:vAlign w:val="center"/>
                </w:tcPr>
                <w:p w14:paraId="04CD5D0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28</w:t>
                  </w:r>
                </w:p>
              </w:tc>
              <w:tc>
                <w:tcPr>
                  <w:tcW w:w="678" w:type="pct"/>
                  <w:tcBorders>
                    <w:tl2br w:val="nil"/>
                    <w:tr2bl w:val="nil"/>
                  </w:tcBorders>
                  <w:shd w:val="clear" w:color="auto" w:fill="auto"/>
                  <w:vAlign w:val="center"/>
                </w:tcPr>
                <w:p w14:paraId="44C5B39A">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28</w:t>
                  </w:r>
                </w:p>
              </w:tc>
              <w:tc>
                <w:tcPr>
                  <w:tcW w:w="594" w:type="pct"/>
                  <w:tcBorders>
                    <w:tl2br w:val="nil"/>
                    <w:tr2bl w:val="nil"/>
                  </w:tcBorders>
                  <w:shd w:val="clear" w:color="auto" w:fill="auto"/>
                  <w:vAlign w:val="center"/>
                </w:tcPr>
                <w:p w14:paraId="5E788FAF">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36CA0A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50AF8193">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38" w:type="pct"/>
                  <w:tcBorders>
                    <w:tl2br w:val="nil"/>
                    <w:tr2bl w:val="nil"/>
                  </w:tcBorders>
                  <w:shd w:val="clear" w:color="auto" w:fill="auto"/>
                  <w:vAlign w:val="center"/>
                </w:tcPr>
                <w:p w14:paraId="5E2B039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标干风量</w:t>
                  </w:r>
                </w:p>
              </w:tc>
              <w:tc>
                <w:tcPr>
                  <w:tcW w:w="571" w:type="pct"/>
                  <w:tcBorders>
                    <w:tl2br w:val="nil"/>
                    <w:tr2bl w:val="nil"/>
                  </w:tcBorders>
                  <w:shd w:val="clear" w:color="auto" w:fill="auto"/>
                  <w:vAlign w:val="center"/>
                </w:tcPr>
                <w:p w14:paraId="2881C7E0">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668" w:type="pct"/>
                  <w:tcBorders>
                    <w:tl2br w:val="nil"/>
                    <w:tr2bl w:val="nil"/>
                  </w:tcBorders>
                  <w:shd w:val="clear" w:color="auto" w:fill="auto"/>
                  <w:vAlign w:val="center"/>
                </w:tcPr>
                <w:p w14:paraId="478DCF04">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1.82</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618" w:type="pct"/>
                  <w:tcBorders>
                    <w:tl2br w:val="nil"/>
                    <w:tr2bl w:val="nil"/>
                  </w:tcBorders>
                  <w:shd w:val="clear" w:color="auto" w:fill="auto"/>
                  <w:vAlign w:val="center"/>
                </w:tcPr>
                <w:p w14:paraId="2DD345A2">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1.80</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678" w:type="pct"/>
                  <w:tcBorders>
                    <w:tl2br w:val="nil"/>
                    <w:tr2bl w:val="nil"/>
                  </w:tcBorders>
                  <w:shd w:val="clear" w:color="auto" w:fill="auto"/>
                  <w:vAlign w:val="center"/>
                </w:tcPr>
                <w:p w14:paraId="5E33543D">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1.82</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594" w:type="pct"/>
                  <w:tcBorders>
                    <w:tl2br w:val="nil"/>
                    <w:tr2bl w:val="nil"/>
                  </w:tcBorders>
                  <w:shd w:val="clear" w:color="auto" w:fill="auto"/>
                  <w:vAlign w:val="center"/>
                </w:tcPr>
                <w:p w14:paraId="3CDFF8A7">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0E2515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1CDADB71">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38" w:type="pct"/>
                  <w:tcBorders>
                    <w:tl2br w:val="nil"/>
                    <w:tr2bl w:val="nil"/>
                  </w:tcBorders>
                  <w:shd w:val="clear" w:color="auto" w:fill="auto"/>
                  <w:vAlign w:val="center"/>
                </w:tcPr>
                <w:p w14:paraId="455C6700">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排气流速</w:t>
                  </w:r>
                </w:p>
              </w:tc>
              <w:tc>
                <w:tcPr>
                  <w:tcW w:w="571" w:type="pct"/>
                  <w:tcBorders>
                    <w:tl2br w:val="nil"/>
                    <w:tr2bl w:val="nil"/>
                  </w:tcBorders>
                  <w:shd w:val="clear" w:color="auto" w:fill="auto"/>
                  <w:vAlign w:val="center"/>
                </w:tcPr>
                <w:p w14:paraId="1E234524">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m/s</w:t>
                  </w:r>
                </w:p>
              </w:tc>
              <w:tc>
                <w:tcPr>
                  <w:tcW w:w="668" w:type="pct"/>
                  <w:tcBorders>
                    <w:tl2br w:val="nil"/>
                    <w:tr2bl w:val="nil"/>
                  </w:tcBorders>
                  <w:shd w:val="clear" w:color="auto" w:fill="auto"/>
                  <w:vAlign w:val="center"/>
                </w:tcPr>
                <w:p w14:paraId="7557DAA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11.74</w:t>
                  </w:r>
                </w:p>
              </w:tc>
              <w:tc>
                <w:tcPr>
                  <w:tcW w:w="618" w:type="pct"/>
                  <w:tcBorders>
                    <w:tl2br w:val="nil"/>
                    <w:tr2bl w:val="nil"/>
                  </w:tcBorders>
                  <w:shd w:val="clear" w:color="auto" w:fill="auto"/>
                  <w:vAlign w:val="center"/>
                </w:tcPr>
                <w:p w14:paraId="1C72DD67">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11.60</w:t>
                  </w:r>
                </w:p>
              </w:tc>
              <w:tc>
                <w:tcPr>
                  <w:tcW w:w="678" w:type="pct"/>
                  <w:tcBorders>
                    <w:tl2br w:val="nil"/>
                    <w:tr2bl w:val="nil"/>
                  </w:tcBorders>
                  <w:shd w:val="clear" w:color="auto" w:fill="auto"/>
                  <w:vAlign w:val="center"/>
                </w:tcPr>
                <w:p w14:paraId="344AB38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11.76</w:t>
                  </w:r>
                </w:p>
              </w:tc>
              <w:tc>
                <w:tcPr>
                  <w:tcW w:w="594" w:type="pct"/>
                  <w:tcBorders>
                    <w:tl2br w:val="nil"/>
                    <w:tr2bl w:val="nil"/>
                  </w:tcBorders>
                  <w:shd w:val="clear" w:color="auto" w:fill="auto"/>
                  <w:vAlign w:val="center"/>
                </w:tcPr>
                <w:p w14:paraId="2368B33D">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77B39F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7EF41FA8">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38" w:type="pct"/>
                  <w:tcBorders>
                    <w:tl2br w:val="nil"/>
                    <w:tr2bl w:val="nil"/>
                  </w:tcBorders>
                  <w:shd w:val="clear" w:color="auto" w:fill="auto"/>
                  <w:vAlign w:val="center"/>
                </w:tcPr>
                <w:p w14:paraId="7AC70C4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颗粒物实测浓度</w:t>
                  </w:r>
                </w:p>
              </w:tc>
              <w:tc>
                <w:tcPr>
                  <w:tcW w:w="571" w:type="pct"/>
                  <w:tcBorders>
                    <w:tl2br w:val="nil"/>
                    <w:tr2bl w:val="nil"/>
                  </w:tcBorders>
                  <w:shd w:val="clear" w:color="auto" w:fill="auto"/>
                  <w:vAlign w:val="center"/>
                </w:tcPr>
                <w:p w14:paraId="162FC51F">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668" w:type="pct"/>
                  <w:tcBorders>
                    <w:tl2br w:val="nil"/>
                    <w:tr2bl w:val="nil"/>
                  </w:tcBorders>
                  <w:shd w:val="clear" w:color="auto" w:fill="auto"/>
                  <w:vAlign w:val="center"/>
                </w:tcPr>
                <w:p w14:paraId="07F67DBB">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c>
                <w:tcPr>
                  <w:tcW w:w="618" w:type="pct"/>
                  <w:tcBorders>
                    <w:tl2br w:val="nil"/>
                    <w:tr2bl w:val="nil"/>
                  </w:tcBorders>
                  <w:shd w:val="clear" w:color="auto" w:fill="auto"/>
                  <w:vAlign w:val="center"/>
                </w:tcPr>
                <w:p w14:paraId="170D2C01">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1.6</w:t>
                  </w:r>
                </w:p>
              </w:tc>
              <w:tc>
                <w:tcPr>
                  <w:tcW w:w="678" w:type="pct"/>
                  <w:tcBorders>
                    <w:tl2br w:val="nil"/>
                    <w:tr2bl w:val="nil"/>
                  </w:tcBorders>
                  <w:shd w:val="clear" w:color="auto" w:fill="auto"/>
                  <w:vAlign w:val="center"/>
                </w:tcPr>
                <w:p w14:paraId="44F2F3A0">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1.9</w:t>
                  </w:r>
                </w:p>
              </w:tc>
              <w:tc>
                <w:tcPr>
                  <w:tcW w:w="594" w:type="pct"/>
                  <w:tcBorders>
                    <w:tl2br w:val="nil"/>
                    <w:tr2bl w:val="nil"/>
                  </w:tcBorders>
                  <w:shd w:val="clear" w:color="auto" w:fill="auto"/>
                  <w:vAlign w:val="center"/>
                </w:tcPr>
                <w:p w14:paraId="66C30E60">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756EAD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76AB501A">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38" w:type="pct"/>
                  <w:tcBorders>
                    <w:tl2br w:val="nil"/>
                    <w:tr2bl w:val="nil"/>
                  </w:tcBorders>
                  <w:shd w:val="clear" w:color="auto" w:fill="auto"/>
                  <w:vAlign w:val="center"/>
                </w:tcPr>
                <w:p w14:paraId="3A1C90F3">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颗粒物排放浓度</w:t>
                  </w:r>
                </w:p>
              </w:tc>
              <w:tc>
                <w:tcPr>
                  <w:tcW w:w="571" w:type="pct"/>
                  <w:tcBorders>
                    <w:tl2br w:val="nil"/>
                    <w:tr2bl w:val="nil"/>
                  </w:tcBorders>
                  <w:shd w:val="clear" w:color="auto" w:fill="auto"/>
                  <w:vAlign w:val="center"/>
                </w:tcPr>
                <w:p w14:paraId="46F7C530">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668" w:type="pct"/>
                  <w:tcBorders>
                    <w:tl2br w:val="nil"/>
                    <w:tr2bl w:val="nil"/>
                  </w:tcBorders>
                  <w:shd w:val="clear" w:color="auto" w:fill="auto"/>
                  <w:vAlign w:val="center"/>
                </w:tcPr>
                <w:p w14:paraId="00CEF432">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c>
                <w:tcPr>
                  <w:tcW w:w="618" w:type="pct"/>
                  <w:tcBorders>
                    <w:tl2br w:val="nil"/>
                    <w:tr2bl w:val="nil"/>
                  </w:tcBorders>
                  <w:shd w:val="clear" w:color="auto" w:fill="auto"/>
                  <w:vAlign w:val="center"/>
                </w:tcPr>
                <w:p w14:paraId="36E6A58E">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1.6</w:t>
                  </w:r>
                </w:p>
              </w:tc>
              <w:tc>
                <w:tcPr>
                  <w:tcW w:w="678" w:type="pct"/>
                  <w:tcBorders>
                    <w:tl2br w:val="nil"/>
                    <w:tr2bl w:val="nil"/>
                  </w:tcBorders>
                  <w:shd w:val="clear" w:color="auto" w:fill="auto"/>
                  <w:vAlign w:val="center"/>
                </w:tcPr>
                <w:p w14:paraId="10DCF518">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1.9</w:t>
                  </w:r>
                </w:p>
              </w:tc>
              <w:tc>
                <w:tcPr>
                  <w:tcW w:w="594" w:type="pct"/>
                  <w:tcBorders>
                    <w:tl2br w:val="nil"/>
                    <w:tr2bl w:val="nil"/>
                  </w:tcBorders>
                  <w:shd w:val="clear" w:color="auto" w:fill="auto"/>
                  <w:vAlign w:val="center"/>
                </w:tcPr>
                <w:p w14:paraId="489C1D8A">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50</w:t>
                  </w:r>
                </w:p>
              </w:tc>
            </w:tr>
            <w:tr w14:paraId="43F4EA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0A0D06D7">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38" w:type="pct"/>
                  <w:tcBorders>
                    <w:tl2br w:val="nil"/>
                    <w:tr2bl w:val="nil"/>
                  </w:tcBorders>
                  <w:shd w:val="clear" w:color="auto" w:fill="auto"/>
                  <w:vAlign w:val="center"/>
                </w:tcPr>
                <w:p w14:paraId="373C303D">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颗粒物排放速率</w:t>
                  </w:r>
                </w:p>
              </w:tc>
              <w:tc>
                <w:tcPr>
                  <w:tcW w:w="571" w:type="pct"/>
                  <w:tcBorders>
                    <w:tl2br w:val="nil"/>
                    <w:tr2bl w:val="nil"/>
                  </w:tcBorders>
                  <w:shd w:val="clear" w:color="auto" w:fill="auto"/>
                  <w:vAlign w:val="center"/>
                </w:tcPr>
                <w:p w14:paraId="6460B5EA">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kg/h</w:t>
                  </w:r>
                </w:p>
              </w:tc>
              <w:tc>
                <w:tcPr>
                  <w:tcW w:w="668" w:type="pct"/>
                  <w:tcBorders>
                    <w:tl2br w:val="nil"/>
                    <w:tr2bl w:val="nil"/>
                  </w:tcBorders>
                  <w:shd w:val="clear" w:color="auto" w:fill="auto"/>
                  <w:vAlign w:val="center"/>
                </w:tcPr>
                <w:p w14:paraId="20FD3776">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3.64</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618" w:type="pct"/>
                  <w:tcBorders>
                    <w:tl2br w:val="nil"/>
                    <w:tr2bl w:val="nil"/>
                  </w:tcBorders>
                  <w:shd w:val="clear" w:color="auto" w:fill="auto"/>
                  <w:vAlign w:val="center"/>
                </w:tcPr>
                <w:p w14:paraId="3CBAC001">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678" w:type="pct"/>
                  <w:tcBorders>
                    <w:tl2br w:val="nil"/>
                    <w:tr2bl w:val="nil"/>
                  </w:tcBorders>
                  <w:shd w:val="clear" w:color="auto" w:fill="auto"/>
                  <w:vAlign w:val="center"/>
                </w:tcPr>
                <w:p w14:paraId="509750B9">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3.46</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594" w:type="pct"/>
                  <w:tcBorders>
                    <w:tl2br w:val="nil"/>
                    <w:tr2bl w:val="nil"/>
                  </w:tcBorders>
                  <w:shd w:val="clear" w:color="auto" w:fill="auto"/>
                  <w:vAlign w:val="center"/>
                </w:tcPr>
                <w:p w14:paraId="79417DF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0.4*</w:t>
                  </w:r>
                </w:p>
              </w:tc>
            </w:tr>
            <w:tr w14:paraId="73B7D9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restart"/>
                  <w:tcBorders>
                    <w:tl2br w:val="nil"/>
                    <w:tr2bl w:val="nil"/>
                  </w:tcBorders>
                  <w:shd w:val="clear" w:color="auto" w:fill="auto"/>
                  <w:vAlign w:val="center"/>
                </w:tcPr>
                <w:p w14:paraId="72ABB70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2022.09.17</w:t>
                  </w:r>
                </w:p>
              </w:tc>
              <w:tc>
                <w:tcPr>
                  <w:tcW w:w="1238" w:type="pct"/>
                  <w:tcBorders>
                    <w:tl2br w:val="nil"/>
                    <w:tr2bl w:val="nil"/>
                  </w:tcBorders>
                  <w:shd w:val="clear" w:color="auto" w:fill="auto"/>
                  <w:vAlign w:val="center"/>
                </w:tcPr>
                <w:p w14:paraId="675F6949">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排气温度</w:t>
                  </w:r>
                </w:p>
              </w:tc>
              <w:tc>
                <w:tcPr>
                  <w:tcW w:w="571" w:type="pct"/>
                  <w:tcBorders>
                    <w:tl2br w:val="nil"/>
                    <w:tr2bl w:val="nil"/>
                  </w:tcBorders>
                  <w:shd w:val="clear" w:color="auto" w:fill="auto"/>
                  <w:vAlign w:val="center"/>
                </w:tcPr>
                <w:p w14:paraId="5244BB15">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8" w:type="pct"/>
                  <w:tcBorders>
                    <w:tl2br w:val="nil"/>
                    <w:tr2bl w:val="nil"/>
                  </w:tcBorders>
                  <w:shd w:val="clear" w:color="auto" w:fill="auto"/>
                  <w:vAlign w:val="center"/>
                </w:tcPr>
                <w:p w14:paraId="5BAA2AD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w:t>
                  </w:r>
                </w:p>
              </w:tc>
              <w:tc>
                <w:tcPr>
                  <w:tcW w:w="618" w:type="pct"/>
                  <w:tcBorders>
                    <w:tl2br w:val="nil"/>
                    <w:tr2bl w:val="nil"/>
                  </w:tcBorders>
                  <w:shd w:val="clear" w:color="auto" w:fill="auto"/>
                  <w:vAlign w:val="center"/>
                </w:tcPr>
                <w:p w14:paraId="05028614">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w:t>
                  </w:r>
                </w:p>
              </w:tc>
              <w:tc>
                <w:tcPr>
                  <w:tcW w:w="678" w:type="pct"/>
                  <w:tcBorders>
                    <w:tl2br w:val="nil"/>
                    <w:tr2bl w:val="nil"/>
                  </w:tcBorders>
                  <w:shd w:val="clear" w:color="auto" w:fill="auto"/>
                  <w:vAlign w:val="center"/>
                </w:tcPr>
                <w:p w14:paraId="0EA4EFB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w:t>
                  </w:r>
                </w:p>
              </w:tc>
              <w:tc>
                <w:tcPr>
                  <w:tcW w:w="594" w:type="pct"/>
                  <w:tcBorders>
                    <w:tl2br w:val="nil"/>
                    <w:tr2bl w:val="nil"/>
                  </w:tcBorders>
                  <w:shd w:val="clear" w:color="auto" w:fill="auto"/>
                  <w:vAlign w:val="center"/>
                </w:tcPr>
                <w:p w14:paraId="066719DE">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r>
            <w:tr w14:paraId="183BE4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0B2FFAA1">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38" w:type="pct"/>
                  <w:tcBorders>
                    <w:tl2br w:val="nil"/>
                    <w:tr2bl w:val="nil"/>
                  </w:tcBorders>
                  <w:shd w:val="clear" w:color="auto" w:fill="auto"/>
                  <w:vAlign w:val="center"/>
                </w:tcPr>
                <w:p w14:paraId="7801285C">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标干风量</w:t>
                  </w:r>
                </w:p>
              </w:tc>
              <w:tc>
                <w:tcPr>
                  <w:tcW w:w="571" w:type="pct"/>
                  <w:tcBorders>
                    <w:tl2br w:val="nil"/>
                    <w:tr2bl w:val="nil"/>
                  </w:tcBorders>
                  <w:shd w:val="clear" w:color="auto" w:fill="auto"/>
                  <w:vAlign w:val="center"/>
                </w:tcPr>
                <w:p w14:paraId="5B239717">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668" w:type="pct"/>
                  <w:tcBorders>
                    <w:tl2br w:val="nil"/>
                    <w:tr2bl w:val="nil"/>
                  </w:tcBorders>
                  <w:shd w:val="clear" w:color="auto" w:fill="auto"/>
                  <w:vAlign w:val="center"/>
                </w:tcPr>
                <w:p w14:paraId="527949F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1.79</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618" w:type="pct"/>
                  <w:tcBorders>
                    <w:tl2br w:val="nil"/>
                    <w:tr2bl w:val="nil"/>
                  </w:tcBorders>
                  <w:shd w:val="clear" w:color="auto" w:fill="auto"/>
                  <w:vAlign w:val="center"/>
                </w:tcPr>
                <w:p w14:paraId="5FC1327B">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1.83</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678" w:type="pct"/>
                  <w:tcBorders>
                    <w:tl2br w:val="nil"/>
                    <w:tr2bl w:val="nil"/>
                  </w:tcBorders>
                  <w:shd w:val="clear" w:color="auto" w:fill="auto"/>
                  <w:vAlign w:val="center"/>
                </w:tcPr>
                <w:p w14:paraId="0EFA698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1.78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4</w:t>
                  </w:r>
                </w:p>
              </w:tc>
              <w:tc>
                <w:tcPr>
                  <w:tcW w:w="594" w:type="pct"/>
                  <w:tcBorders>
                    <w:tl2br w:val="nil"/>
                    <w:tr2bl w:val="nil"/>
                  </w:tcBorders>
                  <w:shd w:val="clear" w:color="auto" w:fill="auto"/>
                  <w:vAlign w:val="center"/>
                </w:tcPr>
                <w:p w14:paraId="2A3F2DFA">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08BB9E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330A852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38" w:type="pct"/>
                  <w:tcBorders>
                    <w:tl2br w:val="nil"/>
                    <w:tr2bl w:val="nil"/>
                  </w:tcBorders>
                  <w:shd w:val="clear" w:color="auto" w:fill="auto"/>
                  <w:vAlign w:val="center"/>
                </w:tcPr>
                <w:p w14:paraId="4EEB6B77">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排气流速</w:t>
                  </w:r>
                </w:p>
              </w:tc>
              <w:tc>
                <w:tcPr>
                  <w:tcW w:w="571" w:type="pct"/>
                  <w:tcBorders>
                    <w:tl2br w:val="nil"/>
                    <w:tr2bl w:val="nil"/>
                  </w:tcBorders>
                  <w:shd w:val="clear" w:color="auto" w:fill="auto"/>
                  <w:vAlign w:val="center"/>
                </w:tcPr>
                <w:p w14:paraId="609D2544">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m/s</w:t>
                  </w:r>
                </w:p>
              </w:tc>
              <w:tc>
                <w:tcPr>
                  <w:tcW w:w="668" w:type="pct"/>
                  <w:tcBorders>
                    <w:tl2br w:val="nil"/>
                    <w:tr2bl w:val="nil"/>
                  </w:tcBorders>
                  <w:shd w:val="clear" w:color="auto" w:fill="auto"/>
                  <w:vAlign w:val="center"/>
                </w:tcPr>
                <w:p w14:paraId="6AA01BA9">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11.60</w:t>
                  </w:r>
                </w:p>
              </w:tc>
              <w:tc>
                <w:tcPr>
                  <w:tcW w:w="618" w:type="pct"/>
                  <w:tcBorders>
                    <w:tl2br w:val="nil"/>
                    <w:tr2bl w:val="nil"/>
                  </w:tcBorders>
                  <w:shd w:val="clear" w:color="auto" w:fill="auto"/>
                  <w:vAlign w:val="center"/>
                </w:tcPr>
                <w:p w14:paraId="182F0344">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11.79</w:t>
                  </w:r>
                </w:p>
              </w:tc>
              <w:tc>
                <w:tcPr>
                  <w:tcW w:w="678" w:type="pct"/>
                  <w:tcBorders>
                    <w:tl2br w:val="nil"/>
                    <w:tr2bl w:val="nil"/>
                  </w:tcBorders>
                  <w:shd w:val="clear" w:color="auto" w:fill="auto"/>
                  <w:vAlign w:val="center"/>
                </w:tcPr>
                <w:p w14:paraId="6D1A057E">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11.49</w:t>
                  </w:r>
                </w:p>
              </w:tc>
              <w:tc>
                <w:tcPr>
                  <w:tcW w:w="594" w:type="pct"/>
                  <w:tcBorders>
                    <w:tl2br w:val="nil"/>
                    <w:tr2bl w:val="nil"/>
                  </w:tcBorders>
                  <w:shd w:val="clear" w:color="auto" w:fill="auto"/>
                  <w:vAlign w:val="center"/>
                </w:tcPr>
                <w:p w14:paraId="2F6CAB08">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332DED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7EFCE71E">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38" w:type="pct"/>
                  <w:tcBorders>
                    <w:tl2br w:val="nil"/>
                    <w:tr2bl w:val="nil"/>
                  </w:tcBorders>
                  <w:shd w:val="clear" w:color="auto" w:fill="auto"/>
                  <w:vAlign w:val="center"/>
                </w:tcPr>
                <w:p w14:paraId="3ADCBA49">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颗粒物实测浓度</w:t>
                  </w:r>
                </w:p>
              </w:tc>
              <w:tc>
                <w:tcPr>
                  <w:tcW w:w="571" w:type="pct"/>
                  <w:tcBorders>
                    <w:tl2br w:val="nil"/>
                    <w:tr2bl w:val="nil"/>
                  </w:tcBorders>
                  <w:shd w:val="clear" w:color="auto" w:fill="auto"/>
                  <w:vAlign w:val="center"/>
                </w:tcPr>
                <w:p w14:paraId="2B4F4893">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668" w:type="pct"/>
                  <w:tcBorders>
                    <w:tl2br w:val="nil"/>
                    <w:tr2bl w:val="nil"/>
                  </w:tcBorders>
                  <w:shd w:val="clear" w:color="auto" w:fill="auto"/>
                  <w:vAlign w:val="center"/>
                </w:tcPr>
                <w:p w14:paraId="2E466775">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c>
                <w:tcPr>
                  <w:tcW w:w="618" w:type="pct"/>
                  <w:tcBorders>
                    <w:tl2br w:val="nil"/>
                    <w:tr2bl w:val="nil"/>
                  </w:tcBorders>
                  <w:shd w:val="clear" w:color="auto" w:fill="auto"/>
                  <w:vAlign w:val="center"/>
                </w:tcPr>
                <w:p w14:paraId="10FEEC56">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w:t>
                  </w:r>
                </w:p>
              </w:tc>
              <w:tc>
                <w:tcPr>
                  <w:tcW w:w="678" w:type="pct"/>
                  <w:tcBorders>
                    <w:tl2br w:val="nil"/>
                    <w:tr2bl w:val="nil"/>
                  </w:tcBorders>
                  <w:shd w:val="clear" w:color="auto" w:fill="auto"/>
                  <w:vAlign w:val="center"/>
                </w:tcPr>
                <w:p w14:paraId="09D2B7F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w:t>
                  </w:r>
                </w:p>
              </w:tc>
              <w:tc>
                <w:tcPr>
                  <w:tcW w:w="594" w:type="pct"/>
                  <w:tcBorders>
                    <w:tl2br w:val="nil"/>
                    <w:tr2bl w:val="nil"/>
                  </w:tcBorders>
                  <w:shd w:val="clear" w:color="auto" w:fill="auto"/>
                  <w:vAlign w:val="center"/>
                </w:tcPr>
                <w:p w14:paraId="17A37E2F">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r w14:paraId="1B0F2A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521EB24C">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38" w:type="pct"/>
                  <w:tcBorders>
                    <w:tl2br w:val="nil"/>
                    <w:tr2bl w:val="nil"/>
                  </w:tcBorders>
                  <w:shd w:val="clear" w:color="auto" w:fill="auto"/>
                  <w:vAlign w:val="center"/>
                </w:tcPr>
                <w:p w14:paraId="19A3898B">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颗粒物排放浓度</w:t>
                  </w:r>
                </w:p>
              </w:tc>
              <w:tc>
                <w:tcPr>
                  <w:tcW w:w="571" w:type="pct"/>
                  <w:tcBorders>
                    <w:tl2br w:val="nil"/>
                    <w:tr2bl w:val="nil"/>
                  </w:tcBorders>
                  <w:shd w:val="clear" w:color="auto" w:fill="auto"/>
                  <w:vAlign w:val="center"/>
                </w:tcPr>
                <w:p w14:paraId="33EA88C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668" w:type="pct"/>
                  <w:tcBorders>
                    <w:tl2br w:val="nil"/>
                    <w:tr2bl w:val="nil"/>
                  </w:tcBorders>
                  <w:shd w:val="clear" w:color="auto" w:fill="auto"/>
                  <w:vAlign w:val="center"/>
                </w:tcPr>
                <w:p w14:paraId="5BFE6F3A">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c>
                <w:tcPr>
                  <w:tcW w:w="618" w:type="pct"/>
                  <w:tcBorders>
                    <w:tl2br w:val="nil"/>
                    <w:tr2bl w:val="nil"/>
                  </w:tcBorders>
                  <w:shd w:val="clear" w:color="auto" w:fill="auto"/>
                  <w:vAlign w:val="center"/>
                </w:tcPr>
                <w:p w14:paraId="489362BC">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w:t>
                  </w:r>
                </w:p>
              </w:tc>
              <w:tc>
                <w:tcPr>
                  <w:tcW w:w="678" w:type="pct"/>
                  <w:tcBorders>
                    <w:tl2br w:val="nil"/>
                    <w:tr2bl w:val="nil"/>
                  </w:tcBorders>
                  <w:shd w:val="clear" w:color="auto" w:fill="auto"/>
                  <w:vAlign w:val="center"/>
                </w:tcPr>
                <w:p w14:paraId="3512EBC6">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w:t>
                  </w:r>
                </w:p>
              </w:tc>
              <w:tc>
                <w:tcPr>
                  <w:tcW w:w="594" w:type="pct"/>
                  <w:tcBorders>
                    <w:tl2br w:val="nil"/>
                    <w:tr2bl w:val="nil"/>
                  </w:tcBorders>
                  <w:shd w:val="clear" w:color="auto" w:fill="auto"/>
                  <w:vAlign w:val="center"/>
                </w:tcPr>
                <w:p w14:paraId="0CCF5617">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50</w:t>
                  </w:r>
                </w:p>
              </w:tc>
            </w:tr>
            <w:tr w14:paraId="18C518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vMerge w:val="continue"/>
                  <w:tcBorders>
                    <w:tl2br w:val="nil"/>
                    <w:tr2bl w:val="nil"/>
                  </w:tcBorders>
                  <w:shd w:val="clear" w:color="auto" w:fill="auto"/>
                  <w:vAlign w:val="center"/>
                </w:tcPr>
                <w:p w14:paraId="456E36E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38" w:type="pct"/>
                  <w:tcBorders>
                    <w:tl2br w:val="nil"/>
                    <w:tr2bl w:val="nil"/>
                  </w:tcBorders>
                  <w:shd w:val="clear" w:color="auto" w:fill="auto"/>
                  <w:vAlign w:val="center"/>
                </w:tcPr>
                <w:p w14:paraId="26DFD76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颗粒物排放速率</w:t>
                  </w:r>
                </w:p>
              </w:tc>
              <w:tc>
                <w:tcPr>
                  <w:tcW w:w="571" w:type="pct"/>
                  <w:tcBorders>
                    <w:tl2br w:val="nil"/>
                    <w:tr2bl w:val="nil"/>
                  </w:tcBorders>
                  <w:shd w:val="clear" w:color="auto" w:fill="auto"/>
                  <w:vAlign w:val="center"/>
                </w:tcPr>
                <w:p w14:paraId="02FE94DC">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kg/h</w:t>
                  </w:r>
                </w:p>
              </w:tc>
              <w:tc>
                <w:tcPr>
                  <w:tcW w:w="668" w:type="pct"/>
                  <w:tcBorders>
                    <w:tl2br w:val="nil"/>
                    <w:tr2bl w:val="nil"/>
                  </w:tcBorders>
                  <w:shd w:val="clear" w:color="auto" w:fill="auto"/>
                  <w:vAlign w:val="center"/>
                </w:tcPr>
                <w:p w14:paraId="0D1CE7A3">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618" w:type="pct"/>
                  <w:tcBorders>
                    <w:tl2br w:val="nil"/>
                    <w:tr2bl w:val="nil"/>
                  </w:tcBorders>
                  <w:shd w:val="clear" w:color="auto" w:fill="auto"/>
                  <w:vAlign w:val="center"/>
                </w:tcPr>
                <w:p w14:paraId="13E06B32">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2.56</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678" w:type="pct"/>
                  <w:tcBorders>
                    <w:tl2br w:val="nil"/>
                    <w:tr2bl w:val="nil"/>
                  </w:tcBorders>
                  <w:shd w:val="clear" w:color="auto" w:fill="auto"/>
                  <w:vAlign w:val="center"/>
                </w:tcPr>
                <w:p w14:paraId="583F3B4A">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3.03</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594" w:type="pct"/>
                  <w:tcBorders>
                    <w:tl2br w:val="nil"/>
                    <w:tr2bl w:val="nil"/>
                  </w:tcBorders>
                  <w:shd w:val="clear" w:color="auto" w:fill="auto"/>
                  <w:vAlign w:val="center"/>
                </w:tcPr>
                <w:p w14:paraId="73603522">
                  <w:pPr>
                    <w:keepNext w:val="0"/>
                    <w:keepLines w:val="0"/>
                    <w:pageBreakBefore w:val="0"/>
                    <w:widowControl w:val="0"/>
                    <w:suppressLineNumbers w:val="0"/>
                    <w:kinsoku/>
                    <w:wordWrap/>
                    <w:overflowPunct/>
                    <w:topLinePunct w:val="0"/>
                    <w:bidi w:val="0"/>
                    <w:adjustRightInd/>
                    <w:snapToGrid/>
                    <w:spacing w:before="85" w:beforeLines="27" w:beforeAutospacing="0" w:after="85" w:afterLines="27" w:afterAutospacing="0" w:line="305"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0.4*</w:t>
                  </w:r>
                </w:p>
              </w:tc>
            </w:tr>
            <w:tr w14:paraId="53EED0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0" w:type="pct"/>
                  <w:tcBorders>
                    <w:tl2br w:val="nil"/>
                    <w:tr2bl w:val="nil"/>
                  </w:tcBorders>
                  <w:shd w:val="clear" w:color="auto" w:fill="auto"/>
                  <w:vAlign w:val="center"/>
                </w:tcPr>
                <w:p w14:paraId="5B2011B5">
                  <w:pPr>
                    <w:keepNext w:val="0"/>
                    <w:keepLines w:val="0"/>
                    <w:pageBreakBefore w:val="0"/>
                    <w:widowControl w:val="0"/>
                    <w:suppressLineNumbers w:val="0"/>
                    <w:kinsoku/>
                    <w:wordWrap/>
                    <w:overflowPunct/>
                    <w:topLinePunct w:val="0"/>
                    <w:autoSpaceDE w:val="0"/>
                    <w:autoSpaceDN w:val="0"/>
                    <w:bidi w:val="0"/>
                    <w:adjustRightInd/>
                    <w:snapToGrid/>
                    <w:spacing w:before="85" w:beforeLines="27" w:beforeAutospacing="0" w:after="85" w:afterLines="27" w:afterAutospacing="0" w:line="305"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评价依据</w:t>
                  </w:r>
                </w:p>
              </w:tc>
              <w:tc>
                <w:tcPr>
                  <w:tcW w:w="4369" w:type="pct"/>
                  <w:gridSpan w:val="6"/>
                  <w:tcBorders>
                    <w:tl2br w:val="nil"/>
                    <w:tr2bl w:val="nil"/>
                  </w:tcBorders>
                  <w:shd w:val="clear" w:color="auto" w:fill="auto"/>
                  <w:vAlign w:val="center"/>
                </w:tcPr>
                <w:p w14:paraId="546D235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85" w:beforeLines="27" w:beforeAutospacing="0" w:after="85" w:afterLines="27" w:afterAutospacing="0" w:line="305" w:lineRule="auto"/>
                    <w:ind w:left="0" w:right="0" w:firstLine="0" w:firstLineChars="0"/>
                    <w:jc w:val="both"/>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《大气污染物综合排放标准》（DB 50/418-2016）</w:t>
                  </w:r>
                </w:p>
              </w:tc>
            </w:tr>
          </w:tbl>
          <w:p w14:paraId="7AE7B8F8">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lang w:val="en-US" w:eastAsia="zh-CN"/>
              </w:rPr>
              <w:t>验收</w:t>
            </w:r>
            <w:r>
              <w:rPr>
                <w:rFonts w:hint="eastAsia" w:ascii="Times New Roman" w:hAnsi="Times New Roman" w:eastAsia="宋体"/>
                <w:color w:val="auto"/>
                <w:sz w:val="24"/>
                <w:szCs w:val="24"/>
                <w:highlight w:val="none"/>
              </w:rPr>
              <w:t>监测结果</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项目</w:t>
            </w:r>
            <w:r>
              <w:rPr>
                <w:rFonts w:hint="eastAsia"/>
                <w:color w:val="auto"/>
                <w:sz w:val="24"/>
                <w:szCs w:val="24"/>
                <w:highlight w:val="none"/>
                <w:lang w:val="en-US" w:eastAsia="zh-CN"/>
              </w:rPr>
              <w:t>焊接烟尘</w:t>
            </w:r>
            <w:r>
              <w:rPr>
                <w:rFonts w:hint="eastAsia" w:ascii="Times New Roman" w:hAnsi="Times New Roman" w:eastAsia="宋体"/>
                <w:color w:val="auto"/>
                <w:sz w:val="24"/>
                <w:szCs w:val="24"/>
                <w:highlight w:val="none"/>
                <w:lang w:val="en-US" w:eastAsia="zh-CN"/>
              </w:rPr>
              <w:t>排放口（◎B</w:t>
            </w:r>
            <w:r>
              <w:rPr>
                <w:rFonts w:hint="eastAsia"/>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）排放废气中颗粒物排放浓度</w:t>
            </w:r>
            <w:r>
              <w:rPr>
                <w:rFonts w:hint="eastAsia"/>
                <w:color w:val="auto"/>
                <w:sz w:val="24"/>
                <w:szCs w:val="24"/>
                <w:highlight w:val="none"/>
                <w:lang w:val="en-US" w:eastAsia="zh-CN"/>
              </w:rPr>
              <w:t>及速率均</w:t>
            </w:r>
            <w:r>
              <w:rPr>
                <w:rFonts w:hint="eastAsia" w:ascii="Times New Roman" w:hAnsi="Times New Roman" w:eastAsia="宋体"/>
                <w:color w:val="auto"/>
                <w:sz w:val="24"/>
                <w:szCs w:val="24"/>
                <w:highlight w:val="none"/>
                <w:lang w:val="en-US" w:eastAsia="zh-CN"/>
              </w:rPr>
              <w:t>符合《大气污染物综合排放标准》（DB50/418-2016）表1，主城区排放限值。</w:t>
            </w:r>
          </w:p>
          <w:p w14:paraId="12E7E1D7">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0" w:firstLineChars="200"/>
              <w:jc w:val="both"/>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eastAsia="zh-CN" w:bidi="ar"/>
              </w:rPr>
              <w:t>项目无组织废气</w:t>
            </w:r>
            <w:r>
              <w:rPr>
                <w:rFonts w:hint="eastAsia" w:ascii="Times New Roman" w:hAnsi="Times New Roman" w:eastAsia="宋体" w:cs="Times New Roman"/>
                <w:color w:val="auto"/>
                <w:kern w:val="2"/>
                <w:sz w:val="24"/>
                <w:szCs w:val="24"/>
                <w:highlight w:val="none"/>
                <w:lang w:bidi="ar"/>
              </w:rPr>
              <w:t>监测结果详见表</w:t>
            </w:r>
            <w:r>
              <w:rPr>
                <w:rFonts w:hint="eastAsia" w:ascii="Times New Roman" w:hAnsi="Times New Roman" w:eastAsia="宋体" w:cs="Times New Roman"/>
                <w:color w:val="auto"/>
                <w:kern w:val="2"/>
                <w:sz w:val="24"/>
                <w:szCs w:val="24"/>
                <w:highlight w:val="none"/>
                <w:lang w:val="en-US" w:eastAsia="zh-CN" w:bidi="ar"/>
              </w:rPr>
              <w:t>2-18。</w:t>
            </w:r>
          </w:p>
          <w:p w14:paraId="57076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rPr>
              <w:t xml:space="preserve">  无组织废气监测结果</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1077"/>
              <w:gridCol w:w="2078"/>
              <w:gridCol w:w="1085"/>
              <w:gridCol w:w="1085"/>
              <w:gridCol w:w="1087"/>
              <w:gridCol w:w="969"/>
              <w:gridCol w:w="1002"/>
            </w:tblGrid>
            <w:tr w14:paraId="6ACB6C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57" w:type="dxa"/>
                  <w:bottom w:w="0" w:type="dxa"/>
                  <w:right w:w="57" w:type="dxa"/>
                </w:tblCellMar>
              </w:tblPrEx>
              <w:trPr>
                <w:trHeight w:val="23" w:hRule="atLeast"/>
                <w:jc w:val="center"/>
              </w:trPr>
              <w:tc>
                <w:tcPr>
                  <w:tcW w:w="642" w:type="pct"/>
                  <w:vMerge w:val="restart"/>
                  <w:tcBorders>
                    <w:tl2br w:val="nil"/>
                    <w:tr2bl w:val="nil"/>
                  </w:tcBorders>
                  <w:shd w:val="clear" w:color="auto" w:fill="auto"/>
                  <w:vAlign w:val="center"/>
                </w:tcPr>
                <w:p w14:paraId="1E06C40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val="en-US" w:eastAsia="zh-CN" w:bidi="ar"/>
                    </w:rPr>
                    <w:t>检测项目</w:t>
                  </w:r>
                </w:p>
              </w:tc>
              <w:tc>
                <w:tcPr>
                  <w:tcW w:w="1239" w:type="pct"/>
                  <w:vMerge w:val="restart"/>
                  <w:tcBorders>
                    <w:tl2br w:val="nil"/>
                    <w:tr2bl w:val="nil"/>
                  </w:tcBorders>
                  <w:shd w:val="clear" w:color="auto" w:fill="auto"/>
                  <w:vAlign w:val="center"/>
                </w:tcPr>
                <w:p w14:paraId="62B8E6D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val="en-US" w:eastAsia="zh-CN" w:bidi="ar"/>
                    </w:rPr>
                    <w:t>检测点位</w:t>
                  </w:r>
                </w:p>
              </w:tc>
              <w:tc>
                <w:tcPr>
                  <w:tcW w:w="1942" w:type="pct"/>
                  <w:gridSpan w:val="3"/>
                  <w:tcBorders>
                    <w:tl2br w:val="nil"/>
                    <w:tr2bl w:val="nil"/>
                  </w:tcBorders>
                  <w:shd w:val="clear" w:color="auto" w:fill="auto"/>
                  <w:vAlign w:val="center"/>
                </w:tcPr>
                <w:p w14:paraId="77E0A2D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eastAsia"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检测结果</w:t>
                  </w:r>
                </w:p>
              </w:tc>
              <w:tc>
                <w:tcPr>
                  <w:tcW w:w="578" w:type="pct"/>
                  <w:vMerge w:val="restart"/>
                  <w:tcBorders>
                    <w:tl2br w:val="nil"/>
                    <w:tr2bl w:val="nil"/>
                  </w:tcBorders>
                  <w:shd w:val="clear" w:color="auto" w:fill="auto"/>
                  <w:vAlign w:val="center"/>
                </w:tcPr>
                <w:p w14:paraId="290C348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eastAsia"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单位</w:t>
                  </w:r>
                </w:p>
              </w:tc>
              <w:tc>
                <w:tcPr>
                  <w:tcW w:w="597" w:type="pct"/>
                  <w:vMerge w:val="restart"/>
                  <w:tcBorders>
                    <w:tl2br w:val="nil"/>
                    <w:tr2bl w:val="nil"/>
                  </w:tcBorders>
                  <w:shd w:val="clear" w:color="auto" w:fill="auto"/>
                  <w:vAlign w:val="center"/>
                </w:tcPr>
                <w:p w14:paraId="734C9B1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标准限值</w:t>
                  </w:r>
                </w:p>
              </w:tc>
            </w:tr>
            <w:tr w14:paraId="5E1D9F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42" w:type="pct"/>
                  <w:vMerge w:val="continue"/>
                  <w:tcBorders>
                    <w:tl2br w:val="nil"/>
                    <w:tr2bl w:val="nil"/>
                  </w:tcBorders>
                  <w:shd w:val="clear" w:color="auto" w:fill="auto"/>
                  <w:vAlign w:val="center"/>
                </w:tcPr>
                <w:p w14:paraId="789A90A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1239" w:type="pct"/>
                  <w:vMerge w:val="continue"/>
                  <w:tcBorders>
                    <w:tl2br w:val="nil"/>
                    <w:tr2bl w:val="nil"/>
                  </w:tcBorders>
                  <w:shd w:val="clear" w:color="auto" w:fill="auto"/>
                  <w:vAlign w:val="center"/>
                </w:tcPr>
                <w:p w14:paraId="309C3523">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647" w:type="pct"/>
                  <w:tcBorders>
                    <w:tl2br w:val="nil"/>
                    <w:tr2bl w:val="nil"/>
                  </w:tcBorders>
                  <w:shd w:val="clear" w:color="auto" w:fill="auto"/>
                  <w:vAlign w:val="center"/>
                </w:tcPr>
                <w:p w14:paraId="64D324A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第一次</w:t>
                  </w:r>
                </w:p>
              </w:tc>
              <w:tc>
                <w:tcPr>
                  <w:tcW w:w="647" w:type="pct"/>
                  <w:tcBorders>
                    <w:tl2br w:val="nil"/>
                    <w:tr2bl w:val="nil"/>
                  </w:tcBorders>
                  <w:shd w:val="clear" w:color="auto" w:fill="auto"/>
                  <w:vAlign w:val="center"/>
                </w:tcPr>
                <w:p w14:paraId="3AB172B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第二次</w:t>
                  </w:r>
                </w:p>
              </w:tc>
              <w:tc>
                <w:tcPr>
                  <w:tcW w:w="647" w:type="pct"/>
                  <w:tcBorders>
                    <w:tl2br w:val="nil"/>
                    <w:tr2bl w:val="nil"/>
                  </w:tcBorders>
                  <w:shd w:val="clear" w:color="auto" w:fill="auto"/>
                  <w:vAlign w:val="center"/>
                </w:tcPr>
                <w:p w14:paraId="16DFB2B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第三次</w:t>
                  </w:r>
                </w:p>
              </w:tc>
              <w:tc>
                <w:tcPr>
                  <w:tcW w:w="578" w:type="pct"/>
                  <w:vMerge w:val="continue"/>
                  <w:tcBorders>
                    <w:tl2br w:val="nil"/>
                    <w:tr2bl w:val="nil"/>
                  </w:tcBorders>
                  <w:shd w:val="clear" w:color="auto" w:fill="auto"/>
                  <w:vAlign w:val="center"/>
                </w:tcPr>
                <w:p w14:paraId="2D5F721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97" w:type="pct"/>
                  <w:vMerge w:val="continue"/>
                  <w:tcBorders>
                    <w:tl2br w:val="nil"/>
                    <w:tr2bl w:val="nil"/>
                  </w:tcBorders>
                  <w:shd w:val="clear" w:color="auto" w:fill="auto"/>
                  <w:vAlign w:val="center"/>
                </w:tcPr>
                <w:p w14:paraId="2990C16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r>
            <w:tr w14:paraId="3202F7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42" w:type="pct"/>
                  <w:vMerge w:val="restart"/>
                  <w:tcBorders>
                    <w:tl2br w:val="nil"/>
                    <w:tr2bl w:val="nil"/>
                  </w:tcBorders>
                  <w:shd w:val="clear" w:color="auto" w:fill="auto"/>
                  <w:vAlign w:val="center"/>
                </w:tcPr>
                <w:p w14:paraId="5074C883">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总悬浮颗粒物</w:t>
                  </w:r>
                </w:p>
              </w:tc>
              <w:tc>
                <w:tcPr>
                  <w:tcW w:w="1239" w:type="pct"/>
                  <w:tcBorders>
                    <w:tl2br w:val="nil"/>
                    <w:tr2bl w:val="nil"/>
                  </w:tcBorders>
                  <w:shd w:val="clear" w:color="auto" w:fill="auto"/>
                  <w:vAlign w:val="center"/>
                </w:tcPr>
                <w:p w14:paraId="56CCF9F6">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○B</w:t>
                  </w:r>
                  <w:r>
                    <w:rPr>
                      <w:rFonts w:hint="eastAsia" w:ascii="Times New Roman" w:hAnsi="Times New Roman" w:cs="Times New Roman"/>
                      <w:b w:val="0"/>
                      <w:bCs w:val="0"/>
                      <w:color w:val="auto"/>
                      <w:kern w:val="0"/>
                      <w:sz w:val="21"/>
                      <w:szCs w:val="21"/>
                      <w:highlight w:val="none"/>
                      <w:lang w:val="en-US" w:eastAsia="zh-CN"/>
                    </w:rPr>
                    <w:t>2</w:t>
                  </w:r>
                  <w:r>
                    <w:rPr>
                      <w:rFonts w:hint="eastAsia" w:ascii="Times New Roman" w:hAnsi="Times New Roman" w:eastAsia="宋体" w:cs="Times New Roman"/>
                      <w:b w:val="0"/>
                      <w:bCs w:val="0"/>
                      <w:color w:val="auto"/>
                      <w:kern w:val="0"/>
                      <w:sz w:val="21"/>
                      <w:szCs w:val="21"/>
                      <w:highlight w:val="none"/>
                      <w:lang w:val="en-US" w:eastAsia="zh-CN"/>
                    </w:rPr>
                    <w:t>（2022.0</w:t>
                  </w:r>
                  <w:r>
                    <w:rPr>
                      <w:rFonts w:hint="eastAsia" w:ascii="Times New Roman" w:hAnsi="Times New Roman" w:cs="Times New Roman"/>
                      <w:b w:val="0"/>
                      <w:bCs w:val="0"/>
                      <w:color w:val="auto"/>
                      <w:kern w:val="0"/>
                      <w:sz w:val="21"/>
                      <w:szCs w:val="21"/>
                      <w:highlight w:val="none"/>
                      <w:lang w:val="en-US" w:eastAsia="zh-CN"/>
                    </w:rPr>
                    <w:t>9</w:t>
                  </w:r>
                  <w:r>
                    <w:rPr>
                      <w:rFonts w:hint="eastAsia" w:ascii="Times New Roman" w:hAnsi="Times New Roman" w:eastAsia="宋体" w:cs="Times New Roman"/>
                      <w:b w:val="0"/>
                      <w:bCs w:val="0"/>
                      <w:color w:val="auto"/>
                      <w:kern w:val="0"/>
                      <w:sz w:val="21"/>
                      <w:szCs w:val="21"/>
                      <w:highlight w:val="none"/>
                      <w:lang w:val="en-US" w:eastAsia="zh-CN"/>
                    </w:rPr>
                    <w:t>.16）</w:t>
                  </w:r>
                </w:p>
              </w:tc>
              <w:tc>
                <w:tcPr>
                  <w:tcW w:w="647" w:type="pct"/>
                  <w:tcBorders>
                    <w:tl2br w:val="nil"/>
                    <w:tr2bl w:val="nil"/>
                  </w:tcBorders>
                  <w:shd w:val="clear" w:color="auto" w:fill="auto"/>
                  <w:vAlign w:val="center"/>
                </w:tcPr>
                <w:p w14:paraId="67701CD4">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0.346</w:t>
                  </w:r>
                </w:p>
              </w:tc>
              <w:tc>
                <w:tcPr>
                  <w:tcW w:w="647" w:type="pct"/>
                  <w:tcBorders>
                    <w:tl2br w:val="nil"/>
                    <w:tr2bl w:val="nil"/>
                  </w:tcBorders>
                  <w:shd w:val="clear" w:color="auto" w:fill="auto"/>
                  <w:vAlign w:val="center"/>
                </w:tcPr>
                <w:p w14:paraId="745C6A08">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0.313</w:t>
                  </w:r>
                </w:p>
              </w:tc>
              <w:tc>
                <w:tcPr>
                  <w:tcW w:w="647" w:type="pct"/>
                  <w:tcBorders>
                    <w:tl2br w:val="nil"/>
                    <w:tr2bl w:val="nil"/>
                  </w:tcBorders>
                  <w:shd w:val="clear" w:color="auto" w:fill="auto"/>
                  <w:vAlign w:val="center"/>
                </w:tcPr>
                <w:p w14:paraId="02A39538">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0.362</w:t>
                  </w:r>
                </w:p>
              </w:tc>
              <w:tc>
                <w:tcPr>
                  <w:tcW w:w="578" w:type="pct"/>
                  <w:vMerge w:val="restart"/>
                  <w:tcBorders>
                    <w:tl2br w:val="nil"/>
                    <w:tr2bl w:val="nil"/>
                  </w:tcBorders>
                  <w:shd w:val="clear" w:color="auto" w:fill="auto"/>
                  <w:vAlign w:val="center"/>
                </w:tcPr>
                <w:p w14:paraId="3CD70712">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597" w:type="pct"/>
                  <w:vMerge w:val="restart"/>
                  <w:tcBorders>
                    <w:tl2br w:val="nil"/>
                    <w:tr2bl w:val="nil"/>
                  </w:tcBorders>
                  <w:shd w:val="clear" w:color="auto" w:fill="auto"/>
                  <w:vAlign w:val="center"/>
                </w:tcPr>
                <w:p w14:paraId="018B531E">
                  <w:pPr>
                    <w:keepNext w:val="0"/>
                    <w:keepLines w:val="0"/>
                    <w:pageBreakBefore w:val="0"/>
                    <w:widowControl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contextualSpacing w:val="0"/>
                    <w:jc w:val="center"/>
                    <w:textAlignment w:val="auto"/>
                    <w:rPr>
                      <w:rFonts w:hint="default" w:ascii="Times New Roman" w:hAnsi="Times New Roman" w:eastAsia="宋体" w:cs="Times New Roman"/>
                      <w:color w:val="auto"/>
                      <w:kern w:val="2"/>
                      <w:sz w:val="21"/>
                      <w:szCs w:val="21"/>
                      <w:highlight w:val="none"/>
                      <w:lang w:val="en-US"/>
                    </w:rPr>
                  </w:pPr>
                  <w:r>
                    <w:rPr>
                      <w:rFonts w:hint="eastAsia" w:cs="Times New Roman"/>
                      <w:color w:val="auto"/>
                      <w:kern w:val="2"/>
                      <w:sz w:val="21"/>
                      <w:szCs w:val="21"/>
                      <w:highlight w:val="none"/>
                      <w:lang w:val="en-US" w:eastAsia="zh-CN" w:bidi="ar"/>
                    </w:rPr>
                    <w:t>1.0</w:t>
                  </w:r>
                </w:p>
              </w:tc>
            </w:tr>
            <w:tr w14:paraId="1C3DA6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42" w:type="pct"/>
                  <w:vMerge w:val="continue"/>
                  <w:tcBorders>
                    <w:tl2br w:val="nil"/>
                    <w:tr2bl w:val="nil"/>
                  </w:tcBorders>
                  <w:shd w:val="clear" w:color="auto" w:fill="auto"/>
                  <w:vAlign w:val="center"/>
                </w:tcPr>
                <w:p w14:paraId="3803C99D">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39" w:type="pct"/>
                  <w:tcBorders>
                    <w:tl2br w:val="nil"/>
                    <w:tr2bl w:val="nil"/>
                  </w:tcBorders>
                  <w:shd w:val="clear" w:color="auto" w:fill="auto"/>
                  <w:vAlign w:val="center"/>
                </w:tcPr>
                <w:p w14:paraId="3D098185">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○B</w:t>
                  </w:r>
                  <w:r>
                    <w:rPr>
                      <w:rFonts w:hint="eastAsia" w:ascii="Times New Roman" w:hAnsi="Times New Roman" w:cs="Times New Roman"/>
                      <w:b w:val="0"/>
                      <w:bCs w:val="0"/>
                      <w:color w:val="auto"/>
                      <w:kern w:val="0"/>
                      <w:sz w:val="21"/>
                      <w:szCs w:val="21"/>
                      <w:highlight w:val="none"/>
                      <w:lang w:val="en-US" w:eastAsia="zh-CN"/>
                    </w:rPr>
                    <w:t>2</w:t>
                  </w:r>
                  <w:r>
                    <w:rPr>
                      <w:rFonts w:hint="eastAsia" w:ascii="Times New Roman" w:hAnsi="Times New Roman" w:eastAsia="宋体" w:cs="Times New Roman"/>
                      <w:b w:val="0"/>
                      <w:bCs w:val="0"/>
                      <w:color w:val="auto"/>
                      <w:kern w:val="0"/>
                      <w:sz w:val="21"/>
                      <w:szCs w:val="21"/>
                      <w:highlight w:val="none"/>
                      <w:lang w:val="en-US" w:eastAsia="zh-CN"/>
                    </w:rPr>
                    <w:t>（2022.0</w:t>
                  </w:r>
                  <w:r>
                    <w:rPr>
                      <w:rFonts w:hint="eastAsia" w:ascii="Times New Roman" w:hAnsi="Times New Roman" w:cs="Times New Roman"/>
                      <w:b w:val="0"/>
                      <w:bCs w:val="0"/>
                      <w:color w:val="auto"/>
                      <w:kern w:val="0"/>
                      <w:sz w:val="21"/>
                      <w:szCs w:val="21"/>
                      <w:highlight w:val="none"/>
                      <w:lang w:val="en-US" w:eastAsia="zh-CN"/>
                    </w:rPr>
                    <w:t>9</w:t>
                  </w:r>
                  <w:r>
                    <w:rPr>
                      <w:rFonts w:hint="eastAsia" w:ascii="Times New Roman" w:hAnsi="Times New Roman" w:eastAsia="宋体" w:cs="Times New Roman"/>
                      <w:b w:val="0"/>
                      <w:bCs w:val="0"/>
                      <w:color w:val="auto"/>
                      <w:kern w:val="0"/>
                      <w:sz w:val="21"/>
                      <w:szCs w:val="21"/>
                      <w:highlight w:val="none"/>
                      <w:lang w:val="en-US" w:eastAsia="zh-CN"/>
                    </w:rPr>
                    <w:t>.17）</w:t>
                  </w:r>
                </w:p>
              </w:tc>
              <w:tc>
                <w:tcPr>
                  <w:tcW w:w="647" w:type="pct"/>
                  <w:tcBorders>
                    <w:tl2br w:val="nil"/>
                    <w:tr2bl w:val="nil"/>
                  </w:tcBorders>
                  <w:shd w:val="clear" w:color="auto" w:fill="auto"/>
                  <w:vAlign w:val="center"/>
                </w:tcPr>
                <w:p w14:paraId="6D939970">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0.280</w:t>
                  </w:r>
                </w:p>
              </w:tc>
              <w:tc>
                <w:tcPr>
                  <w:tcW w:w="647" w:type="pct"/>
                  <w:tcBorders>
                    <w:tl2br w:val="nil"/>
                    <w:tr2bl w:val="nil"/>
                  </w:tcBorders>
                  <w:shd w:val="clear" w:color="auto" w:fill="auto"/>
                  <w:vAlign w:val="center"/>
                </w:tcPr>
                <w:p w14:paraId="5890A3B9">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0.346</w:t>
                  </w:r>
                </w:p>
              </w:tc>
              <w:tc>
                <w:tcPr>
                  <w:tcW w:w="647" w:type="pct"/>
                  <w:tcBorders>
                    <w:tl2br w:val="nil"/>
                    <w:tr2bl w:val="nil"/>
                  </w:tcBorders>
                  <w:shd w:val="clear" w:color="auto" w:fill="auto"/>
                  <w:vAlign w:val="center"/>
                </w:tcPr>
                <w:p w14:paraId="6C2CBF4A">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0.362</w:t>
                  </w:r>
                </w:p>
              </w:tc>
              <w:tc>
                <w:tcPr>
                  <w:tcW w:w="578" w:type="pct"/>
                  <w:vMerge w:val="continue"/>
                  <w:tcBorders>
                    <w:tl2br w:val="nil"/>
                    <w:tr2bl w:val="nil"/>
                  </w:tcBorders>
                  <w:shd w:val="clear" w:color="auto" w:fill="auto"/>
                  <w:vAlign w:val="center"/>
                </w:tcPr>
                <w:p w14:paraId="71630049">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7" w:type="pct"/>
                  <w:vMerge w:val="continue"/>
                  <w:tcBorders>
                    <w:tl2br w:val="nil"/>
                    <w:tr2bl w:val="nil"/>
                  </w:tcBorders>
                  <w:shd w:val="clear" w:color="auto" w:fill="auto"/>
                  <w:vAlign w:val="center"/>
                </w:tcPr>
                <w:p w14:paraId="2AB9B7CB">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32D1F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42" w:type="pct"/>
                  <w:vMerge w:val="continue"/>
                  <w:tcBorders>
                    <w:tl2br w:val="nil"/>
                    <w:tr2bl w:val="nil"/>
                  </w:tcBorders>
                  <w:shd w:val="clear" w:color="auto" w:fill="auto"/>
                  <w:vAlign w:val="center"/>
                </w:tcPr>
                <w:p w14:paraId="568F078E">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39" w:type="pct"/>
                  <w:tcBorders>
                    <w:tl2br w:val="nil"/>
                    <w:tr2bl w:val="nil"/>
                  </w:tcBorders>
                  <w:shd w:val="clear" w:color="auto" w:fill="auto"/>
                  <w:vAlign w:val="center"/>
                </w:tcPr>
                <w:p w14:paraId="4717B330">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○B</w:t>
                  </w:r>
                  <w:r>
                    <w:rPr>
                      <w:rFonts w:hint="eastAsia" w:ascii="Times New Roman" w:hAnsi="Times New Roman" w:cs="Times New Roman"/>
                      <w:b w:val="0"/>
                      <w:bCs w:val="0"/>
                      <w:color w:val="auto"/>
                      <w:kern w:val="0"/>
                      <w:sz w:val="21"/>
                      <w:szCs w:val="21"/>
                      <w:highlight w:val="none"/>
                      <w:lang w:val="en-US" w:eastAsia="zh-CN"/>
                    </w:rPr>
                    <w:t>3</w:t>
                  </w:r>
                  <w:r>
                    <w:rPr>
                      <w:rFonts w:hint="eastAsia" w:ascii="Times New Roman" w:hAnsi="Times New Roman" w:eastAsia="宋体" w:cs="Times New Roman"/>
                      <w:b w:val="0"/>
                      <w:bCs w:val="0"/>
                      <w:color w:val="auto"/>
                      <w:kern w:val="0"/>
                      <w:sz w:val="21"/>
                      <w:szCs w:val="21"/>
                      <w:highlight w:val="none"/>
                      <w:lang w:val="en-US" w:eastAsia="zh-CN"/>
                    </w:rPr>
                    <w:t>（2022.0</w:t>
                  </w:r>
                  <w:r>
                    <w:rPr>
                      <w:rFonts w:hint="eastAsia" w:ascii="Times New Roman" w:hAnsi="Times New Roman" w:cs="Times New Roman"/>
                      <w:b w:val="0"/>
                      <w:bCs w:val="0"/>
                      <w:color w:val="auto"/>
                      <w:kern w:val="0"/>
                      <w:sz w:val="21"/>
                      <w:szCs w:val="21"/>
                      <w:highlight w:val="none"/>
                      <w:lang w:val="en-US" w:eastAsia="zh-CN"/>
                    </w:rPr>
                    <w:t>9</w:t>
                  </w:r>
                  <w:r>
                    <w:rPr>
                      <w:rFonts w:hint="eastAsia" w:ascii="Times New Roman" w:hAnsi="Times New Roman" w:eastAsia="宋体" w:cs="Times New Roman"/>
                      <w:b w:val="0"/>
                      <w:bCs w:val="0"/>
                      <w:color w:val="auto"/>
                      <w:kern w:val="0"/>
                      <w:sz w:val="21"/>
                      <w:szCs w:val="21"/>
                      <w:highlight w:val="none"/>
                      <w:lang w:val="en-US" w:eastAsia="zh-CN"/>
                    </w:rPr>
                    <w:t>.16）</w:t>
                  </w:r>
                </w:p>
              </w:tc>
              <w:tc>
                <w:tcPr>
                  <w:tcW w:w="647" w:type="pct"/>
                  <w:tcBorders>
                    <w:tl2br w:val="nil"/>
                    <w:tr2bl w:val="nil"/>
                  </w:tcBorders>
                  <w:shd w:val="clear" w:color="auto" w:fill="auto"/>
                  <w:vAlign w:val="center"/>
                </w:tcPr>
                <w:p w14:paraId="0F4B0547">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0.294</w:t>
                  </w:r>
                </w:p>
              </w:tc>
              <w:tc>
                <w:tcPr>
                  <w:tcW w:w="647" w:type="pct"/>
                  <w:tcBorders>
                    <w:tl2br w:val="nil"/>
                    <w:tr2bl w:val="nil"/>
                  </w:tcBorders>
                  <w:shd w:val="clear" w:color="auto" w:fill="auto"/>
                  <w:vAlign w:val="center"/>
                </w:tcPr>
                <w:p w14:paraId="6F8C223F">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0.392</w:t>
                  </w:r>
                </w:p>
              </w:tc>
              <w:tc>
                <w:tcPr>
                  <w:tcW w:w="647" w:type="pct"/>
                  <w:tcBorders>
                    <w:tl2br w:val="nil"/>
                    <w:tr2bl w:val="nil"/>
                  </w:tcBorders>
                  <w:shd w:val="clear" w:color="auto" w:fill="auto"/>
                  <w:vAlign w:val="center"/>
                </w:tcPr>
                <w:p w14:paraId="56781B82">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0.408</w:t>
                  </w:r>
                </w:p>
              </w:tc>
              <w:tc>
                <w:tcPr>
                  <w:tcW w:w="578" w:type="pct"/>
                  <w:vMerge w:val="continue"/>
                  <w:tcBorders>
                    <w:tl2br w:val="nil"/>
                    <w:tr2bl w:val="nil"/>
                  </w:tcBorders>
                  <w:shd w:val="clear" w:color="auto" w:fill="auto"/>
                  <w:vAlign w:val="center"/>
                </w:tcPr>
                <w:p w14:paraId="12635A61">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7" w:type="pct"/>
                  <w:vMerge w:val="continue"/>
                  <w:tcBorders>
                    <w:tl2br w:val="nil"/>
                    <w:tr2bl w:val="nil"/>
                  </w:tcBorders>
                  <w:shd w:val="clear" w:color="auto" w:fill="auto"/>
                  <w:vAlign w:val="center"/>
                </w:tcPr>
                <w:p w14:paraId="171C6C10">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74D8E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42" w:type="pct"/>
                  <w:vMerge w:val="continue"/>
                  <w:tcBorders>
                    <w:tl2br w:val="nil"/>
                    <w:tr2bl w:val="nil"/>
                  </w:tcBorders>
                  <w:shd w:val="clear" w:color="auto" w:fill="auto"/>
                  <w:vAlign w:val="center"/>
                </w:tcPr>
                <w:p w14:paraId="4F2C4DC1">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39" w:type="pct"/>
                  <w:tcBorders>
                    <w:tl2br w:val="nil"/>
                    <w:tr2bl w:val="nil"/>
                  </w:tcBorders>
                  <w:shd w:val="clear" w:color="auto" w:fill="auto"/>
                  <w:vAlign w:val="center"/>
                </w:tcPr>
                <w:p w14:paraId="0B5D002E">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○B</w:t>
                  </w:r>
                  <w:r>
                    <w:rPr>
                      <w:rFonts w:hint="eastAsia" w:ascii="Times New Roman" w:hAnsi="Times New Roman" w:cs="Times New Roman"/>
                      <w:b w:val="0"/>
                      <w:bCs w:val="0"/>
                      <w:color w:val="auto"/>
                      <w:kern w:val="0"/>
                      <w:sz w:val="21"/>
                      <w:szCs w:val="21"/>
                      <w:highlight w:val="none"/>
                      <w:lang w:val="en-US" w:eastAsia="zh-CN"/>
                    </w:rPr>
                    <w:t>3</w:t>
                  </w:r>
                  <w:r>
                    <w:rPr>
                      <w:rFonts w:hint="eastAsia" w:ascii="Times New Roman" w:hAnsi="Times New Roman" w:eastAsia="宋体" w:cs="Times New Roman"/>
                      <w:b w:val="0"/>
                      <w:bCs w:val="0"/>
                      <w:color w:val="auto"/>
                      <w:kern w:val="0"/>
                      <w:sz w:val="21"/>
                      <w:szCs w:val="21"/>
                      <w:highlight w:val="none"/>
                      <w:lang w:val="en-US" w:eastAsia="zh-CN"/>
                    </w:rPr>
                    <w:t>（2022.0</w:t>
                  </w:r>
                  <w:r>
                    <w:rPr>
                      <w:rFonts w:hint="eastAsia" w:ascii="Times New Roman" w:hAnsi="Times New Roman" w:cs="Times New Roman"/>
                      <w:b w:val="0"/>
                      <w:bCs w:val="0"/>
                      <w:color w:val="auto"/>
                      <w:kern w:val="0"/>
                      <w:sz w:val="21"/>
                      <w:szCs w:val="21"/>
                      <w:highlight w:val="none"/>
                      <w:lang w:val="en-US" w:eastAsia="zh-CN"/>
                    </w:rPr>
                    <w:t>9</w:t>
                  </w:r>
                  <w:r>
                    <w:rPr>
                      <w:rFonts w:hint="eastAsia" w:ascii="Times New Roman" w:hAnsi="Times New Roman" w:eastAsia="宋体" w:cs="Times New Roman"/>
                      <w:b w:val="0"/>
                      <w:bCs w:val="0"/>
                      <w:color w:val="auto"/>
                      <w:kern w:val="0"/>
                      <w:sz w:val="21"/>
                      <w:szCs w:val="21"/>
                      <w:highlight w:val="none"/>
                      <w:lang w:val="en-US" w:eastAsia="zh-CN"/>
                    </w:rPr>
                    <w:t>.17）</w:t>
                  </w:r>
                </w:p>
              </w:tc>
              <w:tc>
                <w:tcPr>
                  <w:tcW w:w="647" w:type="pct"/>
                  <w:tcBorders>
                    <w:tl2br w:val="nil"/>
                    <w:tr2bl w:val="nil"/>
                  </w:tcBorders>
                  <w:shd w:val="clear" w:color="auto" w:fill="auto"/>
                  <w:vAlign w:val="center"/>
                </w:tcPr>
                <w:p w14:paraId="4559571C">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0.343</w:t>
                  </w:r>
                </w:p>
              </w:tc>
              <w:tc>
                <w:tcPr>
                  <w:tcW w:w="647" w:type="pct"/>
                  <w:tcBorders>
                    <w:tl2br w:val="nil"/>
                    <w:tr2bl w:val="nil"/>
                  </w:tcBorders>
                  <w:shd w:val="clear" w:color="auto" w:fill="auto"/>
                  <w:vAlign w:val="center"/>
                </w:tcPr>
                <w:p w14:paraId="56FD5AE4">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0.376</w:t>
                  </w:r>
                </w:p>
              </w:tc>
              <w:tc>
                <w:tcPr>
                  <w:tcW w:w="647" w:type="pct"/>
                  <w:tcBorders>
                    <w:tl2br w:val="nil"/>
                    <w:tr2bl w:val="nil"/>
                  </w:tcBorders>
                  <w:shd w:val="clear" w:color="auto" w:fill="auto"/>
                  <w:vAlign w:val="center"/>
                </w:tcPr>
                <w:p w14:paraId="5C87809C">
                  <w:pPr>
                    <w:pStyle w:val="18"/>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0.359</w:t>
                  </w:r>
                </w:p>
              </w:tc>
              <w:tc>
                <w:tcPr>
                  <w:tcW w:w="578" w:type="pct"/>
                  <w:vMerge w:val="continue"/>
                  <w:tcBorders>
                    <w:tl2br w:val="nil"/>
                    <w:tr2bl w:val="nil"/>
                  </w:tcBorders>
                  <w:shd w:val="clear" w:color="auto" w:fill="auto"/>
                  <w:vAlign w:val="center"/>
                </w:tcPr>
                <w:p w14:paraId="412795A5">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7" w:type="pct"/>
                  <w:vMerge w:val="continue"/>
                  <w:tcBorders>
                    <w:tl2br w:val="nil"/>
                    <w:tr2bl w:val="nil"/>
                  </w:tcBorders>
                  <w:shd w:val="clear" w:color="auto" w:fill="auto"/>
                  <w:vAlign w:val="center"/>
                </w:tcPr>
                <w:p w14:paraId="13F2D532">
                  <w:pPr>
                    <w:keepNext w:val="0"/>
                    <w:keepLines w:val="0"/>
                    <w:pageBreakBefore w:val="0"/>
                    <w:suppressLineNumbers w:val="0"/>
                    <w:kinsoku/>
                    <w:wordWrap/>
                    <w:overflowPunct/>
                    <w:topLinePunct w:val="0"/>
                    <w:autoSpaceDE/>
                    <w:autoSpaceDN/>
                    <w:bidi w:val="0"/>
                    <w:adjustRightInd/>
                    <w:snapToGrid/>
                    <w:spacing w:before="85" w:beforeLines="27" w:beforeAutospacing="0" w:after="85" w:afterLines="27" w:afterAutospacing="0" w:line="30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14:paraId="71BB2E8E">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lang w:val="en-US" w:eastAsia="zh-CN"/>
              </w:rPr>
              <w:t>验收</w:t>
            </w:r>
            <w:r>
              <w:rPr>
                <w:rFonts w:hint="eastAsia" w:ascii="Times New Roman" w:hAnsi="Times New Roman" w:eastAsia="宋体"/>
                <w:color w:val="auto"/>
                <w:sz w:val="24"/>
                <w:szCs w:val="24"/>
                <w:highlight w:val="none"/>
              </w:rPr>
              <w:t>监测结果</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项目</w:t>
            </w:r>
            <w:r>
              <w:rPr>
                <w:rFonts w:hint="eastAsia" w:ascii="Times New Roman" w:hAnsi="Times New Roman" w:eastAsia="宋体"/>
                <w:color w:val="auto"/>
                <w:sz w:val="24"/>
                <w:szCs w:val="24"/>
                <w:highlight w:val="none"/>
                <w:lang w:val="en-US" w:eastAsia="zh-CN"/>
              </w:rPr>
              <w:t>无组织排放总悬浮颗粒物排放符合《大气污染物综合排放标准》（DB 50/418-2016）表1标准限值。</w:t>
            </w:r>
          </w:p>
          <w:p w14:paraId="7789E779">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0"/>
                <w:sz w:val="24"/>
                <w:szCs w:val="20"/>
                <w:lang w:val="en-US" w:eastAsia="zh-CN" w:bidi="ar-SA"/>
              </w:rPr>
              <w:t>（二）</w:t>
            </w:r>
            <w:r>
              <w:rPr>
                <w:rFonts w:hint="eastAsia" w:ascii="Times New Roman" w:hAnsi="Times New Roman" w:eastAsia="宋体" w:cs="Times New Roman"/>
                <w:b/>
                <w:bCs/>
                <w:color w:val="auto"/>
                <w:highlight w:val="none"/>
                <w:lang w:val="en-US" w:eastAsia="zh-CN"/>
              </w:rPr>
              <w:t>废水</w:t>
            </w:r>
          </w:p>
          <w:p w14:paraId="10D756D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现有工程运营期生活污水依托森迪安防产业园已建成的1#生化池处理达《污水综合排放标准》（GB 8978-1996）三级标准后排入市政污水管网，进入西彭污水处理厂深度处理达标后排放，最终汇入长江。</w:t>
            </w:r>
          </w:p>
          <w:p w14:paraId="03775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现有工程废水污染物排放总量见表2-19。</w:t>
            </w:r>
          </w:p>
          <w:p w14:paraId="132E97F6">
            <w:pPr>
              <w:adjustRightInd w:val="0"/>
              <w:snapToGrid w:val="0"/>
              <w:spacing w:line="360" w:lineRule="auto"/>
              <w:ind w:firstLine="480" w:firstLineChars="200"/>
              <w:jc w:val="center"/>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表2</w:t>
            </w:r>
            <w:r>
              <w:rPr>
                <w:rFonts w:hint="eastAsia" w:ascii="Times New Roman" w:hAnsi="Times New Roman" w:cs="Times New Roman"/>
                <w:b w:val="0"/>
                <w:bCs/>
                <w:color w:val="auto"/>
                <w:sz w:val="24"/>
                <w:szCs w:val="24"/>
                <w:highlight w:val="none"/>
                <w:lang w:val="en-US" w:eastAsia="zh-CN"/>
              </w:rPr>
              <w:t>-19</w:t>
            </w:r>
            <w:r>
              <w:rPr>
                <w:rFonts w:hint="default" w:ascii="Times New Roman" w:hAnsi="Times New Roman" w:cs="Times New Roman"/>
                <w:b w:val="0"/>
                <w:bCs/>
                <w:color w:val="auto"/>
                <w:sz w:val="24"/>
                <w:szCs w:val="24"/>
                <w:highlight w:val="none"/>
                <w:lang w:val="en-US" w:eastAsia="zh-CN"/>
              </w:rPr>
              <w:t xml:space="preserve">  现有工程废水污染物排放总量  （t/a）</w:t>
            </w:r>
          </w:p>
          <w:tbl>
            <w:tblPr>
              <w:tblStyle w:val="22"/>
              <w:tblW w:w="83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97"/>
              <w:gridCol w:w="2597"/>
              <w:gridCol w:w="2607"/>
              <w:gridCol w:w="2279"/>
            </w:tblGrid>
            <w:tr w14:paraId="53964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84" w:type="pct"/>
                  <w:gridSpan w:val="2"/>
                  <w:tcBorders>
                    <w:tl2br w:val="nil"/>
                    <w:tr2bl w:val="nil"/>
                  </w:tcBorders>
                  <w:noWrap w:val="0"/>
                  <w:vAlign w:val="center"/>
                </w:tcPr>
                <w:p w14:paraId="6D9E5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sz w:val="21"/>
                      <w:szCs w:val="21"/>
                      <w:lang w:eastAsia="zh-CN"/>
                    </w:rPr>
                  </w:pPr>
                  <w:r>
                    <w:rPr>
                      <w:rFonts w:hint="eastAsia" w:hAnsi="宋体"/>
                      <w:sz w:val="21"/>
                      <w:szCs w:val="21"/>
                      <w:lang w:eastAsia="zh-CN"/>
                    </w:rPr>
                    <w:t>污染物</w:t>
                  </w:r>
                </w:p>
              </w:tc>
              <w:tc>
                <w:tcPr>
                  <w:tcW w:w="1555" w:type="pct"/>
                  <w:tcBorders>
                    <w:tl2br w:val="nil"/>
                    <w:tr2bl w:val="nil"/>
                  </w:tcBorders>
                  <w:noWrap w:val="0"/>
                  <w:vAlign w:val="center"/>
                </w:tcPr>
                <w:p w14:paraId="2FF36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宋体"/>
                      <w:sz w:val="21"/>
                      <w:szCs w:val="21"/>
                    </w:rPr>
                  </w:pPr>
                  <w:r>
                    <w:rPr>
                      <w:rFonts w:hint="eastAsia" w:hAnsi="宋体"/>
                      <w:sz w:val="21"/>
                      <w:szCs w:val="21"/>
                      <w:lang w:eastAsia="zh-CN"/>
                    </w:rPr>
                    <w:t>环评批准总量</w:t>
                  </w:r>
                  <w:r>
                    <w:rPr>
                      <w:rFonts w:hint="eastAsia" w:ascii="Times New Roman" w:hAnsi="宋体"/>
                      <w:sz w:val="21"/>
                      <w:szCs w:val="21"/>
                    </w:rPr>
                    <w:t>（</w:t>
                  </w:r>
                  <w:r>
                    <w:rPr>
                      <w:rFonts w:ascii="Times New Roman" w:hAnsi="宋体"/>
                      <w:sz w:val="21"/>
                      <w:szCs w:val="21"/>
                    </w:rPr>
                    <w:t>t/a</w:t>
                  </w:r>
                  <w:r>
                    <w:rPr>
                      <w:rFonts w:hint="eastAsia" w:ascii="Times New Roman" w:hAnsi="宋体"/>
                      <w:sz w:val="21"/>
                      <w:szCs w:val="21"/>
                    </w:rPr>
                    <w:t>）</w:t>
                  </w:r>
                </w:p>
              </w:tc>
              <w:tc>
                <w:tcPr>
                  <w:tcW w:w="1359" w:type="pct"/>
                  <w:tcBorders>
                    <w:tl2br w:val="nil"/>
                    <w:tr2bl w:val="nil"/>
                  </w:tcBorders>
                  <w:noWrap w:val="0"/>
                  <w:vAlign w:val="center"/>
                </w:tcPr>
                <w:p w14:paraId="4493F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sz w:val="21"/>
                      <w:szCs w:val="21"/>
                      <w:lang w:eastAsia="zh-CN"/>
                    </w:rPr>
                  </w:pPr>
                  <w:r>
                    <w:rPr>
                      <w:rFonts w:hint="eastAsia" w:hAnsi="宋体"/>
                      <w:sz w:val="21"/>
                      <w:szCs w:val="21"/>
                      <w:lang w:eastAsia="zh-CN"/>
                    </w:rPr>
                    <w:t>验收核算总量</w:t>
                  </w:r>
                  <w:r>
                    <w:rPr>
                      <w:rFonts w:hint="eastAsia" w:ascii="Times New Roman" w:hAnsi="宋体"/>
                      <w:sz w:val="21"/>
                      <w:szCs w:val="21"/>
                    </w:rPr>
                    <w:t>（</w:t>
                  </w:r>
                  <w:r>
                    <w:rPr>
                      <w:rFonts w:ascii="Times New Roman" w:hAnsi="宋体"/>
                      <w:sz w:val="21"/>
                      <w:szCs w:val="21"/>
                    </w:rPr>
                    <w:t>t/a</w:t>
                  </w:r>
                  <w:r>
                    <w:rPr>
                      <w:rFonts w:hint="eastAsia" w:ascii="Times New Roman" w:hAnsi="宋体"/>
                      <w:sz w:val="21"/>
                      <w:szCs w:val="21"/>
                    </w:rPr>
                    <w:t>）</w:t>
                  </w:r>
                </w:p>
              </w:tc>
            </w:tr>
            <w:tr w14:paraId="2AA543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35" w:type="pct"/>
                  <w:vMerge w:val="restart"/>
                  <w:tcBorders>
                    <w:tl2br w:val="nil"/>
                    <w:tr2bl w:val="nil"/>
                  </w:tcBorders>
                  <w:noWrap w:val="0"/>
                  <w:vAlign w:val="center"/>
                </w:tcPr>
                <w:p w14:paraId="69FE1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sz w:val="21"/>
                      <w:szCs w:val="21"/>
                      <w:lang w:eastAsia="zh-CN"/>
                    </w:rPr>
                  </w:pPr>
                  <w:r>
                    <w:rPr>
                      <w:rFonts w:hint="eastAsia" w:hAnsi="宋体"/>
                      <w:sz w:val="21"/>
                      <w:szCs w:val="21"/>
                      <w:lang w:eastAsia="zh-CN"/>
                    </w:rPr>
                    <w:t>废水</w:t>
                  </w:r>
                </w:p>
              </w:tc>
              <w:tc>
                <w:tcPr>
                  <w:tcW w:w="1549" w:type="pct"/>
                  <w:tcBorders>
                    <w:tl2br w:val="nil"/>
                    <w:tr2bl w:val="nil"/>
                  </w:tcBorders>
                  <w:noWrap w:val="0"/>
                  <w:vAlign w:val="center"/>
                </w:tcPr>
                <w:p w14:paraId="09A75AEF">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sz w:val="21"/>
                      <w:szCs w:val="21"/>
                    </w:rPr>
                    <w:t>COD</w:t>
                  </w:r>
                </w:p>
              </w:tc>
              <w:tc>
                <w:tcPr>
                  <w:tcW w:w="1555" w:type="pct"/>
                  <w:tcBorders>
                    <w:tl2br w:val="nil"/>
                    <w:tr2bl w:val="nil"/>
                  </w:tcBorders>
                  <w:shd w:val="clear" w:color="auto" w:fill="auto"/>
                  <w:noWrap w:val="0"/>
                  <w:vAlign w:val="center"/>
                </w:tcPr>
                <w:p w14:paraId="53FF8E4F">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 w:val="21"/>
                      <w:szCs w:val="21"/>
                      <w:lang w:val="en-US" w:eastAsia="zh-CN"/>
                    </w:rPr>
                    <w:t>0.095</w:t>
                  </w:r>
                </w:p>
              </w:tc>
              <w:tc>
                <w:tcPr>
                  <w:tcW w:w="1359" w:type="pct"/>
                  <w:tcBorders>
                    <w:tl2br w:val="nil"/>
                    <w:tr2bl w:val="nil"/>
                  </w:tcBorders>
                  <w:noWrap w:val="0"/>
                  <w:vAlign w:val="center"/>
                </w:tcPr>
                <w:p w14:paraId="5EB7DFA9">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0.095</w:t>
                  </w:r>
                </w:p>
              </w:tc>
            </w:tr>
            <w:tr w14:paraId="3FC31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noWrap w:val="0"/>
                  <w:vAlign w:val="center"/>
                </w:tcPr>
                <w:p w14:paraId="7CD002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宋体"/>
                      <w:sz w:val="21"/>
                      <w:szCs w:val="21"/>
                    </w:rPr>
                  </w:pPr>
                </w:p>
              </w:tc>
              <w:tc>
                <w:tcPr>
                  <w:tcW w:w="1549" w:type="pct"/>
                  <w:tcBorders>
                    <w:tl2br w:val="nil"/>
                    <w:tr2bl w:val="nil"/>
                  </w:tcBorders>
                  <w:noWrap w:val="0"/>
                  <w:vAlign w:val="center"/>
                </w:tcPr>
                <w:p w14:paraId="397AA4AD">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rPr>
                    <w:t>氨氮</w:t>
                  </w:r>
                </w:p>
              </w:tc>
              <w:tc>
                <w:tcPr>
                  <w:tcW w:w="1555" w:type="pct"/>
                  <w:tcBorders>
                    <w:tl2br w:val="nil"/>
                    <w:tr2bl w:val="nil"/>
                  </w:tcBorders>
                  <w:shd w:val="clear" w:color="auto" w:fill="auto"/>
                  <w:noWrap w:val="0"/>
                  <w:vAlign w:val="center"/>
                </w:tcPr>
                <w:p w14:paraId="71DCE365">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 w:val="21"/>
                      <w:szCs w:val="21"/>
                      <w:lang w:val="en-US" w:eastAsia="zh-CN"/>
                    </w:rPr>
                    <w:t>0.014</w:t>
                  </w:r>
                </w:p>
              </w:tc>
              <w:tc>
                <w:tcPr>
                  <w:tcW w:w="1359" w:type="pct"/>
                  <w:tcBorders>
                    <w:tl2br w:val="nil"/>
                    <w:tr2bl w:val="nil"/>
                  </w:tcBorders>
                  <w:noWrap w:val="0"/>
                  <w:vAlign w:val="center"/>
                </w:tcPr>
                <w:p w14:paraId="4E7189F2">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0.014</w:t>
                  </w:r>
                </w:p>
              </w:tc>
            </w:tr>
          </w:tbl>
          <w:p w14:paraId="1C8A22AD">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highlight w:val="none"/>
                <w:lang w:val="en-US" w:eastAsia="zh-CN" w:bidi="ar"/>
              </w:rPr>
            </w:pPr>
            <w:r>
              <w:rPr>
                <w:rFonts w:hint="eastAsia" w:ascii="Times New Roman" w:hAnsi="Times New Roman" w:eastAsia="宋体" w:cs="Times New Roman"/>
                <w:b w:val="0"/>
                <w:bCs w:val="0"/>
                <w:color w:val="auto"/>
                <w:kern w:val="0"/>
                <w:sz w:val="24"/>
                <w:szCs w:val="20"/>
                <w:lang w:val="en-US" w:eastAsia="zh-CN" w:bidi="ar-SA"/>
              </w:rPr>
              <w:t>根据现有工程验收监测报告，</w:t>
            </w:r>
            <w:r>
              <w:rPr>
                <w:rFonts w:hint="eastAsia"/>
                <w:color w:val="auto"/>
                <w:sz w:val="24"/>
                <w:highlight w:val="none"/>
                <w:lang w:val="en-US" w:eastAsia="zh-CN" w:bidi="ar"/>
              </w:rPr>
              <w:t>项目依托生化池废水监测结果详见表</w:t>
            </w:r>
            <w:r>
              <w:rPr>
                <w:rFonts w:hint="default" w:ascii="Times New Roman" w:hAnsi="Times New Roman" w:cs="Times New Roman"/>
                <w:color w:val="auto"/>
                <w:sz w:val="24"/>
                <w:highlight w:val="none"/>
                <w:lang w:val="en-US" w:eastAsia="zh-CN" w:bidi="ar"/>
              </w:rPr>
              <w:t>2</w:t>
            </w:r>
            <w:r>
              <w:rPr>
                <w:rFonts w:hint="eastAsia" w:ascii="Times New Roman" w:hAnsi="Times New Roman" w:cs="Times New Roman"/>
                <w:color w:val="auto"/>
                <w:sz w:val="24"/>
                <w:highlight w:val="none"/>
                <w:lang w:val="en-US" w:eastAsia="zh-CN" w:bidi="ar"/>
              </w:rPr>
              <w:t>-20</w:t>
            </w:r>
            <w:r>
              <w:rPr>
                <w:rFonts w:hint="default" w:ascii="Times New Roman" w:hAnsi="Times New Roman" w:cs="Times New Roman"/>
                <w:color w:val="auto"/>
                <w:sz w:val="24"/>
                <w:highlight w:val="none"/>
                <w:lang w:val="en-US" w:eastAsia="zh-CN" w:bidi="ar"/>
              </w:rPr>
              <w:t>。</w:t>
            </w:r>
          </w:p>
          <w:p w14:paraId="16FE9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表2</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 xml:space="preserve">  依托生化池废水监测结果</w:t>
            </w:r>
          </w:p>
          <w:tbl>
            <w:tblPr>
              <w:tblStyle w:val="22"/>
              <w:tblW w:w="4998"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1117"/>
              <w:gridCol w:w="723"/>
              <w:gridCol w:w="1058"/>
              <w:gridCol w:w="887"/>
              <w:gridCol w:w="919"/>
              <w:gridCol w:w="919"/>
              <w:gridCol w:w="919"/>
              <w:gridCol w:w="921"/>
              <w:gridCol w:w="922"/>
            </w:tblGrid>
            <w:tr w14:paraId="40701545">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57" w:type="dxa"/>
                  <w:bottom w:w="0" w:type="dxa"/>
                  <w:right w:w="57" w:type="dxa"/>
                </w:tblCellMar>
              </w:tblPrEx>
              <w:trPr>
                <w:trHeight w:val="23" w:hRule="atLeast"/>
                <w:jc w:val="center"/>
              </w:trPr>
              <w:tc>
                <w:tcPr>
                  <w:tcW w:w="666" w:type="pct"/>
                  <w:vMerge w:val="restart"/>
                  <w:tcBorders>
                    <w:top w:val="single" w:color="auto" w:sz="6" w:space="0"/>
                    <w:left w:val="nil"/>
                    <w:right w:val="single" w:color="auto" w:sz="6" w:space="0"/>
                  </w:tcBorders>
                  <w:shd w:val="clear" w:color="auto" w:fill="auto"/>
                  <w:vAlign w:val="center"/>
                </w:tcPr>
                <w:p w14:paraId="2AC4E68D">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宋体"/>
                      <w:b/>
                      <w:bCs/>
                      <w:color w:val="auto"/>
                      <w:kern w:val="2"/>
                      <w:sz w:val="21"/>
                      <w:szCs w:val="21"/>
                      <w:highlight w:val="none"/>
                      <w:lang w:val="en-US" w:eastAsia="zh-CN" w:bidi="ar"/>
                    </w:rPr>
                    <w:t>检测时间</w:t>
                  </w:r>
                </w:p>
              </w:tc>
              <w:tc>
                <w:tcPr>
                  <w:tcW w:w="431" w:type="pct"/>
                  <w:vMerge w:val="restart"/>
                  <w:tcBorders>
                    <w:top w:val="single" w:color="auto" w:sz="6" w:space="0"/>
                    <w:left w:val="single" w:color="auto" w:sz="6" w:space="0"/>
                    <w:right w:val="single" w:color="auto" w:sz="6" w:space="0"/>
                  </w:tcBorders>
                  <w:shd w:val="clear" w:color="auto" w:fill="auto"/>
                  <w:vAlign w:val="center"/>
                </w:tcPr>
                <w:p w14:paraId="0C74FC4B">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bCs/>
                      <w:color w:val="auto"/>
                      <w:kern w:val="2"/>
                      <w:sz w:val="21"/>
                      <w:szCs w:val="21"/>
                      <w:highlight w:val="none"/>
                      <w:lang w:val="en-US" w:eastAsia="zh-CN" w:bidi="ar"/>
                    </w:rPr>
                  </w:pPr>
                  <w:r>
                    <w:rPr>
                      <w:rFonts w:hint="eastAsia" w:ascii="Times New Roman" w:hAnsi="Times New Roman" w:eastAsia="宋体" w:cs="宋体"/>
                      <w:b/>
                      <w:bCs/>
                      <w:color w:val="auto"/>
                      <w:kern w:val="2"/>
                      <w:sz w:val="21"/>
                      <w:szCs w:val="21"/>
                      <w:highlight w:val="none"/>
                      <w:lang w:val="en-US" w:eastAsia="zh-CN" w:bidi="ar"/>
                    </w:rPr>
                    <w:t>检测</w:t>
                  </w:r>
                </w:p>
                <w:p w14:paraId="1D06A0D1">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bCs/>
                      <w:color w:val="auto"/>
                      <w:kern w:val="2"/>
                      <w:sz w:val="21"/>
                      <w:szCs w:val="21"/>
                      <w:highlight w:val="none"/>
                      <w:lang w:val="en-US" w:eastAsia="zh-CN" w:bidi="ar"/>
                    </w:rPr>
                  </w:pPr>
                  <w:r>
                    <w:rPr>
                      <w:rFonts w:hint="eastAsia" w:ascii="Times New Roman" w:hAnsi="Times New Roman" w:eastAsia="宋体" w:cs="宋体"/>
                      <w:b/>
                      <w:bCs/>
                      <w:color w:val="auto"/>
                      <w:kern w:val="2"/>
                      <w:sz w:val="21"/>
                      <w:szCs w:val="21"/>
                      <w:highlight w:val="none"/>
                      <w:lang w:val="en-US" w:eastAsia="zh-CN" w:bidi="ar"/>
                    </w:rPr>
                    <w:t>点位</w:t>
                  </w:r>
                </w:p>
              </w:tc>
              <w:tc>
                <w:tcPr>
                  <w:tcW w:w="631" w:type="pct"/>
                  <w:vMerge w:val="restart"/>
                  <w:tcBorders>
                    <w:top w:val="single" w:color="auto" w:sz="6" w:space="0"/>
                    <w:left w:val="single" w:color="auto" w:sz="6" w:space="0"/>
                    <w:right w:val="single" w:color="auto" w:sz="6" w:space="0"/>
                  </w:tcBorders>
                  <w:shd w:val="clear" w:color="auto" w:fill="auto"/>
                  <w:vAlign w:val="center"/>
                </w:tcPr>
                <w:p w14:paraId="16565011">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eastAsia" w:ascii="Times New Roman" w:hAnsi="Times New Roman" w:eastAsia="宋体" w:cs="宋体"/>
                      <w:b/>
                      <w:bCs/>
                      <w:color w:val="auto"/>
                      <w:kern w:val="2"/>
                      <w:sz w:val="21"/>
                      <w:szCs w:val="21"/>
                      <w:highlight w:val="none"/>
                      <w:lang w:val="en-US" w:eastAsia="zh-CN" w:bidi="ar"/>
                    </w:rPr>
                    <w:t>检测项目</w:t>
                  </w:r>
                </w:p>
              </w:tc>
              <w:tc>
                <w:tcPr>
                  <w:tcW w:w="529" w:type="pct"/>
                  <w:vMerge w:val="restart"/>
                  <w:tcBorders>
                    <w:top w:val="single" w:color="auto" w:sz="6" w:space="0"/>
                    <w:left w:val="single" w:color="auto" w:sz="6" w:space="0"/>
                    <w:right w:val="single" w:color="auto" w:sz="6" w:space="0"/>
                  </w:tcBorders>
                  <w:shd w:val="clear" w:color="auto" w:fill="auto"/>
                  <w:vAlign w:val="center"/>
                </w:tcPr>
                <w:p w14:paraId="7704C54A">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单位</w:t>
                  </w:r>
                </w:p>
              </w:tc>
              <w:tc>
                <w:tcPr>
                  <w:tcW w:w="2193" w:type="pct"/>
                  <w:gridSpan w:val="4"/>
                  <w:tcBorders>
                    <w:top w:val="single" w:color="auto" w:sz="6" w:space="0"/>
                    <w:left w:val="single" w:color="auto" w:sz="6" w:space="0"/>
                    <w:bottom w:val="single" w:color="auto" w:sz="6" w:space="0"/>
                    <w:right w:val="nil"/>
                  </w:tcBorders>
                  <w:shd w:val="clear" w:color="auto" w:fill="auto"/>
                  <w:vAlign w:val="center"/>
                </w:tcPr>
                <w:p w14:paraId="6910D9CA">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bCs/>
                      <w:color w:val="auto"/>
                      <w:kern w:val="2"/>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检测频次</w:t>
                  </w:r>
                </w:p>
              </w:tc>
              <w:tc>
                <w:tcPr>
                  <w:tcW w:w="548" w:type="pct"/>
                  <w:vMerge w:val="restart"/>
                  <w:tcBorders>
                    <w:top w:val="single" w:color="auto" w:sz="6" w:space="0"/>
                    <w:left w:val="single" w:color="auto" w:sz="6" w:space="0"/>
                    <w:right w:val="nil"/>
                  </w:tcBorders>
                  <w:shd w:val="clear" w:color="auto" w:fill="auto"/>
                  <w:vAlign w:val="center"/>
                </w:tcPr>
                <w:p w14:paraId="7955F0C9">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bCs/>
                      <w:color w:val="auto"/>
                      <w:kern w:val="2"/>
                      <w:sz w:val="21"/>
                      <w:szCs w:val="21"/>
                      <w:highlight w:val="none"/>
                      <w:lang w:val="en-US" w:eastAsia="zh-CN" w:bidi="ar"/>
                    </w:rPr>
                  </w:pPr>
                  <w:r>
                    <w:rPr>
                      <w:rFonts w:hint="eastAsia" w:ascii="Times New Roman" w:hAnsi="Times New Roman" w:eastAsia="宋体" w:cs="宋体"/>
                      <w:b/>
                      <w:bCs/>
                      <w:color w:val="auto"/>
                      <w:kern w:val="2"/>
                      <w:sz w:val="21"/>
                      <w:szCs w:val="21"/>
                      <w:highlight w:val="none"/>
                      <w:lang w:val="en-US" w:eastAsia="zh-CN" w:bidi="ar"/>
                    </w:rPr>
                    <w:t>标准</w:t>
                  </w:r>
                </w:p>
                <w:p w14:paraId="339EF4AD">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eastAsia" w:ascii="Times New Roman" w:hAnsi="Times New Roman" w:eastAsia="宋体" w:cs="宋体"/>
                      <w:b/>
                      <w:bCs/>
                      <w:color w:val="auto"/>
                      <w:kern w:val="2"/>
                      <w:sz w:val="21"/>
                      <w:szCs w:val="21"/>
                      <w:highlight w:val="none"/>
                      <w:lang w:val="en-US" w:eastAsia="zh-CN" w:bidi="ar"/>
                    </w:rPr>
                    <w:t>限值</w:t>
                  </w:r>
                </w:p>
              </w:tc>
            </w:tr>
            <w:tr w14:paraId="4A4BC61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continue"/>
                  <w:tcBorders>
                    <w:left w:val="nil"/>
                    <w:bottom w:val="single" w:color="auto" w:sz="6" w:space="0"/>
                    <w:right w:val="single" w:color="auto" w:sz="6" w:space="0"/>
                  </w:tcBorders>
                  <w:shd w:val="clear" w:color="auto" w:fill="auto"/>
                  <w:vAlign w:val="center"/>
                </w:tcPr>
                <w:p w14:paraId="0936952C">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p>
              </w:tc>
              <w:tc>
                <w:tcPr>
                  <w:tcW w:w="431" w:type="pct"/>
                  <w:vMerge w:val="continue"/>
                  <w:tcBorders>
                    <w:left w:val="single" w:color="auto" w:sz="6" w:space="0"/>
                    <w:bottom w:val="single" w:color="auto" w:sz="6" w:space="0"/>
                    <w:right w:val="single" w:color="auto" w:sz="6" w:space="0"/>
                  </w:tcBorders>
                  <w:shd w:val="clear" w:color="auto" w:fill="auto"/>
                  <w:vAlign w:val="center"/>
                </w:tcPr>
                <w:p w14:paraId="6A2C0F56">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p>
              </w:tc>
              <w:tc>
                <w:tcPr>
                  <w:tcW w:w="631" w:type="pct"/>
                  <w:vMerge w:val="continue"/>
                  <w:tcBorders>
                    <w:left w:val="single" w:color="auto" w:sz="6" w:space="0"/>
                    <w:bottom w:val="single" w:color="auto" w:sz="6" w:space="0"/>
                    <w:right w:val="single" w:color="auto" w:sz="6" w:space="0"/>
                  </w:tcBorders>
                  <w:shd w:val="clear" w:color="auto" w:fill="auto"/>
                  <w:vAlign w:val="center"/>
                </w:tcPr>
                <w:p w14:paraId="5057391E">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p>
              </w:tc>
              <w:tc>
                <w:tcPr>
                  <w:tcW w:w="529" w:type="pct"/>
                  <w:vMerge w:val="continue"/>
                  <w:tcBorders>
                    <w:left w:val="single" w:color="auto" w:sz="6" w:space="0"/>
                    <w:bottom w:val="single" w:color="auto" w:sz="6" w:space="0"/>
                    <w:right w:val="single" w:color="auto" w:sz="6" w:space="0"/>
                  </w:tcBorders>
                  <w:shd w:val="clear" w:color="auto" w:fill="auto"/>
                  <w:vAlign w:val="center"/>
                </w:tcPr>
                <w:p w14:paraId="21FB30BA">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4EA2AA74">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第一次</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2EC82EF1">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第二次</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5A98C65D">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第三次</w:t>
                  </w:r>
                </w:p>
              </w:tc>
              <w:tc>
                <w:tcPr>
                  <w:tcW w:w="549" w:type="pct"/>
                  <w:tcBorders>
                    <w:left w:val="single" w:color="auto" w:sz="6" w:space="0"/>
                    <w:bottom w:val="single" w:color="auto" w:sz="6" w:space="0"/>
                    <w:right w:val="nil"/>
                  </w:tcBorders>
                  <w:shd w:val="clear" w:color="auto" w:fill="auto"/>
                  <w:vAlign w:val="center"/>
                </w:tcPr>
                <w:p w14:paraId="6E92BEB7">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平均值</w:t>
                  </w:r>
                </w:p>
              </w:tc>
              <w:tc>
                <w:tcPr>
                  <w:tcW w:w="548" w:type="pct"/>
                  <w:vMerge w:val="continue"/>
                  <w:tcBorders>
                    <w:left w:val="single" w:color="auto" w:sz="6" w:space="0"/>
                    <w:bottom w:val="single" w:color="auto" w:sz="6" w:space="0"/>
                    <w:right w:val="nil"/>
                  </w:tcBorders>
                  <w:shd w:val="clear" w:color="auto" w:fill="auto"/>
                  <w:vAlign w:val="center"/>
                </w:tcPr>
                <w:p w14:paraId="62DEC4CD">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p>
              </w:tc>
            </w:tr>
            <w:tr w14:paraId="335A46D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restart"/>
                  <w:tcBorders>
                    <w:top w:val="single" w:color="auto" w:sz="6" w:space="0"/>
                    <w:left w:val="nil"/>
                    <w:bottom w:val="single" w:color="auto" w:sz="6" w:space="0"/>
                    <w:right w:val="single" w:color="auto" w:sz="6" w:space="0"/>
                  </w:tcBorders>
                  <w:shd w:val="clear" w:color="auto" w:fill="auto"/>
                  <w:vAlign w:val="center"/>
                </w:tcPr>
                <w:p w14:paraId="1A872F1F">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202</w:t>
                  </w: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3</w:t>
                  </w:r>
                </w:p>
              </w:tc>
              <w:tc>
                <w:tcPr>
                  <w:tcW w:w="431" w:type="pct"/>
                  <w:vMerge w:val="restart"/>
                  <w:tcBorders>
                    <w:top w:val="single" w:color="auto" w:sz="6" w:space="0"/>
                    <w:left w:val="single" w:color="auto" w:sz="6" w:space="0"/>
                    <w:right w:val="single" w:color="auto" w:sz="6" w:space="0"/>
                  </w:tcBorders>
                  <w:shd w:val="clear" w:color="auto" w:fill="auto"/>
                  <w:vAlign w:val="center"/>
                </w:tcPr>
                <w:p w14:paraId="0371E9CA">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kern w:val="2"/>
                      <w:sz w:val="21"/>
                      <w:szCs w:val="21"/>
                      <w:highlight w:val="none"/>
                      <w:lang w:val="en-US" w:eastAsia="zh-CN" w:bidi="ar"/>
                    </w:rPr>
                    <w:t>★A1</w:t>
                  </w:r>
                </w:p>
              </w:tc>
              <w:tc>
                <w:tcPr>
                  <w:tcW w:w="631" w:type="pct"/>
                  <w:tcBorders>
                    <w:top w:val="single" w:color="auto" w:sz="6" w:space="0"/>
                    <w:left w:val="single" w:color="auto" w:sz="6" w:space="0"/>
                    <w:bottom w:val="single" w:color="auto" w:sz="6" w:space="0"/>
                    <w:right w:val="single" w:color="auto" w:sz="6" w:space="0"/>
                  </w:tcBorders>
                  <w:shd w:val="clear" w:color="auto" w:fill="auto"/>
                  <w:vAlign w:val="center"/>
                </w:tcPr>
                <w:p w14:paraId="61818AD7">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pH</w:t>
                  </w:r>
                </w:p>
              </w:tc>
              <w:tc>
                <w:tcPr>
                  <w:tcW w:w="529" w:type="pct"/>
                  <w:tcBorders>
                    <w:top w:val="single" w:color="auto" w:sz="6" w:space="0"/>
                    <w:left w:val="single" w:color="auto" w:sz="6" w:space="0"/>
                    <w:bottom w:val="single" w:color="auto" w:sz="6" w:space="0"/>
                    <w:right w:val="single" w:color="auto" w:sz="6" w:space="0"/>
                  </w:tcBorders>
                  <w:shd w:val="clear" w:color="auto" w:fill="auto"/>
                  <w:vAlign w:val="center"/>
                </w:tcPr>
                <w:p w14:paraId="47B9A3CF">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无量纲</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7F1C72CD">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6.6</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21015AF9">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6.5</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5D352F30">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6.4</w:t>
                  </w:r>
                </w:p>
              </w:tc>
              <w:tc>
                <w:tcPr>
                  <w:tcW w:w="549" w:type="pct"/>
                  <w:tcBorders>
                    <w:top w:val="single" w:color="auto" w:sz="6" w:space="0"/>
                    <w:left w:val="single" w:color="auto" w:sz="6" w:space="0"/>
                    <w:bottom w:val="single" w:color="auto" w:sz="6" w:space="0"/>
                    <w:right w:val="nil"/>
                  </w:tcBorders>
                  <w:shd w:val="clear" w:color="auto" w:fill="auto"/>
                  <w:vAlign w:val="center"/>
                </w:tcPr>
                <w:p w14:paraId="289872C1">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6.5</w:t>
                  </w:r>
                </w:p>
              </w:tc>
              <w:tc>
                <w:tcPr>
                  <w:tcW w:w="548" w:type="pct"/>
                  <w:tcBorders>
                    <w:top w:val="single" w:color="auto" w:sz="6" w:space="0"/>
                    <w:left w:val="single" w:color="auto" w:sz="6" w:space="0"/>
                    <w:bottom w:val="single" w:color="auto" w:sz="6" w:space="0"/>
                    <w:right w:val="nil"/>
                  </w:tcBorders>
                  <w:shd w:val="clear" w:color="auto" w:fill="auto"/>
                  <w:vAlign w:val="center"/>
                </w:tcPr>
                <w:p w14:paraId="0F7E0F1D">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6-9</w:t>
                  </w:r>
                </w:p>
              </w:tc>
            </w:tr>
            <w:tr w14:paraId="4D6C6C0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continue"/>
                  <w:tcBorders>
                    <w:top w:val="single" w:color="auto" w:sz="6" w:space="0"/>
                    <w:left w:val="nil"/>
                    <w:bottom w:val="single" w:color="auto" w:sz="6" w:space="0"/>
                    <w:right w:val="single" w:color="auto" w:sz="6" w:space="0"/>
                  </w:tcBorders>
                  <w:shd w:val="clear" w:color="auto" w:fill="auto"/>
                  <w:vAlign w:val="center"/>
                </w:tcPr>
                <w:p w14:paraId="74F5C0A6">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rPr>
                  </w:pPr>
                </w:p>
              </w:tc>
              <w:tc>
                <w:tcPr>
                  <w:tcW w:w="431" w:type="pct"/>
                  <w:vMerge w:val="continue"/>
                  <w:tcBorders>
                    <w:left w:val="single" w:color="auto" w:sz="6" w:space="0"/>
                    <w:right w:val="single" w:color="auto" w:sz="6" w:space="0"/>
                  </w:tcBorders>
                  <w:shd w:val="clear" w:color="auto" w:fill="auto"/>
                  <w:vAlign w:val="center"/>
                </w:tcPr>
                <w:p w14:paraId="4BEC410C">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color w:val="auto"/>
                      <w:kern w:val="2"/>
                      <w:sz w:val="21"/>
                      <w:szCs w:val="21"/>
                      <w:highlight w:val="none"/>
                      <w:lang w:val="en-US" w:eastAsia="zh-CN" w:bidi="ar"/>
                    </w:rPr>
                  </w:pPr>
                </w:p>
              </w:tc>
              <w:tc>
                <w:tcPr>
                  <w:tcW w:w="631" w:type="pct"/>
                  <w:tcBorders>
                    <w:top w:val="single" w:color="auto" w:sz="6" w:space="0"/>
                    <w:left w:val="single" w:color="auto" w:sz="6" w:space="0"/>
                    <w:bottom w:val="single" w:color="auto" w:sz="6" w:space="0"/>
                    <w:right w:val="single" w:color="auto" w:sz="6" w:space="0"/>
                  </w:tcBorders>
                  <w:shd w:val="clear" w:color="auto" w:fill="auto"/>
                  <w:vAlign w:val="center"/>
                </w:tcPr>
                <w:p w14:paraId="5BCD55B9">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COD</w:t>
                  </w:r>
                </w:p>
              </w:tc>
              <w:tc>
                <w:tcPr>
                  <w:tcW w:w="529" w:type="pct"/>
                  <w:tcBorders>
                    <w:top w:val="single" w:color="auto" w:sz="6" w:space="0"/>
                    <w:left w:val="single" w:color="auto" w:sz="6" w:space="0"/>
                    <w:bottom w:val="single" w:color="auto" w:sz="6" w:space="0"/>
                    <w:right w:val="single" w:color="auto" w:sz="6" w:space="0"/>
                  </w:tcBorders>
                  <w:shd w:val="clear" w:color="auto" w:fill="auto"/>
                  <w:vAlign w:val="center"/>
                </w:tcPr>
                <w:p w14:paraId="1CC11099">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mg/L</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70E37552">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220</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378F6F72">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209</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39C3A87E">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191</w:t>
                  </w:r>
                </w:p>
              </w:tc>
              <w:tc>
                <w:tcPr>
                  <w:tcW w:w="549" w:type="pct"/>
                  <w:tcBorders>
                    <w:top w:val="single" w:color="auto" w:sz="6" w:space="0"/>
                    <w:left w:val="single" w:color="auto" w:sz="6" w:space="0"/>
                    <w:bottom w:val="single" w:color="auto" w:sz="6" w:space="0"/>
                    <w:right w:val="nil"/>
                  </w:tcBorders>
                  <w:shd w:val="clear" w:color="auto" w:fill="auto"/>
                  <w:vAlign w:val="center"/>
                </w:tcPr>
                <w:p w14:paraId="21A56020">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207</w:t>
                  </w:r>
                </w:p>
              </w:tc>
              <w:tc>
                <w:tcPr>
                  <w:tcW w:w="548" w:type="pct"/>
                  <w:tcBorders>
                    <w:top w:val="single" w:color="auto" w:sz="6" w:space="0"/>
                    <w:left w:val="single" w:color="auto" w:sz="6" w:space="0"/>
                    <w:bottom w:val="single" w:color="auto" w:sz="6" w:space="0"/>
                    <w:right w:val="nil"/>
                  </w:tcBorders>
                  <w:shd w:val="clear" w:color="auto" w:fill="auto"/>
                  <w:vAlign w:val="center"/>
                </w:tcPr>
                <w:p w14:paraId="48209D3A">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500</w:t>
                  </w:r>
                </w:p>
              </w:tc>
            </w:tr>
            <w:tr w14:paraId="531A497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continue"/>
                  <w:tcBorders>
                    <w:top w:val="single" w:color="auto" w:sz="6" w:space="0"/>
                    <w:left w:val="nil"/>
                    <w:bottom w:val="single" w:color="auto" w:sz="6" w:space="0"/>
                    <w:right w:val="single" w:color="auto" w:sz="6" w:space="0"/>
                  </w:tcBorders>
                  <w:shd w:val="clear" w:color="auto" w:fill="auto"/>
                  <w:vAlign w:val="center"/>
                </w:tcPr>
                <w:p w14:paraId="73C0E69B">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rPr>
                  </w:pPr>
                </w:p>
              </w:tc>
              <w:tc>
                <w:tcPr>
                  <w:tcW w:w="431" w:type="pct"/>
                  <w:vMerge w:val="continue"/>
                  <w:tcBorders>
                    <w:left w:val="single" w:color="auto" w:sz="6" w:space="0"/>
                    <w:right w:val="single" w:color="auto" w:sz="6" w:space="0"/>
                  </w:tcBorders>
                  <w:shd w:val="clear" w:color="auto" w:fill="auto"/>
                  <w:vAlign w:val="center"/>
                </w:tcPr>
                <w:p w14:paraId="11D08F07">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color w:val="auto"/>
                      <w:kern w:val="2"/>
                      <w:sz w:val="21"/>
                      <w:szCs w:val="21"/>
                      <w:highlight w:val="none"/>
                      <w:lang w:val="en-US" w:eastAsia="zh-CN" w:bidi="ar"/>
                    </w:rPr>
                  </w:pPr>
                </w:p>
              </w:tc>
              <w:tc>
                <w:tcPr>
                  <w:tcW w:w="631" w:type="pct"/>
                  <w:tcBorders>
                    <w:top w:val="single" w:color="auto" w:sz="6" w:space="0"/>
                    <w:left w:val="single" w:color="auto" w:sz="6" w:space="0"/>
                    <w:bottom w:val="single" w:color="auto" w:sz="6" w:space="0"/>
                    <w:right w:val="single" w:color="auto" w:sz="6" w:space="0"/>
                  </w:tcBorders>
                  <w:shd w:val="clear" w:color="auto" w:fill="auto"/>
                  <w:vAlign w:val="center"/>
                </w:tcPr>
                <w:p w14:paraId="6F66D8CE">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BOD</w:t>
                  </w:r>
                  <w:r>
                    <w:rPr>
                      <w:rFonts w:hint="eastAsia" w:ascii="Times New Roman" w:hAnsi="Times New Roman" w:eastAsia="宋体" w:cs="宋体"/>
                      <w:color w:val="auto"/>
                      <w:kern w:val="2"/>
                      <w:sz w:val="21"/>
                      <w:szCs w:val="21"/>
                      <w:highlight w:val="none"/>
                      <w:vertAlign w:val="subscript"/>
                      <w:lang w:val="en-US" w:eastAsia="zh-CN" w:bidi="ar"/>
                    </w:rPr>
                    <w:t>5</w:t>
                  </w:r>
                </w:p>
              </w:tc>
              <w:tc>
                <w:tcPr>
                  <w:tcW w:w="529" w:type="pct"/>
                  <w:tcBorders>
                    <w:top w:val="single" w:color="auto" w:sz="6" w:space="0"/>
                    <w:left w:val="single" w:color="auto" w:sz="6" w:space="0"/>
                    <w:bottom w:val="single" w:color="auto" w:sz="6" w:space="0"/>
                    <w:right w:val="single" w:color="auto" w:sz="6" w:space="0"/>
                  </w:tcBorders>
                  <w:shd w:val="clear" w:color="auto" w:fill="auto"/>
                  <w:vAlign w:val="center"/>
                </w:tcPr>
                <w:p w14:paraId="09DAB1FA">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mg/L</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03919EDB">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56.3</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56242B11">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53.9</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00C3E368">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46.3</w:t>
                  </w:r>
                </w:p>
              </w:tc>
              <w:tc>
                <w:tcPr>
                  <w:tcW w:w="549" w:type="pct"/>
                  <w:tcBorders>
                    <w:top w:val="single" w:color="auto" w:sz="6" w:space="0"/>
                    <w:left w:val="single" w:color="auto" w:sz="6" w:space="0"/>
                    <w:bottom w:val="single" w:color="auto" w:sz="6" w:space="0"/>
                    <w:right w:val="nil"/>
                  </w:tcBorders>
                  <w:shd w:val="clear" w:color="auto" w:fill="auto"/>
                  <w:vAlign w:val="center"/>
                </w:tcPr>
                <w:p w14:paraId="0D6EF3C8">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52.2</w:t>
                  </w:r>
                </w:p>
              </w:tc>
              <w:tc>
                <w:tcPr>
                  <w:tcW w:w="548" w:type="pct"/>
                  <w:tcBorders>
                    <w:top w:val="single" w:color="auto" w:sz="6" w:space="0"/>
                    <w:left w:val="single" w:color="auto" w:sz="6" w:space="0"/>
                    <w:bottom w:val="single" w:color="auto" w:sz="6" w:space="0"/>
                    <w:right w:val="nil"/>
                  </w:tcBorders>
                  <w:shd w:val="clear" w:color="auto" w:fill="auto"/>
                  <w:vAlign w:val="center"/>
                </w:tcPr>
                <w:p w14:paraId="060227C0">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w:t>
                  </w:r>
                </w:p>
              </w:tc>
            </w:tr>
            <w:tr w14:paraId="529EB05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continue"/>
                  <w:tcBorders>
                    <w:top w:val="single" w:color="auto" w:sz="6" w:space="0"/>
                    <w:left w:val="nil"/>
                    <w:bottom w:val="single" w:color="auto" w:sz="6" w:space="0"/>
                    <w:right w:val="single" w:color="auto" w:sz="6" w:space="0"/>
                  </w:tcBorders>
                  <w:shd w:val="clear" w:color="auto" w:fill="auto"/>
                  <w:vAlign w:val="center"/>
                </w:tcPr>
                <w:p w14:paraId="4B49EC47">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rPr>
                  </w:pPr>
                </w:p>
              </w:tc>
              <w:tc>
                <w:tcPr>
                  <w:tcW w:w="431" w:type="pct"/>
                  <w:vMerge w:val="continue"/>
                  <w:tcBorders>
                    <w:left w:val="single" w:color="auto" w:sz="6" w:space="0"/>
                    <w:right w:val="single" w:color="auto" w:sz="6" w:space="0"/>
                  </w:tcBorders>
                  <w:shd w:val="clear" w:color="auto" w:fill="auto"/>
                  <w:vAlign w:val="center"/>
                </w:tcPr>
                <w:p w14:paraId="0BDADBB5">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color w:val="auto"/>
                      <w:kern w:val="2"/>
                      <w:sz w:val="21"/>
                      <w:szCs w:val="21"/>
                      <w:highlight w:val="none"/>
                      <w:lang w:val="en-US" w:eastAsia="zh-CN" w:bidi="ar"/>
                    </w:rPr>
                  </w:pPr>
                </w:p>
              </w:tc>
              <w:tc>
                <w:tcPr>
                  <w:tcW w:w="631" w:type="pct"/>
                  <w:tcBorders>
                    <w:top w:val="single" w:color="auto" w:sz="6" w:space="0"/>
                    <w:left w:val="single" w:color="auto" w:sz="6" w:space="0"/>
                    <w:bottom w:val="single" w:color="auto" w:sz="6" w:space="0"/>
                    <w:right w:val="single" w:color="auto" w:sz="6" w:space="0"/>
                  </w:tcBorders>
                  <w:shd w:val="clear" w:color="auto" w:fill="auto"/>
                  <w:vAlign w:val="center"/>
                </w:tcPr>
                <w:p w14:paraId="7C97FABF">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悬浮物</w:t>
                  </w:r>
                </w:p>
              </w:tc>
              <w:tc>
                <w:tcPr>
                  <w:tcW w:w="529" w:type="pct"/>
                  <w:tcBorders>
                    <w:top w:val="single" w:color="auto" w:sz="6" w:space="0"/>
                    <w:left w:val="single" w:color="auto" w:sz="6" w:space="0"/>
                    <w:bottom w:val="single" w:color="auto" w:sz="6" w:space="0"/>
                    <w:right w:val="single" w:color="auto" w:sz="6" w:space="0"/>
                  </w:tcBorders>
                  <w:shd w:val="clear" w:color="auto" w:fill="auto"/>
                  <w:vAlign w:val="center"/>
                </w:tcPr>
                <w:p w14:paraId="6C27645D">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mg/L</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39F037DF">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85</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69570B72">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69</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1F1B4D73">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76</w:t>
                  </w:r>
                </w:p>
              </w:tc>
              <w:tc>
                <w:tcPr>
                  <w:tcW w:w="549" w:type="pct"/>
                  <w:tcBorders>
                    <w:top w:val="single" w:color="auto" w:sz="6" w:space="0"/>
                    <w:left w:val="single" w:color="auto" w:sz="6" w:space="0"/>
                    <w:bottom w:val="single" w:color="auto" w:sz="6" w:space="0"/>
                    <w:right w:val="nil"/>
                  </w:tcBorders>
                  <w:shd w:val="clear" w:color="auto" w:fill="auto"/>
                  <w:vAlign w:val="center"/>
                </w:tcPr>
                <w:p w14:paraId="61CC42B4">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77</w:t>
                  </w:r>
                </w:p>
              </w:tc>
              <w:tc>
                <w:tcPr>
                  <w:tcW w:w="548" w:type="pct"/>
                  <w:tcBorders>
                    <w:top w:val="single" w:color="auto" w:sz="6" w:space="0"/>
                    <w:left w:val="single" w:color="auto" w:sz="6" w:space="0"/>
                    <w:bottom w:val="single" w:color="auto" w:sz="6" w:space="0"/>
                    <w:right w:val="nil"/>
                  </w:tcBorders>
                  <w:shd w:val="clear" w:color="auto" w:fill="auto"/>
                  <w:vAlign w:val="center"/>
                </w:tcPr>
                <w:p w14:paraId="4C81AC55">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400</w:t>
                  </w:r>
                </w:p>
              </w:tc>
            </w:tr>
            <w:tr w14:paraId="41D0307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vMerge w:val="continue"/>
                  <w:tcBorders>
                    <w:top w:val="single" w:color="auto" w:sz="6" w:space="0"/>
                    <w:left w:val="nil"/>
                    <w:bottom w:val="single" w:color="auto" w:sz="6" w:space="0"/>
                    <w:right w:val="single" w:color="auto" w:sz="6" w:space="0"/>
                  </w:tcBorders>
                  <w:shd w:val="clear" w:color="auto" w:fill="auto"/>
                  <w:vAlign w:val="center"/>
                </w:tcPr>
                <w:p w14:paraId="1DBD3B85">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rPr>
                  </w:pPr>
                </w:p>
              </w:tc>
              <w:tc>
                <w:tcPr>
                  <w:tcW w:w="431" w:type="pct"/>
                  <w:vMerge w:val="continue"/>
                  <w:tcBorders>
                    <w:left w:val="single" w:color="auto" w:sz="6" w:space="0"/>
                    <w:bottom w:val="single" w:color="auto" w:sz="6" w:space="0"/>
                    <w:right w:val="single" w:color="auto" w:sz="6" w:space="0"/>
                  </w:tcBorders>
                  <w:shd w:val="clear" w:color="auto" w:fill="auto"/>
                  <w:vAlign w:val="center"/>
                </w:tcPr>
                <w:p w14:paraId="7A458F2E">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color w:val="auto"/>
                      <w:kern w:val="2"/>
                      <w:sz w:val="21"/>
                      <w:szCs w:val="21"/>
                      <w:highlight w:val="none"/>
                      <w:lang w:val="en-US" w:eastAsia="zh-CN" w:bidi="ar"/>
                    </w:rPr>
                  </w:pPr>
                </w:p>
              </w:tc>
              <w:tc>
                <w:tcPr>
                  <w:tcW w:w="631" w:type="pct"/>
                  <w:tcBorders>
                    <w:top w:val="single" w:color="auto" w:sz="6" w:space="0"/>
                    <w:left w:val="single" w:color="auto" w:sz="6" w:space="0"/>
                    <w:bottom w:val="single" w:color="auto" w:sz="6" w:space="0"/>
                    <w:right w:val="single" w:color="auto" w:sz="6" w:space="0"/>
                  </w:tcBorders>
                  <w:shd w:val="clear" w:color="auto" w:fill="auto"/>
                  <w:vAlign w:val="center"/>
                </w:tcPr>
                <w:p w14:paraId="2617E840">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氨氮</w:t>
                  </w:r>
                </w:p>
              </w:tc>
              <w:tc>
                <w:tcPr>
                  <w:tcW w:w="529" w:type="pct"/>
                  <w:tcBorders>
                    <w:top w:val="single" w:color="auto" w:sz="6" w:space="0"/>
                    <w:left w:val="single" w:color="auto" w:sz="6" w:space="0"/>
                    <w:bottom w:val="single" w:color="auto" w:sz="6" w:space="0"/>
                    <w:right w:val="single" w:color="auto" w:sz="6" w:space="0"/>
                  </w:tcBorders>
                  <w:shd w:val="clear" w:color="auto" w:fill="auto"/>
                  <w:vAlign w:val="center"/>
                </w:tcPr>
                <w:p w14:paraId="6B92F691">
                  <w:pPr>
                    <w:keepNext w:val="0"/>
                    <w:keepLines w:val="0"/>
                    <w:pageBreakBefore w:val="0"/>
                    <w:widowControl w:val="0"/>
                    <w:suppressLineNumbers w:val="0"/>
                    <w:kinsoku/>
                    <w:wordWrap/>
                    <w:overflowPunct/>
                    <w:topLinePunct w:val="0"/>
                    <w:autoSpaceDE w:val="0"/>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mg/L</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29B7F30E">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35.9</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01440CD8">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37.7</w:t>
                  </w:r>
                </w:p>
              </w:tc>
              <w:tc>
                <w:tcPr>
                  <w:tcW w:w="548" w:type="pct"/>
                  <w:tcBorders>
                    <w:top w:val="single" w:color="auto" w:sz="6" w:space="0"/>
                    <w:left w:val="single" w:color="auto" w:sz="6" w:space="0"/>
                    <w:bottom w:val="single" w:color="auto" w:sz="6" w:space="0"/>
                    <w:right w:val="single" w:color="auto" w:sz="6" w:space="0"/>
                  </w:tcBorders>
                  <w:shd w:val="clear" w:color="auto" w:fill="auto"/>
                  <w:vAlign w:val="center"/>
                </w:tcPr>
                <w:p w14:paraId="448BF09E">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
                    </w:rPr>
                    <w:t>33.1</w:t>
                  </w:r>
                </w:p>
              </w:tc>
              <w:tc>
                <w:tcPr>
                  <w:tcW w:w="549" w:type="pct"/>
                  <w:tcBorders>
                    <w:top w:val="single" w:color="auto" w:sz="6" w:space="0"/>
                    <w:left w:val="single" w:color="auto" w:sz="6" w:space="0"/>
                    <w:bottom w:val="single" w:color="auto" w:sz="6" w:space="0"/>
                    <w:right w:val="nil"/>
                  </w:tcBorders>
                  <w:shd w:val="clear" w:color="auto" w:fill="auto"/>
                  <w:vAlign w:val="center"/>
                </w:tcPr>
                <w:p w14:paraId="53F00C11">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35.6</w:t>
                  </w:r>
                </w:p>
              </w:tc>
              <w:tc>
                <w:tcPr>
                  <w:tcW w:w="548" w:type="pct"/>
                  <w:tcBorders>
                    <w:top w:val="single" w:color="auto" w:sz="6" w:space="0"/>
                    <w:left w:val="single" w:color="auto" w:sz="6" w:space="0"/>
                    <w:bottom w:val="single" w:color="auto" w:sz="6" w:space="0"/>
                    <w:right w:val="nil"/>
                  </w:tcBorders>
                  <w:shd w:val="clear" w:color="auto" w:fill="auto"/>
                  <w:vAlign w:val="center"/>
                </w:tcPr>
                <w:p w14:paraId="2E9B8488">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45</w:t>
                  </w:r>
                </w:p>
              </w:tc>
            </w:tr>
            <w:tr w14:paraId="4ED3A40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66" w:type="pct"/>
                  <w:tcBorders>
                    <w:top w:val="single" w:color="auto" w:sz="6" w:space="0"/>
                    <w:left w:val="nil"/>
                    <w:bottom w:val="single" w:color="auto" w:sz="6" w:space="0"/>
                    <w:right w:val="single" w:color="auto" w:sz="6" w:space="0"/>
                  </w:tcBorders>
                  <w:shd w:val="clear" w:color="auto" w:fill="auto"/>
                  <w:vAlign w:val="center"/>
                </w:tcPr>
                <w:p w14:paraId="3DBE25F6">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rPr>
                  </w:pPr>
                  <w:r>
                    <w:rPr>
                      <w:rFonts w:hint="eastAsia" w:ascii="Times New Roman" w:hAnsi="Times New Roman" w:eastAsia="宋体" w:cs="宋体"/>
                      <w:b/>
                      <w:bCs/>
                      <w:color w:val="auto"/>
                      <w:kern w:val="0"/>
                      <w:sz w:val="21"/>
                      <w:szCs w:val="21"/>
                      <w:highlight w:val="none"/>
                      <w:lang w:val="en-US" w:eastAsia="zh-CN" w:bidi="ar"/>
                    </w:rPr>
                    <w:t>评价依据</w:t>
                  </w:r>
                </w:p>
              </w:tc>
              <w:tc>
                <w:tcPr>
                  <w:tcW w:w="4333" w:type="pct"/>
                  <w:gridSpan w:val="8"/>
                  <w:tcBorders>
                    <w:top w:val="single" w:color="auto" w:sz="6" w:space="0"/>
                    <w:left w:val="single" w:color="auto" w:sz="6" w:space="0"/>
                    <w:bottom w:val="single" w:color="auto" w:sz="6" w:space="0"/>
                    <w:right w:val="nil"/>
                  </w:tcBorders>
                  <w:shd w:val="clear" w:color="auto" w:fill="auto"/>
                  <w:vAlign w:val="center"/>
                </w:tcPr>
                <w:p w14:paraId="3BB3BA64">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0" w:afterAutospacing="0" w:line="300" w:lineRule="auto"/>
                    <w:ind w:left="0" w:right="0" w:firstLine="0" w:firstLineChars="0"/>
                    <w:jc w:val="both"/>
                    <w:textAlignment w:val="auto"/>
                    <w:rPr>
                      <w:rFonts w:hint="eastAsia" w:ascii="Times New Roman" w:hAnsi="Times New Roman" w:eastAsia="宋体" w:cs="宋体"/>
                      <w:bCs/>
                      <w:color w:val="auto"/>
                      <w:kern w:val="2"/>
                      <w:sz w:val="21"/>
                      <w:szCs w:val="21"/>
                      <w:highlight w:val="none"/>
                      <w:lang w:val="en-US" w:eastAsia="zh-CN" w:bidi="ar"/>
                    </w:rPr>
                  </w:pPr>
                  <w:r>
                    <w:rPr>
                      <w:rFonts w:hint="eastAsia" w:ascii="Times New Roman" w:hAnsi="Times New Roman" w:eastAsia="宋体" w:cs="宋体"/>
                      <w:bCs/>
                      <w:color w:val="auto"/>
                      <w:kern w:val="2"/>
                      <w:sz w:val="21"/>
                      <w:szCs w:val="21"/>
                      <w:highlight w:val="none"/>
                      <w:lang w:val="en-US" w:eastAsia="zh-CN" w:bidi="ar"/>
                    </w:rPr>
                    <w:t>《污水综合排放标准》（GB8978-1996）</w:t>
                  </w:r>
                </w:p>
                <w:p w14:paraId="5986A771">
                  <w:pPr>
                    <w:keepNext w:val="0"/>
                    <w:keepLines w:val="0"/>
                    <w:pageBreakBefore w:val="0"/>
                    <w:widowControl w:val="0"/>
                    <w:suppressLineNumbers w:val="0"/>
                    <w:kinsoku/>
                    <w:wordWrap/>
                    <w:overflowPunct/>
                    <w:topLinePunct w:val="0"/>
                    <w:autoSpaceDE w:val="0"/>
                    <w:autoSpaceDN w:val="0"/>
                    <w:bidi w:val="0"/>
                    <w:adjustRightInd/>
                    <w:snapToGrid/>
                    <w:spacing w:before="32" w:beforeLines="10" w:beforeAutospacing="0" w:after="79" w:afterLines="25" w:afterAutospacing="0" w:line="300" w:lineRule="auto"/>
                    <w:ind w:left="0" w:right="0" w:firstLine="0" w:firstLineChars="0"/>
                    <w:jc w:val="both"/>
                    <w:textAlignment w:val="auto"/>
                    <w:rPr>
                      <w:rFonts w:hint="eastAsia" w:ascii="Times New Roman" w:hAnsi="Times New Roman" w:eastAsia="宋体" w:cs="Times New Roman"/>
                      <w:bCs/>
                      <w:color w:val="auto"/>
                      <w:kern w:val="2"/>
                      <w:sz w:val="21"/>
                      <w:szCs w:val="21"/>
                      <w:highlight w:val="none"/>
                    </w:rPr>
                  </w:pPr>
                  <w:r>
                    <w:rPr>
                      <w:rFonts w:hint="eastAsia" w:ascii="Times New Roman" w:hAnsi="Times New Roman" w:eastAsia="宋体" w:cs="宋体"/>
                      <w:bCs/>
                      <w:color w:val="auto"/>
                      <w:kern w:val="2"/>
                      <w:sz w:val="21"/>
                      <w:szCs w:val="21"/>
                      <w:highlight w:val="none"/>
                      <w:lang w:val="en-US" w:eastAsia="zh-CN" w:bidi="ar"/>
                    </w:rPr>
                    <w:t>《污水排入城镇下水道水质标准》（GB/T31962-2015）</w:t>
                  </w:r>
                </w:p>
              </w:tc>
            </w:tr>
          </w:tbl>
          <w:p w14:paraId="3ACB3DB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
              </w:rPr>
              <w:t>根据验收监测结果，项目</w:t>
            </w:r>
            <w:r>
              <w:rPr>
                <w:rFonts w:hint="eastAsia" w:cs="Times New Roman"/>
                <w:color w:val="auto"/>
                <w:kern w:val="2"/>
                <w:sz w:val="24"/>
                <w:szCs w:val="24"/>
                <w:highlight w:val="none"/>
                <w:lang w:val="en-US" w:eastAsia="zh-CN" w:bidi="ar"/>
              </w:rPr>
              <w:t>依托</w:t>
            </w:r>
            <w:r>
              <w:rPr>
                <w:rFonts w:hint="eastAsia" w:ascii="Times New Roman" w:hAnsi="Times New Roman" w:eastAsia="宋体" w:cs="Times New Roman"/>
                <w:color w:val="auto"/>
                <w:kern w:val="2"/>
                <w:sz w:val="24"/>
                <w:szCs w:val="24"/>
                <w:highlight w:val="none"/>
                <w:lang w:val="en-US" w:eastAsia="zh-CN" w:bidi="ar"/>
              </w:rPr>
              <w:t>生化池排口（★A1）</w:t>
            </w:r>
            <w:r>
              <w:rPr>
                <w:rFonts w:hint="default" w:ascii="Times New Roman" w:hAnsi="Times New Roman"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pH、</w:t>
            </w:r>
            <w:r>
              <w:rPr>
                <w:rFonts w:hint="default" w:ascii="Times New Roman" w:hAnsi="Times New Roman" w:cs="Times New Roman"/>
                <w:color w:val="auto"/>
                <w:kern w:val="2"/>
                <w:sz w:val="24"/>
                <w:szCs w:val="24"/>
                <w:highlight w:val="none"/>
                <w:lang w:val="en-US" w:eastAsia="zh-CN" w:bidi="ar"/>
              </w:rPr>
              <w:t>SS</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cs="Times New Roman"/>
                <w:color w:val="auto"/>
                <w:kern w:val="2"/>
                <w:sz w:val="24"/>
                <w:szCs w:val="24"/>
                <w:highlight w:val="none"/>
                <w:lang w:val="en-US" w:eastAsia="zh-CN" w:bidi="ar"/>
              </w:rPr>
              <w:t>COD</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cs="Times New Roman"/>
                <w:color w:val="auto"/>
                <w:kern w:val="2"/>
                <w:sz w:val="24"/>
                <w:szCs w:val="24"/>
                <w:highlight w:val="none"/>
                <w:lang w:val="en-US" w:eastAsia="zh-CN" w:bidi="ar"/>
              </w:rPr>
              <w:t>BOD</w:t>
            </w:r>
            <w:r>
              <w:rPr>
                <w:rFonts w:hint="default" w:ascii="Times New Roman" w:hAnsi="Times New Roman" w:cs="Times New Roman"/>
                <w:color w:val="auto"/>
                <w:kern w:val="2"/>
                <w:sz w:val="24"/>
                <w:szCs w:val="24"/>
                <w:highlight w:val="none"/>
                <w:vertAlign w:val="subscript"/>
                <w:lang w:val="en-US" w:eastAsia="zh-CN" w:bidi="ar"/>
              </w:rPr>
              <w:t>5</w:t>
            </w:r>
            <w:r>
              <w:rPr>
                <w:rFonts w:hint="default" w:ascii="Times New Roman" w:hAnsi="Times New Roman" w:eastAsia="宋体" w:cs="Times New Roman"/>
                <w:color w:val="auto"/>
                <w:kern w:val="2"/>
                <w:sz w:val="24"/>
                <w:szCs w:val="24"/>
                <w:highlight w:val="none"/>
                <w:lang w:val="en-US" w:eastAsia="zh-CN" w:bidi="ar"/>
              </w:rPr>
              <w:t>排放均符合《污水综合排放标准》（GB8978-1996）表4，三级标准限值，氨氮符合《污水排入城镇下水道水质标准》（GB/T31962-2015）表1，B级标准限值。</w:t>
            </w:r>
          </w:p>
          <w:p w14:paraId="2AEE921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（三）噪声</w:t>
            </w:r>
          </w:p>
          <w:p w14:paraId="4BFE3EC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项目主要高噪声设备包括剪板机、冲床、空压机等，采取隔声、吸声、减振等措施进行处理。</w:t>
            </w:r>
          </w:p>
          <w:p w14:paraId="445CC25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根据现有工程验收监测报告，验收监测结果详见表2-21。</w:t>
            </w:r>
          </w:p>
          <w:p w14:paraId="18C71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 xml:space="preserve">  噪声监测结果</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1058"/>
              <w:gridCol w:w="1296"/>
              <w:gridCol w:w="809"/>
              <w:gridCol w:w="923"/>
              <w:gridCol w:w="923"/>
              <w:gridCol w:w="923"/>
              <w:gridCol w:w="929"/>
              <w:gridCol w:w="760"/>
              <w:gridCol w:w="762"/>
            </w:tblGrid>
            <w:tr w14:paraId="64C572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57" w:type="dxa"/>
                  <w:bottom w:w="0" w:type="dxa"/>
                  <w:right w:w="57" w:type="dxa"/>
                </w:tblCellMar>
              </w:tblPrEx>
              <w:trPr>
                <w:trHeight w:val="23" w:hRule="atLeast"/>
                <w:jc w:val="center"/>
              </w:trPr>
              <w:tc>
                <w:tcPr>
                  <w:tcW w:w="631" w:type="pct"/>
                  <w:vMerge w:val="restart"/>
                  <w:tcBorders>
                    <w:tl2br w:val="nil"/>
                    <w:tr2bl w:val="nil"/>
                  </w:tcBorders>
                  <w:shd w:val="clear" w:color="auto" w:fill="auto"/>
                  <w:vAlign w:val="center"/>
                </w:tcPr>
                <w:p w14:paraId="0F852BB7">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检测点</w:t>
                  </w:r>
                </w:p>
              </w:tc>
              <w:tc>
                <w:tcPr>
                  <w:tcW w:w="773" w:type="pct"/>
                  <w:vMerge w:val="restart"/>
                  <w:tcBorders>
                    <w:tl2br w:val="nil"/>
                    <w:tr2bl w:val="nil"/>
                  </w:tcBorders>
                  <w:shd w:val="clear" w:color="auto" w:fill="auto"/>
                  <w:vAlign w:val="center"/>
                </w:tcPr>
                <w:p w14:paraId="26A281C2">
                  <w:pPr>
                    <w:keepNext w:val="0"/>
                    <w:keepLines w:val="0"/>
                    <w:pageBreakBefore w:val="0"/>
                    <w:widowControl w:val="0"/>
                    <w:suppressLineNumbers w:val="0"/>
                    <w:kinsoku/>
                    <w:wordWrap/>
                    <w:overflowPunct/>
                    <w:topLinePunct w:val="0"/>
                    <w:bidi w:val="0"/>
                    <w:adjustRightInd/>
                    <w:snapToGrid/>
                    <w:spacing w:before="0" w:beforeAutospacing="0" w:after="0"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检测时间</w:t>
                  </w:r>
                </w:p>
              </w:tc>
              <w:tc>
                <w:tcPr>
                  <w:tcW w:w="482" w:type="pct"/>
                  <w:vMerge w:val="restart"/>
                  <w:tcBorders>
                    <w:tl2br w:val="nil"/>
                    <w:tr2bl w:val="nil"/>
                  </w:tcBorders>
                  <w:shd w:val="clear" w:color="auto" w:fill="auto"/>
                  <w:vAlign w:val="center"/>
                </w:tcPr>
                <w:p w14:paraId="402D20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leftChars="0" w:right="0" w:rightChars="0"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检测</w:t>
                  </w:r>
                </w:p>
                <w:p w14:paraId="41AA85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时段</w:t>
                  </w:r>
                </w:p>
              </w:tc>
              <w:tc>
                <w:tcPr>
                  <w:tcW w:w="2204" w:type="pct"/>
                  <w:gridSpan w:val="4"/>
                  <w:tcBorders>
                    <w:tl2br w:val="nil"/>
                    <w:tr2bl w:val="nil"/>
                  </w:tcBorders>
                  <w:shd w:val="clear" w:color="auto" w:fill="auto"/>
                  <w:vAlign w:val="center"/>
                </w:tcPr>
                <w:p w14:paraId="0B0E489C">
                  <w:pPr>
                    <w:keepNext w:val="0"/>
                    <w:keepLines w:val="0"/>
                    <w:pageBreakBefore w:val="0"/>
                    <w:widowControl w:val="0"/>
                    <w:suppressLineNumbers w:val="0"/>
                    <w:kinsoku/>
                    <w:wordWrap/>
                    <w:overflowPunct/>
                    <w:topLinePunct w:val="0"/>
                    <w:autoSpaceDE w:val="0"/>
                    <w:autoSpaceDN w:val="0"/>
                    <w:bidi w:val="0"/>
                    <w:adjustRightInd/>
                    <w:snapToGrid/>
                    <w:spacing w:before="73" w:beforeLines="23" w:beforeAutospacing="0" w:after="73" w:afterLines="23"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b/>
                      <w:bCs/>
                      <w:color w:val="auto"/>
                      <w:kern w:val="0"/>
                      <w:sz w:val="21"/>
                      <w:szCs w:val="21"/>
                      <w:highlight w:val="none"/>
                      <w:lang w:val="en-US" w:eastAsia="zh-CN"/>
                    </w:rPr>
                    <w:t>检测结果</w:t>
                  </w:r>
                  <w:r>
                    <w:rPr>
                      <w:rFonts w:hint="eastAsia" w:ascii="Times New Roman" w:hAnsi="Times New Roman" w:eastAsia="宋体" w:cs="Times New Roman"/>
                      <w:b/>
                      <w:bCs/>
                      <w:color w:val="auto"/>
                      <w:kern w:val="2"/>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L</w:t>
                  </w:r>
                  <w:r>
                    <w:rPr>
                      <w:rFonts w:hint="default" w:ascii="Times New Roman" w:hAnsi="Times New Roman" w:eastAsia="宋体" w:cs="Times New Roman"/>
                      <w:b/>
                      <w:bCs/>
                      <w:color w:val="auto"/>
                      <w:kern w:val="0"/>
                      <w:sz w:val="21"/>
                      <w:szCs w:val="21"/>
                      <w:highlight w:val="none"/>
                      <w:vertAlign w:val="subscript"/>
                      <w:lang w:val="en-US" w:eastAsia="zh-CN" w:bidi="ar"/>
                    </w:rPr>
                    <w:t>eq</w:t>
                  </w:r>
                  <w:r>
                    <w:rPr>
                      <w:rFonts w:hint="default" w:ascii="Times New Roman" w:hAnsi="Times New Roman" w:eastAsia="宋体" w:cs="Times New Roman"/>
                      <w:b/>
                      <w:bCs/>
                      <w:color w:val="auto"/>
                      <w:kern w:val="0"/>
                      <w:sz w:val="21"/>
                      <w:szCs w:val="21"/>
                      <w:highlight w:val="none"/>
                      <w:lang w:val="en-US" w:eastAsia="zh-CN" w:bidi="ar"/>
                    </w:rPr>
                    <w:t>（dB(A)</w:t>
                  </w:r>
                  <w:r>
                    <w:rPr>
                      <w:rFonts w:hint="eastAsia" w:ascii="Times New Roman" w:hAnsi="Times New Roman" w:eastAsia="宋体" w:cs="宋体"/>
                      <w:b/>
                      <w:bCs/>
                      <w:color w:val="auto"/>
                      <w:kern w:val="0"/>
                      <w:sz w:val="21"/>
                      <w:szCs w:val="21"/>
                      <w:highlight w:val="none"/>
                      <w:lang w:val="en-US" w:eastAsia="zh-CN" w:bidi="ar"/>
                    </w:rPr>
                    <w:t>）</w:t>
                  </w:r>
                  <w:r>
                    <w:rPr>
                      <w:rFonts w:hint="eastAsia" w:ascii="Times New Roman" w:hAnsi="Times New Roman" w:eastAsia="宋体" w:cs="Times New Roman"/>
                      <w:b/>
                      <w:bCs/>
                      <w:color w:val="auto"/>
                      <w:kern w:val="2"/>
                      <w:sz w:val="21"/>
                      <w:szCs w:val="21"/>
                      <w:highlight w:val="none"/>
                      <w:lang w:val="en-US" w:eastAsia="zh-CN" w:bidi="ar"/>
                    </w:rPr>
                    <w:t>）</w:t>
                  </w:r>
                </w:p>
              </w:tc>
              <w:tc>
                <w:tcPr>
                  <w:tcW w:w="453" w:type="pct"/>
                  <w:vMerge w:val="restart"/>
                  <w:tcBorders>
                    <w:tl2br w:val="nil"/>
                    <w:tr2bl w:val="nil"/>
                  </w:tcBorders>
                  <w:shd w:val="clear" w:color="auto" w:fill="auto"/>
                  <w:vAlign w:val="center"/>
                </w:tcPr>
                <w:p w14:paraId="5EA51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排放</w:t>
                  </w:r>
                </w:p>
                <w:p w14:paraId="48E5C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限值</w:t>
                  </w:r>
                </w:p>
              </w:tc>
              <w:tc>
                <w:tcPr>
                  <w:tcW w:w="454" w:type="pct"/>
                  <w:vMerge w:val="restart"/>
                  <w:tcBorders>
                    <w:tl2br w:val="nil"/>
                    <w:tr2bl w:val="nil"/>
                  </w:tcBorders>
                  <w:shd w:val="clear" w:color="auto" w:fill="auto"/>
                  <w:vAlign w:val="center"/>
                </w:tcPr>
                <w:p w14:paraId="25761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主要</w:t>
                  </w:r>
                </w:p>
                <w:p w14:paraId="3AF04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声源</w:t>
                  </w:r>
                </w:p>
              </w:tc>
            </w:tr>
            <w:tr w14:paraId="7AB2D1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1" w:type="pct"/>
                  <w:vMerge w:val="continue"/>
                  <w:tcBorders>
                    <w:tl2br w:val="nil"/>
                    <w:tr2bl w:val="nil"/>
                  </w:tcBorders>
                  <w:shd w:val="clear" w:color="auto" w:fill="auto"/>
                  <w:vAlign w:val="center"/>
                </w:tcPr>
                <w:p w14:paraId="39F4D14D">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773" w:type="pct"/>
                  <w:vMerge w:val="continue"/>
                  <w:tcBorders>
                    <w:tl2br w:val="nil"/>
                    <w:tr2bl w:val="nil"/>
                  </w:tcBorders>
                  <w:shd w:val="clear" w:color="auto" w:fill="auto"/>
                  <w:vAlign w:val="center"/>
                </w:tcPr>
                <w:p w14:paraId="35554DE1">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82" w:type="pct"/>
                  <w:vMerge w:val="continue"/>
                  <w:tcBorders>
                    <w:tl2br w:val="nil"/>
                    <w:tr2bl w:val="nil"/>
                  </w:tcBorders>
                  <w:shd w:val="clear" w:color="auto" w:fill="auto"/>
                  <w:vAlign w:val="center"/>
                </w:tcPr>
                <w:p w14:paraId="03033374">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bidi="ar"/>
                    </w:rPr>
                  </w:pPr>
                </w:p>
              </w:tc>
              <w:tc>
                <w:tcPr>
                  <w:tcW w:w="550" w:type="pct"/>
                  <w:tcBorders>
                    <w:tl2br w:val="nil"/>
                    <w:tr2bl w:val="nil"/>
                  </w:tcBorders>
                  <w:shd w:val="clear" w:color="auto" w:fill="auto"/>
                  <w:vAlign w:val="center"/>
                </w:tcPr>
                <w:p w14:paraId="15077030">
                  <w:pPr>
                    <w:keepNext w:val="0"/>
                    <w:keepLines w:val="0"/>
                    <w:pageBreakBefore w:val="0"/>
                    <w:widowControl w:val="0"/>
                    <w:suppressLineNumbers w:val="0"/>
                    <w:kinsoku/>
                    <w:wordWrap/>
                    <w:overflowPunct/>
                    <w:topLinePunct w:val="0"/>
                    <w:bidi w:val="0"/>
                    <w:adjustRightInd/>
                    <w:snapToGrid/>
                    <w:spacing w:before="73" w:beforeLines="23" w:beforeAutospacing="0" w:after="73" w:afterLines="23"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bidi="ar"/>
                    </w:rPr>
                    <w:t>测量值</w:t>
                  </w:r>
                </w:p>
              </w:tc>
              <w:tc>
                <w:tcPr>
                  <w:tcW w:w="550" w:type="pct"/>
                  <w:tcBorders>
                    <w:tl2br w:val="nil"/>
                    <w:tr2bl w:val="nil"/>
                  </w:tcBorders>
                  <w:shd w:val="clear" w:color="auto" w:fill="auto"/>
                  <w:vAlign w:val="center"/>
                </w:tcPr>
                <w:p w14:paraId="049DF451">
                  <w:pPr>
                    <w:keepNext w:val="0"/>
                    <w:keepLines w:val="0"/>
                    <w:pageBreakBefore w:val="0"/>
                    <w:widowControl w:val="0"/>
                    <w:suppressLineNumbers w:val="0"/>
                    <w:kinsoku/>
                    <w:wordWrap/>
                    <w:overflowPunct/>
                    <w:topLinePunct w:val="0"/>
                    <w:bidi w:val="0"/>
                    <w:adjustRightInd/>
                    <w:snapToGrid/>
                    <w:spacing w:before="73" w:beforeLines="23" w:beforeAutospacing="0" w:after="73" w:afterLines="23"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bidi="ar"/>
                    </w:rPr>
                    <w:t>背景值</w:t>
                  </w:r>
                </w:p>
              </w:tc>
              <w:tc>
                <w:tcPr>
                  <w:tcW w:w="550" w:type="pct"/>
                  <w:tcBorders>
                    <w:tl2br w:val="nil"/>
                    <w:tr2bl w:val="nil"/>
                  </w:tcBorders>
                  <w:shd w:val="clear" w:color="auto" w:fill="auto"/>
                  <w:vAlign w:val="center"/>
                </w:tcPr>
                <w:p w14:paraId="5220AC78">
                  <w:pPr>
                    <w:keepNext w:val="0"/>
                    <w:keepLines w:val="0"/>
                    <w:pageBreakBefore w:val="0"/>
                    <w:widowControl w:val="0"/>
                    <w:suppressLineNumbers w:val="0"/>
                    <w:kinsoku/>
                    <w:wordWrap/>
                    <w:overflowPunct/>
                    <w:topLinePunct w:val="0"/>
                    <w:bidi w:val="0"/>
                    <w:adjustRightInd/>
                    <w:snapToGrid/>
                    <w:spacing w:before="73" w:beforeLines="23" w:beforeAutospacing="0" w:after="73" w:afterLines="23"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bidi="ar"/>
                    </w:rPr>
                    <w:t>修正值</w:t>
                  </w:r>
                </w:p>
              </w:tc>
              <w:tc>
                <w:tcPr>
                  <w:tcW w:w="552" w:type="pct"/>
                  <w:tcBorders>
                    <w:tl2br w:val="nil"/>
                    <w:tr2bl w:val="nil"/>
                  </w:tcBorders>
                  <w:shd w:val="clear" w:color="auto" w:fill="auto"/>
                  <w:vAlign w:val="center"/>
                </w:tcPr>
                <w:p w14:paraId="7CD49B77">
                  <w:pPr>
                    <w:keepNext w:val="0"/>
                    <w:keepLines w:val="0"/>
                    <w:pageBreakBefore w:val="0"/>
                    <w:widowControl w:val="0"/>
                    <w:suppressLineNumbers w:val="0"/>
                    <w:kinsoku/>
                    <w:wordWrap/>
                    <w:overflowPunct/>
                    <w:topLinePunct w:val="0"/>
                    <w:bidi w:val="0"/>
                    <w:adjustRightInd/>
                    <w:snapToGrid/>
                    <w:spacing w:before="73" w:beforeLines="23" w:beforeAutospacing="0" w:after="73" w:afterLines="23" w:afterAutospacing="0" w:line="30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bidi="ar"/>
                    </w:rPr>
                    <w:t>结果</w:t>
                  </w:r>
                </w:p>
              </w:tc>
              <w:tc>
                <w:tcPr>
                  <w:tcW w:w="453" w:type="pct"/>
                  <w:vMerge w:val="continue"/>
                  <w:tcBorders>
                    <w:tl2br w:val="nil"/>
                    <w:tr2bl w:val="nil"/>
                  </w:tcBorders>
                  <w:shd w:val="clear" w:color="auto" w:fill="auto"/>
                  <w:vAlign w:val="center"/>
                </w:tcPr>
                <w:p w14:paraId="74163B18">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54" w:type="pct"/>
                  <w:vMerge w:val="continue"/>
                  <w:tcBorders>
                    <w:tl2br w:val="nil"/>
                    <w:tr2bl w:val="nil"/>
                  </w:tcBorders>
                  <w:shd w:val="clear" w:color="auto" w:fill="auto"/>
                  <w:vAlign w:val="center"/>
                </w:tcPr>
                <w:p w14:paraId="290FD374">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p>
              </w:tc>
            </w:tr>
            <w:tr w14:paraId="732F3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1" w:type="pct"/>
                  <w:vMerge w:val="restart"/>
                  <w:tcBorders>
                    <w:tl2br w:val="nil"/>
                    <w:tr2bl w:val="nil"/>
                  </w:tcBorders>
                  <w:shd w:val="clear" w:color="auto" w:fill="auto"/>
                  <w:vAlign w:val="center"/>
                </w:tcPr>
                <w:p w14:paraId="073EF2E4">
                  <w:pPr>
                    <w:pStyle w:val="18"/>
                    <w:keepNext w:val="0"/>
                    <w:keepLines w:val="0"/>
                    <w:pageBreakBefore w:val="0"/>
                    <w:widowControl/>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C</w:t>
                  </w:r>
                  <w:r>
                    <w:rPr>
                      <w:rFonts w:hint="default" w:ascii="Times New Roman" w:hAnsi="Times New Roman" w:eastAsia="宋体" w:cs="Times New Roman"/>
                      <w:color w:val="auto"/>
                      <w:kern w:val="0"/>
                      <w:sz w:val="21"/>
                      <w:szCs w:val="21"/>
                      <w:highlight w:val="none"/>
                      <w:vertAlign w:val="subscript"/>
                      <w:lang w:val="en-US" w:eastAsia="zh-CN" w:bidi="ar"/>
                    </w:rPr>
                    <w:t>1</w:t>
                  </w:r>
                </w:p>
              </w:tc>
              <w:tc>
                <w:tcPr>
                  <w:tcW w:w="773" w:type="pct"/>
                  <w:tcBorders>
                    <w:tl2br w:val="nil"/>
                    <w:tr2bl w:val="nil"/>
                  </w:tcBorders>
                  <w:shd w:val="clear" w:color="auto" w:fill="auto"/>
                  <w:vAlign w:val="center"/>
                </w:tcPr>
                <w:p w14:paraId="319D08CA">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2022.0</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.16</w:t>
                  </w:r>
                </w:p>
              </w:tc>
              <w:tc>
                <w:tcPr>
                  <w:tcW w:w="482" w:type="pct"/>
                  <w:vMerge w:val="restart"/>
                  <w:tcBorders>
                    <w:tl2br w:val="nil"/>
                    <w:tr2bl w:val="nil"/>
                  </w:tcBorders>
                  <w:shd w:val="clear" w:color="auto" w:fill="auto"/>
                  <w:vAlign w:val="center"/>
                </w:tcPr>
                <w:p w14:paraId="5587BF3B">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olor w:val="auto"/>
                      <w:kern w:val="0"/>
                      <w:sz w:val="21"/>
                      <w:szCs w:val="21"/>
                      <w:highlight w:val="none"/>
                      <w:lang w:val="en-US" w:eastAsia="zh-CN"/>
                    </w:rPr>
                    <w:t>昼间</w:t>
                  </w:r>
                </w:p>
              </w:tc>
              <w:tc>
                <w:tcPr>
                  <w:tcW w:w="550" w:type="pct"/>
                  <w:tcBorders>
                    <w:tl2br w:val="nil"/>
                    <w:tr2bl w:val="nil"/>
                  </w:tcBorders>
                  <w:shd w:val="clear" w:color="auto" w:fill="auto"/>
                  <w:vAlign w:val="center"/>
                </w:tcPr>
                <w:p w14:paraId="19EA3739">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56.6</w:t>
                  </w:r>
                </w:p>
              </w:tc>
              <w:tc>
                <w:tcPr>
                  <w:tcW w:w="550" w:type="pct"/>
                  <w:tcBorders>
                    <w:tl2br w:val="nil"/>
                    <w:tr2bl w:val="nil"/>
                  </w:tcBorders>
                  <w:shd w:val="clear" w:color="auto" w:fill="auto"/>
                  <w:vAlign w:val="center"/>
                </w:tcPr>
                <w:p w14:paraId="3F2C1C09">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0" w:type="pct"/>
                  <w:tcBorders>
                    <w:tl2br w:val="nil"/>
                    <w:tr2bl w:val="nil"/>
                  </w:tcBorders>
                  <w:shd w:val="clear" w:color="auto" w:fill="auto"/>
                  <w:vAlign w:val="center"/>
                </w:tcPr>
                <w:p w14:paraId="5903DCF4">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2" w:type="pct"/>
                  <w:tcBorders>
                    <w:tl2br w:val="nil"/>
                    <w:tr2bl w:val="nil"/>
                  </w:tcBorders>
                  <w:shd w:val="clear" w:color="auto" w:fill="auto"/>
                  <w:vAlign w:val="center"/>
                </w:tcPr>
                <w:p w14:paraId="7B772AC0">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57</w:t>
                  </w:r>
                </w:p>
              </w:tc>
              <w:tc>
                <w:tcPr>
                  <w:tcW w:w="453" w:type="pct"/>
                  <w:vMerge w:val="restart"/>
                  <w:tcBorders>
                    <w:tl2br w:val="nil"/>
                    <w:tr2bl w:val="nil"/>
                  </w:tcBorders>
                  <w:shd w:val="clear" w:color="auto" w:fill="auto"/>
                  <w:vAlign w:val="center"/>
                </w:tcPr>
                <w:p w14:paraId="6B10B212">
                  <w:pPr>
                    <w:pStyle w:val="18"/>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65</w:t>
                  </w:r>
                </w:p>
              </w:tc>
              <w:tc>
                <w:tcPr>
                  <w:tcW w:w="454" w:type="pct"/>
                  <w:vMerge w:val="restart"/>
                  <w:tcBorders>
                    <w:tl2br w:val="nil"/>
                    <w:tr2bl w:val="nil"/>
                  </w:tcBorders>
                  <w:shd w:val="clear" w:color="auto" w:fill="auto"/>
                  <w:vAlign w:val="center"/>
                </w:tcPr>
                <w:p w14:paraId="2E4ADF55">
                  <w:pPr>
                    <w:pStyle w:val="18"/>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设备</w:t>
                  </w:r>
                </w:p>
                <w:p w14:paraId="64991B23">
                  <w:pPr>
                    <w:pStyle w:val="18"/>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噪声</w:t>
                  </w:r>
                </w:p>
              </w:tc>
            </w:tr>
            <w:tr w14:paraId="55F200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1" w:type="pct"/>
                  <w:vMerge w:val="continue"/>
                  <w:tcBorders>
                    <w:tl2br w:val="nil"/>
                    <w:tr2bl w:val="nil"/>
                  </w:tcBorders>
                  <w:shd w:val="clear" w:color="auto" w:fill="auto"/>
                  <w:vAlign w:val="center"/>
                </w:tcPr>
                <w:p w14:paraId="54526412">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73" w:type="pct"/>
                  <w:tcBorders>
                    <w:tl2br w:val="nil"/>
                    <w:tr2bl w:val="nil"/>
                  </w:tcBorders>
                  <w:shd w:val="clear" w:color="auto" w:fill="auto"/>
                  <w:vAlign w:val="center"/>
                </w:tcPr>
                <w:p w14:paraId="3ECF5E8D">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2022.0</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.17</w:t>
                  </w:r>
                </w:p>
              </w:tc>
              <w:tc>
                <w:tcPr>
                  <w:tcW w:w="482" w:type="pct"/>
                  <w:vMerge w:val="continue"/>
                  <w:tcBorders>
                    <w:tl2br w:val="nil"/>
                    <w:tr2bl w:val="nil"/>
                  </w:tcBorders>
                  <w:shd w:val="clear" w:color="auto" w:fill="auto"/>
                  <w:vAlign w:val="center"/>
                </w:tcPr>
                <w:p w14:paraId="52715599">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50" w:type="pct"/>
                  <w:tcBorders>
                    <w:tl2br w:val="nil"/>
                    <w:tr2bl w:val="nil"/>
                  </w:tcBorders>
                  <w:shd w:val="clear" w:color="auto" w:fill="auto"/>
                  <w:vAlign w:val="center"/>
                </w:tcPr>
                <w:p w14:paraId="59F434BC">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57.9</w:t>
                  </w:r>
                </w:p>
              </w:tc>
              <w:tc>
                <w:tcPr>
                  <w:tcW w:w="550" w:type="pct"/>
                  <w:tcBorders>
                    <w:tl2br w:val="nil"/>
                    <w:tr2bl w:val="nil"/>
                  </w:tcBorders>
                  <w:shd w:val="clear" w:color="auto" w:fill="auto"/>
                  <w:vAlign w:val="center"/>
                </w:tcPr>
                <w:p w14:paraId="277B2D24">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0" w:type="pct"/>
                  <w:tcBorders>
                    <w:tl2br w:val="nil"/>
                    <w:tr2bl w:val="nil"/>
                  </w:tcBorders>
                  <w:shd w:val="clear" w:color="auto" w:fill="auto"/>
                  <w:vAlign w:val="center"/>
                </w:tcPr>
                <w:p w14:paraId="5710C926">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2" w:type="pct"/>
                  <w:tcBorders>
                    <w:tl2br w:val="nil"/>
                    <w:tr2bl w:val="nil"/>
                  </w:tcBorders>
                  <w:shd w:val="clear" w:color="auto" w:fill="auto"/>
                  <w:vAlign w:val="center"/>
                </w:tcPr>
                <w:p w14:paraId="549378E3">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58</w:t>
                  </w:r>
                </w:p>
              </w:tc>
              <w:tc>
                <w:tcPr>
                  <w:tcW w:w="453" w:type="pct"/>
                  <w:vMerge w:val="continue"/>
                  <w:tcBorders>
                    <w:tl2br w:val="nil"/>
                    <w:tr2bl w:val="nil"/>
                  </w:tcBorders>
                  <w:shd w:val="clear" w:color="auto" w:fill="auto"/>
                  <w:vAlign w:val="center"/>
                </w:tcPr>
                <w:p w14:paraId="66FF7EC7">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shd w:val="clear" w:color="auto" w:fill="auto"/>
                  <w:vAlign w:val="center"/>
                </w:tcPr>
                <w:p w14:paraId="699836A2">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461DB0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1" w:type="pct"/>
                  <w:vMerge w:val="restart"/>
                  <w:tcBorders>
                    <w:tl2br w:val="nil"/>
                    <w:tr2bl w:val="nil"/>
                  </w:tcBorders>
                  <w:shd w:val="clear" w:color="auto" w:fill="auto"/>
                  <w:vAlign w:val="center"/>
                </w:tcPr>
                <w:p w14:paraId="27B5AD9A">
                  <w:pPr>
                    <w:pStyle w:val="18"/>
                    <w:keepNext w:val="0"/>
                    <w:keepLines w:val="0"/>
                    <w:pageBreakBefore w:val="0"/>
                    <w:widowControl/>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Segoe UI Symbol"/>
                      <w:color w:val="auto"/>
                      <w:kern w:val="0"/>
                      <w:sz w:val="21"/>
                      <w:szCs w:val="21"/>
                      <w:highlight w:val="none"/>
                    </w:rPr>
                  </w:pP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C</w:t>
                  </w:r>
                  <w:r>
                    <w:rPr>
                      <w:rFonts w:hint="default" w:ascii="Times New Roman" w:hAnsi="Times New Roman" w:eastAsia="宋体" w:cs="Times New Roman"/>
                      <w:color w:val="auto"/>
                      <w:kern w:val="0"/>
                      <w:sz w:val="21"/>
                      <w:szCs w:val="21"/>
                      <w:highlight w:val="none"/>
                      <w:vertAlign w:val="subscript"/>
                      <w:lang w:val="en-US" w:eastAsia="zh-CN" w:bidi="ar"/>
                    </w:rPr>
                    <w:t>2</w:t>
                  </w:r>
                </w:p>
              </w:tc>
              <w:tc>
                <w:tcPr>
                  <w:tcW w:w="773" w:type="pct"/>
                  <w:tcBorders>
                    <w:tl2br w:val="nil"/>
                    <w:tr2bl w:val="nil"/>
                  </w:tcBorders>
                  <w:shd w:val="clear" w:color="auto" w:fill="auto"/>
                  <w:vAlign w:val="center"/>
                </w:tcPr>
                <w:p w14:paraId="6BEA2B80">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2022.0</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.16</w:t>
                  </w:r>
                </w:p>
              </w:tc>
              <w:tc>
                <w:tcPr>
                  <w:tcW w:w="482" w:type="pct"/>
                  <w:vMerge w:val="continue"/>
                  <w:tcBorders>
                    <w:tl2br w:val="nil"/>
                    <w:tr2bl w:val="nil"/>
                  </w:tcBorders>
                  <w:shd w:val="clear" w:color="auto" w:fill="auto"/>
                  <w:vAlign w:val="center"/>
                </w:tcPr>
                <w:p w14:paraId="60657B4A">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50" w:type="pct"/>
                  <w:tcBorders>
                    <w:tl2br w:val="nil"/>
                    <w:tr2bl w:val="nil"/>
                  </w:tcBorders>
                  <w:shd w:val="clear" w:color="auto" w:fill="auto"/>
                  <w:vAlign w:val="center"/>
                </w:tcPr>
                <w:p w14:paraId="02397ECA">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55.5</w:t>
                  </w:r>
                </w:p>
              </w:tc>
              <w:tc>
                <w:tcPr>
                  <w:tcW w:w="550" w:type="pct"/>
                  <w:tcBorders>
                    <w:tl2br w:val="nil"/>
                    <w:tr2bl w:val="nil"/>
                  </w:tcBorders>
                  <w:shd w:val="clear" w:color="auto" w:fill="auto"/>
                  <w:vAlign w:val="center"/>
                </w:tcPr>
                <w:p w14:paraId="6CD7C9B9">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0" w:type="pct"/>
                  <w:tcBorders>
                    <w:tl2br w:val="nil"/>
                    <w:tr2bl w:val="nil"/>
                  </w:tcBorders>
                  <w:shd w:val="clear" w:color="auto" w:fill="auto"/>
                  <w:vAlign w:val="center"/>
                </w:tcPr>
                <w:p w14:paraId="6A1E536A">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2" w:type="pct"/>
                  <w:tcBorders>
                    <w:tl2br w:val="nil"/>
                    <w:tr2bl w:val="nil"/>
                  </w:tcBorders>
                  <w:shd w:val="clear" w:color="auto" w:fill="auto"/>
                  <w:vAlign w:val="center"/>
                </w:tcPr>
                <w:p w14:paraId="31F8821D">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56</w:t>
                  </w:r>
                </w:p>
              </w:tc>
              <w:tc>
                <w:tcPr>
                  <w:tcW w:w="453" w:type="pct"/>
                  <w:vMerge w:val="continue"/>
                  <w:tcBorders>
                    <w:tl2br w:val="nil"/>
                    <w:tr2bl w:val="nil"/>
                  </w:tcBorders>
                  <w:shd w:val="clear" w:color="auto" w:fill="auto"/>
                  <w:vAlign w:val="center"/>
                </w:tcPr>
                <w:p w14:paraId="1490F2A3">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shd w:val="clear" w:color="auto" w:fill="auto"/>
                  <w:vAlign w:val="center"/>
                </w:tcPr>
                <w:p w14:paraId="66E00041">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530500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631" w:type="pct"/>
                  <w:vMerge w:val="continue"/>
                  <w:tcBorders>
                    <w:tl2br w:val="nil"/>
                    <w:tr2bl w:val="nil"/>
                  </w:tcBorders>
                  <w:shd w:val="clear" w:color="auto" w:fill="auto"/>
                  <w:vAlign w:val="center"/>
                </w:tcPr>
                <w:p w14:paraId="51AE76B3">
                  <w:pPr>
                    <w:keepNext w:val="0"/>
                    <w:keepLines w:val="0"/>
                    <w:pageBreakBefore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73" w:type="pct"/>
                  <w:tcBorders>
                    <w:tl2br w:val="nil"/>
                    <w:tr2bl w:val="nil"/>
                  </w:tcBorders>
                  <w:shd w:val="clear" w:color="auto" w:fill="auto"/>
                  <w:vAlign w:val="center"/>
                </w:tcPr>
                <w:p w14:paraId="632EAB5C">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2022.0</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.17</w:t>
                  </w:r>
                </w:p>
              </w:tc>
              <w:tc>
                <w:tcPr>
                  <w:tcW w:w="482" w:type="pct"/>
                  <w:vMerge w:val="continue"/>
                  <w:tcBorders>
                    <w:tl2br w:val="nil"/>
                    <w:tr2bl w:val="nil"/>
                  </w:tcBorders>
                  <w:shd w:val="clear" w:color="auto" w:fill="auto"/>
                  <w:vAlign w:val="center"/>
                </w:tcPr>
                <w:p w14:paraId="747E69BE">
                  <w:pPr>
                    <w:keepNext w:val="0"/>
                    <w:keepLines w:val="0"/>
                    <w:pageBreakBefore w:val="0"/>
                    <w:widowControl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50" w:type="pct"/>
                  <w:tcBorders>
                    <w:tl2br w:val="nil"/>
                    <w:tr2bl w:val="nil"/>
                  </w:tcBorders>
                  <w:shd w:val="clear" w:color="auto" w:fill="auto"/>
                  <w:vAlign w:val="center"/>
                </w:tcPr>
                <w:p w14:paraId="63BC96F9">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55.8</w:t>
                  </w:r>
                </w:p>
              </w:tc>
              <w:tc>
                <w:tcPr>
                  <w:tcW w:w="550" w:type="pct"/>
                  <w:tcBorders>
                    <w:tl2br w:val="nil"/>
                    <w:tr2bl w:val="nil"/>
                  </w:tcBorders>
                  <w:shd w:val="clear" w:color="auto" w:fill="auto"/>
                  <w:vAlign w:val="center"/>
                </w:tcPr>
                <w:p w14:paraId="4ABC23BA">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0" w:type="pct"/>
                  <w:tcBorders>
                    <w:tl2br w:val="nil"/>
                    <w:tr2bl w:val="nil"/>
                  </w:tcBorders>
                  <w:shd w:val="clear" w:color="auto" w:fill="auto"/>
                  <w:vAlign w:val="center"/>
                </w:tcPr>
                <w:p w14:paraId="7F99ECF6">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52" w:type="pct"/>
                  <w:tcBorders>
                    <w:tl2br w:val="nil"/>
                    <w:tr2bl w:val="nil"/>
                  </w:tcBorders>
                  <w:shd w:val="clear" w:color="auto" w:fill="auto"/>
                  <w:vAlign w:val="center"/>
                </w:tcPr>
                <w:p w14:paraId="7D9424FE">
                  <w:pPr>
                    <w:keepNext w:val="0"/>
                    <w:keepLines w:val="0"/>
                    <w:pageBreakBefore w:val="0"/>
                    <w:suppressLineNumbers w:val="0"/>
                    <w:kinsoku/>
                    <w:wordWrap/>
                    <w:overflowPunct/>
                    <w:topLinePunct w:val="0"/>
                    <w:autoSpaceDE w:val="0"/>
                    <w:autoSpaceDN w:val="0"/>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56</w:t>
                  </w:r>
                </w:p>
              </w:tc>
              <w:tc>
                <w:tcPr>
                  <w:tcW w:w="453" w:type="pct"/>
                  <w:vMerge w:val="continue"/>
                  <w:tcBorders>
                    <w:tl2br w:val="nil"/>
                    <w:tr2bl w:val="nil"/>
                  </w:tcBorders>
                  <w:shd w:val="clear" w:color="auto" w:fill="auto"/>
                  <w:vAlign w:val="center"/>
                </w:tcPr>
                <w:p w14:paraId="1FDD4EF6">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shd w:val="clear" w:color="auto" w:fill="auto"/>
                  <w:vAlign w:val="center"/>
                </w:tcPr>
                <w:p w14:paraId="53A988E5">
                  <w:pPr>
                    <w:keepNext w:val="0"/>
                    <w:keepLines w:val="0"/>
                    <w:pageBreakBefore w:val="0"/>
                    <w:widowControl w:val="0"/>
                    <w:suppressLineNumbers w:val="0"/>
                    <w:kinsoku/>
                    <w:wordWrap/>
                    <w:overflowPunct/>
                    <w:topLinePunct w:val="0"/>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14:paraId="3E3A4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w:t>
            </w:r>
            <w:r>
              <w:rPr>
                <w:rFonts w:hint="default" w:ascii="Times New Roman" w:hAnsi="Times New Roman" w:cs="Times New Roman"/>
                <w:color w:val="auto"/>
                <w:sz w:val="24"/>
                <w:szCs w:val="32"/>
                <w:highlight w:val="none"/>
                <w:lang w:val="en-US" w:eastAsia="zh-CN"/>
              </w:rPr>
              <w:t>验收</w:t>
            </w:r>
            <w:r>
              <w:rPr>
                <w:rFonts w:hint="default" w:ascii="Times New Roman" w:hAnsi="Times New Roman" w:cs="Times New Roman"/>
                <w:color w:val="auto"/>
                <w:sz w:val="24"/>
                <w:szCs w:val="32"/>
                <w:highlight w:val="none"/>
              </w:rPr>
              <w:t>监测结果</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项目</w:t>
            </w:r>
            <w:r>
              <w:rPr>
                <w:rFonts w:hint="default" w:ascii="Times New Roman" w:hAnsi="Times New Roman" w:cs="Times New Roman"/>
                <w:color w:val="auto"/>
                <w:sz w:val="24"/>
                <w:szCs w:val="32"/>
                <w:highlight w:val="none"/>
                <w:lang w:val="en-US" w:eastAsia="zh-CN"/>
              </w:rPr>
              <w:t>夜间不生产，</w:t>
            </w:r>
            <w:r>
              <w:rPr>
                <w:rFonts w:hint="default" w:ascii="Times New Roman" w:hAnsi="Times New Roman" w:cs="Times New Roman"/>
                <w:color w:val="auto"/>
                <w:sz w:val="24"/>
                <w:szCs w:val="32"/>
                <w:highlight w:val="none"/>
                <w:lang w:eastAsia="zh-CN"/>
              </w:rPr>
              <w:t>各</w:t>
            </w:r>
            <w:r>
              <w:rPr>
                <w:rFonts w:hint="default" w:ascii="Times New Roman" w:hAnsi="Times New Roman" w:cs="Times New Roman"/>
                <w:color w:val="auto"/>
                <w:sz w:val="24"/>
                <w:szCs w:val="32"/>
                <w:highlight w:val="none"/>
              </w:rPr>
              <w:t>厂界</w:t>
            </w:r>
            <w:r>
              <w:rPr>
                <w:rFonts w:hint="default" w:ascii="Times New Roman" w:hAnsi="Times New Roman" w:cs="Times New Roman"/>
                <w:color w:val="auto"/>
                <w:sz w:val="24"/>
                <w:szCs w:val="32"/>
                <w:highlight w:val="none"/>
                <w:lang w:eastAsia="zh-CN"/>
              </w:rPr>
              <w:t>昼间</w:t>
            </w:r>
            <w:r>
              <w:rPr>
                <w:rFonts w:hint="default" w:ascii="Times New Roman" w:hAnsi="Times New Roman" w:cs="Times New Roman"/>
                <w:color w:val="auto"/>
                <w:sz w:val="24"/>
                <w:szCs w:val="32"/>
                <w:highlight w:val="none"/>
              </w:rPr>
              <w:t>噪声满足《工业企业厂界环境噪声排放标准》（GB 12348-2008）</w:t>
            </w:r>
            <w:r>
              <w:rPr>
                <w:rFonts w:hint="default" w:ascii="Times New Roman" w:hAnsi="Times New Roman" w:cs="Times New Roman"/>
                <w:color w:val="auto"/>
                <w:sz w:val="24"/>
                <w:szCs w:val="32"/>
                <w:highlight w:val="none"/>
                <w:lang w:eastAsia="zh-CN"/>
              </w:rPr>
              <w:t>表</w:t>
            </w:r>
            <w:r>
              <w:rPr>
                <w:rFonts w:hint="default" w:ascii="Times New Roman" w:hAnsi="Times New Roman" w:cs="Times New Roman"/>
                <w:color w:val="auto"/>
                <w:sz w:val="24"/>
                <w:szCs w:val="32"/>
                <w:highlight w:val="none"/>
                <w:lang w:val="en-US" w:eastAsia="zh-CN"/>
              </w:rPr>
              <w:t>1，3</w:t>
            </w:r>
            <w:r>
              <w:rPr>
                <w:rFonts w:hint="default" w:ascii="Times New Roman" w:hAnsi="Times New Roman" w:cs="Times New Roman"/>
                <w:color w:val="auto"/>
                <w:sz w:val="24"/>
                <w:szCs w:val="32"/>
                <w:highlight w:val="none"/>
              </w:rPr>
              <w:t>类</w:t>
            </w:r>
            <w:r>
              <w:rPr>
                <w:rFonts w:hint="default" w:ascii="Times New Roman" w:hAnsi="Times New Roman" w:cs="Times New Roman"/>
                <w:color w:val="auto"/>
                <w:sz w:val="24"/>
                <w:szCs w:val="32"/>
                <w:highlight w:val="none"/>
                <w:lang w:eastAsia="zh-CN"/>
              </w:rPr>
              <w:t>标准</w:t>
            </w:r>
            <w:r>
              <w:rPr>
                <w:rFonts w:hint="default" w:ascii="Times New Roman" w:hAnsi="Times New Roman" w:cs="Times New Roman"/>
                <w:color w:val="auto"/>
                <w:sz w:val="24"/>
                <w:szCs w:val="32"/>
                <w:highlight w:val="none"/>
              </w:rPr>
              <w:t>限值。</w:t>
            </w:r>
          </w:p>
          <w:p w14:paraId="673B21E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（四）固体废物</w:t>
            </w:r>
          </w:p>
          <w:p w14:paraId="57F84C3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现有工程产生的固体废物分为一般工业固废、危险废物以及员工生活垃圾。</w:t>
            </w:r>
          </w:p>
          <w:p w14:paraId="3239083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宋体" w:cs="Times New Roman"/>
                <w:color w:val="auto"/>
                <w:sz w:val="24"/>
                <w:szCs w:val="24"/>
                <w:highlight w:val="none"/>
                <w:u w:val="none"/>
                <w:vertAlign w:val="baseline"/>
                <w:lang w:val="en-US" w:eastAsia="zh-CN"/>
              </w:rPr>
              <w:t>一般固废主要为：废边角料、不合格品、焊渣、除尘灰等；为便于生产，实际建设未单独设置一般固废暂存区，一般固废均暂存于各工序工作区，定期外售综合利用。</w:t>
            </w:r>
          </w:p>
          <w:p w14:paraId="3B9395A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宋体" w:cs="Times New Roman"/>
                <w:color w:val="auto"/>
                <w:sz w:val="24"/>
                <w:szCs w:val="24"/>
                <w:highlight w:val="none"/>
                <w:u w:val="none"/>
                <w:vertAlign w:val="baseline"/>
                <w:lang w:val="en-US" w:eastAsia="zh-CN"/>
              </w:rPr>
              <w:t>危险废物主要为：废机油、废液压油、废油桶、空压机含油废水、含油废棉纱手套等，厂房东北侧设1处</w:t>
            </w:r>
            <w:r>
              <w:rPr>
                <w:rFonts w:hint="eastAsia" w:ascii="Times New Roman" w:hAnsi="Times New Roman" w:eastAsia="宋体" w:cs="Times New Roman"/>
                <w:color w:val="auto"/>
                <w:sz w:val="24"/>
                <w:szCs w:val="24"/>
                <w:highlight w:val="none"/>
                <w:u w:val="none"/>
                <w:vertAlign w:val="baseline"/>
                <w:lang w:val="en-US" w:eastAsia="zh-CN"/>
              </w:rPr>
              <w:t>危废贮存点</w:t>
            </w:r>
            <w:r>
              <w:rPr>
                <w:rFonts w:hint="default" w:ascii="Times New Roman" w:hAnsi="Times New Roman" w:eastAsia="宋体" w:cs="Times New Roman"/>
                <w:color w:val="auto"/>
                <w:sz w:val="24"/>
                <w:szCs w:val="24"/>
                <w:highlight w:val="none"/>
                <w:u w:val="none"/>
                <w:vertAlign w:val="baseline"/>
                <w:lang w:val="en-US" w:eastAsia="zh-CN"/>
              </w:rPr>
              <w:t>，面积约10m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vertAlign w:val="baseline"/>
                <w:lang w:val="en-US" w:eastAsia="zh-CN"/>
              </w:rPr>
              <w:t>。危废分类存储，与重庆弘邦环保有限公司签订危废处置协议，定期转运处置。</w:t>
            </w:r>
          </w:p>
          <w:p w14:paraId="5C6D348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highlight w:val="none"/>
                <w:u w:val="none"/>
                <w:vertAlign w:val="baseline"/>
                <w:lang w:val="en-US" w:eastAsia="zh-CN"/>
              </w:rPr>
            </w:pPr>
            <w:r>
              <w:rPr>
                <w:rFonts w:hint="eastAsia" w:ascii="Times New Roman" w:hAnsi="Times New Roman" w:eastAsia="宋体" w:cs="Times New Roman"/>
                <w:b/>
                <w:bCs/>
                <w:color w:val="auto"/>
                <w:sz w:val="24"/>
                <w:szCs w:val="24"/>
                <w:highlight w:val="none"/>
                <w:u w:val="none"/>
                <w:vertAlign w:val="baseline"/>
                <w:lang w:val="en-US" w:eastAsia="zh-CN"/>
              </w:rPr>
              <w:t>2.12.10“三本账”</w:t>
            </w:r>
          </w:p>
          <w:p w14:paraId="47124548">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项目三本账情况情况表详见表2-22。</w:t>
            </w:r>
          </w:p>
          <w:p w14:paraId="19BB86B7">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2.12.1</w:t>
            </w:r>
            <w:r>
              <w:rPr>
                <w:rFonts w:hint="eastAsia"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现有工程环保投诉及违法行为</w:t>
            </w:r>
          </w:p>
          <w:p w14:paraId="5C949A58">
            <w:pPr>
              <w:numPr>
                <w:ilvl w:val="0"/>
                <w:numId w:val="0"/>
              </w:num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eastAsiaTheme="minorEastAsia"/>
                <w:bCs/>
                <w:color w:val="auto"/>
                <w:kern w:val="2"/>
                <w:sz w:val="24"/>
                <w:szCs w:val="24"/>
                <w:lang w:val="en-US" w:eastAsia="zh-CN" w:bidi="ar-SA"/>
              </w:rPr>
              <w:t>（1）</w:t>
            </w:r>
            <w:r>
              <w:rPr>
                <w:rFonts w:hint="default" w:ascii="Times New Roman" w:hAnsi="Times New Roman" w:cs="Times New Roman"/>
                <w:bCs/>
                <w:color w:val="auto"/>
                <w:sz w:val="24"/>
                <w:szCs w:val="24"/>
                <w:highlight w:val="none"/>
                <w:lang w:val="en-US" w:eastAsia="zh-CN"/>
              </w:rPr>
              <w:t>环保投诉</w:t>
            </w:r>
          </w:p>
          <w:p w14:paraId="15A249FF">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经调查，现有工程近3年未收到环保投诉。</w:t>
            </w:r>
          </w:p>
          <w:p w14:paraId="20D514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eastAsiaTheme="minorEastAsia"/>
                <w:bCs/>
                <w:color w:val="auto"/>
                <w:kern w:val="2"/>
                <w:sz w:val="24"/>
                <w:szCs w:val="24"/>
                <w:lang w:val="en-US" w:eastAsia="zh-CN" w:bidi="ar-SA"/>
              </w:rPr>
              <w:t>（2）</w:t>
            </w:r>
            <w:r>
              <w:rPr>
                <w:rFonts w:hint="default" w:ascii="Times New Roman" w:hAnsi="Times New Roman" w:cs="Times New Roman"/>
                <w:bCs/>
                <w:color w:val="auto"/>
                <w:sz w:val="24"/>
                <w:szCs w:val="24"/>
                <w:highlight w:val="none"/>
                <w:lang w:val="en-US" w:eastAsia="zh-CN"/>
              </w:rPr>
              <w:t>环境违法行为</w:t>
            </w:r>
          </w:p>
          <w:p w14:paraId="33B649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宋体"/>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经调查，</w:t>
            </w:r>
            <w:r>
              <w:rPr>
                <w:rFonts w:hint="eastAsia" w:ascii="Times New Roman" w:hAnsi="Times New Roman" w:cs="宋体"/>
                <w:color w:val="auto"/>
                <w:sz w:val="24"/>
                <w:szCs w:val="24"/>
                <w:highlight w:val="none"/>
                <w:lang w:val="en-US" w:eastAsia="zh-CN"/>
              </w:rPr>
              <w:t>2022年4月25日，重庆市九龙坡区生态环境保护综合行政执法支队在对建设单位进行现场执法检查时发现项目为取得相关环保手续情况下，现有工程于2021年12月开工建设，已完成主要设备安装并进行调试。对建设单位下达了《重庆市九龙坡区生态环境保护综合行政执法支队行政处罚决定书》（九环罚字〔2022〕61号）、《重庆市九龙坡区生态环境保护综合行政执法支队责令改正违法行为决定书》（九环责字〔2022〕67号）责令停止调试，依法报批环境影响评价手续，建设单位已于2022年6月28日缴纳了罚款，并依法办理了环保手续。</w:t>
            </w:r>
          </w:p>
          <w:p w14:paraId="523B094D">
            <w:pPr>
              <w:pStyle w:val="21"/>
              <w:keepNext w:val="0"/>
              <w:keepLines w:val="0"/>
              <w:pageBreakBefore w:val="0"/>
              <w:widowControl w:val="0"/>
              <w:kinsoku/>
              <w:wordWrap/>
              <w:overflowPunct/>
              <w:topLinePunct w:val="0"/>
              <w:autoSpaceDE/>
              <w:autoSpaceDN/>
              <w:bidi w:val="0"/>
              <w:adjustRightInd/>
              <w:snapToGrid/>
              <w:spacing w:after="0"/>
              <w:ind w:left="0" w:leftChars="0" w:right="0"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2.12.1</w:t>
            </w:r>
            <w:r>
              <w:rPr>
                <w:rFonts w:hint="eastAsia"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现有工程存在的环境问题及整改措施</w:t>
            </w:r>
          </w:p>
          <w:p w14:paraId="3421DA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Cs/>
                <w:color w:val="FF0000"/>
                <w:sz w:val="24"/>
                <w:szCs w:val="24"/>
                <w:highlight w:val="none"/>
                <w:lang w:val="en-US" w:eastAsia="zh-CN"/>
              </w:rPr>
              <w:t>企业现有工程环保手续齐全，废水、废气环保治理设施对污染物收集处理后能够做到达标排放，噪声治理后能够满足标准要求，固体废物暂存区设置较为完善，能够满足相应的环保要求。采取了相应的环境风险防范措施，环境风险处于环境可接受水平。</w:t>
            </w:r>
            <w:r>
              <w:rPr>
                <w:rFonts w:hint="default" w:ascii="Times New Roman" w:hAnsi="Times New Roman" w:cs="Times New Roman"/>
                <w:bCs/>
                <w:color w:val="auto"/>
                <w:sz w:val="24"/>
                <w:szCs w:val="24"/>
                <w:highlight w:val="none"/>
                <w:lang w:val="en-US" w:eastAsia="zh-CN"/>
              </w:rPr>
              <w:t>经咨询九龙坡区环境监察支队和九龙坡区生态环境局，现有工程未涉及有效的环境保护投诉和环境污染纠纷。现有工程无遗留环境问题。</w:t>
            </w:r>
          </w:p>
          <w:p w14:paraId="5D2F31C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olor w:val="auto"/>
                <w:highlight w:val="none"/>
                <w:vertAlign w:val="baseline"/>
                <w:lang w:val="en-US" w:eastAsia="zh-CN"/>
              </w:rPr>
            </w:pPr>
          </w:p>
        </w:tc>
      </w:tr>
    </w:tbl>
    <w:p w14:paraId="11EE7C1D">
      <w:pPr>
        <w:pStyle w:val="18"/>
        <w:keepNext w:val="0"/>
        <w:keepLines w:val="0"/>
        <w:pageBreakBefore w:val="0"/>
        <w:widowControl w:val="0"/>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auto"/>
          <w:sz w:val="30"/>
          <w:szCs w:val="30"/>
          <w:highlight w:val="none"/>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8" w:name="_Toc10269"/>
    </w:p>
    <w:p w14:paraId="15E09F00">
      <w:pPr>
        <w:pStyle w:val="18"/>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240" w:lineRule="auto"/>
        <w:jc w:val="center"/>
        <w:textAlignment w:val="auto"/>
        <w:outlineLvl w:val="9"/>
        <w:rPr>
          <w:rFonts w:hint="default" w:ascii="Times New Roman" w:hAnsi="Times New Roman" w:eastAsia="宋体" w:cs="Times New Roman"/>
          <w:b w:val="0"/>
          <w:bCs w:val="0"/>
          <w:snapToGrid w:val="0"/>
          <w:color w:val="FF0000"/>
          <w:sz w:val="24"/>
          <w:szCs w:val="24"/>
          <w:highlight w:val="none"/>
          <w:lang w:val="en-US" w:eastAsia="zh-CN"/>
        </w:rPr>
      </w:pPr>
      <w:r>
        <w:rPr>
          <w:rFonts w:hint="default" w:ascii="Times New Roman" w:hAnsi="Times New Roman" w:eastAsia="宋体" w:cs="Times New Roman"/>
          <w:b w:val="0"/>
          <w:bCs w:val="0"/>
          <w:snapToGrid w:val="0"/>
          <w:color w:val="FF0000"/>
          <w:sz w:val="24"/>
          <w:szCs w:val="24"/>
          <w:highlight w:val="none"/>
          <w:lang w:eastAsia="zh-CN"/>
        </w:rPr>
        <w:t>表</w:t>
      </w:r>
      <w:r>
        <w:rPr>
          <w:rFonts w:hint="default" w:ascii="Times New Roman" w:hAnsi="Times New Roman" w:eastAsia="宋体" w:cs="Times New Roman"/>
          <w:b w:val="0"/>
          <w:bCs w:val="0"/>
          <w:snapToGrid w:val="0"/>
          <w:color w:val="FF0000"/>
          <w:sz w:val="24"/>
          <w:szCs w:val="24"/>
          <w:highlight w:val="none"/>
          <w:lang w:val="en-US" w:eastAsia="zh-CN"/>
        </w:rPr>
        <w:t>2-22  项目三本账情况表</w:t>
      </w:r>
    </w:p>
    <w:tbl>
      <w:tblPr>
        <w:tblStyle w:val="22"/>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785"/>
        <w:gridCol w:w="1446"/>
        <w:gridCol w:w="1468"/>
        <w:gridCol w:w="1617"/>
        <w:gridCol w:w="1513"/>
        <w:gridCol w:w="1698"/>
        <w:gridCol w:w="1679"/>
        <w:gridCol w:w="1615"/>
      </w:tblGrid>
      <w:tr w14:paraId="2C95C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tcBorders>
              <w:tl2br w:val="single" w:color="auto" w:sz="4" w:space="0"/>
            </w:tcBorders>
            <w:noWrap w:val="0"/>
            <w:tcMar>
              <w:left w:w="28" w:type="dxa"/>
              <w:right w:w="28" w:type="dxa"/>
            </w:tcMar>
            <w:vAlign w:val="center"/>
          </w:tcPr>
          <w:p w14:paraId="02AAD63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right"/>
              <w:textAlignment w:val="auto"/>
              <w:rPr>
                <w:rFonts w:hint="eastAsia" w:ascii="Times New Roman" w:hAnsi="Times New Roman" w:eastAsia="宋体" w:cs="宋体"/>
                <w:b w:val="0"/>
                <w:bCs w:val="0"/>
                <w:snapToGrid w:val="0"/>
                <w:color w:val="FF0000"/>
                <w:spacing w:val="-6"/>
                <w:kern w:val="21"/>
                <w:sz w:val="21"/>
                <w:szCs w:val="21"/>
                <w:highlight w:val="none"/>
              </w:rPr>
            </w:pPr>
            <w:r>
              <w:rPr>
                <w:rFonts w:hint="eastAsia" w:ascii="Times New Roman" w:hAnsi="Times New Roman" w:eastAsia="宋体" w:cs="宋体"/>
                <w:b w:val="0"/>
                <w:bCs w:val="0"/>
                <w:snapToGrid w:val="0"/>
                <w:color w:val="FF0000"/>
                <w:spacing w:val="-6"/>
                <w:kern w:val="21"/>
                <w:sz w:val="21"/>
                <w:szCs w:val="21"/>
                <w:highlight w:val="none"/>
              </w:rPr>
              <w:t>项目</w:t>
            </w:r>
          </w:p>
          <w:p w14:paraId="73470E1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left"/>
              <w:textAlignment w:val="auto"/>
              <w:rPr>
                <w:rFonts w:hint="eastAsia" w:ascii="Times New Roman" w:hAnsi="Times New Roman" w:eastAsia="宋体" w:cs="宋体"/>
                <w:b w:val="0"/>
                <w:bCs w:val="0"/>
                <w:snapToGrid w:val="0"/>
                <w:color w:val="FF0000"/>
                <w:spacing w:val="-6"/>
                <w:kern w:val="21"/>
                <w:sz w:val="21"/>
                <w:szCs w:val="21"/>
                <w:highlight w:val="none"/>
              </w:rPr>
            </w:pPr>
            <w:r>
              <w:rPr>
                <w:rFonts w:hint="eastAsia" w:ascii="Times New Roman" w:hAnsi="Times New Roman" w:eastAsia="宋体" w:cs="宋体"/>
                <w:b w:val="0"/>
                <w:bCs w:val="0"/>
                <w:snapToGrid w:val="0"/>
                <w:color w:val="FF0000"/>
                <w:spacing w:val="-6"/>
                <w:kern w:val="21"/>
                <w:sz w:val="21"/>
                <w:szCs w:val="21"/>
                <w:highlight w:val="none"/>
              </w:rPr>
              <w:t>分类</w:t>
            </w:r>
          </w:p>
        </w:tc>
        <w:tc>
          <w:tcPr>
            <w:tcW w:w="637" w:type="pct"/>
            <w:noWrap w:val="0"/>
            <w:tcMar>
              <w:left w:w="28" w:type="dxa"/>
              <w:right w:w="28" w:type="dxa"/>
            </w:tcMar>
            <w:vAlign w:val="center"/>
          </w:tcPr>
          <w:p w14:paraId="047B0D9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cs="宋体"/>
                <w:b w:val="0"/>
                <w:bCs w:val="0"/>
                <w:snapToGrid w:val="0"/>
                <w:color w:val="FF0000"/>
                <w:spacing w:val="-6"/>
                <w:kern w:val="21"/>
                <w:sz w:val="21"/>
                <w:szCs w:val="21"/>
                <w:highlight w:val="none"/>
              </w:rPr>
            </w:pPr>
            <w:r>
              <w:rPr>
                <w:rFonts w:hint="eastAsia" w:ascii="Times New Roman" w:hAnsi="Times New Roman" w:eastAsia="宋体" w:cs="宋体"/>
                <w:b w:val="0"/>
                <w:bCs w:val="0"/>
                <w:snapToGrid w:val="0"/>
                <w:color w:val="FF0000"/>
                <w:spacing w:val="-6"/>
                <w:kern w:val="21"/>
                <w:sz w:val="21"/>
                <w:szCs w:val="21"/>
                <w:highlight w:val="none"/>
              </w:rPr>
              <w:t>污染物名称</w:t>
            </w:r>
          </w:p>
        </w:tc>
        <w:tc>
          <w:tcPr>
            <w:tcW w:w="516" w:type="pct"/>
            <w:noWrap w:val="0"/>
            <w:tcMar>
              <w:left w:w="28" w:type="dxa"/>
              <w:right w:w="28" w:type="dxa"/>
            </w:tcMar>
            <w:vAlign w:val="center"/>
          </w:tcPr>
          <w:p w14:paraId="5A397FA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现有工程</w:t>
            </w:r>
          </w:p>
          <w:p w14:paraId="6244D1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排放量（固</w:t>
            </w:r>
            <w:r>
              <w:rPr>
                <w:rFonts w:hint="eastAsia" w:ascii="Times New Roman" w:hAnsi="Times New Roman" w:eastAsia="宋体"/>
                <w:b w:val="0"/>
                <w:bCs w:val="0"/>
                <w:snapToGrid w:val="0"/>
                <w:color w:val="FF0000"/>
                <w:spacing w:val="-6"/>
                <w:kern w:val="21"/>
                <w:sz w:val="21"/>
                <w:szCs w:val="21"/>
                <w:highlight w:val="none"/>
              </w:rPr>
              <w:t>体</w:t>
            </w:r>
            <w:r>
              <w:rPr>
                <w:rFonts w:hint="default" w:ascii="Times New Roman" w:hAnsi="Times New Roman" w:eastAsia="宋体"/>
                <w:b w:val="0"/>
                <w:bCs w:val="0"/>
                <w:snapToGrid w:val="0"/>
                <w:color w:val="FF0000"/>
                <w:spacing w:val="-6"/>
                <w:kern w:val="21"/>
                <w:sz w:val="21"/>
                <w:szCs w:val="21"/>
                <w:highlight w:val="none"/>
              </w:rPr>
              <w:t>废</w:t>
            </w:r>
            <w:r>
              <w:rPr>
                <w:rFonts w:hint="eastAsia" w:ascii="Times New Roman" w:hAnsi="Times New Roman" w:eastAsia="宋体"/>
                <w:b w:val="0"/>
                <w:bCs w:val="0"/>
                <w:snapToGrid w:val="0"/>
                <w:color w:val="FF0000"/>
                <w:spacing w:val="-6"/>
                <w:kern w:val="21"/>
                <w:sz w:val="21"/>
                <w:szCs w:val="21"/>
                <w:highlight w:val="none"/>
              </w:rPr>
              <w:t>物</w:t>
            </w:r>
            <w:r>
              <w:rPr>
                <w:rFonts w:hint="default" w:ascii="Times New Roman" w:hAnsi="Times New Roman" w:eastAsia="宋体"/>
                <w:b w:val="0"/>
                <w:bCs w:val="0"/>
                <w:snapToGrid w:val="0"/>
                <w:color w:val="FF0000"/>
                <w:spacing w:val="-6"/>
                <w:kern w:val="21"/>
                <w:sz w:val="21"/>
                <w:szCs w:val="21"/>
                <w:highlight w:val="none"/>
              </w:rPr>
              <w:t>产生量）</w:t>
            </w:r>
            <w:r>
              <w:rPr>
                <w:rFonts w:hint="default" w:ascii="Times New Roman" w:hAnsi="Times New Roman" w:eastAsia="宋体"/>
                <w:b w:val="0"/>
                <w:bCs w:val="0"/>
                <w:snapToGrid w:val="0"/>
                <w:color w:val="FF0000"/>
                <w:spacing w:val="-6"/>
                <w:kern w:val="21"/>
                <w:sz w:val="21"/>
                <w:szCs w:val="21"/>
                <w:highlight w:val="none"/>
              </w:rPr>
              <w:fldChar w:fldCharType="begin"/>
            </w:r>
            <w:r>
              <w:rPr>
                <w:rFonts w:hint="default" w:ascii="Times New Roman" w:hAnsi="Times New Roman" w:eastAsia="宋体"/>
                <w:b w:val="0"/>
                <w:bCs w:val="0"/>
                <w:snapToGrid w:val="0"/>
                <w:color w:val="FF0000"/>
                <w:spacing w:val="-6"/>
                <w:kern w:val="21"/>
                <w:sz w:val="21"/>
                <w:szCs w:val="21"/>
                <w:highlight w:val="none"/>
              </w:rPr>
              <w:instrText xml:space="preserve"> = 1 \* GB3 \* MERGEFORMAT </w:instrText>
            </w:r>
            <w:r>
              <w:rPr>
                <w:rFonts w:hint="default" w:ascii="Times New Roman" w:hAnsi="Times New Roman" w:eastAsia="宋体"/>
                <w:b w:val="0"/>
                <w:bCs w:val="0"/>
                <w:snapToGrid w:val="0"/>
                <w:color w:val="FF0000"/>
                <w:spacing w:val="-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①</w:t>
            </w:r>
            <w:r>
              <w:rPr>
                <w:rFonts w:hint="default" w:ascii="Times New Roman" w:hAnsi="Times New Roman" w:eastAsia="宋体"/>
                <w:b w:val="0"/>
                <w:bCs w:val="0"/>
                <w:snapToGrid w:val="0"/>
                <w:color w:val="FF0000"/>
                <w:spacing w:val="-6"/>
                <w:kern w:val="21"/>
                <w:sz w:val="21"/>
                <w:szCs w:val="21"/>
                <w:highlight w:val="none"/>
              </w:rPr>
              <w:fldChar w:fldCharType="end"/>
            </w:r>
          </w:p>
        </w:tc>
        <w:tc>
          <w:tcPr>
            <w:tcW w:w="524" w:type="pct"/>
            <w:noWrap w:val="0"/>
            <w:tcMar>
              <w:left w:w="28" w:type="dxa"/>
              <w:right w:w="28" w:type="dxa"/>
            </w:tcMar>
            <w:vAlign w:val="center"/>
          </w:tcPr>
          <w:p w14:paraId="4F3EF5F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现有工程</w:t>
            </w:r>
          </w:p>
          <w:p w14:paraId="02C0466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许可排放量</w:t>
            </w:r>
          </w:p>
          <w:p w14:paraId="5C38B52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fldChar w:fldCharType="begin"/>
            </w:r>
            <w:r>
              <w:rPr>
                <w:rFonts w:hint="default" w:ascii="Times New Roman" w:hAnsi="Times New Roman" w:eastAsia="宋体"/>
                <w:b w:val="0"/>
                <w:bCs w:val="0"/>
                <w:snapToGrid w:val="0"/>
                <w:color w:val="FF0000"/>
                <w:spacing w:val="-6"/>
                <w:kern w:val="21"/>
                <w:sz w:val="21"/>
                <w:szCs w:val="21"/>
                <w:highlight w:val="none"/>
              </w:rPr>
              <w:instrText xml:space="preserve"> = 2 \* GB3 \* MERGEFORMAT </w:instrText>
            </w:r>
            <w:r>
              <w:rPr>
                <w:rFonts w:hint="default" w:ascii="Times New Roman" w:hAnsi="Times New Roman" w:eastAsia="宋体"/>
                <w:b w:val="0"/>
                <w:bCs w:val="0"/>
                <w:snapToGrid w:val="0"/>
                <w:color w:val="FF0000"/>
                <w:spacing w:val="-6"/>
                <w:kern w:val="21"/>
                <w:sz w:val="21"/>
                <w:szCs w:val="21"/>
                <w:highlight w:val="none"/>
              </w:rPr>
              <w:fldChar w:fldCharType="separate"/>
            </w:r>
            <w:r>
              <w:rPr>
                <w:rFonts w:hint="eastAsia" w:ascii="Times New Roman" w:hAnsi="Times New Roman" w:eastAsia="宋体" w:cs="宋体"/>
                <w:b w:val="0"/>
                <w:bCs w:val="0"/>
                <w:snapToGrid w:val="0"/>
                <w:color w:val="FF0000"/>
                <w:spacing w:val="-6"/>
                <w:kern w:val="21"/>
                <w:sz w:val="21"/>
                <w:szCs w:val="21"/>
                <w:highlight w:val="none"/>
              </w:rPr>
              <w:t>②</w:t>
            </w:r>
            <w:r>
              <w:rPr>
                <w:rFonts w:hint="default" w:ascii="Times New Roman" w:hAnsi="Times New Roman" w:eastAsia="宋体"/>
                <w:b w:val="0"/>
                <w:bCs w:val="0"/>
                <w:snapToGrid w:val="0"/>
                <w:color w:val="FF0000"/>
                <w:spacing w:val="-6"/>
                <w:kern w:val="21"/>
                <w:sz w:val="21"/>
                <w:szCs w:val="21"/>
                <w:highlight w:val="none"/>
              </w:rPr>
              <w:fldChar w:fldCharType="end"/>
            </w:r>
          </w:p>
        </w:tc>
        <w:tc>
          <w:tcPr>
            <w:tcW w:w="577" w:type="pct"/>
            <w:noWrap w:val="0"/>
            <w:tcMar>
              <w:left w:w="28" w:type="dxa"/>
              <w:right w:w="28" w:type="dxa"/>
            </w:tcMar>
            <w:vAlign w:val="center"/>
          </w:tcPr>
          <w:p w14:paraId="54EE864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在建工程</w:t>
            </w:r>
          </w:p>
          <w:p w14:paraId="0175C42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排放量（固</w:t>
            </w:r>
            <w:r>
              <w:rPr>
                <w:rFonts w:hint="eastAsia" w:ascii="Times New Roman" w:hAnsi="Times New Roman" w:eastAsia="宋体"/>
                <w:b w:val="0"/>
                <w:bCs w:val="0"/>
                <w:snapToGrid w:val="0"/>
                <w:color w:val="FF0000"/>
                <w:spacing w:val="-6"/>
                <w:kern w:val="21"/>
                <w:sz w:val="21"/>
                <w:szCs w:val="21"/>
                <w:highlight w:val="none"/>
              </w:rPr>
              <w:t>体</w:t>
            </w:r>
            <w:r>
              <w:rPr>
                <w:rFonts w:hint="default" w:ascii="Times New Roman" w:hAnsi="Times New Roman" w:eastAsia="宋体"/>
                <w:b w:val="0"/>
                <w:bCs w:val="0"/>
                <w:snapToGrid w:val="0"/>
                <w:color w:val="FF0000"/>
                <w:spacing w:val="-6"/>
                <w:kern w:val="21"/>
                <w:sz w:val="21"/>
                <w:szCs w:val="21"/>
                <w:highlight w:val="none"/>
              </w:rPr>
              <w:t>废</w:t>
            </w:r>
            <w:r>
              <w:rPr>
                <w:rFonts w:hint="eastAsia" w:ascii="Times New Roman" w:hAnsi="Times New Roman" w:eastAsia="宋体"/>
                <w:b w:val="0"/>
                <w:bCs w:val="0"/>
                <w:snapToGrid w:val="0"/>
                <w:color w:val="FF0000"/>
                <w:spacing w:val="-6"/>
                <w:kern w:val="21"/>
                <w:sz w:val="21"/>
                <w:szCs w:val="21"/>
                <w:highlight w:val="none"/>
              </w:rPr>
              <w:t>物</w:t>
            </w:r>
            <w:r>
              <w:rPr>
                <w:rFonts w:hint="default" w:ascii="Times New Roman" w:hAnsi="Times New Roman" w:eastAsia="宋体"/>
                <w:b w:val="0"/>
                <w:bCs w:val="0"/>
                <w:snapToGrid w:val="0"/>
                <w:color w:val="FF0000"/>
                <w:spacing w:val="-6"/>
                <w:kern w:val="21"/>
                <w:sz w:val="21"/>
                <w:szCs w:val="21"/>
                <w:highlight w:val="none"/>
              </w:rPr>
              <w:t>产生量）</w:t>
            </w:r>
            <w:r>
              <w:rPr>
                <w:rFonts w:hint="default" w:ascii="Times New Roman" w:hAnsi="Times New Roman" w:eastAsia="宋体"/>
                <w:b w:val="0"/>
                <w:bCs w:val="0"/>
                <w:snapToGrid w:val="0"/>
                <w:color w:val="FF0000"/>
                <w:spacing w:val="-6"/>
                <w:kern w:val="21"/>
                <w:sz w:val="21"/>
                <w:szCs w:val="21"/>
                <w:highlight w:val="none"/>
              </w:rPr>
              <w:fldChar w:fldCharType="begin"/>
            </w:r>
            <w:r>
              <w:rPr>
                <w:rFonts w:hint="default" w:ascii="Times New Roman" w:hAnsi="Times New Roman" w:eastAsia="宋体"/>
                <w:b w:val="0"/>
                <w:bCs w:val="0"/>
                <w:snapToGrid w:val="0"/>
                <w:color w:val="FF0000"/>
                <w:spacing w:val="-6"/>
                <w:kern w:val="21"/>
                <w:sz w:val="21"/>
                <w:szCs w:val="21"/>
                <w:highlight w:val="none"/>
              </w:rPr>
              <w:instrText xml:space="preserve"> = 3 \* GB3 \* MERGEFORMAT </w:instrText>
            </w:r>
            <w:r>
              <w:rPr>
                <w:rFonts w:hint="default" w:ascii="Times New Roman" w:hAnsi="Times New Roman" w:eastAsia="宋体"/>
                <w:b w:val="0"/>
                <w:bCs w:val="0"/>
                <w:snapToGrid w:val="0"/>
                <w:color w:val="FF0000"/>
                <w:spacing w:val="-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③</w:t>
            </w:r>
            <w:r>
              <w:rPr>
                <w:rFonts w:hint="default" w:ascii="Times New Roman" w:hAnsi="Times New Roman" w:eastAsia="宋体"/>
                <w:b w:val="0"/>
                <w:bCs w:val="0"/>
                <w:snapToGrid w:val="0"/>
                <w:color w:val="FF0000"/>
                <w:spacing w:val="-6"/>
                <w:kern w:val="21"/>
                <w:sz w:val="21"/>
                <w:szCs w:val="21"/>
                <w:highlight w:val="none"/>
              </w:rPr>
              <w:fldChar w:fldCharType="end"/>
            </w:r>
          </w:p>
        </w:tc>
        <w:tc>
          <w:tcPr>
            <w:tcW w:w="540" w:type="pct"/>
            <w:noWrap w:val="0"/>
            <w:tcMar>
              <w:left w:w="28" w:type="dxa"/>
              <w:right w:w="28" w:type="dxa"/>
            </w:tcMar>
            <w:vAlign w:val="center"/>
          </w:tcPr>
          <w:p w14:paraId="2EAD837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本项目</w:t>
            </w:r>
          </w:p>
          <w:p w14:paraId="0A7A959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排放量（固</w:t>
            </w:r>
            <w:r>
              <w:rPr>
                <w:rFonts w:hint="eastAsia" w:ascii="Times New Roman" w:hAnsi="Times New Roman" w:eastAsia="宋体"/>
                <w:b w:val="0"/>
                <w:bCs w:val="0"/>
                <w:snapToGrid w:val="0"/>
                <w:color w:val="FF0000"/>
                <w:spacing w:val="-6"/>
                <w:kern w:val="21"/>
                <w:sz w:val="21"/>
                <w:szCs w:val="21"/>
                <w:highlight w:val="none"/>
              </w:rPr>
              <w:t>体</w:t>
            </w:r>
            <w:r>
              <w:rPr>
                <w:rFonts w:hint="default" w:ascii="Times New Roman" w:hAnsi="Times New Roman" w:eastAsia="宋体"/>
                <w:b w:val="0"/>
                <w:bCs w:val="0"/>
                <w:snapToGrid w:val="0"/>
                <w:color w:val="FF0000"/>
                <w:spacing w:val="-6"/>
                <w:kern w:val="21"/>
                <w:sz w:val="21"/>
                <w:szCs w:val="21"/>
                <w:highlight w:val="none"/>
              </w:rPr>
              <w:t>废</w:t>
            </w:r>
            <w:r>
              <w:rPr>
                <w:rFonts w:hint="eastAsia" w:ascii="Times New Roman" w:hAnsi="Times New Roman" w:eastAsia="宋体"/>
                <w:b w:val="0"/>
                <w:bCs w:val="0"/>
                <w:snapToGrid w:val="0"/>
                <w:color w:val="FF0000"/>
                <w:spacing w:val="-6"/>
                <w:kern w:val="21"/>
                <w:sz w:val="21"/>
                <w:szCs w:val="21"/>
                <w:highlight w:val="none"/>
              </w:rPr>
              <w:t>物</w:t>
            </w:r>
            <w:r>
              <w:rPr>
                <w:rFonts w:hint="default" w:ascii="Times New Roman" w:hAnsi="Times New Roman" w:eastAsia="宋体"/>
                <w:b w:val="0"/>
                <w:bCs w:val="0"/>
                <w:snapToGrid w:val="0"/>
                <w:color w:val="FF0000"/>
                <w:spacing w:val="-6"/>
                <w:kern w:val="21"/>
                <w:sz w:val="21"/>
                <w:szCs w:val="21"/>
                <w:highlight w:val="none"/>
              </w:rPr>
              <w:t>产生量）</w:t>
            </w:r>
            <w:r>
              <w:rPr>
                <w:rFonts w:hint="default" w:ascii="Times New Roman" w:hAnsi="Times New Roman" w:eastAsia="宋体"/>
                <w:b w:val="0"/>
                <w:bCs w:val="0"/>
                <w:snapToGrid w:val="0"/>
                <w:color w:val="FF0000"/>
                <w:spacing w:val="-6"/>
                <w:kern w:val="21"/>
                <w:sz w:val="21"/>
                <w:szCs w:val="21"/>
                <w:highlight w:val="none"/>
              </w:rPr>
              <w:fldChar w:fldCharType="begin"/>
            </w:r>
            <w:r>
              <w:rPr>
                <w:rFonts w:hint="default" w:ascii="Times New Roman" w:hAnsi="Times New Roman" w:eastAsia="宋体"/>
                <w:b w:val="0"/>
                <w:bCs w:val="0"/>
                <w:snapToGrid w:val="0"/>
                <w:color w:val="FF0000"/>
                <w:spacing w:val="-6"/>
                <w:kern w:val="21"/>
                <w:sz w:val="21"/>
                <w:szCs w:val="21"/>
                <w:highlight w:val="none"/>
              </w:rPr>
              <w:instrText xml:space="preserve"> = 4 \* GB3 \* MERGEFORMAT </w:instrText>
            </w:r>
            <w:r>
              <w:rPr>
                <w:rFonts w:hint="default" w:ascii="Times New Roman" w:hAnsi="Times New Roman" w:eastAsia="宋体"/>
                <w:b w:val="0"/>
                <w:bCs w:val="0"/>
                <w:snapToGrid w:val="0"/>
                <w:color w:val="FF0000"/>
                <w:spacing w:val="-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④</w:t>
            </w:r>
            <w:r>
              <w:rPr>
                <w:rFonts w:hint="default" w:ascii="Times New Roman" w:hAnsi="Times New Roman" w:eastAsia="宋体"/>
                <w:b w:val="0"/>
                <w:bCs w:val="0"/>
                <w:snapToGrid w:val="0"/>
                <w:color w:val="FF0000"/>
                <w:spacing w:val="-6"/>
                <w:kern w:val="21"/>
                <w:sz w:val="21"/>
                <w:szCs w:val="21"/>
                <w:highlight w:val="none"/>
              </w:rPr>
              <w:fldChar w:fldCharType="end"/>
            </w:r>
          </w:p>
        </w:tc>
        <w:tc>
          <w:tcPr>
            <w:tcW w:w="606" w:type="pct"/>
            <w:noWrap w:val="0"/>
            <w:tcMar>
              <w:left w:w="28" w:type="dxa"/>
              <w:right w:w="28" w:type="dxa"/>
            </w:tcMar>
            <w:vAlign w:val="center"/>
          </w:tcPr>
          <w:p w14:paraId="71F603C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b w:val="0"/>
                <w:bCs w:val="0"/>
                <w:snapToGrid w:val="0"/>
                <w:color w:val="FF0000"/>
                <w:spacing w:val="-16"/>
                <w:kern w:val="21"/>
                <w:sz w:val="21"/>
                <w:szCs w:val="21"/>
                <w:highlight w:val="none"/>
              </w:rPr>
            </w:pPr>
            <w:r>
              <w:rPr>
                <w:rFonts w:hint="default" w:ascii="Times New Roman" w:hAnsi="Times New Roman" w:eastAsia="宋体"/>
                <w:b w:val="0"/>
                <w:bCs w:val="0"/>
                <w:snapToGrid w:val="0"/>
                <w:color w:val="FF0000"/>
                <w:spacing w:val="-16"/>
                <w:kern w:val="21"/>
                <w:sz w:val="21"/>
                <w:szCs w:val="21"/>
                <w:highlight w:val="none"/>
              </w:rPr>
              <w:t>以新带老削减量</w:t>
            </w:r>
          </w:p>
          <w:p w14:paraId="351CF5B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16"/>
                <w:kern w:val="21"/>
                <w:sz w:val="21"/>
                <w:szCs w:val="21"/>
                <w:highlight w:val="none"/>
              </w:rPr>
            </w:pPr>
            <w:r>
              <w:rPr>
                <w:rFonts w:hint="default" w:ascii="Times New Roman" w:hAnsi="Times New Roman" w:eastAsia="宋体"/>
                <w:b w:val="0"/>
                <w:bCs w:val="0"/>
                <w:snapToGrid w:val="0"/>
                <w:color w:val="FF0000"/>
                <w:spacing w:val="-16"/>
                <w:kern w:val="21"/>
                <w:sz w:val="21"/>
                <w:szCs w:val="21"/>
                <w:highlight w:val="none"/>
              </w:rPr>
              <w:t>（新建项目不填）</w:t>
            </w:r>
            <w:r>
              <w:rPr>
                <w:rFonts w:hint="default" w:ascii="Times New Roman" w:hAnsi="Times New Roman" w:eastAsia="宋体"/>
                <w:b w:val="0"/>
                <w:bCs w:val="0"/>
                <w:snapToGrid w:val="0"/>
                <w:color w:val="FF0000"/>
                <w:spacing w:val="-16"/>
                <w:kern w:val="21"/>
                <w:sz w:val="21"/>
                <w:szCs w:val="21"/>
                <w:highlight w:val="none"/>
              </w:rPr>
              <w:fldChar w:fldCharType="begin"/>
            </w:r>
            <w:r>
              <w:rPr>
                <w:rFonts w:hint="default" w:ascii="Times New Roman" w:hAnsi="Times New Roman" w:eastAsia="宋体"/>
                <w:b w:val="0"/>
                <w:bCs w:val="0"/>
                <w:snapToGrid w:val="0"/>
                <w:color w:val="FF0000"/>
                <w:spacing w:val="-16"/>
                <w:kern w:val="21"/>
                <w:sz w:val="21"/>
                <w:szCs w:val="21"/>
                <w:highlight w:val="none"/>
              </w:rPr>
              <w:instrText xml:space="preserve"> = 5 \* GB3 \* MERGEFORMAT </w:instrText>
            </w:r>
            <w:r>
              <w:rPr>
                <w:rFonts w:hint="default" w:ascii="Times New Roman" w:hAnsi="Times New Roman" w:eastAsia="宋体"/>
                <w:b w:val="0"/>
                <w:bCs w:val="0"/>
                <w:snapToGrid w:val="0"/>
                <w:color w:val="FF0000"/>
                <w:spacing w:val="-1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⑤</w:t>
            </w:r>
            <w:r>
              <w:rPr>
                <w:rFonts w:hint="default" w:ascii="Times New Roman" w:hAnsi="Times New Roman" w:eastAsia="宋体"/>
                <w:b w:val="0"/>
                <w:bCs w:val="0"/>
                <w:snapToGrid w:val="0"/>
                <w:color w:val="FF0000"/>
                <w:spacing w:val="-16"/>
                <w:kern w:val="21"/>
                <w:sz w:val="21"/>
                <w:szCs w:val="21"/>
                <w:highlight w:val="none"/>
              </w:rPr>
              <w:fldChar w:fldCharType="end"/>
            </w:r>
          </w:p>
        </w:tc>
        <w:tc>
          <w:tcPr>
            <w:tcW w:w="599" w:type="pct"/>
            <w:noWrap w:val="0"/>
            <w:tcMar>
              <w:left w:w="28" w:type="dxa"/>
              <w:right w:w="28" w:type="dxa"/>
            </w:tcMar>
            <w:vAlign w:val="center"/>
          </w:tcPr>
          <w:p w14:paraId="67BB918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eastAsia" w:ascii="Times New Roman" w:hAnsi="Times New Roman" w:eastAsia="宋体"/>
                <w:b w:val="0"/>
                <w:bCs w:val="0"/>
                <w:snapToGrid w:val="0"/>
                <w:color w:val="FF0000"/>
                <w:spacing w:val="-16"/>
                <w:kern w:val="21"/>
                <w:sz w:val="21"/>
                <w:szCs w:val="21"/>
                <w:highlight w:val="none"/>
              </w:rPr>
            </w:pPr>
            <w:r>
              <w:rPr>
                <w:rFonts w:hint="default" w:ascii="Times New Roman" w:hAnsi="Times New Roman" w:eastAsia="宋体"/>
                <w:b w:val="0"/>
                <w:bCs w:val="0"/>
                <w:snapToGrid w:val="0"/>
                <w:color w:val="FF0000"/>
                <w:spacing w:val="-16"/>
                <w:kern w:val="21"/>
                <w:sz w:val="21"/>
                <w:szCs w:val="21"/>
                <w:highlight w:val="none"/>
              </w:rPr>
              <w:t>本项目建成后</w:t>
            </w:r>
          </w:p>
          <w:p w14:paraId="6E1B095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16"/>
                <w:kern w:val="21"/>
                <w:sz w:val="21"/>
                <w:szCs w:val="21"/>
                <w:highlight w:val="none"/>
              </w:rPr>
            </w:pPr>
            <w:r>
              <w:rPr>
                <w:rFonts w:hint="eastAsia" w:ascii="Times New Roman" w:hAnsi="Times New Roman" w:eastAsia="宋体"/>
                <w:b w:val="0"/>
                <w:bCs w:val="0"/>
                <w:snapToGrid w:val="0"/>
                <w:color w:val="FF0000"/>
                <w:spacing w:val="-16"/>
                <w:kern w:val="21"/>
                <w:sz w:val="21"/>
                <w:szCs w:val="21"/>
                <w:highlight w:val="none"/>
              </w:rPr>
              <w:t>全厂</w:t>
            </w:r>
            <w:r>
              <w:rPr>
                <w:rFonts w:hint="default" w:ascii="Times New Roman" w:hAnsi="Times New Roman" w:eastAsia="宋体"/>
                <w:b w:val="0"/>
                <w:bCs w:val="0"/>
                <w:snapToGrid w:val="0"/>
                <w:color w:val="FF0000"/>
                <w:spacing w:val="-16"/>
                <w:kern w:val="21"/>
                <w:sz w:val="21"/>
                <w:szCs w:val="21"/>
                <w:highlight w:val="none"/>
              </w:rPr>
              <w:t>排放量（固</w:t>
            </w:r>
            <w:r>
              <w:rPr>
                <w:rFonts w:hint="eastAsia" w:ascii="Times New Roman" w:hAnsi="Times New Roman" w:eastAsia="宋体"/>
                <w:b w:val="0"/>
                <w:bCs w:val="0"/>
                <w:snapToGrid w:val="0"/>
                <w:color w:val="FF0000"/>
                <w:spacing w:val="-16"/>
                <w:kern w:val="21"/>
                <w:sz w:val="21"/>
                <w:szCs w:val="21"/>
                <w:highlight w:val="none"/>
              </w:rPr>
              <w:t>体</w:t>
            </w:r>
            <w:r>
              <w:rPr>
                <w:rFonts w:hint="default" w:ascii="Times New Roman" w:hAnsi="Times New Roman" w:eastAsia="宋体"/>
                <w:b w:val="0"/>
                <w:bCs w:val="0"/>
                <w:snapToGrid w:val="0"/>
                <w:color w:val="FF0000"/>
                <w:spacing w:val="-16"/>
                <w:kern w:val="21"/>
                <w:sz w:val="21"/>
                <w:szCs w:val="21"/>
                <w:highlight w:val="none"/>
              </w:rPr>
              <w:t>废</w:t>
            </w:r>
            <w:r>
              <w:rPr>
                <w:rFonts w:hint="eastAsia" w:ascii="Times New Roman" w:hAnsi="Times New Roman" w:eastAsia="宋体"/>
                <w:b w:val="0"/>
                <w:bCs w:val="0"/>
                <w:snapToGrid w:val="0"/>
                <w:color w:val="FF0000"/>
                <w:spacing w:val="-16"/>
                <w:kern w:val="21"/>
                <w:sz w:val="21"/>
                <w:szCs w:val="21"/>
                <w:highlight w:val="none"/>
              </w:rPr>
              <w:t>物</w:t>
            </w:r>
            <w:r>
              <w:rPr>
                <w:rFonts w:hint="default" w:ascii="Times New Roman" w:hAnsi="Times New Roman" w:eastAsia="宋体"/>
                <w:b w:val="0"/>
                <w:bCs w:val="0"/>
                <w:snapToGrid w:val="0"/>
                <w:color w:val="FF0000"/>
                <w:spacing w:val="-16"/>
                <w:kern w:val="21"/>
                <w:sz w:val="21"/>
                <w:szCs w:val="21"/>
                <w:highlight w:val="none"/>
              </w:rPr>
              <w:t>产生量）</w:t>
            </w:r>
            <w:r>
              <w:rPr>
                <w:rFonts w:hint="default" w:ascii="Times New Roman" w:hAnsi="Times New Roman" w:eastAsia="宋体"/>
                <w:b w:val="0"/>
                <w:bCs w:val="0"/>
                <w:snapToGrid w:val="0"/>
                <w:color w:val="FF0000"/>
                <w:spacing w:val="-16"/>
                <w:kern w:val="21"/>
                <w:sz w:val="21"/>
                <w:szCs w:val="21"/>
                <w:highlight w:val="none"/>
              </w:rPr>
              <w:fldChar w:fldCharType="begin"/>
            </w:r>
            <w:r>
              <w:rPr>
                <w:rFonts w:hint="default" w:ascii="Times New Roman" w:hAnsi="Times New Roman" w:eastAsia="宋体"/>
                <w:b w:val="0"/>
                <w:bCs w:val="0"/>
                <w:snapToGrid w:val="0"/>
                <w:color w:val="FF0000"/>
                <w:spacing w:val="-16"/>
                <w:kern w:val="21"/>
                <w:sz w:val="21"/>
                <w:szCs w:val="21"/>
                <w:highlight w:val="none"/>
              </w:rPr>
              <w:instrText xml:space="preserve"> = 6 \* GB3 \* MERGEFORMAT </w:instrText>
            </w:r>
            <w:r>
              <w:rPr>
                <w:rFonts w:hint="default" w:ascii="Times New Roman" w:hAnsi="Times New Roman" w:eastAsia="宋体"/>
                <w:b w:val="0"/>
                <w:bCs w:val="0"/>
                <w:snapToGrid w:val="0"/>
                <w:color w:val="FF0000"/>
                <w:spacing w:val="-1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⑥</w:t>
            </w:r>
            <w:r>
              <w:rPr>
                <w:rFonts w:hint="default" w:ascii="Times New Roman" w:hAnsi="Times New Roman" w:eastAsia="宋体"/>
                <w:b w:val="0"/>
                <w:bCs w:val="0"/>
                <w:snapToGrid w:val="0"/>
                <w:color w:val="FF0000"/>
                <w:spacing w:val="-16"/>
                <w:kern w:val="21"/>
                <w:sz w:val="21"/>
                <w:szCs w:val="21"/>
                <w:highlight w:val="none"/>
              </w:rPr>
              <w:fldChar w:fldCharType="end"/>
            </w:r>
          </w:p>
        </w:tc>
        <w:tc>
          <w:tcPr>
            <w:tcW w:w="576" w:type="pct"/>
            <w:noWrap w:val="0"/>
            <w:tcMar>
              <w:left w:w="28" w:type="dxa"/>
              <w:right w:w="28" w:type="dxa"/>
            </w:tcMar>
            <w:vAlign w:val="center"/>
          </w:tcPr>
          <w:p w14:paraId="31037D6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t>变化量</w:t>
            </w:r>
          </w:p>
          <w:p w14:paraId="2A96507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textAlignment w:val="auto"/>
              <w:rPr>
                <w:rFonts w:hint="default" w:ascii="Times New Roman" w:hAnsi="Times New Roman" w:eastAsia="宋体"/>
                <w:b w:val="0"/>
                <w:bCs w:val="0"/>
                <w:snapToGrid w:val="0"/>
                <w:color w:val="FF0000"/>
                <w:spacing w:val="-6"/>
                <w:kern w:val="21"/>
                <w:sz w:val="21"/>
                <w:szCs w:val="21"/>
                <w:highlight w:val="none"/>
              </w:rPr>
            </w:pPr>
            <w:r>
              <w:rPr>
                <w:rFonts w:hint="default" w:ascii="Times New Roman" w:hAnsi="Times New Roman" w:eastAsia="宋体"/>
                <w:b w:val="0"/>
                <w:bCs w:val="0"/>
                <w:snapToGrid w:val="0"/>
                <w:color w:val="FF0000"/>
                <w:spacing w:val="-6"/>
                <w:kern w:val="21"/>
                <w:sz w:val="21"/>
                <w:szCs w:val="21"/>
                <w:highlight w:val="none"/>
              </w:rPr>
              <w:fldChar w:fldCharType="begin"/>
            </w:r>
            <w:r>
              <w:rPr>
                <w:rFonts w:hint="default" w:ascii="Times New Roman" w:hAnsi="Times New Roman" w:eastAsia="宋体"/>
                <w:b w:val="0"/>
                <w:bCs w:val="0"/>
                <w:snapToGrid w:val="0"/>
                <w:color w:val="FF0000"/>
                <w:spacing w:val="-6"/>
                <w:kern w:val="21"/>
                <w:sz w:val="21"/>
                <w:szCs w:val="21"/>
                <w:highlight w:val="none"/>
              </w:rPr>
              <w:instrText xml:space="preserve"> = 7 \* GB3 \* MERGEFORMAT </w:instrText>
            </w:r>
            <w:r>
              <w:rPr>
                <w:rFonts w:hint="default" w:ascii="Times New Roman" w:hAnsi="Times New Roman" w:eastAsia="宋体"/>
                <w:b w:val="0"/>
                <w:bCs w:val="0"/>
                <w:snapToGrid w:val="0"/>
                <w:color w:val="FF0000"/>
                <w:spacing w:val="-6"/>
                <w:kern w:val="21"/>
                <w:sz w:val="21"/>
                <w:szCs w:val="21"/>
                <w:highlight w:val="none"/>
              </w:rPr>
              <w:fldChar w:fldCharType="separate"/>
            </w:r>
            <w:r>
              <w:rPr>
                <w:rFonts w:hint="eastAsia" w:ascii="Times New Roman" w:hAnsi="Times New Roman" w:eastAsia="宋体" w:cs="宋体"/>
                <w:b w:val="0"/>
                <w:bCs w:val="0"/>
                <w:color w:val="FF0000"/>
                <w:kern w:val="2"/>
                <w:sz w:val="21"/>
                <w:szCs w:val="21"/>
                <w:highlight w:val="none"/>
              </w:rPr>
              <w:t>⑦</w:t>
            </w:r>
            <w:r>
              <w:rPr>
                <w:rFonts w:hint="default" w:ascii="Times New Roman" w:hAnsi="Times New Roman" w:eastAsia="宋体"/>
                <w:b w:val="0"/>
                <w:bCs w:val="0"/>
                <w:snapToGrid w:val="0"/>
                <w:color w:val="FF0000"/>
                <w:spacing w:val="-6"/>
                <w:kern w:val="21"/>
                <w:sz w:val="21"/>
                <w:szCs w:val="21"/>
                <w:highlight w:val="none"/>
              </w:rPr>
              <w:fldChar w:fldCharType="end"/>
            </w:r>
          </w:p>
        </w:tc>
      </w:tr>
      <w:tr w14:paraId="3333A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restart"/>
            <w:noWrap w:val="0"/>
            <w:vAlign w:val="center"/>
          </w:tcPr>
          <w:p w14:paraId="13723CB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rPr>
              <w:t>废气</w:t>
            </w:r>
          </w:p>
        </w:tc>
        <w:tc>
          <w:tcPr>
            <w:tcW w:w="637" w:type="pct"/>
            <w:noWrap w:val="0"/>
            <w:vAlign w:val="center"/>
          </w:tcPr>
          <w:p w14:paraId="1D02466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颗粒物</w:t>
            </w:r>
          </w:p>
        </w:tc>
        <w:tc>
          <w:tcPr>
            <w:tcW w:w="516" w:type="pct"/>
            <w:shd w:val="clear" w:color="auto" w:fill="auto"/>
            <w:noWrap w:val="0"/>
            <w:vAlign w:val="center"/>
          </w:tcPr>
          <w:p w14:paraId="284DC21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0.03</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24" w:type="pct"/>
            <w:shd w:val="clear" w:color="auto" w:fill="auto"/>
            <w:noWrap w:val="0"/>
            <w:vAlign w:val="center"/>
          </w:tcPr>
          <w:p w14:paraId="1C11EC5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0.06t/a</w:t>
            </w:r>
          </w:p>
        </w:tc>
        <w:tc>
          <w:tcPr>
            <w:tcW w:w="577" w:type="pct"/>
            <w:noWrap w:val="0"/>
            <w:vAlign w:val="center"/>
          </w:tcPr>
          <w:p w14:paraId="4F84588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w:t>
            </w:r>
          </w:p>
        </w:tc>
        <w:tc>
          <w:tcPr>
            <w:tcW w:w="540" w:type="pct"/>
            <w:noWrap w:val="0"/>
            <w:vAlign w:val="center"/>
          </w:tcPr>
          <w:p w14:paraId="0C89DE0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0.407</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243701A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3FED49B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0.437</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132A19E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+0.407</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630E6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noWrap w:val="0"/>
            <w:vAlign w:val="center"/>
          </w:tcPr>
          <w:p w14:paraId="5209B13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45EC188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非甲烷总烃</w:t>
            </w:r>
          </w:p>
        </w:tc>
        <w:tc>
          <w:tcPr>
            <w:tcW w:w="516" w:type="pct"/>
            <w:shd w:val="clear" w:color="auto" w:fill="auto"/>
            <w:noWrap w:val="0"/>
            <w:vAlign w:val="center"/>
          </w:tcPr>
          <w:p w14:paraId="6456C52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eastAsia="宋体" w:cs="宋体"/>
                <w:b w:val="0"/>
                <w:bCs w:val="0"/>
                <w:snapToGrid w:val="0"/>
                <w:color w:val="FF0000"/>
                <w:kern w:val="21"/>
                <w:sz w:val="21"/>
                <w:szCs w:val="21"/>
                <w:highlight w:val="none"/>
                <w:lang w:val="en-US" w:eastAsia="zh-CN"/>
              </w:rPr>
              <w:t>0</w:t>
            </w:r>
          </w:p>
        </w:tc>
        <w:tc>
          <w:tcPr>
            <w:tcW w:w="524" w:type="pct"/>
            <w:shd w:val="clear" w:color="auto" w:fill="auto"/>
            <w:noWrap w:val="0"/>
            <w:vAlign w:val="center"/>
          </w:tcPr>
          <w:p w14:paraId="5959376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eastAsia="宋体" w:cs="宋体"/>
                <w:b w:val="0"/>
                <w:bCs w:val="0"/>
                <w:snapToGrid w:val="0"/>
                <w:color w:val="FF0000"/>
                <w:kern w:val="21"/>
                <w:sz w:val="21"/>
                <w:szCs w:val="21"/>
                <w:highlight w:val="none"/>
                <w:lang w:val="en-US" w:eastAsia="zh-CN"/>
              </w:rPr>
              <w:t>0</w:t>
            </w:r>
          </w:p>
        </w:tc>
        <w:tc>
          <w:tcPr>
            <w:tcW w:w="577" w:type="pct"/>
            <w:noWrap w:val="0"/>
            <w:vAlign w:val="center"/>
          </w:tcPr>
          <w:p w14:paraId="0545824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w:t>
            </w:r>
          </w:p>
        </w:tc>
        <w:tc>
          <w:tcPr>
            <w:tcW w:w="540" w:type="pct"/>
            <w:noWrap w:val="0"/>
            <w:vAlign w:val="center"/>
          </w:tcPr>
          <w:p w14:paraId="5A8562A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0.02</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259A47C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w:t>
            </w:r>
          </w:p>
        </w:tc>
        <w:tc>
          <w:tcPr>
            <w:tcW w:w="599" w:type="pct"/>
            <w:shd w:val="clear" w:color="auto" w:fill="auto"/>
            <w:noWrap w:val="0"/>
            <w:vAlign w:val="center"/>
          </w:tcPr>
          <w:p w14:paraId="01039CB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0.02</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64F7C8E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+0.02</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1A18F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noWrap w:val="0"/>
            <w:vAlign w:val="center"/>
          </w:tcPr>
          <w:p w14:paraId="6A404CD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72DD257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二氧化硫</w:t>
            </w:r>
          </w:p>
        </w:tc>
        <w:tc>
          <w:tcPr>
            <w:tcW w:w="516" w:type="pct"/>
            <w:shd w:val="clear" w:color="auto" w:fill="auto"/>
            <w:noWrap w:val="0"/>
            <w:vAlign w:val="center"/>
          </w:tcPr>
          <w:p w14:paraId="533E29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eastAsia="宋体" w:cs="宋体"/>
                <w:b w:val="0"/>
                <w:bCs w:val="0"/>
                <w:snapToGrid w:val="0"/>
                <w:color w:val="FF0000"/>
                <w:kern w:val="21"/>
                <w:sz w:val="21"/>
                <w:szCs w:val="21"/>
                <w:highlight w:val="none"/>
                <w:lang w:val="en-US" w:eastAsia="zh-CN"/>
              </w:rPr>
              <w:t>0</w:t>
            </w:r>
          </w:p>
        </w:tc>
        <w:tc>
          <w:tcPr>
            <w:tcW w:w="524" w:type="pct"/>
            <w:shd w:val="clear" w:color="auto" w:fill="auto"/>
            <w:noWrap w:val="0"/>
            <w:vAlign w:val="center"/>
          </w:tcPr>
          <w:p w14:paraId="382644F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eastAsia="宋体" w:cs="宋体"/>
                <w:b w:val="0"/>
                <w:bCs w:val="0"/>
                <w:snapToGrid w:val="0"/>
                <w:color w:val="FF0000"/>
                <w:kern w:val="21"/>
                <w:sz w:val="21"/>
                <w:szCs w:val="21"/>
                <w:highlight w:val="none"/>
                <w:lang w:val="en-US" w:eastAsia="zh-CN"/>
              </w:rPr>
              <w:t>0</w:t>
            </w:r>
          </w:p>
        </w:tc>
        <w:tc>
          <w:tcPr>
            <w:tcW w:w="577" w:type="pct"/>
            <w:noWrap w:val="0"/>
            <w:vAlign w:val="center"/>
          </w:tcPr>
          <w:p w14:paraId="66520B4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w:t>
            </w:r>
          </w:p>
        </w:tc>
        <w:tc>
          <w:tcPr>
            <w:tcW w:w="540" w:type="pct"/>
            <w:noWrap w:val="0"/>
            <w:vAlign w:val="center"/>
          </w:tcPr>
          <w:p w14:paraId="224E104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0.018</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432A453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w:t>
            </w:r>
          </w:p>
        </w:tc>
        <w:tc>
          <w:tcPr>
            <w:tcW w:w="599" w:type="pct"/>
            <w:shd w:val="clear" w:color="auto" w:fill="auto"/>
            <w:noWrap w:val="0"/>
            <w:vAlign w:val="center"/>
          </w:tcPr>
          <w:p w14:paraId="7E018C3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0.018</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7D0FAF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0.018</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148FD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05F2949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4FB78B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eastAsia="zh-CN"/>
              </w:rPr>
            </w:pPr>
            <w:r>
              <w:rPr>
                <w:rFonts w:hint="eastAsia" w:ascii="Times New Roman" w:cs="宋体"/>
                <w:b w:val="0"/>
                <w:bCs w:val="0"/>
                <w:snapToGrid w:val="0"/>
                <w:color w:val="FF0000"/>
                <w:kern w:val="21"/>
                <w:sz w:val="21"/>
                <w:szCs w:val="21"/>
                <w:highlight w:val="none"/>
                <w:lang w:eastAsia="zh-CN"/>
              </w:rPr>
              <w:t>氮氧化物</w:t>
            </w:r>
          </w:p>
        </w:tc>
        <w:tc>
          <w:tcPr>
            <w:tcW w:w="516" w:type="pct"/>
            <w:shd w:val="clear" w:color="auto" w:fill="auto"/>
            <w:noWrap w:val="0"/>
            <w:vAlign w:val="center"/>
          </w:tcPr>
          <w:p w14:paraId="00A27B3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eastAsia="宋体" w:cs="宋体"/>
                <w:b w:val="0"/>
                <w:bCs w:val="0"/>
                <w:snapToGrid w:val="0"/>
                <w:color w:val="FF0000"/>
                <w:kern w:val="21"/>
                <w:sz w:val="21"/>
                <w:szCs w:val="21"/>
                <w:highlight w:val="none"/>
                <w:lang w:val="en-US" w:eastAsia="zh-CN" w:bidi="ar-SA"/>
              </w:rPr>
              <w:t>0</w:t>
            </w:r>
          </w:p>
        </w:tc>
        <w:tc>
          <w:tcPr>
            <w:tcW w:w="524" w:type="pct"/>
            <w:shd w:val="clear" w:color="auto" w:fill="auto"/>
            <w:noWrap w:val="0"/>
            <w:vAlign w:val="center"/>
          </w:tcPr>
          <w:p w14:paraId="5E48CDE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eastAsia="宋体" w:cs="宋体"/>
                <w:b w:val="0"/>
                <w:bCs w:val="0"/>
                <w:snapToGrid w:val="0"/>
                <w:color w:val="FF0000"/>
                <w:kern w:val="21"/>
                <w:sz w:val="21"/>
                <w:szCs w:val="21"/>
                <w:highlight w:val="none"/>
                <w:lang w:val="en-US" w:eastAsia="zh-CN" w:bidi="ar-SA"/>
              </w:rPr>
              <w:t>0</w:t>
            </w:r>
          </w:p>
        </w:tc>
        <w:tc>
          <w:tcPr>
            <w:tcW w:w="577" w:type="pct"/>
            <w:noWrap w:val="0"/>
            <w:vAlign w:val="center"/>
          </w:tcPr>
          <w:p w14:paraId="46990E5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w:t>
            </w:r>
          </w:p>
        </w:tc>
        <w:tc>
          <w:tcPr>
            <w:tcW w:w="540" w:type="pct"/>
            <w:noWrap w:val="0"/>
            <w:vAlign w:val="center"/>
          </w:tcPr>
          <w:p w14:paraId="2330B65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0.174</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5E09E0F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w:t>
            </w:r>
          </w:p>
        </w:tc>
        <w:tc>
          <w:tcPr>
            <w:tcW w:w="599" w:type="pct"/>
            <w:shd w:val="clear" w:color="auto" w:fill="auto"/>
            <w:noWrap w:val="0"/>
            <w:vAlign w:val="center"/>
          </w:tcPr>
          <w:p w14:paraId="07F190B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0.174</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5DFB209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0.174</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7F36A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661F5AE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rPr>
              <w:t>废水</w:t>
            </w:r>
          </w:p>
        </w:tc>
        <w:tc>
          <w:tcPr>
            <w:tcW w:w="637" w:type="pct"/>
            <w:noWrap w:val="0"/>
            <w:vAlign w:val="center"/>
          </w:tcPr>
          <w:p w14:paraId="1E3F102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COD</w:t>
            </w:r>
          </w:p>
        </w:tc>
        <w:tc>
          <w:tcPr>
            <w:tcW w:w="516" w:type="pct"/>
            <w:shd w:val="clear" w:color="auto" w:fill="auto"/>
            <w:noWrap w:val="0"/>
            <w:vAlign w:val="center"/>
          </w:tcPr>
          <w:p w14:paraId="01D1FB6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0.095t/a</w:t>
            </w:r>
          </w:p>
        </w:tc>
        <w:tc>
          <w:tcPr>
            <w:tcW w:w="524" w:type="pct"/>
            <w:shd w:val="clear" w:color="auto" w:fill="auto"/>
            <w:noWrap w:val="0"/>
            <w:vAlign w:val="center"/>
          </w:tcPr>
          <w:p w14:paraId="483987D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0.095t/a</w:t>
            </w:r>
          </w:p>
        </w:tc>
        <w:tc>
          <w:tcPr>
            <w:tcW w:w="577" w:type="pct"/>
            <w:noWrap w:val="0"/>
            <w:vAlign w:val="center"/>
          </w:tcPr>
          <w:p w14:paraId="5A843AC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w:t>
            </w:r>
          </w:p>
        </w:tc>
        <w:tc>
          <w:tcPr>
            <w:tcW w:w="540" w:type="pct"/>
            <w:noWrap w:val="0"/>
            <w:vAlign w:val="center"/>
          </w:tcPr>
          <w:p w14:paraId="0AD9241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0.014</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4CE4940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69EF192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0.109</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7CEBCB3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+0.014</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6E691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40292DD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006D859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eastAsia="zh-CN"/>
              </w:rPr>
            </w:pPr>
            <w:r>
              <w:rPr>
                <w:rFonts w:hint="eastAsia" w:ascii="Times New Roman" w:hAnsi="Times New Roman" w:eastAsia="宋体" w:cs="宋体"/>
                <w:b w:val="0"/>
                <w:bCs w:val="0"/>
                <w:snapToGrid w:val="0"/>
                <w:color w:val="FF0000"/>
                <w:kern w:val="21"/>
                <w:sz w:val="21"/>
                <w:szCs w:val="21"/>
                <w:highlight w:val="none"/>
                <w:lang w:eastAsia="zh-CN"/>
              </w:rPr>
              <w:t>氨氮</w:t>
            </w:r>
          </w:p>
        </w:tc>
        <w:tc>
          <w:tcPr>
            <w:tcW w:w="516" w:type="pct"/>
            <w:shd w:val="clear" w:color="auto" w:fill="auto"/>
            <w:noWrap w:val="0"/>
            <w:vAlign w:val="center"/>
          </w:tcPr>
          <w:p w14:paraId="65165ED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0.014t/a</w:t>
            </w:r>
          </w:p>
        </w:tc>
        <w:tc>
          <w:tcPr>
            <w:tcW w:w="524" w:type="pct"/>
            <w:shd w:val="clear" w:color="auto" w:fill="auto"/>
            <w:noWrap w:val="0"/>
            <w:vAlign w:val="center"/>
          </w:tcPr>
          <w:p w14:paraId="0245A7E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0.014t/a</w:t>
            </w:r>
          </w:p>
        </w:tc>
        <w:tc>
          <w:tcPr>
            <w:tcW w:w="577" w:type="pct"/>
            <w:noWrap w:val="0"/>
            <w:vAlign w:val="center"/>
          </w:tcPr>
          <w:p w14:paraId="5E48F7F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w:t>
            </w:r>
          </w:p>
        </w:tc>
        <w:tc>
          <w:tcPr>
            <w:tcW w:w="540" w:type="pct"/>
            <w:noWrap w:val="0"/>
            <w:vAlign w:val="center"/>
          </w:tcPr>
          <w:p w14:paraId="455E77C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cs="宋体"/>
                <w:b w:val="0"/>
                <w:bCs w:val="0"/>
                <w:snapToGrid w:val="0"/>
                <w:color w:val="FF0000"/>
                <w:kern w:val="21"/>
                <w:sz w:val="21"/>
                <w:szCs w:val="21"/>
                <w:highlight w:val="none"/>
                <w:lang w:val="en-US" w:eastAsia="zh-CN"/>
              </w:rPr>
              <w:t>0.002</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606" w:type="pct"/>
            <w:noWrap w:val="0"/>
            <w:vAlign w:val="center"/>
          </w:tcPr>
          <w:p w14:paraId="013795D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57F5F97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0.016</w:t>
            </w:r>
            <w:r>
              <w:rPr>
                <w:rFonts w:hint="eastAsia" w:ascii="Times New Roman" w:hAnsi="Times New Roman" w:eastAsia="宋体" w:cs="宋体"/>
                <w:b w:val="0"/>
                <w:bCs w:val="0"/>
                <w:snapToGrid w:val="0"/>
                <w:color w:val="FF0000"/>
                <w:kern w:val="21"/>
                <w:sz w:val="21"/>
                <w:szCs w:val="21"/>
                <w:highlight w:val="none"/>
                <w:lang w:val="en-US" w:eastAsia="zh-CN"/>
              </w:rPr>
              <w:t>t/a</w:t>
            </w:r>
          </w:p>
        </w:tc>
        <w:tc>
          <w:tcPr>
            <w:tcW w:w="576" w:type="pct"/>
            <w:shd w:val="clear" w:color="auto" w:fill="auto"/>
            <w:noWrap w:val="0"/>
            <w:vAlign w:val="center"/>
          </w:tcPr>
          <w:p w14:paraId="7BAB7D4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+0.002</w:t>
            </w:r>
            <w:r>
              <w:rPr>
                <w:rFonts w:hint="eastAsia" w:ascii="Times New Roman" w:hAnsi="Times New Roman" w:eastAsia="宋体" w:cs="宋体"/>
                <w:b w:val="0"/>
                <w:bCs w:val="0"/>
                <w:snapToGrid w:val="0"/>
                <w:color w:val="FF0000"/>
                <w:kern w:val="21"/>
                <w:sz w:val="21"/>
                <w:szCs w:val="21"/>
                <w:highlight w:val="none"/>
                <w:lang w:val="en-US" w:eastAsia="zh-CN"/>
              </w:rPr>
              <w:t>t/a</w:t>
            </w:r>
          </w:p>
        </w:tc>
      </w:tr>
      <w:tr w14:paraId="1E94F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153F0A6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rPr>
              <w:t>一般工业</w:t>
            </w:r>
          </w:p>
          <w:p w14:paraId="06A2765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rPr>
              <w:t>固体废物</w:t>
            </w:r>
          </w:p>
        </w:tc>
        <w:tc>
          <w:tcPr>
            <w:tcW w:w="637" w:type="pct"/>
            <w:noWrap w:val="0"/>
            <w:vAlign w:val="center"/>
          </w:tcPr>
          <w:p w14:paraId="3E27858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废边角料</w:t>
            </w:r>
          </w:p>
        </w:tc>
        <w:tc>
          <w:tcPr>
            <w:tcW w:w="516" w:type="pct"/>
            <w:shd w:val="clear" w:color="auto" w:fill="auto"/>
            <w:noWrap w:val="0"/>
            <w:vAlign w:val="center"/>
          </w:tcPr>
          <w:p w14:paraId="39A3C7E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c>
          <w:tcPr>
            <w:tcW w:w="524" w:type="pct"/>
            <w:shd w:val="clear" w:color="auto" w:fill="auto"/>
            <w:noWrap w:val="0"/>
            <w:vAlign w:val="center"/>
          </w:tcPr>
          <w:p w14:paraId="0E29D13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c>
          <w:tcPr>
            <w:tcW w:w="577" w:type="pct"/>
            <w:noWrap w:val="0"/>
            <w:vAlign w:val="center"/>
          </w:tcPr>
          <w:p w14:paraId="7911602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b w:val="0"/>
                <w:bCs w:val="0"/>
                <w:color w:val="FF0000"/>
                <w:sz w:val="21"/>
                <w:szCs w:val="21"/>
                <w:highlight w:val="none"/>
                <w:lang w:val="en-US" w:eastAsia="zh-CN"/>
              </w:rPr>
              <w:t>/</w:t>
            </w:r>
          </w:p>
        </w:tc>
        <w:tc>
          <w:tcPr>
            <w:tcW w:w="540" w:type="pct"/>
            <w:noWrap w:val="0"/>
            <w:vAlign w:val="center"/>
          </w:tcPr>
          <w:p w14:paraId="2A28E66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c>
          <w:tcPr>
            <w:tcW w:w="606" w:type="pct"/>
            <w:noWrap w:val="0"/>
            <w:vAlign w:val="center"/>
          </w:tcPr>
          <w:p w14:paraId="600ED7C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40F3D68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c>
          <w:tcPr>
            <w:tcW w:w="576" w:type="pct"/>
            <w:shd w:val="clear" w:color="auto" w:fill="auto"/>
            <w:noWrap w:val="0"/>
            <w:vAlign w:val="center"/>
          </w:tcPr>
          <w:p w14:paraId="7F195F8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cs="宋体"/>
                <w:b w:val="0"/>
                <w:bCs w:val="0"/>
                <w:snapToGrid w:val="0"/>
                <w:color w:val="FF0000"/>
                <w:kern w:val="21"/>
                <w:sz w:val="21"/>
                <w:szCs w:val="21"/>
                <w:highlight w:val="none"/>
                <w:lang w:val="en-US" w:eastAsia="zh-CN"/>
              </w:rPr>
              <w:t>+</w:t>
            </w:r>
            <w:r>
              <w:rPr>
                <w:rFonts w:hint="eastAsia" w:ascii="Times New Roman" w:hAnsi="Times New Roman" w:eastAsia="宋体" w:cs="宋体"/>
                <w:b w:val="0"/>
                <w:bCs w:val="0"/>
                <w:color w:val="FF0000"/>
                <w:kern w:val="0"/>
                <w:sz w:val="21"/>
                <w:szCs w:val="21"/>
                <w:highlight w:val="none"/>
                <w:lang w:val="en-US" w:eastAsia="zh-CN" w:bidi="ar"/>
              </w:rPr>
              <w:t>16t/a</w:t>
            </w:r>
          </w:p>
        </w:tc>
      </w:tr>
      <w:tr w14:paraId="491CF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011D486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6B6ED2B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焊  渣</w:t>
            </w:r>
          </w:p>
        </w:tc>
        <w:tc>
          <w:tcPr>
            <w:tcW w:w="516" w:type="pct"/>
            <w:shd w:val="clear" w:color="auto" w:fill="auto"/>
            <w:noWrap w:val="0"/>
            <w:vAlign w:val="center"/>
          </w:tcPr>
          <w:p w14:paraId="649A20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0.9t/a</w:t>
            </w:r>
          </w:p>
        </w:tc>
        <w:tc>
          <w:tcPr>
            <w:tcW w:w="524" w:type="pct"/>
            <w:shd w:val="clear" w:color="auto" w:fill="auto"/>
            <w:noWrap w:val="0"/>
            <w:vAlign w:val="center"/>
          </w:tcPr>
          <w:p w14:paraId="4169360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0.9t/a</w:t>
            </w:r>
          </w:p>
        </w:tc>
        <w:tc>
          <w:tcPr>
            <w:tcW w:w="577" w:type="pct"/>
            <w:noWrap w:val="0"/>
            <w:vAlign w:val="center"/>
          </w:tcPr>
          <w:p w14:paraId="60B9F44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FF0000"/>
                <w:kern w:val="0"/>
                <w:sz w:val="21"/>
                <w:szCs w:val="21"/>
                <w:highlight w:val="none"/>
                <w:lang w:val="en-US" w:eastAsia="zh-CN" w:bidi="ar-SA"/>
              </w:rPr>
            </w:pPr>
            <w:r>
              <w:rPr>
                <w:rFonts w:hint="eastAsia" w:ascii="Times New Roman" w:hAnsi="Times New Roman" w:eastAsia="宋体" w:cstheme="minorBidi"/>
                <w:b w:val="0"/>
                <w:bCs w:val="0"/>
                <w:color w:val="FF0000"/>
                <w:kern w:val="0"/>
                <w:sz w:val="21"/>
                <w:szCs w:val="21"/>
                <w:highlight w:val="none"/>
                <w:lang w:val="en-US" w:eastAsia="zh-CN" w:bidi="ar-SA"/>
              </w:rPr>
              <w:t>/</w:t>
            </w:r>
          </w:p>
        </w:tc>
        <w:tc>
          <w:tcPr>
            <w:tcW w:w="540" w:type="pct"/>
            <w:noWrap w:val="0"/>
            <w:vAlign w:val="center"/>
          </w:tcPr>
          <w:p w14:paraId="77FA083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606" w:type="pct"/>
            <w:noWrap w:val="0"/>
            <w:vAlign w:val="center"/>
          </w:tcPr>
          <w:p w14:paraId="123ABB9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7DC9F40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0.9t/a</w:t>
            </w:r>
          </w:p>
        </w:tc>
        <w:tc>
          <w:tcPr>
            <w:tcW w:w="576" w:type="pct"/>
            <w:shd w:val="clear" w:color="auto" w:fill="auto"/>
            <w:noWrap w:val="0"/>
            <w:vAlign w:val="center"/>
          </w:tcPr>
          <w:p w14:paraId="741D045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r>
      <w:tr w14:paraId="1E1A4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5819AEF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3EDBBB3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打磨金属屑</w:t>
            </w:r>
          </w:p>
        </w:tc>
        <w:tc>
          <w:tcPr>
            <w:tcW w:w="516" w:type="pct"/>
            <w:shd w:val="clear" w:color="auto" w:fill="auto"/>
            <w:noWrap w:val="0"/>
            <w:vAlign w:val="center"/>
          </w:tcPr>
          <w:p w14:paraId="10EC01A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24" w:type="pct"/>
            <w:shd w:val="clear" w:color="auto" w:fill="auto"/>
            <w:noWrap w:val="0"/>
            <w:vAlign w:val="center"/>
          </w:tcPr>
          <w:p w14:paraId="6390EAF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77" w:type="pct"/>
            <w:noWrap w:val="0"/>
            <w:vAlign w:val="center"/>
          </w:tcPr>
          <w:p w14:paraId="5C21F43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FF0000"/>
                <w:kern w:val="0"/>
                <w:sz w:val="21"/>
                <w:szCs w:val="21"/>
                <w:highlight w:val="none"/>
                <w:lang w:val="en-US" w:eastAsia="zh-CN" w:bidi="ar-SA"/>
              </w:rPr>
            </w:pPr>
            <w:r>
              <w:rPr>
                <w:rFonts w:hint="eastAsia" w:ascii="Times New Roman" w:hAnsi="Times New Roman" w:eastAsia="宋体" w:cstheme="minorBidi"/>
                <w:b w:val="0"/>
                <w:bCs w:val="0"/>
                <w:color w:val="FF0000"/>
                <w:kern w:val="0"/>
                <w:sz w:val="21"/>
                <w:szCs w:val="21"/>
                <w:highlight w:val="none"/>
                <w:lang w:val="en-US" w:eastAsia="zh-CN" w:bidi="ar-SA"/>
              </w:rPr>
              <w:t>/</w:t>
            </w:r>
          </w:p>
        </w:tc>
        <w:tc>
          <w:tcPr>
            <w:tcW w:w="540" w:type="pct"/>
            <w:noWrap w:val="0"/>
            <w:vAlign w:val="center"/>
          </w:tcPr>
          <w:p w14:paraId="6FACCB2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606" w:type="pct"/>
            <w:noWrap w:val="0"/>
            <w:vAlign w:val="center"/>
          </w:tcPr>
          <w:p w14:paraId="28AE053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0DA7E45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76" w:type="pct"/>
            <w:shd w:val="clear" w:color="auto" w:fill="auto"/>
            <w:noWrap w:val="0"/>
            <w:vAlign w:val="center"/>
          </w:tcPr>
          <w:p w14:paraId="0363E9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r>
      <w:tr w14:paraId="0152F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23D9E2F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36F2D15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不合格品</w:t>
            </w:r>
          </w:p>
        </w:tc>
        <w:tc>
          <w:tcPr>
            <w:tcW w:w="516" w:type="pct"/>
            <w:shd w:val="clear" w:color="auto" w:fill="auto"/>
            <w:noWrap w:val="0"/>
            <w:vAlign w:val="center"/>
          </w:tcPr>
          <w:p w14:paraId="4BBB475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4t/a</w:t>
            </w:r>
          </w:p>
        </w:tc>
        <w:tc>
          <w:tcPr>
            <w:tcW w:w="524" w:type="pct"/>
            <w:shd w:val="clear" w:color="auto" w:fill="auto"/>
            <w:noWrap w:val="0"/>
            <w:vAlign w:val="center"/>
          </w:tcPr>
          <w:p w14:paraId="0E2E869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4t/a</w:t>
            </w:r>
          </w:p>
        </w:tc>
        <w:tc>
          <w:tcPr>
            <w:tcW w:w="577" w:type="pct"/>
            <w:noWrap w:val="0"/>
            <w:vAlign w:val="center"/>
          </w:tcPr>
          <w:p w14:paraId="5C774CD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color w:val="FF0000"/>
                <w:kern w:val="0"/>
                <w:sz w:val="21"/>
                <w:szCs w:val="21"/>
                <w:highlight w:val="none"/>
                <w:lang w:val="en-US" w:eastAsia="zh-CN" w:bidi="ar-SA"/>
              </w:rPr>
            </w:pPr>
            <w:r>
              <w:rPr>
                <w:rFonts w:hint="eastAsia" w:ascii="Times New Roman" w:hAnsi="Times New Roman" w:eastAsia="宋体" w:cstheme="minorBidi"/>
                <w:b w:val="0"/>
                <w:bCs w:val="0"/>
                <w:color w:val="FF0000"/>
                <w:kern w:val="0"/>
                <w:sz w:val="21"/>
                <w:szCs w:val="21"/>
                <w:highlight w:val="none"/>
                <w:lang w:val="en-US" w:eastAsia="zh-CN" w:bidi="ar-SA"/>
              </w:rPr>
              <w:t>/</w:t>
            </w:r>
          </w:p>
        </w:tc>
        <w:tc>
          <w:tcPr>
            <w:tcW w:w="540" w:type="pct"/>
            <w:noWrap w:val="0"/>
            <w:vAlign w:val="center"/>
          </w:tcPr>
          <w:p w14:paraId="51C24E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c>
          <w:tcPr>
            <w:tcW w:w="606" w:type="pct"/>
            <w:noWrap w:val="0"/>
            <w:vAlign w:val="center"/>
          </w:tcPr>
          <w:p w14:paraId="7E9D895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246742B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20t/a</w:t>
            </w:r>
          </w:p>
        </w:tc>
        <w:tc>
          <w:tcPr>
            <w:tcW w:w="576" w:type="pct"/>
            <w:shd w:val="clear" w:color="auto" w:fill="auto"/>
            <w:noWrap w:val="0"/>
            <w:vAlign w:val="center"/>
          </w:tcPr>
          <w:p w14:paraId="38F563C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+16t/a</w:t>
            </w:r>
          </w:p>
        </w:tc>
      </w:tr>
      <w:tr w14:paraId="5884B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079C7AA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52C23E3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除尘灰</w:t>
            </w:r>
          </w:p>
        </w:tc>
        <w:tc>
          <w:tcPr>
            <w:tcW w:w="516" w:type="pct"/>
            <w:shd w:val="clear" w:color="auto" w:fill="auto"/>
            <w:noWrap w:val="0"/>
            <w:vAlign w:val="center"/>
          </w:tcPr>
          <w:p w14:paraId="527BF3E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b w:val="0"/>
                <w:bCs w:val="0"/>
                <w:color w:val="FF0000"/>
                <w:sz w:val="21"/>
                <w:szCs w:val="21"/>
                <w:highlight w:val="none"/>
                <w:lang w:val="en-US" w:eastAsia="zh-CN"/>
              </w:rPr>
              <w:t>0.354</w:t>
            </w:r>
            <w:r>
              <w:rPr>
                <w:rFonts w:hint="default" w:ascii="Times New Roman" w:hAnsi="Times New Roman" w:eastAsia="宋体"/>
                <w:b w:val="0"/>
                <w:bCs w:val="0"/>
                <w:color w:val="FF0000"/>
                <w:sz w:val="21"/>
                <w:szCs w:val="21"/>
                <w:highlight w:val="none"/>
                <w:lang w:val="en-US" w:eastAsia="zh-CN"/>
              </w:rPr>
              <w:t>t/a</w:t>
            </w:r>
          </w:p>
        </w:tc>
        <w:tc>
          <w:tcPr>
            <w:tcW w:w="524" w:type="pct"/>
            <w:shd w:val="clear" w:color="auto" w:fill="auto"/>
            <w:noWrap w:val="0"/>
            <w:vAlign w:val="center"/>
          </w:tcPr>
          <w:p w14:paraId="5599375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b w:val="0"/>
                <w:bCs w:val="0"/>
                <w:color w:val="FF0000"/>
                <w:sz w:val="21"/>
                <w:szCs w:val="21"/>
                <w:highlight w:val="none"/>
                <w:lang w:val="en-US" w:eastAsia="zh-CN"/>
              </w:rPr>
              <w:t>0.354</w:t>
            </w:r>
            <w:r>
              <w:rPr>
                <w:rFonts w:hint="default" w:ascii="Times New Roman" w:hAnsi="Times New Roman" w:eastAsia="宋体"/>
                <w:b w:val="0"/>
                <w:bCs w:val="0"/>
                <w:color w:val="FF0000"/>
                <w:sz w:val="21"/>
                <w:szCs w:val="21"/>
                <w:highlight w:val="none"/>
                <w:lang w:val="en-US" w:eastAsia="zh-CN"/>
              </w:rPr>
              <w:t>t/a</w:t>
            </w:r>
          </w:p>
        </w:tc>
        <w:tc>
          <w:tcPr>
            <w:tcW w:w="577" w:type="pct"/>
            <w:noWrap w:val="0"/>
            <w:vAlign w:val="center"/>
          </w:tcPr>
          <w:p w14:paraId="0D9384A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noWrap w:val="0"/>
            <w:vAlign w:val="center"/>
          </w:tcPr>
          <w:p w14:paraId="407814B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b w:val="0"/>
                <w:bCs w:val="0"/>
                <w:color w:val="FF0000"/>
                <w:sz w:val="21"/>
                <w:szCs w:val="21"/>
                <w:highlight w:val="none"/>
                <w:lang w:val="en-US" w:eastAsia="zh-CN"/>
              </w:rPr>
              <w:t>2.017</w:t>
            </w:r>
            <w:r>
              <w:rPr>
                <w:rFonts w:hint="default" w:ascii="Times New Roman" w:hAnsi="Times New Roman" w:eastAsia="宋体"/>
                <w:b w:val="0"/>
                <w:bCs w:val="0"/>
                <w:color w:val="FF0000"/>
                <w:sz w:val="21"/>
                <w:szCs w:val="21"/>
                <w:highlight w:val="none"/>
                <w:lang w:val="en-US" w:eastAsia="zh-CN"/>
              </w:rPr>
              <w:t>t/a</w:t>
            </w:r>
          </w:p>
        </w:tc>
        <w:tc>
          <w:tcPr>
            <w:tcW w:w="606" w:type="pct"/>
            <w:noWrap w:val="0"/>
            <w:vAlign w:val="center"/>
          </w:tcPr>
          <w:p w14:paraId="45CF2BA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2142E0C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b w:val="0"/>
                <w:bCs w:val="0"/>
                <w:color w:val="FF0000"/>
                <w:sz w:val="21"/>
                <w:szCs w:val="21"/>
                <w:highlight w:val="none"/>
                <w:lang w:val="en-US" w:eastAsia="zh-CN"/>
              </w:rPr>
              <w:t>2.371</w:t>
            </w:r>
            <w:r>
              <w:rPr>
                <w:rFonts w:hint="default" w:ascii="Times New Roman" w:hAnsi="Times New Roman" w:eastAsia="宋体"/>
                <w:b w:val="0"/>
                <w:bCs w:val="0"/>
                <w:color w:val="FF0000"/>
                <w:sz w:val="21"/>
                <w:szCs w:val="21"/>
                <w:highlight w:val="none"/>
                <w:lang w:val="en-US" w:eastAsia="zh-CN"/>
              </w:rPr>
              <w:t>t/a</w:t>
            </w:r>
          </w:p>
        </w:tc>
        <w:tc>
          <w:tcPr>
            <w:tcW w:w="576" w:type="pct"/>
            <w:shd w:val="clear" w:color="auto" w:fill="auto"/>
            <w:noWrap w:val="0"/>
            <w:vAlign w:val="center"/>
          </w:tcPr>
          <w:p w14:paraId="4E8CC54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b w:val="0"/>
                <w:bCs w:val="0"/>
                <w:color w:val="FF0000"/>
                <w:sz w:val="21"/>
                <w:szCs w:val="21"/>
                <w:highlight w:val="none"/>
                <w:lang w:val="en-US" w:eastAsia="zh-CN"/>
              </w:rPr>
              <w:t>+2.017</w:t>
            </w:r>
            <w:r>
              <w:rPr>
                <w:rFonts w:hint="default" w:ascii="Times New Roman" w:hAnsi="Times New Roman" w:eastAsia="宋体"/>
                <w:b w:val="0"/>
                <w:bCs w:val="0"/>
                <w:color w:val="FF0000"/>
                <w:sz w:val="21"/>
                <w:szCs w:val="21"/>
                <w:highlight w:val="none"/>
                <w:lang w:val="en-US" w:eastAsia="zh-CN"/>
              </w:rPr>
              <w:t>t/a</w:t>
            </w:r>
          </w:p>
        </w:tc>
      </w:tr>
      <w:tr w14:paraId="796CC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6A703E4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50047AF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废钢丸</w:t>
            </w:r>
          </w:p>
        </w:tc>
        <w:tc>
          <w:tcPr>
            <w:tcW w:w="516" w:type="pct"/>
            <w:shd w:val="clear" w:color="auto" w:fill="auto"/>
            <w:noWrap w:val="0"/>
            <w:vAlign w:val="center"/>
          </w:tcPr>
          <w:p w14:paraId="62B118C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w:t>
            </w:r>
          </w:p>
        </w:tc>
        <w:tc>
          <w:tcPr>
            <w:tcW w:w="524" w:type="pct"/>
            <w:shd w:val="clear" w:color="auto" w:fill="auto"/>
            <w:noWrap w:val="0"/>
            <w:vAlign w:val="center"/>
          </w:tcPr>
          <w:p w14:paraId="4A32E78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w:t>
            </w:r>
          </w:p>
        </w:tc>
        <w:tc>
          <w:tcPr>
            <w:tcW w:w="577" w:type="pct"/>
            <w:noWrap w:val="0"/>
            <w:vAlign w:val="center"/>
          </w:tcPr>
          <w:p w14:paraId="2BA4CE7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noWrap w:val="0"/>
            <w:vAlign w:val="center"/>
          </w:tcPr>
          <w:p w14:paraId="4500736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0.2t/a</w:t>
            </w:r>
          </w:p>
        </w:tc>
        <w:tc>
          <w:tcPr>
            <w:tcW w:w="606" w:type="pct"/>
            <w:noWrap w:val="0"/>
            <w:vAlign w:val="center"/>
          </w:tcPr>
          <w:p w14:paraId="51D3835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rPr>
            </w:pPr>
            <w:r>
              <w:rPr>
                <w:rFonts w:hint="eastAsia" w:ascii="Times New Roman" w:cs="宋体"/>
                <w:b w:val="0"/>
                <w:bCs w:val="0"/>
                <w:snapToGrid w:val="0"/>
                <w:color w:val="FF0000"/>
                <w:kern w:val="21"/>
                <w:sz w:val="21"/>
                <w:szCs w:val="21"/>
                <w:highlight w:val="none"/>
                <w:lang w:val="en-US" w:eastAsia="zh-CN"/>
              </w:rPr>
              <w:t>0</w:t>
            </w:r>
          </w:p>
        </w:tc>
        <w:tc>
          <w:tcPr>
            <w:tcW w:w="599" w:type="pct"/>
            <w:noWrap w:val="0"/>
            <w:vAlign w:val="center"/>
          </w:tcPr>
          <w:p w14:paraId="050B6D0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0.2t/a</w:t>
            </w:r>
          </w:p>
        </w:tc>
        <w:tc>
          <w:tcPr>
            <w:tcW w:w="576" w:type="pct"/>
            <w:shd w:val="clear" w:color="auto" w:fill="auto"/>
            <w:noWrap w:val="0"/>
            <w:vAlign w:val="center"/>
          </w:tcPr>
          <w:p w14:paraId="5DCF453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+0.2t/a</w:t>
            </w:r>
          </w:p>
        </w:tc>
      </w:tr>
      <w:tr w14:paraId="4045E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1F5756E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3A9DFE9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废包装</w:t>
            </w:r>
          </w:p>
        </w:tc>
        <w:tc>
          <w:tcPr>
            <w:tcW w:w="516" w:type="pct"/>
            <w:shd w:val="clear" w:color="auto" w:fill="auto"/>
            <w:noWrap w:val="0"/>
            <w:vAlign w:val="center"/>
          </w:tcPr>
          <w:p w14:paraId="66E5C36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w:t>
            </w:r>
          </w:p>
        </w:tc>
        <w:tc>
          <w:tcPr>
            <w:tcW w:w="524" w:type="pct"/>
            <w:shd w:val="clear" w:color="auto" w:fill="auto"/>
            <w:noWrap w:val="0"/>
            <w:vAlign w:val="center"/>
          </w:tcPr>
          <w:p w14:paraId="738384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b w:val="0"/>
                <w:bCs w:val="0"/>
                <w:color w:val="FF0000"/>
                <w:sz w:val="21"/>
                <w:szCs w:val="21"/>
                <w:highlight w:val="none"/>
                <w:lang w:val="en-US" w:eastAsia="zh-CN"/>
              </w:rPr>
            </w:pPr>
            <w:r>
              <w:rPr>
                <w:rFonts w:hint="eastAsia" w:ascii="Times New Roman" w:hAnsi="Times New Roman" w:eastAsia="宋体"/>
                <w:b w:val="0"/>
                <w:bCs w:val="0"/>
                <w:color w:val="FF0000"/>
                <w:sz w:val="21"/>
                <w:szCs w:val="21"/>
                <w:highlight w:val="none"/>
                <w:lang w:val="en-US" w:eastAsia="zh-CN"/>
              </w:rPr>
              <w:t>0</w:t>
            </w:r>
          </w:p>
        </w:tc>
        <w:tc>
          <w:tcPr>
            <w:tcW w:w="577" w:type="pct"/>
            <w:noWrap w:val="0"/>
            <w:vAlign w:val="center"/>
          </w:tcPr>
          <w:p w14:paraId="64555CE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shd w:val="clear" w:color="auto" w:fill="auto"/>
            <w:noWrap w:val="0"/>
            <w:vAlign w:val="center"/>
          </w:tcPr>
          <w:p w14:paraId="151BB7E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color w:val="FF0000"/>
                <w:kern w:val="2"/>
                <w:sz w:val="21"/>
                <w:szCs w:val="21"/>
                <w:highlight w:val="none"/>
                <w:lang w:val="en-US" w:eastAsia="zh-CN" w:bidi="ar-SA"/>
              </w:rPr>
            </w:pPr>
            <w:r>
              <w:rPr>
                <w:rFonts w:hint="eastAsia" w:ascii="Times New Roman" w:hAnsi="Times New Roman" w:eastAsia="宋体"/>
                <w:b w:val="0"/>
                <w:bCs w:val="0"/>
                <w:color w:val="FF0000"/>
                <w:sz w:val="21"/>
                <w:szCs w:val="21"/>
                <w:highlight w:val="none"/>
                <w:lang w:val="en-US" w:eastAsia="zh-CN"/>
              </w:rPr>
              <w:t>0.1t/a</w:t>
            </w:r>
          </w:p>
        </w:tc>
        <w:tc>
          <w:tcPr>
            <w:tcW w:w="606" w:type="pct"/>
            <w:shd w:val="clear" w:color="auto" w:fill="auto"/>
            <w:noWrap w:val="0"/>
            <w:vAlign w:val="center"/>
          </w:tcPr>
          <w:p w14:paraId="48E821C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rPr>
              <w:t>0</w:t>
            </w:r>
          </w:p>
        </w:tc>
        <w:tc>
          <w:tcPr>
            <w:tcW w:w="599" w:type="pct"/>
            <w:shd w:val="clear" w:color="auto" w:fill="auto"/>
            <w:noWrap w:val="0"/>
            <w:vAlign w:val="center"/>
          </w:tcPr>
          <w:p w14:paraId="2A98426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color w:val="FF0000"/>
                <w:kern w:val="2"/>
                <w:sz w:val="21"/>
                <w:szCs w:val="21"/>
                <w:highlight w:val="none"/>
                <w:lang w:val="en-US" w:eastAsia="zh-CN" w:bidi="ar-SA"/>
              </w:rPr>
            </w:pPr>
            <w:r>
              <w:rPr>
                <w:rFonts w:hint="eastAsia" w:ascii="Times New Roman" w:hAnsi="Times New Roman" w:eastAsia="宋体"/>
                <w:b w:val="0"/>
                <w:bCs w:val="0"/>
                <w:color w:val="FF0000"/>
                <w:sz w:val="21"/>
                <w:szCs w:val="21"/>
                <w:highlight w:val="none"/>
                <w:lang w:val="en-US" w:eastAsia="zh-CN"/>
              </w:rPr>
              <w:t>0.1t/a</w:t>
            </w:r>
          </w:p>
        </w:tc>
        <w:tc>
          <w:tcPr>
            <w:tcW w:w="576" w:type="pct"/>
            <w:shd w:val="clear" w:color="auto" w:fill="auto"/>
            <w:noWrap w:val="0"/>
            <w:vAlign w:val="center"/>
          </w:tcPr>
          <w:p w14:paraId="3AB515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color w:val="FF0000"/>
                <w:kern w:val="2"/>
                <w:sz w:val="21"/>
                <w:szCs w:val="21"/>
                <w:highlight w:val="none"/>
                <w:lang w:val="en-US" w:eastAsia="zh-CN" w:bidi="ar-SA"/>
              </w:rPr>
            </w:pPr>
            <w:r>
              <w:rPr>
                <w:rFonts w:hint="eastAsia" w:ascii="Times New Roman" w:hAnsi="Times New Roman" w:eastAsia="宋体"/>
                <w:b w:val="0"/>
                <w:bCs w:val="0"/>
                <w:color w:val="FF0000"/>
                <w:sz w:val="21"/>
                <w:szCs w:val="21"/>
                <w:highlight w:val="none"/>
                <w:lang w:val="en-US" w:eastAsia="zh-CN"/>
              </w:rPr>
              <w:t>+0.1t/a</w:t>
            </w:r>
          </w:p>
        </w:tc>
      </w:tr>
      <w:tr w14:paraId="73C12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3B4B7F8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r>
              <w:rPr>
                <w:rFonts w:hint="eastAsia" w:ascii="Times New Roman" w:hAnsi="Times New Roman" w:eastAsia="宋体" w:cs="宋体"/>
                <w:b w:val="0"/>
                <w:bCs w:val="0"/>
                <w:snapToGrid w:val="0"/>
                <w:color w:val="FF0000"/>
                <w:kern w:val="21"/>
                <w:sz w:val="21"/>
                <w:szCs w:val="21"/>
                <w:highlight w:val="none"/>
              </w:rPr>
              <w:t>危险废物</w:t>
            </w:r>
          </w:p>
        </w:tc>
        <w:tc>
          <w:tcPr>
            <w:tcW w:w="637" w:type="pct"/>
            <w:noWrap w:val="0"/>
            <w:vAlign w:val="center"/>
          </w:tcPr>
          <w:p w14:paraId="49F2A63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废切削液</w:t>
            </w:r>
          </w:p>
        </w:tc>
        <w:tc>
          <w:tcPr>
            <w:tcW w:w="516" w:type="pct"/>
            <w:shd w:val="clear" w:color="auto" w:fill="auto"/>
            <w:noWrap w:val="0"/>
            <w:vAlign w:val="center"/>
          </w:tcPr>
          <w:p w14:paraId="29A5C8F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0.3t/a</w:t>
            </w:r>
          </w:p>
        </w:tc>
        <w:tc>
          <w:tcPr>
            <w:tcW w:w="524" w:type="pct"/>
            <w:shd w:val="clear" w:color="auto" w:fill="auto"/>
            <w:noWrap w:val="0"/>
            <w:vAlign w:val="center"/>
          </w:tcPr>
          <w:p w14:paraId="1862004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0.3t/a</w:t>
            </w:r>
          </w:p>
        </w:tc>
        <w:tc>
          <w:tcPr>
            <w:tcW w:w="577" w:type="pct"/>
            <w:noWrap w:val="0"/>
            <w:vAlign w:val="center"/>
          </w:tcPr>
          <w:p w14:paraId="687C1E3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noWrap w:val="0"/>
            <w:vAlign w:val="center"/>
          </w:tcPr>
          <w:p w14:paraId="57CE8FD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606" w:type="pct"/>
            <w:noWrap w:val="0"/>
            <w:vAlign w:val="center"/>
          </w:tcPr>
          <w:p w14:paraId="3AA6465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5600A28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0.3t/a</w:t>
            </w:r>
          </w:p>
        </w:tc>
        <w:tc>
          <w:tcPr>
            <w:tcW w:w="576" w:type="pct"/>
            <w:shd w:val="clear" w:color="auto" w:fill="auto"/>
            <w:noWrap w:val="0"/>
            <w:vAlign w:val="center"/>
          </w:tcPr>
          <w:p w14:paraId="4BABF13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w:t>
            </w:r>
          </w:p>
        </w:tc>
      </w:tr>
      <w:tr w14:paraId="4CFA9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49E7A3A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449A5D1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含油铁屑</w:t>
            </w:r>
          </w:p>
        </w:tc>
        <w:tc>
          <w:tcPr>
            <w:tcW w:w="516" w:type="pct"/>
            <w:shd w:val="clear" w:color="auto" w:fill="auto"/>
            <w:noWrap w:val="0"/>
            <w:vAlign w:val="center"/>
          </w:tcPr>
          <w:p w14:paraId="7F33AE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1t/a</w:t>
            </w:r>
          </w:p>
        </w:tc>
        <w:tc>
          <w:tcPr>
            <w:tcW w:w="524" w:type="pct"/>
            <w:shd w:val="clear" w:color="auto" w:fill="auto"/>
            <w:noWrap w:val="0"/>
            <w:vAlign w:val="center"/>
          </w:tcPr>
          <w:p w14:paraId="1DC0971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1t/a</w:t>
            </w:r>
          </w:p>
        </w:tc>
        <w:tc>
          <w:tcPr>
            <w:tcW w:w="577" w:type="pct"/>
            <w:noWrap w:val="0"/>
            <w:vAlign w:val="center"/>
          </w:tcPr>
          <w:p w14:paraId="6C188E7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noWrap w:val="0"/>
            <w:vAlign w:val="center"/>
          </w:tcPr>
          <w:p w14:paraId="5F2DF74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606" w:type="pct"/>
            <w:noWrap w:val="0"/>
            <w:vAlign w:val="center"/>
          </w:tcPr>
          <w:p w14:paraId="32CD90F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bidi="ar-SA"/>
              </w:rPr>
              <w:t>0</w:t>
            </w:r>
          </w:p>
        </w:tc>
        <w:tc>
          <w:tcPr>
            <w:tcW w:w="599" w:type="pct"/>
            <w:noWrap w:val="0"/>
            <w:vAlign w:val="center"/>
          </w:tcPr>
          <w:p w14:paraId="79A2F83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1t/a</w:t>
            </w:r>
          </w:p>
        </w:tc>
        <w:tc>
          <w:tcPr>
            <w:tcW w:w="576" w:type="pct"/>
            <w:shd w:val="clear" w:color="auto" w:fill="auto"/>
            <w:noWrap w:val="0"/>
            <w:vAlign w:val="center"/>
          </w:tcPr>
          <w:p w14:paraId="1D76736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r>
      <w:tr w14:paraId="17280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1EB8CC6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4EB3F76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废机油</w:t>
            </w:r>
          </w:p>
        </w:tc>
        <w:tc>
          <w:tcPr>
            <w:tcW w:w="516" w:type="pct"/>
            <w:shd w:val="clear" w:color="auto" w:fill="auto"/>
            <w:noWrap w:val="0"/>
            <w:vAlign w:val="center"/>
          </w:tcPr>
          <w:p w14:paraId="3FA48BD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0.3t/a</w:t>
            </w:r>
          </w:p>
        </w:tc>
        <w:tc>
          <w:tcPr>
            <w:tcW w:w="524" w:type="pct"/>
            <w:shd w:val="clear" w:color="auto" w:fill="auto"/>
            <w:noWrap w:val="0"/>
            <w:vAlign w:val="center"/>
          </w:tcPr>
          <w:p w14:paraId="6FDDAEB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0.3t/a</w:t>
            </w:r>
          </w:p>
        </w:tc>
        <w:tc>
          <w:tcPr>
            <w:tcW w:w="577" w:type="pct"/>
            <w:noWrap w:val="0"/>
            <w:vAlign w:val="center"/>
          </w:tcPr>
          <w:p w14:paraId="3A14CEE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noWrap w:val="0"/>
            <w:vAlign w:val="center"/>
          </w:tcPr>
          <w:p w14:paraId="28CA963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c>
          <w:tcPr>
            <w:tcW w:w="606" w:type="pct"/>
            <w:noWrap w:val="0"/>
            <w:vAlign w:val="center"/>
          </w:tcPr>
          <w:p w14:paraId="4FA8197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421912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0.4t/a</w:t>
            </w:r>
          </w:p>
        </w:tc>
        <w:tc>
          <w:tcPr>
            <w:tcW w:w="576" w:type="pct"/>
            <w:shd w:val="clear" w:color="auto" w:fill="auto"/>
            <w:noWrap w:val="0"/>
            <w:vAlign w:val="center"/>
          </w:tcPr>
          <w:p w14:paraId="5A5B7DF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r>
      <w:tr w14:paraId="4CA84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057774C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noWrap w:val="0"/>
            <w:vAlign w:val="center"/>
          </w:tcPr>
          <w:p w14:paraId="03C5950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废液压油</w:t>
            </w:r>
          </w:p>
        </w:tc>
        <w:tc>
          <w:tcPr>
            <w:tcW w:w="516" w:type="pct"/>
            <w:shd w:val="clear" w:color="auto" w:fill="auto"/>
            <w:noWrap w:val="0"/>
            <w:vAlign w:val="center"/>
          </w:tcPr>
          <w:p w14:paraId="55E6CBA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24" w:type="pct"/>
            <w:shd w:val="clear" w:color="auto" w:fill="auto"/>
            <w:noWrap w:val="0"/>
            <w:vAlign w:val="center"/>
          </w:tcPr>
          <w:p w14:paraId="6F7A3CC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77" w:type="pct"/>
            <w:noWrap w:val="0"/>
            <w:vAlign w:val="center"/>
          </w:tcPr>
          <w:p w14:paraId="510A8C2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noWrap w:val="0"/>
            <w:vAlign w:val="center"/>
          </w:tcPr>
          <w:p w14:paraId="4E16EBB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606" w:type="pct"/>
            <w:noWrap w:val="0"/>
            <w:vAlign w:val="center"/>
          </w:tcPr>
          <w:p w14:paraId="4453BD8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noWrap w:val="0"/>
            <w:vAlign w:val="center"/>
          </w:tcPr>
          <w:p w14:paraId="466926F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0.5t/a</w:t>
            </w:r>
          </w:p>
        </w:tc>
        <w:tc>
          <w:tcPr>
            <w:tcW w:w="576" w:type="pct"/>
            <w:shd w:val="clear" w:color="auto" w:fill="auto"/>
            <w:noWrap w:val="0"/>
            <w:vAlign w:val="center"/>
          </w:tcPr>
          <w:p w14:paraId="519AB7F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r>
      <w:tr w14:paraId="6D6D3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7D78A7C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vAlign w:val="center"/>
          </w:tcPr>
          <w:p w14:paraId="32BC240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废油桶</w:t>
            </w:r>
          </w:p>
        </w:tc>
        <w:tc>
          <w:tcPr>
            <w:tcW w:w="516" w:type="pct"/>
            <w:shd w:val="clear" w:color="auto" w:fill="auto"/>
            <w:vAlign w:val="center"/>
          </w:tcPr>
          <w:p w14:paraId="0EBAACC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524" w:type="pct"/>
            <w:shd w:val="clear" w:color="auto" w:fill="auto"/>
            <w:vAlign w:val="center"/>
          </w:tcPr>
          <w:p w14:paraId="7F6A262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577" w:type="pct"/>
            <w:vAlign w:val="center"/>
          </w:tcPr>
          <w:p w14:paraId="37AAC5E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vAlign w:val="center"/>
          </w:tcPr>
          <w:p w14:paraId="1E4F499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606" w:type="pct"/>
            <w:vAlign w:val="center"/>
          </w:tcPr>
          <w:p w14:paraId="6FC5687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vAlign w:val="center"/>
          </w:tcPr>
          <w:p w14:paraId="2E81E72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0.04t/a</w:t>
            </w:r>
          </w:p>
        </w:tc>
        <w:tc>
          <w:tcPr>
            <w:tcW w:w="576" w:type="pct"/>
            <w:shd w:val="clear" w:color="auto" w:fill="auto"/>
            <w:vAlign w:val="center"/>
          </w:tcPr>
          <w:p w14:paraId="498C1BE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r>
      <w:tr w14:paraId="6AB7F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FB596D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vAlign w:val="center"/>
          </w:tcPr>
          <w:p w14:paraId="3ACDF14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空压机含油废水</w:t>
            </w:r>
          </w:p>
        </w:tc>
        <w:tc>
          <w:tcPr>
            <w:tcW w:w="516" w:type="pct"/>
            <w:shd w:val="clear" w:color="auto" w:fill="auto"/>
            <w:vAlign w:val="center"/>
          </w:tcPr>
          <w:p w14:paraId="1D0A0A1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524" w:type="pct"/>
            <w:shd w:val="clear" w:color="auto" w:fill="auto"/>
            <w:vAlign w:val="center"/>
          </w:tcPr>
          <w:p w14:paraId="664BB63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577" w:type="pct"/>
            <w:vAlign w:val="center"/>
          </w:tcPr>
          <w:p w14:paraId="39CBA48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vAlign w:val="center"/>
          </w:tcPr>
          <w:p w14:paraId="0E5ACBC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c>
          <w:tcPr>
            <w:tcW w:w="606" w:type="pct"/>
            <w:vAlign w:val="center"/>
          </w:tcPr>
          <w:p w14:paraId="47A8661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bidi="ar-SA"/>
              </w:rPr>
              <w:t>0</w:t>
            </w:r>
          </w:p>
        </w:tc>
        <w:tc>
          <w:tcPr>
            <w:tcW w:w="599" w:type="pct"/>
            <w:vAlign w:val="center"/>
          </w:tcPr>
          <w:p w14:paraId="6B61AC8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0.04t/a</w:t>
            </w:r>
          </w:p>
        </w:tc>
        <w:tc>
          <w:tcPr>
            <w:tcW w:w="576" w:type="pct"/>
            <w:shd w:val="clear" w:color="auto" w:fill="auto"/>
            <w:vAlign w:val="center"/>
          </w:tcPr>
          <w:p w14:paraId="1AE561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+0.02t/a</w:t>
            </w:r>
          </w:p>
        </w:tc>
      </w:tr>
      <w:tr w14:paraId="1627D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062E35E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vAlign w:val="center"/>
          </w:tcPr>
          <w:p w14:paraId="79831FD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废活性炭</w:t>
            </w:r>
          </w:p>
        </w:tc>
        <w:tc>
          <w:tcPr>
            <w:tcW w:w="516" w:type="pct"/>
            <w:shd w:val="clear" w:color="auto" w:fill="auto"/>
            <w:vAlign w:val="center"/>
          </w:tcPr>
          <w:p w14:paraId="0371EFF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524" w:type="pct"/>
            <w:shd w:val="clear" w:color="auto" w:fill="auto"/>
            <w:vAlign w:val="center"/>
          </w:tcPr>
          <w:p w14:paraId="6933B35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577" w:type="pct"/>
            <w:vAlign w:val="center"/>
          </w:tcPr>
          <w:p w14:paraId="7D02CAC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vAlign w:val="center"/>
          </w:tcPr>
          <w:p w14:paraId="14429E1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c>
          <w:tcPr>
            <w:tcW w:w="606" w:type="pct"/>
            <w:vAlign w:val="center"/>
          </w:tcPr>
          <w:p w14:paraId="091D079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bidi="ar-SA"/>
              </w:rPr>
              <w:t>0</w:t>
            </w:r>
          </w:p>
        </w:tc>
        <w:tc>
          <w:tcPr>
            <w:tcW w:w="599" w:type="pct"/>
            <w:vAlign w:val="center"/>
          </w:tcPr>
          <w:p w14:paraId="7284444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c>
          <w:tcPr>
            <w:tcW w:w="576" w:type="pct"/>
            <w:shd w:val="clear" w:color="auto" w:fill="auto"/>
            <w:vAlign w:val="center"/>
          </w:tcPr>
          <w:p w14:paraId="35B12B8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r>
      <w:tr w14:paraId="49AFB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31A2BF0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vAlign w:val="center"/>
          </w:tcPr>
          <w:p w14:paraId="7DAA4A3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废过滤棉</w:t>
            </w:r>
          </w:p>
        </w:tc>
        <w:tc>
          <w:tcPr>
            <w:tcW w:w="516" w:type="pct"/>
            <w:shd w:val="clear" w:color="auto" w:fill="auto"/>
            <w:vAlign w:val="center"/>
          </w:tcPr>
          <w:p w14:paraId="3176DD1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524" w:type="pct"/>
            <w:shd w:val="clear" w:color="auto" w:fill="auto"/>
            <w:vAlign w:val="center"/>
          </w:tcPr>
          <w:p w14:paraId="4312D29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w:t>
            </w:r>
          </w:p>
        </w:tc>
        <w:tc>
          <w:tcPr>
            <w:tcW w:w="577" w:type="pct"/>
            <w:vAlign w:val="center"/>
          </w:tcPr>
          <w:p w14:paraId="222F406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cs="宋体"/>
                <w:b w:val="0"/>
                <w:bCs w:val="0"/>
                <w:color w:val="FF0000"/>
                <w:kern w:val="0"/>
                <w:sz w:val="21"/>
                <w:szCs w:val="21"/>
                <w:highlight w:val="none"/>
                <w:lang w:val="en-US" w:eastAsia="zh-CN" w:bidi="ar"/>
              </w:rPr>
            </w:pPr>
            <w:r>
              <w:rPr>
                <w:rFonts w:hint="eastAsia" w:ascii="Times New Roman" w:cs="宋体"/>
                <w:b w:val="0"/>
                <w:bCs w:val="0"/>
                <w:color w:val="FF0000"/>
                <w:kern w:val="0"/>
                <w:sz w:val="21"/>
                <w:szCs w:val="21"/>
                <w:highlight w:val="none"/>
                <w:lang w:val="en-US" w:eastAsia="zh-CN" w:bidi="ar"/>
              </w:rPr>
              <w:t>/</w:t>
            </w:r>
          </w:p>
        </w:tc>
        <w:tc>
          <w:tcPr>
            <w:tcW w:w="540" w:type="pct"/>
            <w:vAlign w:val="center"/>
          </w:tcPr>
          <w:p w14:paraId="2F9844B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0.05t/a</w:t>
            </w:r>
          </w:p>
        </w:tc>
        <w:tc>
          <w:tcPr>
            <w:tcW w:w="606" w:type="pct"/>
            <w:vAlign w:val="center"/>
          </w:tcPr>
          <w:p w14:paraId="53B8C31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cs="宋体"/>
                <w:b w:val="0"/>
                <w:bCs w:val="0"/>
                <w:snapToGrid w:val="0"/>
                <w:color w:val="FF0000"/>
                <w:kern w:val="21"/>
                <w:sz w:val="21"/>
                <w:szCs w:val="21"/>
                <w:highlight w:val="none"/>
                <w:lang w:val="en-US" w:eastAsia="zh-CN" w:bidi="ar-SA"/>
              </w:rPr>
            </w:pPr>
            <w:r>
              <w:rPr>
                <w:rFonts w:hint="eastAsia" w:ascii="Times New Roman" w:cs="宋体"/>
                <w:b w:val="0"/>
                <w:bCs w:val="0"/>
                <w:snapToGrid w:val="0"/>
                <w:color w:val="FF0000"/>
                <w:kern w:val="21"/>
                <w:sz w:val="21"/>
                <w:szCs w:val="21"/>
                <w:highlight w:val="none"/>
                <w:lang w:val="en-US" w:eastAsia="zh-CN" w:bidi="ar-SA"/>
              </w:rPr>
              <w:t>0</w:t>
            </w:r>
          </w:p>
        </w:tc>
        <w:tc>
          <w:tcPr>
            <w:tcW w:w="599" w:type="pct"/>
            <w:vAlign w:val="center"/>
          </w:tcPr>
          <w:p w14:paraId="27CC050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0.05t/a</w:t>
            </w:r>
          </w:p>
        </w:tc>
        <w:tc>
          <w:tcPr>
            <w:tcW w:w="576" w:type="pct"/>
            <w:shd w:val="clear" w:color="auto" w:fill="auto"/>
            <w:vAlign w:val="center"/>
          </w:tcPr>
          <w:p w14:paraId="576A903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0.05t/a</w:t>
            </w:r>
          </w:p>
        </w:tc>
      </w:tr>
      <w:tr w14:paraId="7D388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71B8C86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0" w:firstLineChars="0"/>
              <w:jc w:val="center"/>
              <w:textAlignment w:val="auto"/>
              <w:rPr>
                <w:rFonts w:hint="default" w:ascii="Times New Roman" w:hAnsi="Times New Roman" w:eastAsia="宋体" w:cs="宋体"/>
                <w:b w:val="0"/>
                <w:bCs w:val="0"/>
                <w:snapToGrid w:val="0"/>
                <w:color w:val="FF0000"/>
                <w:kern w:val="21"/>
                <w:sz w:val="21"/>
                <w:szCs w:val="21"/>
                <w:highlight w:val="none"/>
              </w:rPr>
            </w:pPr>
          </w:p>
        </w:tc>
        <w:tc>
          <w:tcPr>
            <w:tcW w:w="637" w:type="pct"/>
            <w:vAlign w:val="center"/>
          </w:tcPr>
          <w:p w14:paraId="1EB0D7B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含油废棉纱手套</w:t>
            </w:r>
          </w:p>
        </w:tc>
        <w:tc>
          <w:tcPr>
            <w:tcW w:w="516" w:type="pct"/>
            <w:shd w:val="clear" w:color="auto" w:fill="auto"/>
            <w:vAlign w:val="center"/>
          </w:tcPr>
          <w:p w14:paraId="546B89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c>
          <w:tcPr>
            <w:tcW w:w="524" w:type="pct"/>
            <w:shd w:val="clear" w:color="auto" w:fill="auto"/>
            <w:vAlign w:val="center"/>
          </w:tcPr>
          <w:p w14:paraId="07F738F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0.1t/a</w:t>
            </w:r>
          </w:p>
        </w:tc>
        <w:tc>
          <w:tcPr>
            <w:tcW w:w="577" w:type="pct"/>
            <w:vAlign w:val="center"/>
          </w:tcPr>
          <w:p w14:paraId="72D77AB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w:t>
            </w:r>
          </w:p>
        </w:tc>
        <w:tc>
          <w:tcPr>
            <w:tcW w:w="540" w:type="pct"/>
            <w:vAlign w:val="center"/>
          </w:tcPr>
          <w:p w14:paraId="5EFEEEE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0.05t/a</w:t>
            </w:r>
          </w:p>
        </w:tc>
        <w:tc>
          <w:tcPr>
            <w:tcW w:w="606" w:type="pct"/>
            <w:vAlign w:val="center"/>
          </w:tcPr>
          <w:p w14:paraId="3D1DDB4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宋体"/>
                <w:b w:val="0"/>
                <w:bCs w:val="0"/>
                <w:snapToGrid w:val="0"/>
                <w:color w:val="FF0000"/>
                <w:kern w:val="21"/>
                <w:sz w:val="21"/>
                <w:szCs w:val="21"/>
                <w:highlight w:val="none"/>
                <w:lang w:val="en-US" w:eastAsia="zh-CN" w:bidi="ar-SA"/>
              </w:rPr>
            </w:pPr>
            <w:r>
              <w:rPr>
                <w:rFonts w:hint="eastAsia" w:ascii="Times New Roman" w:hAnsi="Times New Roman" w:eastAsia="宋体" w:cs="宋体"/>
                <w:b w:val="0"/>
                <w:bCs w:val="0"/>
                <w:snapToGrid w:val="0"/>
                <w:color w:val="FF0000"/>
                <w:kern w:val="21"/>
                <w:sz w:val="21"/>
                <w:szCs w:val="21"/>
                <w:highlight w:val="none"/>
                <w:lang w:val="en-US" w:eastAsia="zh-CN"/>
              </w:rPr>
              <w:t>0</w:t>
            </w:r>
          </w:p>
        </w:tc>
        <w:tc>
          <w:tcPr>
            <w:tcW w:w="599" w:type="pct"/>
            <w:vAlign w:val="center"/>
          </w:tcPr>
          <w:p w14:paraId="449BD10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0.15t/a</w:t>
            </w:r>
          </w:p>
        </w:tc>
        <w:tc>
          <w:tcPr>
            <w:tcW w:w="576" w:type="pct"/>
            <w:shd w:val="clear" w:color="auto" w:fill="auto"/>
            <w:vAlign w:val="center"/>
          </w:tcPr>
          <w:p w14:paraId="50722A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FF0000"/>
                <w:kern w:val="0"/>
                <w:sz w:val="21"/>
                <w:szCs w:val="21"/>
                <w:highlight w:val="none"/>
                <w:lang w:val="en-US" w:eastAsia="zh-CN" w:bidi="ar"/>
              </w:rPr>
            </w:pPr>
            <w:r>
              <w:rPr>
                <w:rFonts w:hint="eastAsia" w:ascii="Times New Roman" w:hAnsi="Times New Roman" w:eastAsia="宋体" w:cs="宋体"/>
                <w:b w:val="0"/>
                <w:bCs w:val="0"/>
                <w:color w:val="FF0000"/>
                <w:kern w:val="0"/>
                <w:sz w:val="21"/>
                <w:szCs w:val="21"/>
                <w:highlight w:val="none"/>
                <w:lang w:val="en-US" w:eastAsia="zh-CN" w:bidi="ar"/>
              </w:rPr>
              <w:t>+0.05t/a</w:t>
            </w:r>
          </w:p>
        </w:tc>
      </w:tr>
    </w:tbl>
    <w:p w14:paraId="2497804D">
      <w:pPr>
        <w:pStyle w:val="3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both"/>
        <w:textAlignment w:val="auto"/>
        <w:rPr>
          <w:rFonts w:hint="eastAsia" w:ascii="Times New Roman" w:hAnsi="Times New Roman"/>
          <w:color w:val="FF0000"/>
          <w:highlight w:val="none"/>
          <w:lang w:val="en-US" w:eastAsia="zh-CN"/>
        </w:rPr>
      </w:pPr>
      <w:r>
        <w:rPr>
          <w:rFonts w:ascii="Times New Roman" w:hAnsi="Times New Roman"/>
          <w:snapToGrid w:val="0"/>
          <w:color w:val="FF0000"/>
          <w:kern w:val="21"/>
          <w:szCs w:val="21"/>
          <w:highlight w:val="none"/>
        </w:rPr>
        <w:t>注：</w:t>
      </w:r>
      <w:r>
        <w:rPr>
          <w:rFonts w:ascii="Times New Roman" w:hAnsi="Times New Roman"/>
          <w:snapToGrid w:val="0"/>
          <w:color w:val="FF0000"/>
          <w:spacing w:val="-16"/>
          <w:kern w:val="21"/>
          <w:szCs w:val="21"/>
          <w:highlight w:val="none"/>
        </w:rPr>
        <w:fldChar w:fldCharType="begin"/>
      </w:r>
      <w:r>
        <w:rPr>
          <w:rFonts w:ascii="Times New Roman" w:hAnsi="Times New Roman"/>
          <w:snapToGrid w:val="0"/>
          <w:color w:val="FF0000"/>
          <w:spacing w:val="-16"/>
          <w:kern w:val="21"/>
          <w:szCs w:val="21"/>
          <w:highlight w:val="none"/>
        </w:rPr>
        <w:instrText xml:space="preserve"> = 6 \* GB3 \* MERGEFORMAT </w:instrText>
      </w:r>
      <w:r>
        <w:rPr>
          <w:rFonts w:ascii="Times New Roman" w:hAnsi="Times New Roman"/>
          <w:snapToGrid w:val="0"/>
          <w:color w:val="FF0000"/>
          <w:spacing w:val="-16"/>
          <w:kern w:val="21"/>
          <w:szCs w:val="21"/>
          <w:highlight w:val="none"/>
        </w:rPr>
        <w:fldChar w:fldCharType="separate"/>
      </w:r>
      <w:r>
        <w:rPr>
          <w:rFonts w:hint="eastAsia" w:ascii="Times New Roman" w:hAnsi="Times New Roman"/>
          <w:color w:val="FF0000"/>
          <w:szCs w:val="21"/>
          <w:highlight w:val="none"/>
        </w:rPr>
        <w:t>⑥</w:t>
      </w:r>
      <w:r>
        <w:rPr>
          <w:rFonts w:ascii="Times New Roman" w:hAnsi="Times New Roman"/>
          <w:snapToGrid w:val="0"/>
          <w:color w:val="FF0000"/>
          <w:spacing w:val="-16"/>
          <w:kern w:val="21"/>
          <w:szCs w:val="21"/>
          <w:highlight w:val="none"/>
        </w:rPr>
        <w:fldChar w:fldCharType="end"/>
      </w:r>
      <w:r>
        <w:rPr>
          <w:rFonts w:ascii="Times New Roman" w:hAnsi="Times New Roman"/>
          <w:snapToGrid w:val="0"/>
          <w:color w:val="FF0000"/>
          <w:spacing w:val="-16"/>
          <w:kern w:val="21"/>
          <w:szCs w:val="21"/>
          <w:highlight w:val="none"/>
        </w:rPr>
        <w:t>=</w:t>
      </w:r>
      <w:r>
        <w:rPr>
          <w:rFonts w:ascii="Times New Roman" w:hAnsi="Times New Roman"/>
          <w:snapToGrid w:val="0"/>
          <w:color w:val="FF0000"/>
          <w:spacing w:val="-6"/>
          <w:kern w:val="21"/>
          <w:szCs w:val="21"/>
          <w:highlight w:val="none"/>
        </w:rPr>
        <w:fldChar w:fldCharType="begin"/>
      </w:r>
      <w:r>
        <w:rPr>
          <w:rFonts w:ascii="Times New Roman" w:hAnsi="Times New Roman"/>
          <w:snapToGrid w:val="0"/>
          <w:color w:val="FF0000"/>
          <w:spacing w:val="-6"/>
          <w:kern w:val="21"/>
          <w:szCs w:val="21"/>
          <w:highlight w:val="none"/>
        </w:rPr>
        <w:instrText xml:space="preserve"> = 1 \* GB3 \* MERGEFORMAT </w:instrText>
      </w:r>
      <w:r>
        <w:rPr>
          <w:rFonts w:ascii="Times New Roman" w:hAnsi="Times New Roman"/>
          <w:snapToGrid w:val="0"/>
          <w:color w:val="FF0000"/>
          <w:spacing w:val="-6"/>
          <w:kern w:val="21"/>
          <w:szCs w:val="21"/>
          <w:highlight w:val="none"/>
        </w:rPr>
        <w:fldChar w:fldCharType="separate"/>
      </w:r>
      <w:r>
        <w:rPr>
          <w:rFonts w:hint="eastAsia" w:ascii="Times New Roman" w:hAnsi="Times New Roman"/>
          <w:color w:val="FF0000"/>
          <w:szCs w:val="21"/>
          <w:highlight w:val="none"/>
        </w:rPr>
        <w:t>①</w:t>
      </w:r>
      <w:r>
        <w:rPr>
          <w:rFonts w:ascii="Times New Roman" w:hAnsi="Times New Roman"/>
          <w:snapToGrid w:val="0"/>
          <w:color w:val="FF0000"/>
          <w:spacing w:val="-6"/>
          <w:kern w:val="21"/>
          <w:szCs w:val="21"/>
          <w:highlight w:val="none"/>
        </w:rPr>
        <w:fldChar w:fldCharType="end"/>
      </w:r>
      <w:r>
        <w:rPr>
          <w:rFonts w:ascii="Times New Roman" w:hAnsi="Times New Roman"/>
          <w:snapToGrid w:val="0"/>
          <w:color w:val="FF0000"/>
          <w:spacing w:val="-6"/>
          <w:kern w:val="21"/>
          <w:szCs w:val="21"/>
          <w:highlight w:val="none"/>
        </w:rPr>
        <w:t>+</w:t>
      </w:r>
      <w:r>
        <w:rPr>
          <w:rFonts w:ascii="Times New Roman" w:hAnsi="Times New Roman"/>
          <w:snapToGrid w:val="0"/>
          <w:color w:val="FF0000"/>
          <w:spacing w:val="-6"/>
          <w:kern w:val="21"/>
          <w:szCs w:val="21"/>
          <w:highlight w:val="none"/>
        </w:rPr>
        <w:fldChar w:fldCharType="begin"/>
      </w:r>
      <w:r>
        <w:rPr>
          <w:rFonts w:ascii="Times New Roman" w:hAnsi="Times New Roman"/>
          <w:snapToGrid w:val="0"/>
          <w:color w:val="FF0000"/>
          <w:spacing w:val="-6"/>
          <w:kern w:val="21"/>
          <w:szCs w:val="21"/>
          <w:highlight w:val="none"/>
        </w:rPr>
        <w:instrText xml:space="preserve"> = 3 \* GB3 \* MERGEFORMAT </w:instrText>
      </w:r>
      <w:r>
        <w:rPr>
          <w:rFonts w:ascii="Times New Roman" w:hAnsi="Times New Roman"/>
          <w:snapToGrid w:val="0"/>
          <w:color w:val="FF0000"/>
          <w:spacing w:val="-6"/>
          <w:kern w:val="21"/>
          <w:szCs w:val="21"/>
          <w:highlight w:val="none"/>
        </w:rPr>
        <w:fldChar w:fldCharType="separate"/>
      </w:r>
      <w:r>
        <w:rPr>
          <w:rFonts w:hint="eastAsia" w:ascii="Times New Roman" w:hAnsi="Times New Roman"/>
          <w:color w:val="FF0000"/>
          <w:szCs w:val="21"/>
          <w:highlight w:val="none"/>
        </w:rPr>
        <w:t>③</w:t>
      </w:r>
      <w:r>
        <w:rPr>
          <w:rFonts w:ascii="Times New Roman" w:hAnsi="Times New Roman"/>
          <w:snapToGrid w:val="0"/>
          <w:color w:val="FF0000"/>
          <w:spacing w:val="-6"/>
          <w:kern w:val="21"/>
          <w:szCs w:val="21"/>
          <w:highlight w:val="none"/>
        </w:rPr>
        <w:fldChar w:fldCharType="end"/>
      </w:r>
      <w:r>
        <w:rPr>
          <w:rFonts w:ascii="Times New Roman" w:hAnsi="Times New Roman"/>
          <w:snapToGrid w:val="0"/>
          <w:color w:val="FF0000"/>
          <w:spacing w:val="-6"/>
          <w:kern w:val="21"/>
          <w:szCs w:val="21"/>
          <w:highlight w:val="none"/>
        </w:rPr>
        <w:t>+</w:t>
      </w:r>
      <w:r>
        <w:rPr>
          <w:rFonts w:ascii="Times New Roman" w:hAnsi="Times New Roman"/>
          <w:snapToGrid w:val="0"/>
          <w:color w:val="FF0000"/>
          <w:spacing w:val="-6"/>
          <w:kern w:val="21"/>
          <w:szCs w:val="21"/>
          <w:highlight w:val="none"/>
        </w:rPr>
        <w:fldChar w:fldCharType="begin"/>
      </w:r>
      <w:r>
        <w:rPr>
          <w:rFonts w:ascii="Times New Roman" w:hAnsi="Times New Roman"/>
          <w:snapToGrid w:val="0"/>
          <w:color w:val="FF0000"/>
          <w:spacing w:val="-6"/>
          <w:kern w:val="21"/>
          <w:szCs w:val="21"/>
          <w:highlight w:val="none"/>
        </w:rPr>
        <w:instrText xml:space="preserve"> = 4 \* GB3 \* MERGEFORMAT </w:instrText>
      </w:r>
      <w:r>
        <w:rPr>
          <w:rFonts w:ascii="Times New Roman" w:hAnsi="Times New Roman"/>
          <w:snapToGrid w:val="0"/>
          <w:color w:val="FF0000"/>
          <w:spacing w:val="-6"/>
          <w:kern w:val="21"/>
          <w:szCs w:val="21"/>
          <w:highlight w:val="none"/>
        </w:rPr>
        <w:fldChar w:fldCharType="separate"/>
      </w:r>
      <w:r>
        <w:rPr>
          <w:rFonts w:hint="eastAsia" w:ascii="Times New Roman" w:hAnsi="Times New Roman"/>
          <w:color w:val="FF0000"/>
          <w:szCs w:val="21"/>
          <w:highlight w:val="none"/>
        </w:rPr>
        <w:t>④</w:t>
      </w:r>
      <w:r>
        <w:rPr>
          <w:rFonts w:ascii="Times New Roman" w:hAnsi="Times New Roman"/>
          <w:snapToGrid w:val="0"/>
          <w:color w:val="FF0000"/>
          <w:spacing w:val="-6"/>
          <w:kern w:val="21"/>
          <w:szCs w:val="21"/>
          <w:highlight w:val="none"/>
        </w:rPr>
        <w:fldChar w:fldCharType="end"/>
      </w:r>
      <w:r>
        <w:rPr>
          <w:rFonts w:ascii="Times New Roman" w:hAnsi="Times New Roman"/>
          <w:snapToGrid w:val="0"/>
          <w:color w:val="FF0000"/>
          <w:spacing w:val="-6"/>
          <w:kern w:val="21"/>
          <w:szCs w:val="21"/>
          <w:highlight w:val="none"/>
        </w:rPr>
        <w:t>-</w:t>
      </w:r>
      <w:r>
        <w:rPr>
          <w:rFonts w:ascii="Times New Roman" w:hAnsi="Times New Roman"/>
          <w:snapToGrid w:val="0"/>
          <w:color w:val="FF0000"/>
          <w:spacing w:val="-16"/>
          <w:kern w:val="21"/>
          <w:szCs w:val="21"/>
          <w:highlight w:val="none"/>
        </w:rPr>
        <w:fldChar w:fldCharType="begin"/>
      </w:r>
      <w:r>
        <w:rPr>
          <w:rFonts w:ascii="Times New Roman" w:hAnsi="Times New Roman"/>
          <w:snapToGrid w:val="0"/>
          <w:color w:val="FF0000"/>
          <w:spacing w:val="-16"/>
          <w:kern w:val="21"/>
          <w:szCs w:val="21"/>
          <w:highlight w:val="none"/>
        </w:rPr>
        <w:instrText xml:space="preserve"> = 5 \* GB3 \* MERGEFORMAT </w:instrText>
      </w:r>
      <w:r>
        <w:rPr>
          <w:rFonts w:ascii="Times New Roman" w:hAnsi="Times New Roman"/>
          <w:snapToGrid w:val="0"/>
          <w:color w:val="FF0000"/>
          <w:spacing w:val="-16"/>
          <w:kern w:val="21"/>
          <w:szCs w:val="21"/>
          <w:highlight w:val="none"/>
        </w:rPr>
        <w:fldChar w:fldCharType="separate"/>
      </w:r>
      <w:r>
        <w:rPr>
          <w:rFonts w:hint="eastAsia" w:ascii="Times New Roman" w:hAnsi="Times New Roman"/>
          <w:color w:val="FF0000"/>
          <w:szCs w:val="21"/>
          <w:highlight w:val="none"/>
        </w:rPr>
        <w:t>⑤</w:t>
      </w:r>
      <w:r>
        <w:rPr>
          <w:rFonts w:ascii="Times New Roman" w:hAnsi="Times New Roman"/>
          <w:snapToGrid w:val="0"/>
          <w:color w:val="FF0000"/>
          <w:spacing w:val="-16"/>
          <w:kern w:val="21"/>
          <w:szCs w:val="21"/>
          <w:highlight w:val="none"/>
        </w:rPr>
        <w:fldChar w:fldCharType="end"/>
      </w:r>
      <w:r>
        <w:rPr>
          <w:rFonts w:ascii="Times New Roman" w:hAnsi="Times New Roman"/>
          <w:snapToGrid w:val="0"/>
          <w:color w:val="FF0000"/>
          <w:spacing w:val="-16"/>
          <w:kern w:val="21"/>
          <w:szCs w:val="21"/>
          <w:highlight w:val="none"/>
        </w:rPr>
        <w:t>；</w:t>
      </w:r>
      <w:r>
        <w:rPr>
          <w:rFonts w:ascii="Times New Roman" w:hAnsi="Times New Roman"/>
          <w:snapToGrid w:val="0"/>
          <w:color w:val="FF0000"/>
          <w:spacing w:val="-6"/>
          <w:kern w:val="21"/>
          <w:szCs w:val="21"/>
          <w:highlight w:val="none"/>
        </w:rPr>
        <w:fldChar w:fldCharType="begin"/>
      </w:r>
      <w:r>
        <w:rPr>
          <w:rFonts w:ascii="Times New Roman" w:hAnsi="Times New Roman"/>
          <w:snapToGrid w:val="0"/>
          <w:color w:val="FF0000"/>
          <w:spacing w:val="-6"/>
          <w:kern w:val="21"/>
          <w:szCs w:val="21"/>
          <w:highlight w:val="none"/>
        </w:rPr>
        <w:instrText xml:space="preserve"> = 7 \* GB3 \* MERGEFORMAT </w:instrText>
      </w:r>
      <w:r>
        <w:rPr>
          <w:rFonts w:ascii="Times New Roman" w:hAnsi="Times New Roman"/>
          <w:snapToGrid w:val="0"/>
          <w:color w:val="FF0000"/>
          <w:spacing w:val="-6"/>
          <w:kern w:val="21"/>
          <w:szCs w:val="21"/>
          <w:highlight w:val="none"/>
        </w:rPr>
        <w:fldChar w:fldCharType="separate"/>
      </w:r>
      <w:r>
        <w:rPr>
          <w:rFonts w:hint="eastAsia" w:ascii="Times New Roman" w:hAnsi="Times New Roman"/>
          <w:color w:val="FF0000"/>
          <w:szCs w:val="21"/>
          <w:highlight w:val="none"/>
        </w:rPr>
        <w:t>⑦</w:t>
      </w:r>
      <w:r>
        <w:rPr>
          <w:rFonts w:ascii="Times New Roman" w:hAnsi="Times New Roman"/>
          <w:snapToGrid w:val="0"/>
          <w:color w:val="FF0000"/>
          <w:spacing w:val="-6"/>
          <w:kern w:val="21"/>
          <w:szCs w:val="21"/>
          <w:highlight w:val="none"/>
        </w:rPr>
        <w:fldChar w:fldCharType="end"/>
      </w:r>
      <w:r>
        <w:rPr>
          <w:rFonts w:ascii="Times New Roman" w:hAnsi="Times New Roman"/>
          <w:snapToGrid w:val="0"/>
          <w:color w:val="FF0000"/>
          <w:spacing w:val="-6"/>
          <w:kern w:val="21"/>
          <w:szCs w:val="21"/>
          <w:highlight w:val="none"/>
        </w:rPr>
        <w:t>=</w:t>
      </w:r>
      <w:r>
        <w:rPr>
          <w:rFonts w:ascii="Times New Roman" w:hAnsi="Times New Roman"/>
          <w:snapToGrid w:val="0"/>
          <w:color w:val="FF0000"/>
          <w:spacing w:val="-16"/>
          <w:kern w:val="21"/>
          <w:szCs w:val="21"/>
          <w:highlight w:val="none"/>
        </w:rPr>
        <w:fldChar w:fldCharType="begin"/>
      </w:r>
      <w:r>
        <w:rPr>
          <w:rFonts w:ascii="Times New Roman" w:hAnsi="Times New Roman"/>
          <w:snapToGrid w:val="0"/>
          <w:color w:val="FF0000"/>
          <w:spacing w:val="-16"/>
          <w:kern w:val="21"/>
          <w:szCs w:val="21"/>
          <w:highlight w:val="none"/>
        </w:rPr>
        <w:instrText xml:space="preserve"> = 6 \* GB3 \* MERGEFORMAT </w:instrText>
      </w:r>
      <w:r>
        <w:rPr>
          <w:rFonts w:ascii="Times New Roman" w:hAnsi="Times New Roman"/>
          <w:snapToGrid w:val="0"/>
          <w:color w:val="FF0000"/>
          <w:spacing w:val="-16"/>
          <w:kern w:val="21"/>
          <w:szCs w:val="21"/>
          <w:highlight w:val="none"/>
        </w:rPr>
        <w:fldChar w:fldCharType="separate"/>
      </w:r>
      <w:r>
        <w:rPr>
          <w:rFonts w:hint="eastAsia" w:ascii="Times New Roman" w:hAnsi="Times New Roman"/>
          <w:color w:val="FF0000"/>
          <w:szCs w:val="21"/>
          <w:highlight w:val="none"/>
        </w:rPr>
        <w:t>⑥</w:t>
      </w:r>
      <w:r>
        <w:rPr>
          <w:rFonts w:ascii="Times New Roman" w:hAnsi="Times New Roman"/>
          <w:snapToGrid w:val="0"/>
          <w:color w:val="FF0000"/>
          <w:spacing w:val="-16"/>
          <w:kern w:val="21"/>
          <w:szCs w:val="21"/>
          <w:highlight w:val="none"/>
        </w:rPr>
        <w:fldChar w:fldCharType="end"/>
      </w:r>
      <w:r>
        <w:rPr>
          <w:rFonts w:ascii="Times New Roman" w:hAnsi="Times New Roman"/>
          <w:snapToGrid w:val="0"/>
          <w:color w:val="FF0000"/>
          <w:spacing w:val="-16"/>
          <w:kern w:val="21"/>
          <w:szCs w:val="21"/>
          <w:highlight w:val="none"/>
        </w:rPr>
        <w:t>-</w:t>
      </w:r>
      <w:r>
        <w:rPr>
          <w:rFonts w:ascii="Times New Roman" w:hAnsi="Times New Roman"/>
          <w:snapToGrid w:val="0"/>
          <w:color w:val="FF0000"/>
          <w:spacing w:val="-6"/>
          <w:kern w:val="21"/>
          <w:szCs w:val="21"/>
          <w:highlight w:val="none"/>
        </w:rPr>
        <w:fldChar w:fldCharType="begin"/>
      </w:r>
      <w:r>
        <w:rPr>
          <w:rFonts w:ascii="Times New Roman" w:hAnsi="Times New Roman"/>
          <w:snapToGrid w:val="0"/>
          <w:color w:val="FF0000"/>
          <w:spacing w:val="-6"/>
          <w:kern w:val="21"/>
          <w:szCs w:val="21"/>
          <w:highlight w:val="none"/>
        </w:rPr>
        <w:instrText xml:space="preserve"> = 1 \* GB3 \* MERGEFORMAT </w:instrText>
      </w:r>
      <w:r>
        <w:rPr>
          <w:rFonts w:ascii="Times New Roman" w:hAnsi="Times New Roman"/>
          <w:snapToGrid w:val="0"/>
          <w:color w:val="FF0000"/>
          <w:spacing w:val="-6"/>
          <w:kern w:val="21"/>
          <w:szCs w:val="21"/>
          <w:highlight w:val="none"/>
        </w:rPr>
        <w:fldChar w:fldCharType="separate"/>
      </w:r>
      <w:r>
        <w:rPr>
          <w:rFonts w:hint="eastAsia" w:ascii="Times New Roman" w:hAnsi="Times New Roman"/>
          <w:color w:val="FF0000"/>
          <w:szCs w:val="21"/>
          <w:highlight w:val="none"/>
        </w:rPr>
        <w:t>①</w:t>
      </w:r>
      <w:r>
        <w:rPr>
          <w:rFonts w:ascii="Times New Roman" w:hAnsi="Times New Roman"/>
          <w:snapToGrid w:val="0"/>
          <w:color w:val="FF0000"/>
          <w:spacing w:val="-6"/>
          <w:kern w:val="21"/>
          <w:szCs w:val="21"/>
          <w:highlight w:val="none"/>
        </w:rPr>
        <w:fldChar w:fldCharType="end"/>
      </w:r>
    </w:p>
    <w:p w14:paraId="432FBAD7">
      <w:pPr>
        <w:pStyle w:val="18"/>
        <w:keepNext w:val="0"/>
        <w:keepLines w:val="0"/>
        <w:pageBreakBefore w:val="0"/>
        <w:widowControl w:val="0"/>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FF0000"/>
          <w:sz w:val="30"/>
          <w:szCs w:val="30"/>
          <w:highlight w:val="none"/>
        </w:rPr>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05EB8B4D">
      <w:pPr>
        <w:pStyle w:val="18"/>
        <w:keepNext w:val="0"/>
        <w:keepLines w:val="0"/>
        <w:pageBreakBefore w:val="0"/>
        <w:widowControl w:val="0"/>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auto"/>
          <w:sz w:val="30"/>
          <w:szCs w:val="30"/>
          <w:highlight w:val="none"/>
        </w:rPr>
      </w:pPr>
      <w:r>
        <w:rPr>
          <w:rFonts w:hint="eastAsia" w:ascii="Times New Roman" w:hAnsi="Times New Roman" w:eastAsia="黑体"/>
          <w:snapToGrid w:val="0"/>
          <w:color w:val="auto"/>
          <w:sz w:val="30"/>
          <w:szCs w:val="30"/>
          <w:highlight w:val="none"/>
        </w:rPr>
        <w:t>三、区域环境质量现状、环境保护目标及评价标准</w:t>
      </w:r>
      <w:bookmarkEnd w:id="8"/>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53"/>
        <w:gridCol w:w="8809"/>
      </w:tblGrid>
      <w:tr w14:paraId="2978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71" w:hRule="atLeast"/>
        </w:trPr>
        <w:tc>
          <w:tcPr>
            <w:tcW w:w="365" w:type="pct"/>
            <w:vAlign w:val="center"/>
          </w:tcPr>
          <w:p w14:paraId="266BD3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olor w:val="auto"/>
                <w:sz w:val="24"/>
                <w:szCs w:val="24"/>
                <w:highlight w:val="none"/>
                <w:vertAlign w:val="baseline"/>
                <w:lang w:val="en-US" w:eastAsia="zh-CN"/>
              </w:rPr>
            </w:pPr>
            <w:r>
              <w:rPr>
                <w:rFonts w:hint="eastAsia" w:ascii="Times New Roman" w:hAnsi="Times New Roman" w:cs="宋体"/>
                <w:b/>
                <w:bCs/>
                <w:color w:val="auto"/>
                <w:kern w:val="0"/>
                <w:sz w:val="24"/>
                <w:szCs w:val="24"/>
                <w:highlight w:val="none"/>
              </w:rPr>
              <w:t>区域环境质量现状</w:t>
            </w:r>
          </w:p>
        </w:tc>
        <w:tc>
          <w:tcPr>
            <w:tcW w:w="4634" w:type="pct"/>
            <w:vAlign w:val="top"/>
          </w:tcPr>
          <w:p w14:paraId="61A99E13">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3.1、环境空气质量现状</w:t>
            </w:r>
          </w:p>
          <w:p w14:paraId="434DF50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位于重庆市西彭工业园，根据《重庆市人民政府关于印发重庆市环境空气质量功能区划分规定的通知》（渝府发〔2016〕19号），项目所在区域环境空气质量功能属二类区域，环境空气质量执行《环境空气质量标准》（GB 3095-2012）二级标准。</w:t>
            </w:r>
          </w:p>
          <w:p w14:paraId="3A60E690">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cs="宋体"/>
                <w:color w:val="auto"/>
                <w:sz w:val="24"/>
                <w:szCs w:val="24"/>
                <w:highlight w:val="none"/>
                <w:shd w:val="clear" w:color="auto" w:fill="auto"/>
                <w:lang w:val="en-US" w:eastAsia="zh-CN"/>
              </w:rPr>
            </w:pPr>
            <w:r>
              <w:rPr>
                <w:rFonts w:hint="eastAsia" w:ascii="Times New Roman" w:hAnsi="Times New Roman" w:cs="宋体"/>
                <w:b/>
                <w:bCs/>
                <w:color w:val="auto"/>
                <w:sz w:val="24"/>
                <w:szCs w:val="24"/>
                <w:highlight w:val="none"/>
                <w:shd w:val="clear" w:color="auto" w:fill="auto"/>
                <w:lang w:val="en-US" w:eastAsia="zh-CN"/>
              </w:rPr>
              <w:t>1）常规污染物</w:t>
            </w:r>
          </w:p>
          <w:p w14:paraId="0BF31C7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评价引用重庆市生态环境局公布的《2023重庆市生态环境状况公报》中九龙坡区环境大气质量状况数据，项目区域环境空气质量状况评价见表3-1。</w:t>
            </w:r>
          </w:p>
          <w:p w14:paraId="42DD45C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表3-1  区域空气质量现状评价表 单位μg/m</w:t>
            </w:r>
            <w:r>
              <w:rPr>
                <w:rFonts w:hint="default" w:ascii="Times New Roman" w:hAnsi="Times New Roman" w:eastAsia="宋体" w:cs="Times New Roman"/>
                <w:color w:val="auto"/>
                <w:sz w:val="24"/>
                <w:szCs w:val="24"/>
                <w:highlight w:val="none"/>
                <w:vertAlign w:val="superscript"/>
                <w:lang w:val="en-US" w:eastAsia="zh-CN"/>
              </w:rPr>
              <w:t>3</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17"/>
              <w:gridCol w:w="2494"/>
              <w:gridCol w:w="1169"/>
              <w:gridCol w:w="1169"/>
              <w:gridCol w:w="1169"/>
              <w:gridCol w:w="1174"/>
            </w:tblGrid>
            <w:tr w14:paraId="4370E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549637C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污染物</w:t>
                  </w:r>
                </w:p>
              </w:tc>
              <w:tc>
                <w:tcPr>
                  <w:tcW w:w="1434" w:type="pct"/>
                  <w:tcBorders>
                    <w:tl2br w:val="nil"/>
                    <w:tr2bl w:val="nil"/>
                  </w:tcBorders>
                  <w:noWrap w:val="0"/>
                  <w:vAlign w:val="center"/>
                </w:tcPr>
                <w:p w14:paraId="34AF5C0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年评价指标</w:t>
                  </w:r>
                </w:p>
              </w:tc>
              <w:tc>
                <w:tcPr>
                  <w:tcW w:w="672" w:type="pct"/>
                  <w:tcBorders>
                    <w:tl2br w:val="nil"/>
                    <w:tr2bl w:val="nil"/>
                  </w:tcBorders>
                  <w:noWrap w:val="0"/>
                  <w:vAlign w:val="center"/>
                </w:tcPr>
                <w:p w14:paraId="71F8CCC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现状浓度</w:t>
                  </w:r>
                </w:p>
              </w:tc>
              <w:tc>
                <w:tcPr>
                  <w:tcW w:w="672" w:type="pct"/>
                  <w:tcBorders>
                    <w:tl2br w:val="nil"/>
                    <w:tr2bl w:val="nil"/>
                  </w:tcBorders>
                  <w:noWrap w:val="0"/>
                  <w:vAlign w:val="center"/>
                </w:tcPr>
                <w:p w14:paraId="4A9D667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标准值</w:t>
                  </w:r>
                </w:p>
              </w:tc>
              <w:tc>
                <w:tcPr>
                  <w:tcW w:w="672" w:type="pct"/>
                  <w:tcBorders>
                    <w:tl2br w:val="nil"/>
                    <w:tr2bl w:val="nil"/>
                  </w:tcBorders>
                  <w:noWrap w:val="0"/>
                  <w:vAlign w:val="center"/>
                </w:tcPr>
                <w:p w14:paraId="51DE8CB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占标率%</w:t>
                  </w:r>
                </w:p>
              </w:tc>
              <w:tc>
                <w:tcPr>
                  <w:tcW w:w="675" w:type="pct"/>
                  <w:tcBorders>
                    <w:tl2br w:val="nil"/>
                    <w:tr2bl w:val="nil"/>
                  </w:tcBorders>
                  <w:noWrap w:val="0"/>
                  <w:vAlign w:val="center"/>
                </w:tcPr>
                <w:p w14:paraId="6D0357D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达标情况</w:t>
                  </w:r>
                </w:p>
              </w:tc>
            </w:tr>
            <w:tr w14:paraId="24AB4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313B332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PM</w:t>
                  </w:r>
                  <w:r>
                    <w:rPr>
                      <w:rFonts w:hint="eastAsia" w:ascii="Times New Roman" w:hAnsi="Times New Roman" w:eastAsia="宋体" w:cs="宋体"/>
                      <w:color w:val="auto"/>
                      <w:sz w:val="21"/>
                      <w:szCs w:val="21"/>
                      <w:highlight w:val="none"/>
                      <w:vertAlign w:val="subscript"/>
                      <w:lang w:val="en-US" w:eastAsia="zh-CN"/>
                    </w:rPr>
                    <w:t>10</w:t>
                  </w:r>
                </w:p>
              </w:tc>
              <w:tc>
                <w:tcPr>
                  <w:tcW w:w="1434" w:type="pct"/>
                  <w:vMerge w:val="restart"/>
                  <w:tcBorders>
                    <w:tl2br w:val="nil"/>
                    <w:tr2bl w:val="nil"/>
                  </w:tcBorders>
                  <w:noWrap w:val="0"/>
                  <w:vAlign w:val="center"/>
                </w:tcPr>
                <w:p w14:paraId="0DF1500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年均质量浓度</w:t>
                  </w:r>
                </w:p>
              </w:tc>
              <w:tc>
                <w:tcPr>
                  <w:tcW w:w="672" w:type="pct"/>
                  <w:tcBorders>
                    <w:tl2br w:val="nil"/>
                    <w:tr2bl w:val="nil"/>
                  </w:tcBorders>
                  <w:noWrap w:val="0"/>
                  <w:vAlign w:val="center"/>
                </w:tcPr>
                <w:p w14:paraId="7882822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cs="宋体"/>
                      <w:b w:val="0"/>
                      <w:bCs w:val="0"/>
                      <w:color w:val="auto"/>
                      <w:sz w:val="21"/>
                      <w:szCs w:val="21"/>
                      <w:highlight w:val="none"/>
                      <w:vertAlign w:val="baseline"/>
                      <w:lang w:val="en-US" w:eastAsia="zh-CN"/>
                    </w:rPr>
                    <w:t>60</w:t>
                  </w:r>
                </w:p>
              </w:tc>
              <w:tc>
                <w:tcPr>
                  <w:tcW w:w="672" w:type="pct"/>
                  <w:tcBorders>
                    <w:tl2br w:val="nil"/>
                    <w:tr2bl w:val="nil"/>
                  </w:tcBorders>
                  <w:noWrap w:val="0"/>
                  <w:vAlign w:val="center"/>
                </w:tcPr>
                <w:p w14:paraId="6FB5FE4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70</w:t>
                  </w:r>
                </w:p>
              </w:tc>
              <w:tc>
                <w:tcPr>
                  <w:tcW w:w="672" w:type="pct"/>
                  <w:tcBorders>
                    <w:tl2br w:val="nil"/>
                    <w:tr2bl w:val="nil"/>
                  </w:tcBorders>
                  <w:noWrap w:val="0"/>
                  <w:vAlign w:val="center"/>
                </w:tcPr>
                <w:p w14:paraId="658F9EF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bidi="ar"/>
                    </w:rPr>
                    <w:t>85.7</w:t>
                  </w:r>
                </w:p>
              </w:tc>
              <w:tc>
                <w:tcPr>
                  <w:tcW w:w="675" w:type="pct"/>
                  <w:tcBorders>
                    <w:tl2br w:val="nil"/>
                    <w:tr2bl w:val="nil"/>
                  </w:tcBorders>
                  <w:noWrap w:val="0"/>
                  <w:vAlign w:val="center"/>
                </w:tcPr>
                <w:p w14:paraId="575C7E9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42C5F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4DD9B11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PM</w:t>
                  </w:r>
                  <w:r>
                    <w:rPr>
                      <w:rFonts w:hint="eastAsia" w:ascii="Times New Roman" w:hAnsi="Times New Roman" w:eastAsia="宋体" w:cs="宋体"/>
                      <w:color w:val="auto"/>
                      <w:sz w:val="21"/>
                      <w:szCs w:val="21"/>
                      <w:highlight w:val="none"/>
                      <w:vertAlign w:val="subscript"/>
                      <w:lang w:val="en-US" w:eastAsia="zh-CN"/>
                    </w:rPr>
                    <w:t>2.5</w:t>
                  </w:r>
                </w:p>
              </w:tc>
              <w:tc>
                <w:tcPr>
                  <w:tcW w:w="1434" w:type="pct"/>
                  <w:vMerge w:val="continue"/>
                  <w:tcBorders>
                    <w:tl2br w:val="nil"/>
                    <w:tr2bl w:val="nil"/>
                  </w:tcBorders>
                  <w:noWrap w:val="0"/>
                  <w:vAlign w:val="center"/>
                </w:tcPr>
                <w:p w14:paraId="52D2798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72" w:type="pct"/>
                  <w:tcBorders>
                    <w:tl2br w:val="nil"/>
                    <w:tr2bl w:val="nil"/>
                  </w:tcBorders>
                  <w:noWrap w:val="0"/>
                  <w:vAlign w:val="center"/>
                </w:tcPr>
                <w:p w14:paraId="77A61D0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bCs/>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36</w:t>
                  </w:r>
                </w:p>
              </w:tc>
              <w:tc>
                <w:tcPr>
                  <w:tcW w:w="672" w:type="pct"/>
                  <w:tcBorders>
                    <w:tl2br w:val="nil"/>
                    <w:tr2bl w:val="nil"/>
                  </w:tcBorders>
                  <w:noWrap w:val="0"/>
                  <w:vAlign w:val="center"/>
                </w:tcPr>
                <w:p w14:paraId="0D5F5C1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bCs/>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35</w:t>
                  </w:r>
                </w:p>
              </w:tc>
              <w:tc>
                <w:tcPr>
                  <w:tcW w:w="672" w:type="pct"/>
                  <w:tcBorders>
                    <w:tl2br w:val="nil"/>
                    <w:tr2bl w:val="nil"/>
                  </w:tcBorders>
                  <w:noWrap w:val="0"/>
                  <w:vAlign w:val="center"/>
                </w:tcPr>
                <w:p w14:paraId="1E539E6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bCs/>
                      <w:color w:val="auto"/>
                      <w:kern w:val="2"/>
                      <w:sz w:val="21"/>
                      <w:szCs w:val="21"/>
                      <w:highlight w:val="none"/>
                      <w:vertAlign w:val="baseline"/>
                      <w:lang w:val="en-US" w:eastAsia="zh-CN" w:bidi="ar-SA"/>
                    </w:rPr>
                  </w:pPr>
                  <w:r>
                    <w:rPr>
                      <w:rFonts w:hint="eastAsia" w:ascii="Times New Roman" w:hAnsi="Times New Roman" w:cs="Times New Roman"/>
                      <w:b/>
                      <w:bCs/>
                      <w:color w:val="auto"/>
                      <w:kern w:val="0"/>
                      <w:sz w:val="21"/>
                      <w:szCs w:val="21"/>
                      <w:highlight w:val="none"/>
                      <w:lang w:val="en-US" w:eastAsia="zh-CN" w:bidi="ar"/>
                    </w:rPr>
                    <w:t>102.9</w:t>
                  </w:r>
                </w:p>
              </w:tc>
              <w:tc>
                <w:tcPr>
                  <w:tcW w:w="675" w:type="pct"/>
                  <w:tcBorders>
                    <w:tl2br w:val="nil"/>
                    <w:tr2bl w:val="nil"/>
                  </w:tcBorders>
                  <w:noWrap w:val="0"/>
                  <w:vAlign w:val="center"/>
                </w:tcPr>
                <w:p w14:paraId="7EBF8F1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bCs/>
                      <w:color w:val="auto"/>
                      <w:kern w:val="0"/>
                      <w:sz w:val="21"/>
                      <w:szCs w:val="21"/>
                      <w:highlight w:val="none"/>
                      <w:vertAlign w:val="baseline"/>
                      <w:lang w:val="en-US" w:eastAsia="zh-CN" w:bidi="ar-SA"/>
                    </w:rPr>
                  </w:pPr>
                  <w:r>
                    <w:rPr>
                      <w:rFonts w:hint="eastAsia" w:ascii="Times New Roman" w:hAnsi="Times New Roman" w:cs="宋体"/>
                      <w:b/>
                      <w:bCs/>
                      <w:color w:val="auto"/>
                      <w:sz w:val="21"/>
                      <w:szCs w:val="21"/>
                      <w:highlight w:val="none"/>
                      <w:vertAlign w:val="baseline"/>
                      <w:lang w:val="en-US" w:eastAsia="zh-CN"/>
                    </w:rPr>
                    <w:t>超标</w:t>
                  </w:r>
                </w:p>
              </w:tc>
            </w:tr>
            <w:tr w14:paraId="164DD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28B14A1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NO</w:t>
                  </w:r>
                  <w:r>
                    <w:rPr>
                      <w:rFonts w:hint="eastAsia" w:ascii="Times New Roman" w:hAnsi="Times New Roman" w:eastAsia="宋体" w:cs="宋体"/>
                      <w:color w:val="auto"/>
                      <w:sz w:val="21"/>
                      <w:szCs w:val="21"/>
                      <w:highlight w:val="none"/>
                      <w:vertAlign w:val="subscript"/>
                      <w:lang w:val="en-US" w:eastAsia="zh-CN"/>
                    </w:rPr>
                    <w:t>2</w:t>
                  </w:r>
                </w:p>
              </w:tc>
              <w:tc>
                <w:tcPr>
                  <w:tcW w:w="1434" w:type="pct"/>
                  <w:vMerge w:val="continue"/>
                  <w:tcBorders>
                    <w:tl2br w:val="nil"/>
                    <w:tr2bl w:val="nil"/>
                  </w:tcBorders>
                  <w:noWrap w:val="0"/>
                  <w:vAlign w:val="center"/>
                </w:tcPr>
                <w:p w14:paraId="4D7946E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72" w:type="pct"/>
                  <w:tcBorders>
                    <w:tl2br w:val="nil"/>
                    <w:tr2bl w:val="nil"/>
                  </w:tcBorders>
                  <w:noWrap w:val="0"/>
                  <w:vAlign w:val="center"/>
                </w:tcPr>
                <w:p w14:paraId="63B9BF6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42</w:t>
                  </w:r>
                </w:p>
              </w:tc>
              <w:tc>
                <w:tcPr>
                  <w:tcW w:w="672" w:type="pct"/>
                  <w:tcBorders>
                    <w:tl2br w:val="nil"/>
                    <w:tr2bl w:val="nil"/>
                  </w:tcBorders>
                  <w:noWrap w:val="0"/>
                  <w:vAlign w:val="center"/>
                </w:tcPr>
                <w:p w14:paraId="62E8404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40</w:t>
                  </w:r>
                </w:p>
              </w:tc>
              <w:tc>
                <w:tcPr>
                  <w:tcW w:w="672" w:type="pct"/>
                  <w:tcBorders>
                    <w:tl2br w:val="nil"/>
                    <w:tr2bl w:val="nil"/>
                  </w:tcBorders>
                  <w:noWrap w:val="0"/>
                  <w:vAlign w:val="center"/>
                </w:tcPr>
                <w:p w14:paraId="5115F08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cs="Times New Roman"/>
                      <w:b/>
                      <w:bCs/>
                      <w:color w:val="auto"/>
                      <w:kern w:val="0"/>
                      <w:sz w:val="21"/>
                      <w:szCs w:val="21"/>
                      <w:highlight w:val="none"/>
                      <w:lang w:val="en-US" w:eastAsia="zh-CN" w:bidi="ar"/>
                    </w:rPr>
                    <w:t>105.0</w:t>
                  </w:r>
                </w:p>
              </w:tc>
              <w:tc>
                <w:tcPr>
                  <w:tcW w:w="675" w:type="pct"/>
                  <w:tcBorders>
                    <w:tl2br w:val="nil"/>
                    <w:tr2bl w:val="nil"/>
                  </w:tcBorders>
                  <w:noWrap w:val="0"/>
                  <w:vAlign w:val="center"/>
                </w:tcPr>
                <w:p w14:paraId="08F4FCA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超标</w:t>
                  </w:r>
                </w:p>
              </w:tc>
            </w:tr>
            <w:tr w14:paraId="2D7B3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2F563C4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SO</w:t>
                  </w:r>
                  <w:r>
                    <w:rPr>
                      <w:rFonts w:hint="eastAsia" w:ascii="Times New Roman" w:hAnsi="Times New Roman" w:eastAsia="宋体" w:cs="宋体"/>
                      <w:color w:val="auto"/>
                      <w:sz w:val="21"/>
                      <w:szCs w:val="21"/>
                      <w:highlight w:val="none"/>
                      <w:vertAlign w:val="subscript"/>
                      <w:lang w:val="en-US" w:eastAsia="zh-CN"/>
                    </w:rPr>
                    <w:t>2</w:t>
                  </w:r>
                </w:p>
              </w:tc>
              <w:tc>
                <w:tcPr>
                  <w:tcW w:w="1434" w:type="pct"/>
                  <w:vMerge w:val="continue"/>
                  <w:tcBorders>
                    <w:tl2br w:val="nil"/>
                    <w:tr2bl w:val="nil"/>
                  </w:tcBorders>
                  <w:noWrap w:val="0"/>
                  <w:vAlign w:val="center"/>
                </w:tcPr>
                <w:p w14:paraId="6DBEBCA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72" w:type="pct"/>
                  <w:tcBorders>
                    <w:tl2br w:val="nil"/>
                    <w:tr2bl w:val="nil"/>
                  </w:tcBorders>
                  <w:noWrap w:val="0"/>
                  <w:vAlign w:val="center"/>
                </w:tcPr>
                <w:p w14:paraId="06223BB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8</w:t>
                  </w:r>
                </w:p>
              </w:tc>
              <w:tc>
                <w:tcPr>
                  <w:tcW w:w="672" w:type="pct"/>
                  <w:tcBorders>
                    <w:tl2br w:val="nil"/>
                    <w:tr2bl w:val="nil"/>
                  </w:tcBorders>
                  <w:noWrap w:val="0"/>
                  <w:vAlign w:val="center"/>
                </w:tcPr>
                <w:p w14:paraId="7D4E4D9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60</w:t>
                  </w:r>
                </w:p>
              </w:tc>
              <w:tc>
                <w:tcPr>
                  <w:tcW w:w="672" w:type="pct"/>
                  <w:tcBorders>
                    <w:tl2br w:val="nil"/>
                    <w:tr2bl w:val="nil"/>
                  </w:tcBorders>
                  <w:noWrap w:val="0"/>
                  <w:vAlign w:val="center"/>
                </w:tcPr>
                <w:p w14:paraId="746405F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bidi="ar"/>
                    </w:rPr>
                    <w:t>13.3</w:t>
                  </w:r>
                </w:p>
              </w:tc>
              <w:tc>
                <w:tcPr>
                  <w:tcW w:w="675" w:type="pct"/>
                  <w:tcBorders>
                    <w:tl2br w:val="nil"/>
                    <w:tr2bl w:val="nil"/>
                  </w:tcBorders>
                  <w:noWrap w:val="0"/>
                  <w:vAlign w:val="center"/>
                </w:tcPr>
                <w:p w14:paraId="7FFC085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7C69A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2A2ABB8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CO（mg/m</w:t>
                  </w:r>
                  <w:r>
                    <w:rPr>
                      <w:rFonts w:hint="eastAsia" w:ascii="Times New Roman" w:hAnsi="Times New Roman" w:eastAsia="宋体" w:cs="宋体"/>
                      <w:color w:val="auto"/>
                      <w:sz w:val="21"/>
                      <w:szCs w:val="21"/>
                      <w:highlight w:val="none"/>
                      <w:vertAlign w:val="superscript"/>
                      <w:lang w:val="en-US" w:eastAsia="zh-CN"/>
                    </w:rPr>
                    <w:t>3</w:t>
                  </w:r>
                  <w:r>
                    <w:rPr>
                      <w:rFonts w:hint="eastAsia" w:ascii="Times New Roman" w:hAnsi="Times New Roman" w:eastAsia="宋体" w:cs="宋体"/>
                      <w:color w:val="auto"/>
                      <w:sz w:val="21"/>
                      <w:szCs w:val="21"/>
                      <w:highlight w:val="none"/>
                      <w:vertAlign w:val="baseline"/>
                      <w:lang w:val="en-US" w:eastAsia="zh-CN"/>
                    </w:rPr>
                    <w:t>）</w:t>
                  </w:r>
                </w:p>
              </w:tc>
              <w:tc>
                <w:tcPr>
                  <w:tcW w:w="1434" w:type="pct"/>
                  <w:tcBorders>
                    <w:tl2br w:val="nil"/>
                    <w:tr2bl w:val="nil"/>
                  </w:tcBorders>
                  <w:noWrap w:val="0"/>
                  <w:vAlign w:val="center"/>
                </w:tcPr>
                <w:p w14:paraId="5A35BBB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日均浓度的第95百分位</w:t>
                  </w:r>
                </w:p>
              </w:tc>
              <w:tc>
                <w:tcPr>
                  <w:tcW w:w="672" w:type="pct"/>
                  <w:tcBorders>
                    <w:tl2br w:val="nil"/>
                    <w:tr2bl w:val="nil"/>
                  </w:tcBorders>
                  <w:noWrap w:val="0"/>
                  <w:vAlign w:val="center"/>
                </w:tcPr>
                <w:p w14:paraId="3BE8D4F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1.5</w:t>
                  </w:r>
                </w:p>
              </w:tc>
              <w:tc>
                <w:tcPr>
                  <w:tcW w:w="672" w:type="pct"/>
                  <w:tcBorders>
                    <w:tl2br w:val="nil"/>
                    <w:tr2bl w:val="nil"/>
                  </w:tcBorders>
                  <w:noWrap w:val="0"/>
                  <w:vAlign w:val="center"/>
                </w:tcPr>
                <w:p w14:paraId="453DBBD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w:t>
                  </w:r>
                </w:p>
              </w:tc>
              <w:tc>
                <w:tcPr>
                  <w:tcW w:w="672" w:type="pct"/>
                  <w:tcBorders>
                    <w:tl2br w:val="nil"/>
                    <w:tr2bl w:val="nil"/>
                  </w:tcBorders>
                  <w:noWrap w:val="0"/>
                  <w:vAlign w:val="center"/>
                </w:tcPr>
                <w:p w14:paraId="0613BE5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bidi="ar"/>
                    </w:rPr>
                    <w:t>37.5</w:t>
                  </w:r>
                </w:p>
              </w:tc>
              <w:tc>
                <w:tcPr>
                  <w:tcW w:w="675" w:type="pct"/>
                  <w:tcBorders>
                    <w:tl2br w:val="nil"/>
                    <w:tr2bl w:val="nil"/>
                  </w:tcBorders>
                  <w:noWrap w:val="0"/>
                  <w:vAlign w:val="center"/>
                </w:tcPr>
                <w:p w14:paraId="50BF4C9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0D429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noWrap w:val="0"/>
                  <w:vAlign w:val="center"/>
                </w:tcPr>
                <w:p w14:paraId="3B73FBF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sz w:val="21"/>
                      <w:szCs w:val="21"/>
                      <w:highlight w:val="none"/>
                      <w:vertAlign w:val="baseline"/>
                      <w:lang w:val="en-US" w:eastAsia="zh-CN"/>
                    </w:rPr>
                    <w:t>O</w:t>
                  </w:r>
                  <w:r>
                    <w:rPr>
                      <w:rFonts w:hint="eastAsia" w:ascii="Times New Roman" w:hAnsi="Times New Roman" w:eastAsia="宋体" w:cs="宋体"/>
                      <w:color w:val="auto"/>
                      <w:sz w:val="21"/>
                      <w:szCs w:val="21"/>
                      <w:highlight w:val="none"/>
                      <w:vertAlign w:val="subscript"/>
                      <w:lang w:val="en-US" w:eastAsia="zh-CN"/>
                    </w:rPr>
                    <w:t>3</w:t>
                  </w:r>
                </w:p>
              </w:tc>
              <w:tc>
                <w:tcPr>
                  <w:tcW w:w="1434" w:type="pct"/>
                  <w:tcBorders>
                    <w:tl2br w:val="nil"/>
                    <w:tr2bl w:val="nil"/>
                  </w:tcBorders>
                  <w:noWrap w:val="0"/>
                  <w:vAlign w:val="center"/>
                </w:tcPr>
                <w:p w14:paraId="4C1D44D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sz w:val="21"/>
                      <w:szCs w:val="21"/>
                      <w:highlight w:val="none"/>
                      <w:vertAlign w:val="baseline"/>
                      <w:lang w:val="en-US" w:eastAsia="zh-CN"/>
                    </w:rPr>
                    <w:t>日均最大8h平均浓度的第90百分位</w:t>
                  </w:r>
                </w:p>
              </w:tc>
              <w:tc>
                <w:tcPr>
                  <w:tcW w:w="672" w:type="pct"/>
                  <w:tcBorders>
                    <w:tl2br w:val="nil"/>
                    <w:tr2bl w:val="nil"/>
                  </w:tcBorders>
                  <w:noWrap w:val="0"/>
                  <w:vAlign w:val="center"/>
                </w:tcPr>
                <w:p w14:paraId="4C824EA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cs="宋体"/>
                      <w:b w:val="0"/>
                      <w:bCs w:val="0"/>
                      <w:color w:val="auto"/>
                      <w:sz w:val="21"/>
                      <w:szCs w:val="21"/>
                      <w:highlight w:val="none"/>
                      <w:vertAlign w:val="baseline"/>
                      <w:lang w:val="en-US" w:eastAsia="zh-CN"/>
                    </w:rPr>
                    <w:t>152</w:t>
                  </w:r>
                </w:p>
              </w:tc>
              <w:tc>
                <w:tcPr>
                  <w:tcW w:w="672" w:type="pct"/>
                  <w:tcBorders>
                    <w:tl2br w:val="nil"/>
                    <w:tr2bl w:val="nil"/>
                  </w:tcBorders>
                  <w:noWrap w:val="0"/>
                  <w:vAlign w:val="center"/>
                </w:tcPr>
                <w:p w14:paraId="73AA996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160</w:t>
                  </w:r>
                </w:p>
              </w:tc>
              <w:tc>
                <w:tcPr>
                  <w:tcW w:w="672" w:type="pct"/>
                  <w:tcBorders>
                    <w:tl2br w:val="nil"/>
                    <w:tr2bl w:val="nil"/>
                  </w:tcBorders>
                  <w:noWrap w:val="0"/>
                  <w:vAlign w:val="center"/>
                </w:tcPr>
                <w:p w14:paraId="342ED6D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0"/>
                      <w:sz w:val="21"/>
                      <w:szCs w:val="21"/>
                      <w:highlight w:val="none"/>
                      <w:lang w:val="en-US" w:eastAsia="zh-CN" w:bidi="ar"/>
                    </w:rPr>
                    <w:t>95</w:t>
                  </w:r>
                </w:p>
              </w:tc>
              <w:tc>
                <w:tcPr>
                  <w:tcW w:w="675" w:type="pct"/>
                  <w:tcBorders>
                    <w:tl2br w:val="nil"/>
                    <w:tr2bl w:val="nil"/>
                  </w:tcBorders>
                  <w:noWrap w:val="0"/>
                  <w:vAlign w:val="center"/>
                </w:tcPr>
                <w:p w14:paraId="466023B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达标</w:t>
                  </w:r>
                </w:p>
              </w:tc>
            </w:tr>
          </w:tbl>
          <w:p w14:paraId="325AD63A">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由上表可知，九龙坡区2023年全区环境空气质量中PM</w:t>
            </w:r>
            <w:r>
              <w:rPr>
                <w:rFonts w:hint="eastAsia" w:ascii="Times New Roman" w:hAnsi="Times New Roman" w:cs="宋体"/>
                <w:color w:val="auto"/>
                <w:sz w:val="24"/>
                <w:szCs w:val="24"/>
                <w:highlight w:val="none"/>
                <w:vertAlign w:val="subscript"/>
                <w:lang w:val="en-US" w:eastAsia="zh-CN"/>
              </w:rPr>
              <w:t>10</w:t>
            </w:r>
            <w:r>
              <w:rPr>
                <w:rFonts w:hint="eastAsia" w:ascii="Times New Roman" w:hAnsi="Times New Roman" w:cs="宋体"/>
                <w:color w:val="auto"/>
                <w:sz w:val="24"/>
                <w:szCs w:val="24"/>
                <w:highlight w:val="none"/>
                <w:lang w:val="en-US" w:eastAsia="zh-CN"/>
              </w:rPr>
              <w:t>、SO</w:t>
            </w:r>
            <w:r>
              <w:rPr>
                <w:rFonts w:hint="eastAsia" w:ascii="Times New Roman" w:hAnsi="Times New Roman" w:cs="宋体"/>
                <w:color w:val="auto"/>
                <w:sz w:val="24"/>
                <w:szCs w:val="24"/>
                <w:highlight w:val="none"/>
                <w:vertAlign w:val="subscript"/>
                <w:lang w:val="en-US" w:eastAsia="zh-CN"/>
              </w:rPr>
              <w:t>2</w:t>
            </w:r>
            <w:r>
              <w:rPr>
                <w:rFonts w:hint="eastAsia" w:ascii="Times New Roman" w:hAnsi="Times New Roman" w:cs="宋体"/>
                <w:color w:val="auto"/>
                <w:sz w:val="24"/>
                <w:szCs w:val="24"/>
                <w:highlight w:val="none"/>
                <w:lang w:val="en-US" w:eastAsia="zh-CN"/>
              </w:rPr>
              <w:t>、CO、O</w:t>
            </w:r>
            <w:r>
              <w:rPr>
                <w:rFonts w:hint="eastAsia" w:ascii="Times New Roman" w:hAnsi="Times New Roman" w:cs="宋体"/>
                <w:color w:val="auto"/>
                <w:sz w:val="24"/>
                <w:szCs w:val="24"/>
                <w:highlight w:val="none"/>
                <w:vertAlign w:val="subscript"/>
                <w:lang w:val="en-US" w:eastAsia="zh-CN"/>
              </w:rPr>
              <w:t>3</w:t>
            </w:r>
            <w:r>
              <w:rPr>
                <w:rFonts w:hint="eastAsia" w:ascii="Times New Roman" w:hAnsi="Times New Roman" w:cs="宋体"/>
                <w:color w:val="auto"/>
                <w:sz w:val="24"/>
                <w:szCs w:val="24"/>
                <w:highlight w:val="none"/>
                <w:lang w:val="en-US" w:eastAsia="zh-CN"/>
              </w:rPr>
              <w:t>均满足《环境空气质量标准》（GB3095-2012）二类区域标准，但PM</w:t>
            </w:r>
            <w:r>
              <w:rPr>
                <w:rFonts w:hint="eastAsia" w:ascii="Times New Roman" w:hAnsi="Times New Roman" w:cs="宋体"/>
                <w:color w:val="auto"/>
                <w:sz w:val="24"/>
                <w:szCs w:val="24"/>
                <w:highlight w:val="none"/>
                <w:vertAlign w:val="subscript"/>
                <w:lang w:val="en-US" w:eastAsia="zh-CN"/>
              </w:rPr>
              <w:t>2.5</w:t>
            </w:r>
            <w:r>
              <w:rPr>
                <w:rFonts w:hint="eastAsia" w:ascii="Times New Roman" w:hAnsi="Times New Roman" w:cs="宋体"/>
                <w:color w:val="auto"/>
                <w:sz w:val="24"/>
                <w:szCs w:val="24"/>
                <w:highlight w:val="none"/>
                <w:lang w:val="en-US" w:eastAsia="zh-CN"/>
              </w:rPr>
              <w:t>、NO</w:t>
            </w:r>
            <w:r>
              <w:rPr>
                <w:rFonts w:hint="eastAsia" w:ascii="Times New Roman" w:hAnsi="Times New Roman" w:cs="宋体"/>
                <w:color w:val="auto"/>
                <w:sz w:val="24"/>
                <w:szCs w:val="24"/>
                <w:highlight w:val="none"/>
                <w:vertAlign w:val="subscript"/>
                <w:lang w:val="en-US" w:eastAsia="zh-CN"/>
              </w:rPr>
              <w:t>2</w:t>
            </w:r>
            <w:r>
              <w:rPr>
                <w:rFonts w:hint="eastAsia" w:ascii="Times New Roman" w:hAnsi="Times New Roman" w:cs="宋体"/>
                <w:color w:val="auto"/>
                <w:sz w:val="24"/>
                <w:szCs w:val="24"/>
                <w:highlight w:val="none"/>
                <w:lang w:val="en-US" w:eastAsia="zh-CN"/>
              </w:rPr>
              <w:t>不满足《环境空气质量标准》（GB3095-2012）二类区域标准。</w:t>
            </w:r>
          </w:p>
          <w:p w14:paraId="5356648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据《环境影响评价技术导则 大气环境》（HJ2.2-2018）：城市环境空气质量达标情况评价指标为SO</w:t>
            </w:r>
            <w:r>
              <w:rPr>
                <w:rFonts w:hint="eastAsia" w:ascii="Times New Roman" w:hAnsi="Times New Roman" w:cs="宋体"/>
                <w:color w:val="auto"/>
                <w:sz w:val="24"/>
                <w:szCs w:val="24"/>
                <w:highlight w:val="none"/>
                <w:vertAlign w:val="subscript"/>
                <w:lang w:val="en-US" w:eastAsia="zh-CN"/>
              </w:rPr>
              <w:t>2</w:t>
            </w:r>
            <w:r>
              <w:rPr>
                <w:rFonts w:hint="eastAsia" w:ascii="Times New Roman" w:hAnsi="Times New Roman" w:cs="宋体"/>
                <w:color w:val="auto"/>
                <w:sz w:val="24"/>
                <w:szCs w:val="24"/>
                <w:highlight w:val="none"/>
                <w:lang w:val="en-US" w:eastAsia="zh-CN"/>
              </w:rPr>
              <w:t>、NO</w:t>
            </w:r>
            <w:r>
              <w:rPr>
                <w:rFonts w:hint="eastAsia" w:ascii="Times New Roman" w:hAnsi="Times New Roman" w:cs="宋体"/>
                <w:color w:val="auto"/>
                <w:sz w:val="24"/>
                <w:szCs w:val="24"/>
                <w:highlight w:val="none"/>
                <w:vertAlign w:val="subscript"/>
                <w:lang w:val="en-US" w:eastAsia="zh-CN"/>
              </w:rPr>
              <w:t>2</w:t>
            </w:r>
            <w:r>
              <w:rPr>
                <w:rFonts w:hint="eastAsia" w:ascii="Times New Roman" w:hAnsi="Times New Roman" w:cs="宋体"/>
                <w:color w:val="auto"/>
                <w:sz w:val="24"/>
                <w:szCs w:val="24"/>
                <w:highlight w:val="none"/>
                <w:lang w:val="en-US" w:eastAsia="zh-CN"/>
              </w:rPr>
              <w:t>、PM</w:t>
            </w:r>
            <w:r>
              <w:rPr>
                <w:rFonts w:hint="eastAsia" w:ascii="Times New Roman" w:hAnsi="Times New Roman" w:cs="宋体"/>
                <w:color w:val="auto"/>
                <w:sz w:val="24"/>
                <w:szCs w:val="24"/>
                <w:highlight w:val="none"/>
                <w:vertAlign w:val="subscript"/>
                <w:lang w:val="en-US" w:eastAsia="zh-CN"/>
              </w:rPr>
              <w:t>10</w:t>
            </w:r>
            <w:r>
              <w:rPr>
                <w:rFonts w:hint="eastAsia" w:ascii="Times New Roman" w:hAnsi="Times New Roman" w:cs="宋体"/>
                <w:color w:val="auto"/>
                <w:sz w:val="24"/>
                <w:szCs w:val="24"/>
                <w:highlight w:val="none"/>
                <w:lang w:val="en-US" w:eastAsia="zh-CN"/>
              </w:rPr>
              <w:t>、PM</w:t>
            </w:r>
            <w:r>
              <w:rPr>
                <w:rFonts w:hint="eastAsia" w:ascii="Times New Roman" w:hAnsi="Times New Roman" w:cs="宋体"/>
                <w:color w:val="auto"/>
                <w:sz w:val="24"/>
                <w:szCs w:val="24"/>
                <w:highlight w:val="none"/>
                <w:vertAlign w:val="subscript"/>
                <w:lang w:val="en-US" w:eastAsia="zh-CN"/>
              </w:rPr>
              <w:t>2.5</w:t>
            </w:r>
            <w:r>
              <w:rPr>
                <w:rFonts w:hint="eastAsia" w:ascii="Times New Roman" w:hAnsi="Times New Roman" w:cs="宋体"/>
                <w:color w:val="auto"/>
                <w:sz w:val="24"/>
                <w:szCs w:val="24"/>
                <w:highlight w:val="none"/>
                <w:lang w:val="en-US" w:eastAsia="zh-CN"/>
              </w:rPr>
              <w:t>、CO和O</w:t>
            </w:r>
            <w:r>
              <w:rPr>
                <w:rFonts w:hint="eastAsia" w:ascii="Times New Roman" w:hAnsi="Times New Roman" w:cs="宋体"/>
                <w:color w:val="auto"/>
                <w:sz w:val="24"/>
                <w:szCs w:val="24"/>
                <w:highlight w:val="none"/>
                <w:vertAlign w:val="subscript"/>
                <w:lang w:val="en-US" w:eastAsia="zh-CN"/>
              </w:rPr>
              <w:t>3</w:t>
            </w:r>
            <w:r>
              <w:rPr>
                <w:rFonts w:hint="eastAsia" w:ascii="Times New Roman" w:hAnsi="Times New Roman" w:cs="宋体"/>
                <w:color w:val="auto"/>
                <w:sz w:val="24"/>
                <w:szCs w:val="24"/>
                <w:highlight w:val="none"/>
                <w:lang w:val="en-US" w:eastAsia="zh-CN"/>
              </w:rPr>
              <w:t>，六项污染物全部达标即为城市环境空气质量达标，据此项目所在区域为不达标区。</w:t>
            </w:r>
          </w:p>
          <w:p w14:paraId="5177864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项目所在九龙坡区为环境空气质量不达标区，九龙坡区已编制《重庆市九龙坡区大气环境质量限期达标规划》（九环委办〔2019〕5号），规划分两阶段逐步削减大气污染物的排放量，以细颗粒（PM</w:t>
            </w:r>
            <w:r>
              <w:rPr>
                <w:rFonts w:hint="eastAsia" w:ascii="Times New Roman" w:hAnsi="Times New Roman" w:cs="宋体"/>
                <w:color w:val="auto"/>
                <w:sz w:val="24"/>
                <w:szCs w:val="24"/>
                <w:highlight w:val="none"/>
                <w:vertAlign w:val="subscript"/>
                <w:lang w:val="en-US" w:eastAsia="zh-CN"/>
              </w:rPr>
              <w:t>2.5</w:t>
            </w:r>
            <w:r>
              <w:rPr>
                <w:rFonts w:hint="eastAsia" w:ascii="Times New Roman" w:hAnsi="Times New Roman" w:cs="宋体"/>
                <w:color w:val="auto"/>
                <w:sz w:val="24"/>
                <w:szCs w:val="24"/>
                <w:highlight w:val="none"/>
                <w:lang w:val="en-US" w:eastAsia="zh-CN"/>
              </w:rPr>
              <w:t>）年均浓度达标为核心，进一步改善九龙坡区环境空气质量，2025年实现全区环境空气质量达标。</w:t>
            </w:r>
          </w:p>
          <w:p w14:paraId="528A5E8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远期目标（2025年）</w:t>
            </w:r>
            <w:r>
              <w:rPr>
                <w:rFonts w:hint="eastAsia" w:ascii="Times New Roman" w:hAnsi="Times New Roman" w:cs="宋体"/>
                <w:color w:val="auto"/>
                <w:sz w:val="24"/>
                <w:szCs w:val="24"/>
                <w:highlight w:val="none"/>
                <w:lang w:val="en-US" w:eastAsia="zh-CN"/>
              </w:rPr>
              <w:t>：根据《城市大气环境质量限期达标规划编制技术指南（试行）》要求，到2025年，实现PM</w:t>
            </w:r>
            <w:r>
              <w:rPr>
                <w:rFonts w:hint="eastAsia" w:ascii="Times New Roman" w:hAnsi="Times New Roman" w:cs="宋体"/>
                <w:color w:val="auto"/>
                <w:sz w:val="24"/>
                <w:szCs w:val="24"/>
                <w:highlight w:val="none"/>
                <w:vertAlign w:val="subscript"/>
                <w:lang w:val="en-US" w:eastAsia="zh-CN"/>
              </w:rPr>
              <w:t>2.5</w:t>
            </w:r>
            <w:r>
              <w:rPr>
                <w:rFonts w:hint="eastAsia" w:ascii="Times New Roman" w:hAnsi="Times New Roman" w:cs="宋体"/>
                <w:color w:val="auto"/>
                <w:sz w:val="24"/>
                <w:szCs w:val="24"/>
                <w:highlight w:val="none"/>
                <w:lang w:val="en-US" w:eastAsia="zh-CN"/>
              </w:rPr>
              <w:t>年均浓度达标，空气质量优良天数应稳定在300天以上，环境空气质量六项指标全部达标。</w:t>
            </w:r>
          </w:p>
          <w:p w14:paraId="6893F2C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九龙坡区达标规划“第五章重点任务与措施”中明确减缓的方案如下：</w:t>
            </w:r>
          </w:p>
          <w:p w14:paraId="4D94D98F">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 xml:space="preserve">① </w:t>
            </w:r>
            <w:r>
              <w:rPr>
                <w:rFonts w:hint="eastAsia" w:ascii="Times New Roman" w:hAnsi="Times New Roman" w:cs="宋体"/>
                <w:color w:val="auto"/>
                <w:sz w:val="24"/>
                <w:szCs w:val="24"/>
                <w:highlight w:val="none"/>
                <w:lang w:val="en-US" w:eastAsia="zh-CN"/>
              </w:rPr>
              <w:t>提高能源效率，优化能源结构</w:t>
            </w:r>
          </w:p>
          <w:p w14:paraId="7C53524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加快清洁能源替代利用。加快能源结构调整，减少煤炭使用，大力推广天然气、水电、太阳能、沼气等清洁能源，构建低碳能源体系。</w:t>
            </w:r>
          </w:p>
          <w:p w14:paraId="746F32D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巩固并扩大高污染燃料禁燃区。城建区内，禁止销售使用煤炭，要求经营性场所不能使用煤炭，一律使用天然气、液化气、电、柴油等低污染燃料，鼓励农村居民减少使用煤炭，推广清洁能源。推进天然气锅炉的超低排放。</w:t>
            </w:r>
          </w:p>
          <w:p w14:paraId="04FB022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实施工业企业标准化管理。完善企业环境信用等级评价制度，限制环保违法企业贷款。推进清洁生产，积极支持企业开展ISO14000环境管理体系认证。开展排污产权交易、建设项目“三同时”保证金、环境风险责任保险等制度试点。</w:t>
            </w:r>
          </w:p>
          <w:p w14:paraId="219DB5CA">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 xml:space="preserve">② </w:t>
            </w:r>
            <w:r>
              <w:rPr>
                <w:rFonts w:hint="eastAsia" w:ascii="Times New Roman" w:hAnsi="Times New Roman" w:cs="宋体"/>
                <w:color w:val="auto"/>
                <w:sz w:val="24"/>
                <w:szCs w:val="24"/>
                <w:highlight w:val="none"/>
                <w:lang w:val="en-US" w:eastAsia="zh-CN"/>
              </w:rPr>
              <w:t>优化产业布局，推进绿色发展</w:t>
            </w:r>
          </w:p>
          <w:p w14:paraId="7DE9CC7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优化产业布局。加大淘汰落后产能的力度，完成重点行业淘汰落后产能的任务。限制高污染、高排放企业发展。对布局分散、装备水平低、环保设施差小工业企业、小作坊开展全面排查，制定综合整治方案，实施分类治理。协调推进重污染企业关停或环保搬迁工作。确保搬迁后清洁生产得到加强，生产工艺水平和环境绩效得以提升。</w:t>
            </w:r>
          </w:p>
          <w:p w14:paraId="5A7B515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严格环保准入。实施严格的环境准入规定。新建项目原则采用清洁能源，禁止新建、扩建、改建使用燃煤等高污染燃料设施的项目，禁止新建、扩建、改建水泥、钢铁、烧结砖瓦窑企业。新建的大气污染类工业项目，应进入工业园区或工业集中区，并达到《重庆市工业项目环境准入规定》的资源环境绩效水平。把污染源排放总量作为环评审批的前置条件，以总量定项目。新建排放二氧化硫、氮氧化物、工业烟粉尘、挥发性有机物的项目实行污染物排放减量替代，实现增产减污；对未通过环评审查的投资项目，有关部门不得审批、核准、批准开工建设，不得发放生产许可证、安全生产许可证、排污许可证，金融机构不得提供任何形式的新增授信支持，有关单位不得供水、供电。</w:t>
            </w:r>
          </w:p>
          <w:p w14:paraId="6D53F1DA">
            <w:pPr>
              <w:pStyle w:val="18"/>
              <w:keepNext w:val="0"/>
              <w:keepLines w:val="0"/>
              <w:pageBreakBefore w:val="0"/>
              <w:widowControl/>
              <w:suppressLineNumbers w:val="0"/>
              <w:kinsoku/>
              <w:wordWrap/>
              <w:overflowPunct/>
              <w:topLinePunct w:val="0"/>
              <w:autoSpaceDE/>
              <w:autoSpaceDN/>
              <w:bidi w:val="0"/>
              <w:adjustRightInd/>
              <w:snapToGrid/>
              <w:spacing w:before="17" w:beforeLines="5" w:beforeAutospacing="0" w:after="17" w:afterLines="5" w:afterAutospacing="0" w:line="360"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 xml:space="preserve">③ </w:t>
            </w:r>
            <w:r>
              <w:rPr>
                <w:rFonts w:hint="eastAsia" w:ascii="Times New Roman" w:hAnsi="Times New Roman" w:cs="宋体"/>
                <w:color w:val="auto"/>
                <w:sz w:val="24"/>
                <w:szCs w:val="24"/>
                <w:highlight w:val="none"/>
                <w:lang w:val="en-US" w:eastAsia="zh-CN"/>
              </w:rPr>
              <w:t>强化监督管理，控制交通污染</w:t>
            </w:r>
          </w:p>
          <w:p w14:paraId="563DFC1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改善车用燃油品质并加强达标监管。进一步加强车用燃油清净性监管，对清净性不合格油品加大处罚力度。强化对油品质量的监管，严厉打击销售不达标油品的行为，确保本区销售的车用油品符合相应标准。强化成品油储运系统油气排放污染控制。加油库，加油站、油罐车油气污染日常监管力度，对企业运油、储油过程中油气的排放情况进行专项检查，督促成品油储运系统排放达标。推进实施加油站油气回收在线监控改造工程，实现对重点加油站油气回收远程集中监测、管理和控制，规范控制VOCs污染排放，确保油气回收治理设施正常运转。对不符合污染控制要求及排放超标的加油站、储油库和油罐车，依法进行处罚。到2020年，完成全区年销售汽油量大于5000吨的加油站的油气回收自动监测设备安装并实现与环境主管部门联网。</w:t>
            </w:r>
          </w:p>
          <w:p w14:paraId="1C7F8E0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强化非道路移动机械污染控制。严格执行非道路移动机械污染物的排放标准，扩大高排放非道路移动机械进入禁止使用区域。建立施工机械管理制度，鼓励使用电动和天然气动力非道路工程机械。</w:t>
            </w:r>
          </w:p>
          <w:p w14:paraId="3E815CF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在九龙坡区范围内执行相应的整治措施后，可明显改善区域环境质量。</w:t>
            </w:r>
          </w:p>
          <w:p w14:paraId="168493DC">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cs="宋体"/>
                <w:color w:val="auto"/>
                <w:sz w:val="24"/>
                <w:szCs w:val="24"/>
                <w:highlight w:val="none"/>
                <w:shd w:val="clear" w:color="auto" w:fill="auto"/>
                <w:lang w:val="en-US" w:eastAsia="zh-CN"/>
              </w:rPr>
            </w:pPr>
            <w:r>
              <w:rPr>
                <w:rFonts w:hint="eastAsia" w:ascii="Times New Roman" w:hAnsi="Times New Roman" w:cs="宋体"/>
                <w:b/>
                <w:bCs/>
                <w:color w:val="auto"/>
                <w:sz w:val="24"/>
                <w:szCs w:val="24"/>
                <w:highlight w:val="none"/>
                <w:shd w:val="clear" w:color="auto" w:fill="auto"/>
                <w:lang w:val="en-US" w:eastAsia="zh-CN"/>
              </w:rPr>
              <w:t>2）其他污染物</w:t>
            </w:r>
          </w:p>
          <w:p w14:paraId="56B00D1A">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为进一步了解项目影响范围内的环境空气质量现状，评价特征因子非甲烷总烃引用《西彭工业园区规划环境影响报告书》中环境质量现状监测报告（港庆（监）字〔202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〕第</w:t>
            </w:r>
            <w:r>
              <w:rPr>
                <w:rFonts w:hint="eastAsia" w:ascii="Times New Roman" w:hAnsi="Times New Roman" w:cs="Times New Roman"/>
                <w:color w:val="auto"/>
                <w:sz w:val="24"/>
                <w:szCs w:val="24"/>
                <w:lang w:val="en-US" w:eastAsia="zh-CN"/>
              </w:rPr>
              <w:t>06117</w:t>
            </w:r>
            <w:r>
              <w:rPr>
                <w:rFonts w:hint="default" w:ascii="Times New Roman" w:hAnsi="Times New Roman" w:cs="Times New Roman"/>
                <w:color w:val="auto"/>
                <w:sz w:val="24"/>
                <w:szCs w:val="24"/>
              </w:rPr>
              <w:t>-HP号，详见附件</w:t>
            </w:r>
            <w:r>
              <w:rPr>
                <w:rFonts w:hint="eastAsia" w:ascii="Times New Roman" w:hAnsi="Times New Roman" w:cs="Times New Roman"/>
                <w:color w:val="auto"/>
                <w:sz w:val="24"/>
                <w:szCs w:val="24"/>
                <w:highlight w:val="none"/>
                <w:lang w:val="en-US" w:eastAsia="zh-CN"/>
              </w:rPr>
              <w:t>9-1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“渝西中学”</w:t>
            </w:r>
            <w:r>
              <w:rPr>
                <w:rFonts w:hint="default" w:ascii="Times New Roman" w:hAnsi="Times New Roman" w:cs="Times New Roman"/>
                <w:color w:val="auto"/>
                <w:sz w:val="24"/>
                <w:szCs w:val="24"/>
              </w:rPr>
              <w:t>监测数据。监测时间为202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7月6</w:t>
            </w:r>
            <w:r>
              <w:rPr>
                <w:rFonts w:hint="default" w:ascii="Times New Roman" w:hAnsi="Times New Roman" w:cs="Times New Roman"/>
                <w:color w:val="auto"/>
                <w:sz w:val="24"/>
                <w:szCs w:val="24"/>
              </w:rPr>
              <w:t>日，监测数据未超过三年，监测点位于本项目</w:t>
            </w:r>
            <w:r>
              <w:rPr>
                <w:rFonts w:hint="eastAsia" w:ascii="Times New Roman" w:hAnsi="Times New Roman" w:cs="Times New Roman"/>
                <w:color w:val="auto"/>
                <w:sz w:val="24"/>
                <w:szCs w:val="24"/>
                <w:lang w:eastAsia="zh-CN"/>
              </w:rPr>
              <w:t>西南侧约</w:t>
            </w:r>
            <w:r>
              <w:rPr>
                <w:rFonts w:hint="eastAsia"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km处，引用监测数据可行。具体情况如下：</w:t>
            </w:r>
          </w:p>
          <w:p w14:paraId="6F0CA4E1">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①监测方案</w:t>
            </w:r>
          </w:p>
          <w:p w14:paraId="01B05886">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监测地点：</w:t>
            </w:r>
            <w:r>
              <w:rPr>
                <w:rFonts w:hint="eastAsia" w:ascii="Times New Roman" w:hAnsi="Times New Roman" w:cs="Times New Roman"/>
                <w:color w:val="auto"/>
                <w:sz w:val="24"/>
                <w:szCs w:val="24"/>
                <w:lang w:eastAsia="zh-CN"/>
              </w:rPr>
              <w:t>渝西中学</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西南</w:t>
            </w:r>
            <w:r>
              <w:rPr>
                <w:rFonts w:hint="default" w:ascii="Times New Roman" w:hAnsi="Times New Roman" w:cs="Times New Roman"/>
                <w:color w:val="auto"/>
                <w:sz w:val="24"/>
                <w:szCs w:val="24"/>
              </w:rPr>
              <w:t>侧约</w:t>
            </w:r>
            <w:r>
              <w:rPr>
                <w:rFonts w:hint="eastAsia"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km；</w:t>
            </w:r>
          </w:p>
          <w:p w14:paraId="253B9FE7">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引用监测因子：非甲烷总烃；</w:t>
            </w:r>
          </w:p>
          <w:p w14:paraId="1F989398">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监测时间及频率：202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7月6</w:t>
            </w:r>
            <w:r>
              <w:rPr>
                <w:rFonts w:hint="default" w:ascii="Times New Roman" w:hAnsi="Times New Roman" w:cs="Times New Roman"/>
                <w:color w:val="auto"/>
                <w:sz w:val="24"/>
                <w:szCs w:val="24"/>
              </w:rPr>
              <w:t>日，连续监测7天，每天监测4次小时浓度。</w:t>
            </w:r>
          </w:p>
          <w:p w14:paraId="7F459B66">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②评价方法</w:t>
            </w:r>
          </w:p>
          <w:p w14:paraId="7DAEE906">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大气环境》（HJ2.2-2018），采用占标率对项目所在区域环境空气质量进行评价。计算公式如下：</w:t>
            </w:r>
          </w:p>
          <w:p w14:paraId="3EE606C7">
            <w:pPr>
              <w:pStyle w:val="38"/>
              <w:ind w:firstLine="0" w:firstLineChars="0"/>
              <w:jc w:val="center"/>
              <w:rPr>
                <w:color w:val="auto"/>
              </w:rPr>
            </w:pPr>
            <w:r>
              <w:rPr>
                <w:color w:val="auto"/>
              </w:rPr>
              <w:drawing>
                <wp:inline distT="0" distB="0" distL="114300" distR="114300">
                  <wp:extent cx="1419860" cy="497840"/>
                  <wp:effectExtent l="0" t="0" r="1270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srcRect t="9636" b="6424"/>
                          <a:stretch>
                            <a:fillRect/>
                          </a:stretch>
                        </pic:blipFill>
                        <pic:spPr>
                          <a:xfrm>
                            <a:off x="0" y="0"/>
                            <a:ext cx="1419860" cy="497840"/>
                          </a:xfrm>
                          <a:prstGeom prst="rect">
                            <a:avLst/>
                          </a:prstGeom>
                          <a:noFill/>
                          <a:ln>
                            <a:noFill/>
                          </a:ln>
                        </pic:spPr>
                      </pic:pic>
                    </a:graphicData>
                  </a:graphic>
                </wp:inline>
              </w:drawing>
            </w:r>
          </w:p>
          <w:p w14:paraId="016696D8">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——第i个污染物监测最大浓度占相应标准浓度限值的百分比，%；</w:t>
            </w:r>
          </w:p>
          <w:p w14:paraId="46A3BBB3">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——第i个污染物的监测浓度值，mg/m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9FC2764">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0i</w:t>
            </w:r>
            <w:r>
              <w:rPr>
                <w:rFonts w:hint="default" w:ascii="Times New Roman" w:hAnsi="Times New Roman" w:cs="Times New Roman"/>
                <w:color w:val="auto"/>
                <w:sz w:val="24"/>
                <w:szCs w:val="24"/>
              </w:rPr>
              <w:t>——第i个污染物的环境空气质量标准，mg/m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E24F2A6">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③监测结果及分析</w:t>
            </w:r>
          </w:p>
          <w:p w14:paraId="779C19BC">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监测点环境空气质量现状监测结果统计见</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REF _Ref20055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表3-2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p>
          <w:p w14:paraId="6C721E26">
            <w:pPr>
              <w:pStyle w:val="39"/>
              <w:keepNext w:val="0"/>
              <w:keepLines w:val="0"/>
              <w:pageBreakBefore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bookmarkStart w:id="9" w:name="_Ref20055"/>
            <w:r>
              <w:rPr>
                <w:rFonts w:hint="default" w:ascii="Times New Roman" w:hAnsi="Times New Roman" w:eastAsia="宋体" w:cs="Times New Roman"/>
                <w:color w:val="auto"/>
                <w:sz w:val="24"/>
                <w:szCs w:val="24"/>
              </w:rPr>
              <w:t>表</w:t>
            </w:r>
            <w:bookmarkEnd w:id="9"/>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 xml:space="preserve"> 其他污染物环境质量现状表</w:t>
            </w:r>
          </w:p>
          <w:tbl>
            <w:tblPr>
              <w:tblStyle w:val="22"/>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339"/>
              <w:gridCol w:w="990"/>
              <w:gridCol w:w="1139"/>
              <w:gridCol w:w="873"/>
              <w:gridCol w:w="1452"/>
              <w:gridCol w:w="1292"/>
              <w:gridCol w:w="903"/>
            </w:tblGrid>
            <w:tr w14:paraId="15E76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tblHeader/>
                <w:jc w:val="center"/>
              </w:trPr>
              <w:tc>
                <w:tcPr>
                  <w:tcW w:w="776" w:type="dxa"/>
                  <w:tcBorders>
                    <w:tl2br w:val="nil"/>
                    <w:tr2bl w:val="nil"/>
                  </w:tcBorders>
                  <w:vAlign w:val="center"/>
                </w:tcPr>
                <w:p w14:paraId="2CC82B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点位名称</w:t>
                  </w:r>
                </w:p>
              </w:tc>
              <w:tc>
                <w:tcPr>
                  <w:tcW w:w="1339" w:type="dxa"/>
                  <w:tcBorders>
                    <w:tl2br w:val="nil"/>
                    <w:tr2bl w:val="nil"/>
                  </w:tcBorders>
                  <w:vAlign w:val="center"/>
                </w:tcPr>
                <w:p w14:paraId="61A170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990" w:type="dxa"/>
                  <w:tcBorders>
                    <w:tl2br w:val="nil"/>
                    <w:tr2bl w:val="nil"/>
                  </w:tcBorders>
                  <w:vAlign w:val="center"/>
                </w:tcPr>
                <w:p w14:paraId="1C7B2D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139" w:type="dxa"/>
                  <w:tcBorders>
                    <w:tl2br w:val="nil"/>
                    <w:tr2bl w:val="nil"/>
                  </w:tcBorders>
                  <w:vAlign w:val="center"/>
                </w:tcPr>
                <w:p w14:paraId="73AD65A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w:t>
                  </w:r>
                </w:p>
                <w:p w14:paraId="5E4F40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873" w:type="dxa"/>
                  <w:tcBorders>
                    <w:tl2br w:val="nil"/>
                    <w:tr2bl w:val="nil"/>
                  </w:tcBorders>
                  <w:vAlign w:val="center"/>
                </w:tcPr>
                <w:p w14:paraId="6B7C69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w:t>
                  </w:r>
                </w:p>
              </w:tc>
              <w:tc>
                <w:tcPr>
                  <w:tcW w:w="1452" w:type="dxa"/>
                  <w:tcBorders>
                    <w:tl2br w:val="nil"/>
                    <w:tr2bl w:val="nil"/>
                  </w:tcBorders>
                  <w:vAlign w:val="center"/>
                </w:tcPr>
                <w:p w14:paraId="4C58959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现状浓度</w:t>
                  </w:r>
                </w:p>
              </w:tc>
              <w:tc>
                <w:tcPr>
                  <w:tcW w:w="1292" w:type="dxa"/>
                  <w:tcBorders>
                    <w:tl2br w:val="nil"/>
                    <w:tr2bl w:val="nil"/>
                  </w:tcBorders>
                  <w:vAlign w:val="center"/>
                </w:tcPr>
                <w:p w14:paraId="1444B0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最大浓度占标率</w:t>
                  </w:r>
                </w:p>
              </w:tc>
              <w:tc>
                <w:tcPr>
                  <w:tcW w:w="903" w:type="dxa"/>
                  <w:tcBorders>
                    <w:tl2br w:val="nil"/>
                    <w:tr2bl w:val="nil"/>
                  </w:tcBorders>
                  <w:vAlign w:val="center"/>
                </w:tcPr>
                <w:p w14:paraId="4AF9004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34B97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19B16CC4">
                  <w:pPr>
                    <w:adjustRightInd w:val="0"/>
                    <w:snapToGrid w:val="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bCs/>
                      <w:color w:val="auto"/>
                      <w:sz w:val="21"/>
                      <w:szCs w:val="21"/>
                      <w:lang w:eastAsia="zh-CN"/>
                    </w:rPr>
                    <w:t>渝西中学</w:t>
                  </w:r>
                </w:p>
              </w:tc>
              <w:tc>
                <w:tcPr>
                  <w:tcW w:w="1339" w:type="dxa"/>
                  <w:tcBorders>
                    <w:tl2br w:val="nil"/>
                    <w:tr2bl w:val="nil"/>
                  </w:tcBorders>
                  <w:vAlign w:val="center"/>
                </w:tcPr>
                <w:p w14:paraId="74544F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990" w:type="dxa"/>
                  <w:tcBorders>
                    <w:tl2br w:val="nil"/>
                    <w:tr2bl w:val="nil"/>
                  </w:tcBorders>
                  <w:vAlign w:val="center"/>
                </w:tcPr>
                <w:p w14:paraId="0CE9CF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139" w:type="dxa"/>
                  <w:tcBorders>
                    <w:tl2br w:val="nil"/>
                    <w:tr2bl w:val="nil"/>
                  </w:tcBorders>
                  <w:vAlign w:val="center"/>
                </w:tcPr>
                <w:p w14:paraId="34A26A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1h平均</w:t>
                  </w:r>
                </w:p>
              </w:tc>
              <w:tc>
                <w:tcPr>
                  <w:tcW w:w="873" w:type="dxa"/>
                  <w:tcBorders>
                    <w:tl2br w:val="nil"/>
                    <w:tr2bl w:val="nil"/>
                  </w:tcBorders>
                  <w:vAlign w:val="center"/>
                </w:tcPr>
                <w:p w14:paraId="480EC2F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452" w:type="dxa"/>
                  <w:tcBorders>
                    <w:tl2br w:val="nil"/>
                    <w:tr2bl w:val="nil"/>
                  </w:tcBorders>
                  <w:vAlign w:val="center"/>
                </w:tcPr>
                <w:p w14:paraId="49C17642">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0.60~0.79</w:t>
                  </w:r>
                </w:p>
              </w:tc>
              <w:tc>
                <w:tcPr>
                  <w:tcW w:w="1292" w:type="dxa"/>
                  <w:tcBorders>
                    <w:tl2br w:val="nil"/>
                    <w:tr2bl w:val="nil"/>
                  </w:tcBorders>
                  <w:vAlign w:val="center"/>
                </w:tcPr>
                <w:p w14:paraId="557AEA1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39.5%</w:t>
                  </w:r>
                </w:p>
              </w:tc>
              <w:tc>
                <w:tcPr>
                  <w:tcW w:w="903" w:type="dxa"/>
                  <w:tcBorders>
                    <w:tl2br w:val="nil"/>
                    <w:tr2bl w:val="nil"/>
                  </w:tcBorders>
                  <w:vAlign w:val="center"/>
                </w:tcPr>
                <w:p w14:paraId="48B17E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299D1351">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根据表3-2，项目所在区域项目特征污染物非甲烷总烃满足《环境空气质量 非甲烷总烃限值》（DB 13/1577-2012）中二级标准限值要求。项目所在区域环境空气质量现状较好。</w:t>
            </w:r>
          </w:p>
          <w:p w14:paraId="2BDCED06">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3.2、地表水环境质量现状</w:t>
            </w:r>
          </w:p>
          <w:p w14:paraId="7B4AAD9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本项目运营期排放废水主要为生活污水，依托森迪安防产业园已建1#生化池预处理达《污水综合排放标准》（GB 8978-1996）三级标准，经市政污水管网进入西彭园区污水处理厂深度处理后经桥头河汇入长江。</w:t>
            </w:r>
          </w:p>
          <w:p w14:paraId="56D4374E">
            <w:pPr>
              <w:spacing w:line="360" w:lineRule="auto"/>
              <w:ind w:firstLine="480" w:firstLineChars="200"/>
              <w:rPr>
                <w:sz w:val="24"/>
              </w:rPr>
            </w:pPr>
            <w:r>
              <w:rPr>
                <w:rFonts w:hint="default" w:ascii="Times New Roman" w:hAnsi="Times New Roman" w:cs="Times New Roman"/>
                <w:sz w:val="24"/>
              </w:rPr>
              <w:t>根据《重庆西彭工业园区规划环境影响报告书》，项目所在区域桥头河未划分水域功能，长江新瓦房-大溪河口段水域范围属Ⅱ类水域。桥头河汇入长江口上游500m至大溪河口长江段属于Ⅱ类水域，执行《地表水环境质量标准》（GB3838-2002）Ⅱ类标准要求。</w:t>
            </w:r>
          </w:p>
          <w:p w14:paraId="1319227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建设项目环境影响报告表编制技术指南（污染影响类）》（试行）中地表水环境质量现状调查要求，可引用与建设项目距离近的有效数据，包括近3年的规划环境影响评价的监测数据，所在流域控制单元内国家、地方控制断面监测数据，生态环境主管部门发布的水环境质量数据或地表水达标情况的结论。由</w:t>
            </w:r>
            <w:r>
              <w:rPr>
                <w:rFonts w:hint="default" w:ascii="Times New Roman" w:hAnsi="Times New Roman" w:cs="Times New Roman"/>
                <w:bCs/>
                <w:sz w:val="24"/>
              </w:rPr>
              <w:t>《202</w:t>
            </w:r>
            <w:r>
              <w:rPr>
                <w:rFonts w:hint="default" w:ascii="Times New Roman" w:hAnsi="Times New Roman" w:cs="Times New Roman"/>
                <w:bCs/>
                <w:sz w:val="24"/>
                <w:lang w:val="en-US" w:eastAsia="zh-CN"/>
              </w:rPr>
              <w:t>3</w:t>
            </w:r>
            <w:r>
              <w:rPr>
                <w:rFonts w:hint="default" w:ascii="Times New Roman" w:hAnsi="Times New Roman" w:cs="Times New Roman"/>
                <w:bCs/>
                <w:sz w:val="24"/>
              </w:rPr>
              <w:t>年重庆市生态环境状况公报》可知，</w:t>
            </w:r>
            <w:r>
              <w:rPr>
                <w:rFonts w:hint="default" w:ascii="Times New Roman" w:hAnsi="Times New Roman" w:cs="Times New Roman"/>
                <w:sz w:val="24"/>
              </w:rPr>
              <w:t>长江干流重庆段水质为优，20个监测断面水质均为Ⅱ类。</w:t>
            </w:r>
          </w:p>
          <w:p w14:paraId="6279D51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auto"/>
              <w:ind w:left="0" w:right="0"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根据</w:t>
            </w:r>
            <w:r>
              <w:rPr>
                <w:rFonts w:hint="default" w:ascii="Times New Roman" w:hAnsi="Times New Roman" w:cs="Times New Roman"/>
                <w:bCs/>
                <w:sz w:val="24"/>
              </w:rPr>
              <w:t>重庆市生态环境局公布的地表水达标情况结论，区域地表水满足</w:t>
            </w:r>
            <w:r>
              <w:rPr>
                <w:rFonts w:hint="default" w:ascii="Times New Roman" w:hAnsi="Times New Roman" w:cs="Times New Roman"/>
                <w:sz w:val="24"/>
              </w:rPr>
              <w:t>《地表水环境质量标准》（GB3838-2002）Ⅱ类水域水质标准。</w:t>
            </w:r>
          </w:p>
          <w:p w14:paraId="7CCEAEC0">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3.3、声环境质量现状</w:t>
            </w:r>
          </w:p>
          <w:p w14:paraId="7B37183B">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根据《重庆市中心城区声环境功能区划方案》（2023年），项目所在区域声功能区划为3类，声功能区划图详见附图9。</w:t>
            </w:r>
          </w:p>
          <w:p w14:paraId="38AF4ED9">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建设单位租用森迪安防产业园</w:t>
            </w:r>
            <w:r>
              <w:rPr>
                <w:rFonts w:hint="default" w:ascii="Times New Roman" w:hAnsi="Times New Roman" w:eastAsia="宋体" w:cs="Times New Roman"/>
                <w:color w:val="FF0000"/>
                <w:sz w:val="24"/>
                <w:szCs w:val="24"/>
                <w:lang w:val="en-US" w:eastAsia="zh-CN"/>
              </w:rPr>
              <w:t>10#厂房实</w:t>
            </w:r>
            <w:r>
              <w:rPr>
                <w:rFonts w:hint="eastAsia" w:ascii="Times New Roman" w:hAnsi="Times New Roman" w:eastAsia="宋体" w:cs="Times New Roman"/>
                <w:color w:val="FF0000"/>
                <w:sz w:val="24"/>
                <w:szCs w:val="24"/>
                <w:lang w:val="en-US" w:eastAsia="zh-CN"/>
              </w:rPr>
              <w:t>施扩建项目，该厂房位于现有工程（2#厂房）西侧，中间间隔森迪安防产业园物流通道（约15m），两栋厂房间相互独立。扩建项目实施完成后，现有工程生产设备无变化，声源未发生变化。</w:t>
            </w:r>
          </w:p>
          <w:p w14:paraId="24C97B69">
            <w:pPr>
              <w:pStyle w:val="3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FF0000"/>
                <w:sz w:val="24"/>
                <w:szCs w:val="24"/>
                <w:lang w:val="en-US" w:eastAsia="zh-CN"/>
              </w:rPr>
              <w:t>根据《建设项目环境影响报告表编制技术指南（污染影响类）（试行）》可知，声环境质量现状应监测项目厂界外周边</w:t>
            </w:r>
            <w:r>
              <w:rPr>
                <w:rFonts w:hint="default" w:ascii="Times New Roman" w:hAnsi="Times New Roman" w:eastAsia="宋体" w:cs="Times New Roman"/>
                <w:color w:val="FF0000"/>
                <w:sz w:val="24"/>
                <w:szCs w:val="24"/>
                <w:lang w:val="en-US" w:eastAsia="zh-CN"/>
              </w:rPr>
              <w:t>50</w:t>
            </w:r>
            <w:r>
              <w:rPr>
                <w:rFonts w:hint="eastAsia" w:ascii="Times New Roman" w:hAnsi="Times New Roman" w:eastAsia="宋体" w:cs="Times New Roman"/>
                <w:color w:val="FF0000"/>
                <w:sz w:val="24"/>
                <w:szCs w:val="24"/>
                <w:lang w:val="en-US" w:eastAsia="zh-CN"/>
              </w:rPr>
              <w:t>米范围内的声环境保护目标，根据现场调查，扩建项目（10#厂房）厂界外周边</w:t>
            </w:r>
            <w:r>
              <w:rPr>
                <w:rFonts w:hint="default" w:ascii="Times New Roman" w:hAnsi="Times New Roman" w:eastAsia="宋体" w:cs="Times New Roman"/>
                <w:color w:val="FF0000"/>
                <w:sz w:val="24"/>
                <w:szCs w:val="24"/>
                <w:lang w:val="en-US" w:eastAsia="zh-CN"/>
              </w:rPr>
              <w:t>50</w:t>
            </w:r>
            <w:r>
              <w:rPr>
                <w:rFonts w:hint="eastAsia" w:ascii="Times New Roman" w:hAnsi="Times New Roman" w:eastAsia="宋体" w:cs="Times New Roman"/>
                <w:color w:val="FF0000"/>
                <w:sz w:val="24"/>
                <w:szCs w:val="24"/>
                <w:lang w:val="en-US" w:eastAsia="zh-CN"/>
              </w:rPr>
              <w:t>米范围内无声环境保护目标，可不对声环境质量现状进行监测。现有工程（2#厂房）厂界外东侧直线距离约18m处为重庆市新渝技工学校（新校区），</w:t>
            </w:r>
            <w:r>
              <w:rPr>
                <w:rFonts w:hint="eastAsia" w:ascii="Times New Roman" w:hAnsi="Times New Roman" w:eastAsia="宋体" w:cs="Times New Roman"/>
                <w:color w:val="auto"/>
                <w:sz w:val="24"/>
                <w:szCs w:val="24"/>
                <w:lang w:val="en-US" w:eastAsia="zh-CN"/>
              </w:rPr>
              <w:t>从严考虑，为了解项目周边的声环境状况，特委托重庆大安检测技术有限公司于2024年11月对项目所在地进行声环境现状监测，监测点位于重庆市新渝技工学校（新校区）。</w:t>
            </w:r>
          </w:p>
          <w:p w14:paraId="06AF6EC3">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监测结果见表3-3。</w:t>
            </w:r>
          </w:p>
          <w:p w14:paraId="2DD6CBD4">
            <w:pPr>
              <w:pStyle w:val="18"/>
              <w:keepNext w:val="0"/>
              <w:keepLines w:val="0"/>
              <w:widowControl/>
              <w:suppressLineNumbers w:val="0"/>
              <w:autoSpaceDE w:val="0"/>
              <w:autoSpaceDN/>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表3-3  噪声监测结果一览表 单位：Leq dB（A）</w:t>
            </w:r>
          </w:p>
          <w:tbl>
            <w:tblPr>
              <w:tblStyle w:val="23"/>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480"/>
              <w:gridCol w:w="1865"/>
              <w:gridCol w:w="992"/>
              <w:gridCol w:w="1248"/>
              <w:gridCol w:w="1992"/>
            </w:tblGrid>
            <w:tr w14:paraId="61810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2" w:hRule="atLeast"/>
                <w:jc w:val="center"/>
              </w:trPr>
              <w:tc>
                <w:tcPr>
                  <w:tcW w:w="1445" w:type="pct"/>
                  <w:vMerge w:val="restart"/>
                  <w:tcBorders>
                    <w:tl2br w:val="nil"/>
                    <w:tr2bl w:val="nil"/>
                  </w:tcBorders>
                  <w:vAlign w:val="center"/>
                </w:tcPr>
                <w:p w14:paraId="0C3EE96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监测点位</w:t>
                  </w:r>
                </w:p>
              </w:tc>
              <w:tc>
                <w:tcPr>
                  <w:tcW w:w="1087" w:type="pct"/>
                  <w:vMerge w:val="restart"/>
                  <w:tcBorders>
                    <w:tl2br w:val="nil"/>
                    <w:tr2bl w:val="nil"/>
                  </w:tcBorders>
                  <w:vAlign w:val="center"/>
                </w:tcPr>
                <w:p w14:paraId="5217203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检测时间</w:t>
                  </w:r>
                </w:p>
              </w:tc>
              <w:tc>
                <w:tcPr>
                  <w:tcW w:w="1305" w:type="pct"/>
                  <w:gridSpan w:val="2"/>
                  <w:tcBorders>
                    <w:tl2br w:val="nil"/>
                    <w:tr2bl w:val="nil"/>
                  </w:tcBorders>
                  <w:vAlign w:val="center"/>
                </w:tcPr>
                <w:p w14:paraId="432258AF">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监测结果</w:t>
                  </w:r>
                </w:p>
              </w:tc>
              <w:tc>
                <w:tcPr>
                  <w:tcW w:w="1161" w:type="pct"/>
                  <w:vMerge w:val="restart"/>
                  <w:tcBorders>
                    <w:tl2br w:val="nil"/>
                    <w:tr2bl w:val="nil"/>
                  </w:tcBorders>
                  <w:vAlign w:val="center"/>
                </w:tcPr>
                <w:p w14:paraId="54D5166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标准</w:t>
                  </w:r>
                </w:p>
              </w:tc>
            </w:tr>
            <w:tr w14:paraId="24F6C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2" w:hRule="atLeast"/>
                <w:jc w:val="center"/>
              </w:trPr>
              <w:tc>
                <w:tcPr>
                  <w:tcW w:w="1445" w:type="pct"/>
                  <w:vMerge w:val="continue"/>
                  <w:tcBorders>
                    <w:tl2br w:val="nil"/>
                    <w:tr2bl w:val="nil"/>
                  </w:tcBorders>
                  <w:vAlign w:val="center"/>
                </w:tcPr>
                <w:p w14:paraId="71299BF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1087" w:type="pct"/>
                  <w:vMerge w:val="continue"/>
                  <w:tcBorders>
                    <w:tl2br w:val="nil"/>
                    <w:tr2bl w:val="nil"/>
                  </w:tcBorders>
                  <w:vAlign w:val="center"/>
                </w:tcPr>
                <w:p w14:paraId="713E014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578" w:type="pct"/>
                  <w:tcBorders>
                    <w:tl2br w:val="nil"/>
                    <w:tr2bl w:val="nil"/>
                  </w:tcBorders>
                  <w:vAlign w:val="center"/>
                </w:tcPr>
                <w:p w14:paraId="3385AB4C">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昼间</w:t>
                  </w:r>
                </w:p>
              </w:tc>
              <w:tc>
                <w:tcPr>
                  <w:tcW w:w="727" w:type="pct"/>
                  <w:tcBorders>
                    <w:tl2br w:val="nil"/>
                    <w:tr2bl w:val="nil"/>
                  </w:tcBorders>
                  <w:vAlign w:val="center"/>
                </w:tcPr>
                <w:p w14:paraId="2D3B1756">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夜间</w:t>
                  </w:r>
                </w:p>
              </w:tc>
              <w:tc>
                <w:tcPr>
                  <w:tcW w:w="1161" w:type="pct"/>
                  <w:vMerge w:val="continue"/>
                  <w:tcBorders>
                    <w:tl2br w:val="nil"/>
                    <w:tr2bl w:val="nil"/>
                  </w:tcBorders>
                  <w:vAlign w:val="center"/>
                </w:tcPr>
                <w:p w14:paraId="750C5B2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r>
            <w:tr w14:paraId="06A18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445" w:type="pct"/>
                  <w:vMerge w:val="restart"/>
                  <w:tcBorders>
                    <w:tl2br w:val="nil"/>
                    <w:tr2bl w:val="nil"/>
                  </w:tcBorders>
                  <w:vAlign w:val="center"/>
                </w:tcPr>
                <w:p w14:paraId="6A0AFC08">
                  <w:pPr>
                    <w:pStyle w:val="18"/>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场地东侧重庆市新渝技工学校（新校区）</w:t>
                  </w:r>
                </w:p>
              </w:tc>
              <w:tc>
                <w:tcPr>
                  <w:tcW w:w="1087" w:type="pct"/>
                  <w:tcBorders>
                    <w:tl2br w:val="nil"/>
                    <w:tr2bl w:val="nil"/>
                  </w:tcBorders>
                  <w:vAlign w:val="center"/>
                </w:tcPr>
                <w:p w14:paraId="70732231">
                  <w:pPr>
                    <w:pStyle w:val="18"/>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2024年11月15日</w:t>
                  </w:r>
                </w:p>
              </w:tc>
              <w:tc>
                <w:tcPr>
                  <w:tcW w:w="578" w:type="pct"/>
                  <w:tcBorders>
                    <w:tl2br w:val="nil"/>
                    <w:tr2bl w:val="nil"/>
                  </w:tcBorders>
                  <w:vAlign w:val="center"/>
                </w:tcPr>
                <w:p w14:paraId="494C5D1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53</w:t>
                  </w:r>
                </w:p>
              </w:tc>
              <w:tc>
                <w:tcPr>
                  <w:tcW w:w="727" w:type="pct"/>
                  <w:tcBorders>
                    <w:tl2br w:val="nil"/>
                    <w:tr2bl w:val="nil"/>
                  </w:tcBorders>
                  <w:vAlign w:val="center"/>
                </w:tcPr>
                <w:p w14:paraId="19DBCFB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48</w:t>
                  </w:r>
                </w:p>
              </w:tc>
              <w:tc>
                <w:tcPr>
                  <w:tcW w:w="1161" w:type="pct"/>
                  <w:vMerge w:val="restart"/>
                  <w:tcBorders>
                    <w:tl2br w:val="nil"/>
                    <w:tr2bl w:val="nil"/>
                  </w:tcBorders>
                  <w:vAlign w:val="center"/>
                </w:tcPr>
                <w:p w14:paraId="2F80459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昼间65、夜间55</w:t>
                  </w:r>
                </w:p>
              </w:tc>
            </w:tr>
            <w:tr w14:paraId="4D7C1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445" w:type="pct"/>
                  <w:vMerge w:val="continue"/>
                  <w:tcBorders>
                    <w:tl2br w:val="nil"/>
                    <w:tr2bl w:val="nil"/>
                  </w:tcBorders>
                  <w:vAlign w:val="center"/>
                </w:tcPr>
                <w:p w14:paraId="32E0672C">
                  <w:pPr>
                    <w:pStyle w:val="18"/>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1087" w:type="pct"/>
                  <w:tcBorders>
                    <w:tl2br w:val="nil"/>
                    <w:tr2bl w:val="nil"/>
                  </w:tcBorders>
                  <w:vAlign w:val="center"/>
                </w:tcPr>
                <w:p w14:paraId="5E3ECC41">
                  <w:pPr>
                    <w:pStyle w:val="18"/>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2024年11月16日</w:t>
                  </w:r>
                </w:p>
              </w:tc>
              <w:tc>
                <w:tcPr>
                  <w:tcW w:w="578" w:type="pct"/>
                  <w:tcBorders>
                    <w:tl2br w:val="nil"/>
                    <w:tr2bl w:val="nil"/>
                  </w:tcBorders>
                  <w:vAlign w:val="center"/>
                </w:tcPr>
                <w:p w14:paraId="3861DD9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48</w:t>
                  </w:r>
                </w:p>
              </w:tc>
              <w:tc>
                <w:tcPr>
                  <w:tcW w:w="727" w:type="pct"/>
                  <w:tcBorders>
                    <w:tl2br w:val="nil"/>
                    <w:tr2bl w:val="nil"/>
                  </w:tcBorders>
                  <w:vAlign w:val="center"/>
                </w:tcPr>
                <w:p w14:paraId="06221C1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48</w:t>
                  </w:r>
                </w:p>
              </w:tc>
              <w:tc>
                <w:tcPr>
                  <w:tcW w:w="1161" w:type="pct"/>
                  <w:vMerge w:val="continue"/>
                  <w:tcBorders>
                    <w:tl2br w:val="nil"/>
                    <w:tr2bl w:val="nil"/>
                  </w:tcBorders>
                  <w:vAlign w:val="center"/>
                </w:tcPr>
                <w:p w14:paraId="671F0FC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vertAlign w:val="baseline"/>
                      <w:lang w:val="en-US" w:eastAsia="zh-CN"/>
                    </w:rPr>
                  </w:pPr>
                </w:p>
              </w:tc>
            </w:tr>
          </w:tbl>
          <w:p w14:paraId="0B3D0B4E">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由上表可知，本项目监测点的昼、夜间声环境质量能满足《声环境质量标准》（GB 3096-2008）中3类标准要求，项目所在区域声环境质量较好。</w:t>
            </w:r>
          </w:p>
          <w:p w14:paraId="03A2189A">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w:t>
            </w:r>
            <w:r>
              <w:rPr>
                <w:rFonts w:hint="default" w:ascii="Times New Roman" w:hAnsi="Times New Roman" w:cs="宋体"/>
                <w:b/>
                <w:bCs/>
                <w:color w:val="auto"/>
                <w:sz w:val="24"/>
                <w:szCs w:val="24"/>
                <w:highlight w:val="none"/>
                <w:lang w:val="en-US" w:eastAsia="zh-CN"/>
              </w:rPr>
              <w:t>4</w:t>
            </w:r>
            <w:r>
              <w:rPr>
                <w:rFonts w:hint="eastAsia" w:ascii="Times New Roman" w:hAnsi="Times New Roman" w:cs="宋体"/>
                <w:b/>
                <w:bCs/>
                <w:color w:val="auto"/>
                <w:sz w:val="24"/>
                <w:szCs w:val="24"/>
                <w:highlight w:val="none"/>
                <w:lang w:val="en-US" w:eastAsia="zh-CN"/>
              </w:rPr>
              <w:t>、土壤及地下水环境现状</w:t>
            </w:r>
          </w:p>
          <w:p w14:paraId="04CCA6D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kern w:val="0"/>
                <w:sz w:val="24"/>
                <w:szCs w:val="24"/>
                <w:highlight w:val="none"/>
                <w:lang w:val="en-US" w:eastAsia="zh-CN" w:bidi="ar-SA"/>
              </w:rPr>
            </w:pPr>
            <w:r>
              <w:rPr>
                <w:rFonts w:hint="eastAsia" w:ascii="Times New Roman" w:hAnsi="Times New Roman" w:cs="宋体" w:eastAsiaTheme="minorEastAsia"/>
                <w:color w:val="auto"/>
                <w:kern w:val="0"/>
                <w:sz w:val="24"/>
                <w:szCs w:val="24"/>
                <w:highlight w:val="none"/>
                <w:lang w:val="en-US" w:eastAsia="zh-CN" w:bidi="ar-SA"/>
              </w:rPr>
              <w:t>项目位于工业</w:t>
            </w:r>
            <w:r>
              <w:rPr>
                <w:rFonts w:hint="eastAsia" w:ascii="Times New Roman" w:hAnsi="Times New Roman" w:cs="宋体"/>
                <w:color w:val="auto"/>
                <w:kern w:val="0"/>
                <w:sz w:val="24"/>
                <w:szCs w:val="24"/>
                <w:highlight w:val="none"/>
                <w:lang w:val="en-US" w:eastAsia="zh-CN" w:bidi="ar-SA"/>
              </w:rPr>
              <w:t>西彭</w:t>
            </w:r>
            <w:r>
              <w:rPr>
                <w:rFonts w:hint="eastAsia" w:ascii="Times New Roman" w:hAnsi="Times New Roman" w:cs="宋体" w:eastAsiaTheme="minorEastAsia"/>
                <w:color w:val="auto"/>
                <w:kern w:val="0"/>
                <w:sz w:val="24"/>
                <w:szCs w:val="24"/>
                <w:highlight w:val="none"/>
                <w:lang w:val="en-US" w:eastAsia="zh-CN" w:bidi="ar-SA"/>
              </w:rPr>
              <w:t>园区内，周边无地下水保护目标。各类堆场均在封闭</w:t>
            </w:r>
            <w:r>
              <w:rPr>
                <w:rFonts w:hint="eastAsia" w:ascii="Times New Roman" w:hAnsi="Times New Roman" w:cs="宋体"/>
                <w:color w:val="auto"/>
                <w:kern w:val="0"/>
                <w:sz w:val="24"/>
                <w:szCs w:val="24"/>
                <w:highlight w:val="none"/>
                <w:lang w:val="en-US" w:eastAsia="zh-CN" w:bidi="ar-SA"/>
              </w:rPr>
              <w:t>建筑</w:t>
            </w:r>
            <w:r>
              <w:rPr>
                <w:rFonts w:hint="eastAsia" w:ascii="Times New Roman" w:hAnsi="Times New Roman" w:cs="宋体" w:eastAsiaTheme="minorEastAsia"/>
                <w:color w:val="auto"/>
                <w:kern w:val="0"/>
                <w:sz w:val="24"/>
                <w:szCs w:val="24"/>
                <w:highlight w:val="none"/>
                <w:lang w:val="en-US" w:eastAsia="zh-CN" w:bidi="ar-SA"/>
              </w:rPr>
              <w:t>内，项目按照国家有关标准和规范的要求，设计、建设和安装有关防泄漏、防渗设施；建设项目</w:t>
            </w:r>
            <w:r>
              <w:rPr>
                <w:rFonts w:hint="eastAsia" w:ascii="Times New Roman" w:hAnsi="Times New Roman" w:cs="宋体"/>
                <w:color w:val="auto"/>
                <w:kern w:val="0"/>
                <w:sz w:val="24"/>
                <w:szCs w:val="24"/>
                <w:highlight w:val="none"/>
                <w:lang w:val="en-US" w:eastAsia="zh-CN" w:bidi="ar-SA"/>
              </w:rPr>
              <w:t>危废贮存点</w:t>
            </w:r>
            <w:r>
              <w:rPr>
                <w:rFonts w:hint="eastAsia" w:ascii="Times New Roman" w:hAnsi="Times New Roman" w:cs="宋体" w:eastAsiaTheme="minorEastAsia"/>
                <w:color w:val="auto"/>
                <w:kern w:val="0"/>
                <w:sz w:val="24"/>
                <w:szCs w:val="24"/>
                <w:highlight w:val="none"/>
                <w:lang w:val="en-US" w:eastAsia="zh-CN" w:bidi="ar-SA"/>
              </w:rPr>
              <w:t>、油料区等地面均进行防渗处理，危废间</w:t>
            </w:r>
            <w:r>
              <w:rPr>
                <w:rFonts w:hint="eastAsia" w:ascii="Times New Roman" w:hAnsi="Times New Roman" w:cs="宋体"/>
                <w:color w:val="auto"/>
                <w:kern w:val="0"/>
                <w:sz w:val="24"/>
                <w:szCs w:val="24"/>
                <w:highlight w:val="none"/>
                <w:lang w:val="en-US" w:eastAsia="zh-CN" w:bidi="ar-SA"/>
              </w:rPr>
              <w:t>废油液盛装容器下方均</w:t>
            </w:r>
            <w:r>
              <w:rPr>
                <w:rFonts w:hint="eastAsia" w:ascii="Times New Roman" w:hAnsi="Times New Roman" w:cs="宋体" w:eastAsiaTheme="minorEastAsia"/>
                <w:color w:val="auto"/>
                <w:kern w:val="0"/>
                <w:sz w:val="24"/>
                <w:szCs w:val="24"/>
                <w:highlight w:val="none"/>
                <w:lang w:val="en-US" w:eastAsia="zh-CN" w:bidi="ar-SA"/>
              </w:rPr>
              <w:t>设</w:t>
            </w:r>
            <w:r>
              <w:rPr>
                <w:rFonts w:hint="eastAsia" w:ascii="Times New Roman" w:hAnsi="Times New Roman" w:cs="宋体"/>
                <w:color w:val="auto"/>
                <w:kern w:val="0"/>
                <w:sz w:val="24"/>
                <w:szCs w:val="24"/>
                <w:highlight w:val="none"/>
                <w:lang w:val="en-US" w:eastAsia="zh-CN" w:bidi="ar-SA"/>
              </w:rPr>
              <w:t>置</w:t>
            </w:r>
            <w:r>
              <w:rPr>
                <w:rFonts w:hint="eastAsia" w:ascii="Times New Roman" w:hAnsi="Times New Roman" w:cs="宋体" w:eastAsiaTheme="minorEastAsia"/>
                <w:color w:val="auto"/>
                <w:kern w:val="0"/>
                <w:sz w:val="24"/>
                <w:szCs w:val="24"/>
                <w:highlight w:val="none"/>
                <w:lang w:val="en-US" w:eastAsia="zh-CN" w:bidi="ar-SA"/>
              </w:rPr>
              <w:t>防漏托盘，油料区</w:t>
            </w:r>
            <w:r>
              <w:rPr>
                <w:rFonts w:hint="eastAsia" w:ascii="Times New Roman" w:hAnsi="Times New Roman" w:cs="宋体"/>
                <w:color w:val="auto"/>
                <w:kern w:val="0"/>
                <w:sz w:val="24"/>
                <w:szCs w:val="24"/>
                <w:highlight w:val="none"/>
                <w:lang w:val="en-US" w:eastAsia="zh-CN" w:bidi="ar-SA"/>
              </w:rPr>
              <w:t>等</w:t>
            </w:r>
            <w:r>
              <w:rPr>
                <w:rFonts w:hint="eastAsia" w:ascii="Times New Roman" w:hAnsi="Times New Roman" w:cs="宋体" w:eastAsiaTheme="minorEastAsia"/>
                <w:color w:val="auto"/>
                <w:kern w:val="0"/>
                <w:sz w:val="24"/>
                <w:szCs w:val="24"/>
                <w:highlight w:val="none"/>
                <w:lang w:val="en-US" w:eastAsia="zh-CN" w:bidi="ar-SA"/>
              </w:rPr>
              <w:t>液体原料盛装容器下方均设防漏托盘，正常情况下不存在土壤、地下水环境污染途径。</w:t>
            </w:r>
          </w:p>
          <w:p w14:paraId="46C2F2E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eastAsiaTheme="minorEastAsia"/>
                <w:color w:val="auto"/>
                <w:kern w:val="0"/>
                <w:sz w:val="24"/>
                <w:szCs w:val="24"/>
                <w:highlight w:val="none"/>
                <w:lang w:val="en-US" w:eastAsia="zh-CN" w:bidi="ar-SA"/>
              </w:rPr>
            </w:pPr>
            <w:r>
              <w:rPr>
                <w:rFonts w:hint="eastAsia" w:ascii="Times New Roman" w:hAnsi="Times New Roman" w:cs="宋体"/>
                <w:color w:val="auto"/>
                <w:kern w:val="0"/>
                <w:sz w:val="24"/>
                <w:szCs w:val="24"/>
                <w:highlight w:val="none"/>
                <w:lang w:val="en-US" w:eastAsia="zh-CN" w:bidi="ar-SA"/>
              </w:rPr>
              <w:t>故</w:t>
            </w:r>
            <w:r>
              <w:rPr>
                <w:rFonts w:hint="eastAsia" w:ascii="Times New Roman" w:hAnsi="Times New Roman" w:cs="宋体" w:eastAsiaTheme="minorEastAsia"/>
                <w:color w:val="auto"/>
                <w:kern w:val="0"/>
                <w:sz w:val="24"/>
                <w:szCs w:val="24"/>
                <w:highlight w:val="none"/>
                <w:lang w:val="en-US" w:eastAsia="zh-CN" w:bidi="ar-SA"/>
              </w:rPr>
              <w:t>根据《建设项目环境影响报告表编制技术指南</w:t>
            </w:r>
            <w:r>
              <w:rPr>
                <w:rFonts w:hint="default" w:ascii="Times New Roman" w:hAnsi="Times New Roman" w:cs="宋体" w:eastAsiaTheme="minorEastAsia"/>
                <w:color w:val="auto"/>
                <w:kern w:val="0"/>
                <w:sz w:val="24"/>
                <w:szCs w:val="24"/>
                <w:highlight w:val="none"/>
                <w:lang w:val="en-US" w:eastAsia="zh-CN" w:bidi="ar-SA"/>
              </w:rPr>
              <w:t>（污染影响类）</w:t>
            </w:r>
            <w:r>
              <w:rPr>
                <w:rFonts w:hint="eastAsia" w:ascii="Times New Roman" w:hAnsi="Times New Roman" w:cs="宋体" w:eastAsiaTheme="minorEastAsia"/>
                <w:color w:val="auto"/>
                <w:kern w:val="0"/>
                <w:sz w:val="24"/>
                <w:szCs w:val="24"/>
                <w:highlight w:val="none"/>
                <w:lang w:val="en-US" w:eastAsia="zh-CN" w:bidi="ar-SA"/>
              </w:rPr>
              <w:t>》，原则上不开展土壤及地下水环境质量现状调查。</w:t>
            </w:r>
          </w:p>
          <w:p w14:paraId="756EB256">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3.5、生态环境</w:t>
            </w:r>
          </w:p>
          <w:p w14:paraId="569F924C">
            <w:pPr>
              <w:keepNext w:val="0"/>
              <w:keepLines w:val="0"/>
              <w:pageBreakBefore w:val="0"/>
              <w:widowControl w:val="0"/>
              <w:kinsoku/>
              <w:wordWrap/>
              <w:overflowPunct/>
              <w:topLinePunct w:val="0"/>
              <w:autoSpaceDE/>
              <w:autoSpaceDN/>
              <w:bidi w:val="0"/>
              <w:adjustRightInd/>
              <w:snapToGrid/>
              <w:spacing w:line="377" w:lineRule="auto"/>
              <w:ind w:firstLine="480" w:firstLineChars="200"/>
              <w:textAlignment w:val="auto"/>
              <w:rPr>
                <w:rFonts w:hint="eastAsia" w:ascii="Times New Roman" w:hAnsi="Times New Roman"/>
                <w:color w:val="auto"/>
                <w:highlight w:val="none"/>
                <w:vertAlign w:val="baseline"/>
                <w:lang w:val="en-US" w:eastAsia="zh-CN"/>
              </w:rPr>
            </w:pPr>
            <w:r>
              <w:rPr>
                <w:rFonts w:hint="eastAsia" w:ascii="Times New Roman" w:hAnsi="Times New Roman" w:cs="宋体"/>
                <w:color w:val="auto"/>
                <w:kern w:val="0"/>
                <w:sz w:val="24"/>
                <w:szCs w:val="24"/>
                <w:highlight w:val="none"/>
                <w:lang w:val="en-US" w:eastAsia="zh-CN" w:bidi="ar-SA"/>
              </w:rPr>
              <w:t>本</w:t>
            </w:r>
            <w:r>
              <w:rPr>
                <w:rFonts w:hint="eastAsia" w:ascii="Times New Roman" w:hAnsi="Times New Roman" w:cs="宋体" w:eastAsiaTheme="minorEastAsia"/>
                <w:color w:val="auto"/>
                <w:kern w:val="0"/>
                <w:sz w:val="24"/>
                <w:szCs w:val="24"/>
                <w:highlight w:val="none"/>
                <w:lang w:val="en-US" w:eastAsia="zh-CN" w:bidi="ar-SA"/>
              </w:rPr>
              <w:t>项目所在场地周围生态结构</w:t>
            </w:r>
            <w:r>
              <w:rPr>
                <w:rFonts w:hint="eastAsia" w:ascii="Times New Roman" w:hAnsi="Times New Roman" w:cs="宋体"/>
                <w:color w:val="auto"/>
                <w:kern w:val="0"/>
                <w:sz w:val="24"/>
                <w:szCs w:val="24"/>
                <w:highlight w:val="none"/>
                <w:lang w:val="en-US" w:eastAsia="zh-CN" w:bidi="ar-SA"/>
              </w:rPr>
              <w:t>较为</w:t>
            </w:r>
            <w:r>
              <w:rPr>
                <w:rFonts w:hint="eastAsia" w:ascii="Times New Roman" w:hAnsi="Times New Roman" w:cs="宋体" w:eastAsiaTheme="minorEastAsia"/>
                <w:color w:val="auto"/>
                <w:kern w:val="0"/>
                <w:sz w:val="24"/>
                <w:szCs w:val="24"/>
                <w:highlight w:val="none"/>
                <w:lang w:val="en-US" w:eastAsia="zh-CN" w:bidi="ar-SA"/>
              </w:rPr>
              <w:t>简单，未发现珍稀野生动植物。场界内无重点文物保护单位，无名胜古迹和珍贵野生动植物等分布，周边无需要特殊保护的环境敏感目标。</w:t>
            </w:r>
          </w:p>
        </w:tc>
      </w:tr>
      <w:tr w14:paraId="4AA7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58" w:hRule="atLeast"/>
        </w:trPr>
        <w:tc>
          <w:tcPr>
            <w:tcW w:w="365" w:type="pct"/>
            <w:vAlign w:val="center"/>
          </w:tcPr>
          <w:p w14:paraId="6C984E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宋体"/>
                <w:b/>
                <w:bCs/>
                <w:color w:val="auto"/>
                <w:kern w:val="0"/>
                <w:sz w:val="24"/>
                <w:szCs w:val="24"/>
                <w:highlight w:val="none"/>
                <w:lang w:val="en-US" w:eastAsia="zh-CN"/>
              </w:rPr>
            </w:pPr>
            <w:r>
              <w:rPr>
                <w:rFonts w:hint="eastAsia" w:ascii="Times New Roman" w:hAnsi="Times New Roman" w:cs="宋体"/>
                <w:b/>
                <w:bCs/>
                <w:color w:val="auto"/>
                <w:kern w:val="0"/>
                <w:sz w:val="24"/>
                <w:szCs w:val="24"/>
                <w:highlight w:val="none"/>
              </w:rPr>
              <w:t>环境保护目标</w:t>
            </w:r>
          </w:p>
        </w:tc>
        <w:tc>
          <w:tcPr>
            <w:tcW w:w="4634" w:type="pct"/>
          </w:tcPr>
          <w:p w14:paraId="62ED6F52">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default"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（1）、项目与周边关系</w:t>
            </w:r>
          </w:p>
          <w:p w14:paraId="46D65C5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default"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本项目位于重庆市西彭工业园，租用森迪安防产业园10#厂房进行布置实施，项目与周边关系如下表：</w:t>
            </w:r>
          </w:p>
          <w:p w14:paraId="517F142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表3-4  项目</w:t>
            </w:r>
            <w:r>
              <w:rPr>
                <w:rFonts w:hint="eastAsia"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lang w:val="en-US" w:eastAsia="zh-CN"/>
              </w:rPr>
              <w:t>周边关系一览表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58"/>
              <w:gridCol w:w="3364"/>
              <w:gridCol w:w="1541"/>
              <w:gridCol w:w="1541"/>
              <w:gridCol w:w="1288"/>
            </w:tblGrid>
            <w:tr w14:paraId="52A55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1AF3458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bCs/>
                      <w:color w:val="auto"/>
                      <w:kern w:val="0"/>
                      <w:sz w:val="21"/>
                      <w:szCs w:val="21"/>
                      <w:highlight w:val="none"/>
                      <w:vertAlign w:val="baseline"/>
                      <w:lang w:val="en-US" w:eastAsia="zh-CN" w:bidi="ar-SA"/>
                    </w:rPr>
                  </w:pPr>
                  <w:r>
                    <w:rPr>
                      <w:rFonts w:hint="eastAsia" w:ascii="Times New Roman" w:hAnsi="Times New Roman" w:eastAsia="宋体" w:cs="宋体"/>
                      <w:b/>
                      <w:bCs/>
                      <w:color w:val="auto"/>
                      <w:kern w:val="0"/>
                      <w:sz w:val="21"/>
                      <w:szCs w:val="21"/>
                      <w:highlight w:val="none"/>
                      <w:vertAlign w:val="baseline"/>
                      <w:lang w:val="en-US" w:eastAsia="zh-CN" w:bidi="ar-SA"/>
                    </w:rPr>
                    <w:t>序号</w:t>
                  </w:r>
                </w:p>
              </w:tc>
              <w:tc>
                <w:tcPr>
                  <w:tcW w:w="1934" w:type="pct"/>
                  <w:tcBorders>
                    <w:tl2br w:val="nil"/>
                    <w:tr2bl w:val="nil"/>
                  </w:tcBorders>
                  <w:vAlign w:val="center"/>
                </w:tcPr>
                <w:p w14:paraId="3752739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名称</w:t>
                  </w:r>
                </w:p>
              </w:tc>
              <w:tc>
                <w:tcPr>
                  <w:tcW w:w="886" w:type="pct"/>
                  <w:tcBorders>
                    <w:tl2br w:val="nil"/>
                    <w:tr2bl w:val="nil"/>
                  </w:tcBorders>
                  <w:vAlign w:val="center"/>
                </w:tcPr>
                <w:p w14:paraId="086B0F5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相对厂址方位</w:t>
                  </w:r>
                </w:p>
              </w:tc>
              <w:tc>
                <w:tcPr>
                  <w:tcW w:w="886" w:type="pct"/>
                  <w:tcBorders>
                    <w:tl2br w:val="nil"/>
                    <w:tr2bl w:val="nil"/>
                  </w:tcBorders>
                  <w:vAlign w:val="center"/>
                </w:tcPr>
                <w:p w14:paraId="0A2B83F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相对</w:t>
                  </w:r>
                  <w:r>
                    <w:rPr>
                      <w:rFonts w:hint="eastAsia" w:ascii="Times New Roman" w:hAnsi="Times New Roman" w:eastAsia="宋体"/>
                      <w:b/>
                      <w:bCs/>
                      <w:color w:val="auto"/>
                      <w:sz w:val="21"/>
                      <w:szCs w:val="21"/>
                      <w:highlight w:val="none"/>
                      <w:lang w:val="en-US" w:eastAsia="zh-CN"/>
                    </w:rPr>
                    <w:t>厂界</w:t>
                  </w:r>
                  <w:r>
                    <w:rPr>
                      <w:rFonts w:hint="eastAsia" w:ascii="Times New Roman" w:hAnsi="Times New Roman" w:eastAsia="宋体"/>
                      <w:b/>
                      <w:bCs/>
                      <w:color w:val="auto"/>
                      <w:sz w:val="21"/>
                      <w:szCs w:val="21"/>
                      <w:highlight w:val="none"/>
                    </w:rPr>
                    <w:t>距离</w:t>
                  </w:r>
                </w:p>
              </w:tc>
              <w:tc>
                <w:tcPr>
                  <w:tcW w:w="740" w:type="pct"/>
                  <w:tcBorders>
                    <w:tl2br w:val="nil"/>
                    <w:tr2bl w:val="nil"/>
                  </w:tcBorders>
                  <w:vAlign w:val="center"/>
                </w:tcPr>
                <w:p w14:paraId="6DD381E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备注</w:t>
                  </w:r>
                </w:p>
              </w:tc>
            </w:tr>
            <w:tr w14:paraId="43385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0D35F89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1</w:t>
                  </w:r>
                </w:p>
              </w:tc>
              <w:tc>
                <w:tcPr>
                  <w:tcW w:w="1934" w:type="pct"/>
                  <w:tcBorders>
                    <w:tl2br w:val="nil"/>
                    <w:tr2bl w:val="nil"/>
                  </w:tcBorders>
                  <w:vAlign w:val="center"/>
                </w:tcPr>
                <w:p w14:paraId="652FD21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森迪大道</w:t>
                  </w:r>
                </w:p>
              </w:tc>
              <w:tc>
                <w:tcPr>
                  <w:tcW w:w="886" w:type="pct"/>
                  <w:tcBorders>
                    <w:tl2br w:val="nil"/>
                    <w:tr2bl w:val="nil"/>
                  </w:tcBorders>
                  <w:vAlign w:val="center"/>
                </w:tcPr>
                <w:p w14:paraId="4630E49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N</w:t>
                  </w:r>
                </w:p>
              </w:tc>
              <w:tc>
                <w:tcPr>
                  <w:tcW w:w="886" w:type="pct"/>
                  <w:tcBorders>
                    <w:tl2br w:val="nil"/>
                    <w:tr2bl w:val="nil"/>
                  </w:tcBorders>
                  <w:vAlign w:val="center"/>
                </w:tcPr>
                <w:p w14:paraId="665D10A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103</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454FA03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道路</w:t>
                  </w:r>
                </w:p>
              </w:tc>
            </w:tr>
            <w:tr w14:paraId="1F3E1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13AB16F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2</w:t>
                  </w:r>
                </w:p>
              </w:tc>
              <w:tc>
                <w:tcPr>
                  <w:tcW w:w="1934" w:type="pct"/>
                  <w:tcBorders>
                    <w:tl2br w:val="nil"/>
                    <w:tr2bl w:val="nil"/>
                  </w:tcBorders>
                  <w:vAlign w:val="center"/>
                </w:tcPr>
                <w:p w14:paraId="2E1CDD61">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rPr>
                    <w:t>重庆奢茂电子科技有限公司</w:t>
                  </w:r>
                </w:p>
              </w:tc>
              <w:tc>
                <w:tcPr>
                  <w:tcW w:w="886" w:type="pct"/>
                  <w:tcBorders>
                    <w:tl2br w:val="nil"/>
                    <w:tr2bl w:val="nil"/>
                  </w:tcBorders>
                  <w:vAlign w:val="center"/>
                </w:tcPr>
                <w:p w14:paraId="7323FD6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N</w:t>
                  </w:r>
                </w:p>
              </w:tc>
              <w:tc>
                <w:tcPr>
                  <w:tcW w:w="886" w:type="pct"/>
                  <w:tcBorders>
                    <w:tl2br w:val="nil"/>
                    <w:tr2bl w:val="nil"/>
                  </w:tcBorders>
                  <w:vAlign w:val="center"/>
                </w:tcPr>
                <w:p w14:paraId="50D60B6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20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3E225C2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707E9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6ECDE9E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3</w:t>
                  </w:r>
                </w:p>
              </w:tc>
              <w:tc>
                <w:tcPr>
                  <w:tcW w:w="1934" w:type="pct"/>
                  <w:tcBorders>
                    <w:tl2br w:val="nil"/>
                    <w:tr2bl w:val="nil"/>
                  </w:tcBorders>
                  <w:vAlign w:val="center"/>
                </w:tcPr>
                <w:p w14:paraId="5D480D50">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rPr>
                    <w:t>重庆从仁机电有限公司</w:t>
                  </w:r>
                </w:p>
              </w:tc>
              <w:tc>
                <w:tcPr>
                  <w:tcW w:w="886" w:type="pct"/>
                  <w:tcBorders>
                    <w:tl2br w:val="nil"/>
                    <w:tr2bl w:val="nil"/>
                  </w:tcBorders>
                  <w:vAlign w:val="center"/>
                </w:tcPr>
                <w:p w14:paraId="3B8D2E4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W</w:t>
                  </w:r>
                </w:p>
              </w:tc>
              <w:tc>
                <w:tcPr>
                  <w:tcW w:w="886" w:type="pct"/>
                  <w:tcBorders>
                    <w:tl2br w:val="nil"/>
                    <w:tr2bl w:val="nil"/>
                  </w:tcBorders>
                  <w:vAlign w:val="center"/>
                </w:tcPr>
                <w:p w14:paraId="66CEDE3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20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2ED4AA5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71C76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5E3ED7C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4</w:t>
                  </w:r>
                </w:p>
              </w:tc>
              <w:tc>
                <w:tcPr>
                  <w:tcW w:w="1934" w:type="pct"/>
                  <w:tcBorders>
                    <w:tl2br w:val="nil"/>
                    <w:tr2bl w:val="nil"/>
                  </w:tcBorders>
                  <w:vAlign w:val="center"/>
                </w:tcPr>
                <w:p w14:paraId="6C0B055D">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rPr>
                    <w:t>重庆</w:t>
                  </w:r>
                  <w:r>
                    <w:rPr>
                      <w:rFonts w:hint="eastAsia" w:ascii="Times New Roman" w:hAnsi="Times New Roman" w:eastAsia="宋体"/>
                      <w:b w:val="0"/>
                      <w:bCs w:val="0"/>
                      <w:color w:val="auto"/>
                      <w:sz w:val="21"/>
                      <w:szCs w:val="21"/>
                      <w:highlight w:val="none"/>
                      <w:lang w:val="en-US" w:eastAsia="zh-CN"/>
                    </w:rPr>
                    <w:t>红福轩</w:t>
                  </w:r>
                  <w:r>
                    <w:rPr>
                      <w:rFonts w:hint="eastAsia" w:ascii="Times New Roman" w:hAnsi="Times New Roman" w:eastAsia="宋体"/>
                      <w:b w:val="0"/>
                      <w:bCs w:val="0"/>
                      <w:color w:val="auto"/>
                      <w:sz w:val="21"/>
                      <w:szCs w:val="21"/>
                      <w:highlight w:val="none"/>
                    </w:rPr>
                    <w:t>有限公司</w:t>
                  </w:r>
                </w:p>
              </w:tc>
              <w:tc>
                <w:tcPr>
                  <w:tcW w:w="886" w:type="pct"/>
                  <w:tcBorders>
                    <w:tl2br w:val="nil"/>
                    <w:tr2bl w:val="nil"/>
                  </w:tcBorders>
                  <w:vAlign w:val="center"/>
                </w:tcPr>
                <w:p w14:paraId="14E2DEF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SW</w:t>
                  </w:r>
                </w:p>
              </w:tc>
              <w:tc>
                <w:tcPr>
                  <w:tcW w:w="886" w:type="pct"/>
                  <w:tcBorders>
                    <w:tl2br w:val="nil"/>
                    <w:tr2bl w:val="nil"/>
                  </w:tcBorders>
                  <w:vAlign w:val="center"/>
                </w:tcPr>
                <w:p w14:paraId="20BE2D5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40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62802CE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12E8A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018A5B9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5</w:t>
                  </w:r>
                </w:p>
              </w:tc>
              <w:tc>
                <w:tcPr>
                  <w:tcW w:w="1934" w:type="pct"/>
                  <w:tcBorders>
                    <w:tl2br w:val="nil"/>
                    <w:tr2bl w:val="nil"/>
                  </w:tcBorders>
                  <w:vAlign w:val="center"/>
                </w:tcPr>
                <w:p w14:paraId="14232AE4">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rPr>
                    <w:t>重庆俊越家具有限公司</w:t>
                  </w:r>
                </w:p>
              </w:tc>
              <w:tc>
                <w:tcPr>
                  <w:tcW w:w="886" w:type="pct"/>
                  <w:tcBorders>
                    <w:tl2br w:val="nil"/>
                    <w:tr2bl w:val="nil"/>
                  </w:tcBorders>
                  <w:vAlign w:val="center"/>
                </w:tcPr>
                <w:p w14:paraId="4D4E330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SW</w:t>
                  </w:r>
                </w:p>
              </w:tc>
              <w:tc>
                <w:tcPr>
                  <w:tcW w:w="886" w:type="pct"/>
                  <w:tcBorders>
                    <w:tl2br w:val="nil"/>
                    <w:tr2bl w:val="nil"/>
                  </w:tcBorders>
                  <w:vAlign w:val="center"/>
                </w:tcPr>
                <w:p w14:paraId="735019B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20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6365D87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0EC58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4101B62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6</w:t>
                  </w:r>
                </w:p>
              </w:tc>
              <w:tc>
                <w:tcPr>
                  <w:tcW w:w="1934" w:type="pct"/>
                  <w:tcBorders>
                    <w:tl2br w:val="nil"/>
                    <w:tr2bl w:val="nil"/>
                  </w:tcBorders>
                  <w:vAlign w:val="center"/>
                </w:tcPr>
                <w:p w14:paraId="4D7A75D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未开发用地</w:t>
                  </w:r>
                </w:p>
              </w:tc>
              <w:tc>
                <w:tcPr>
                  <w:tcW w:w="886" w:type="pct"/>
                  <w:tcBorders>
                    <w:tl2br w:val="nil"/>
                    <w:tr2bl w:val="nil"/>
                  </w:tcBorders>
                  <w:vAlign w:val="center"/>
                </w:tcPr>
                <w:p w14:paraId="4A297D1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S</w:t>
                  </w:r>
                </w:p>
              </w:tc>
              <w:tc>
                <w:tcPr>
                  <w:tcW w:w="886" w:type="pct"/>
                  <w:tcBorders>
                    <w:tl2br w:val="nil"/>
                    <w:tr2bl w:val="nil"/>
                  </w:tcBorders>
                  <w:vAlign w:val="center"/>
                </w:tcPr>
                <w:p w14:paraId="184F09B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60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39461C1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空地</w:t>
                  </w:r>
                </w:p>
              </w:tc>
            </w:tr>
            <w:tr w14:paraId="0075D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35EF1B0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7</w:t>
                  </w:r>
                </w:p>
              </w:tc>
              <w:tc>
                <w:tcPr>
                  <w:tcW w:w="1934" w:type="pct"/>
                  <w:tcBorders>
                    <w:tl2br w:val="nil"/>
                    <w:tr2bl w:val="nil"/>
                  </w:tcBorders>
                  <w:vAlign w:val="center"/>
                </w:tcPr>
                <w:p w14:paraId="5E8AD61F">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b w:val="0"/>
                      <w:bCs w:val="0"/>
                      <w:color w:val="auto"/>
                      <w:sz w:val="21"/>
                      <w:szCs w:val="21"/>
                      <w:highlight w:val="none"/>
                    </w:rPr>
                    <w:t>重庆臣宸电力工程有限公司</w:t>
                  </w:r>
                </w:p>
              </w:tc>
              <w:tc>
                <w:tcPr>
                  <w:tcW w:w="886" w:type="pct"/>
                  <w:tcBorders>
                    <w:tl2br w:val="nil"/>
                    <w:tr2bl w:val="nil"/>
                  </w:tcBorders>
                  <w:vAlign w:val="center"/>
                </w:tcPr>
                <w:p w14:paraId="68CCCC7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E</w:t>
                  </w:r>
                </w:p>
              </w:tc>
              <w:tc>
                <w:tcPr>
                  <w:tcW w:w="886" w:type="pct"/>
                  <w:tcBorders>
                    <w:tl2br w:val="nil"/>
                    <w:tr2bl w:val="nil"/>
                  </w:tcBorders>
                  <w:vAlign w:val="center"/>
                </w:tcPr>
                <w:p w14:paraId="2643358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100</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3842517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58403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3C85093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8</w:t>
                  </w:r>
                </w:p>
              </w:tc>
              <w:tc>
                <w:tcPr>
                  <w:tcW w:w="1934" w:type="pct"/>
                  <w:tcBorders>
                    <w:tl2br w:val="nil"/>
                    <w:tr2bl w:val="nil"/>
                  </w:tcBorders>
                  <w:vAlign w:val="center"/>
                </w:tcPr>
                <w:p w14:paraId="4B0754F3">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b w:val="0"/>
                      <w:bCs w:val="0"/>
                      <w:color w:val="auto"/>
                      <w:sz w:val="21"/>
                      <w:szCs w:val="21"/>
                      <w:highlight w:val="none"/>
                    </w:rPr>
                    <w:t>重庆驰恩电力安装工程有限公司</w:t>
                  </w:r>
                </w:p>
              </w:tc>
              <w:tc>
                <w:tcPr>
                  <w:tcW w:w="886" w:type="pct"/>
                  <w:tcBorders>
                    <w:tl2br w:val="nil"/>
                    <w:tr2bl w:val="nil"/>
                  </w:tcBorders>
                  <w:vAlign w:val="center"/>
                </w:tcPr>
                <w:p w14:paraId="5CA886B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E</w:t>
                  </w:r>
                </w:p>
              </w:tc>
              <w:tc>
                <w:tcPr>
                  <w:tcW w:w="886" w:type="pct"/>
                  <w:tcBorders>
                    <w:tl2br w:val="nil"/>
                    <w:tr2bl w:val="nil"/>
                  </w:tcBorders>
                  <w:vAlign w:val="center"/>
                </w:tcPr>
                <w:p w14:paraId="618E0B6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135</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5DDFE8E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工业企业</w:t>
                  </w:r>
                </w:p>
              </w:tc>
            </w:tr>
            <w:tr w14:paraId="42854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7B83028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kern w:val="0"/>
                      <w:sz w:val="21"/>
                      <w:szCs w:val="21"/>
                      <w:highlight w:val="none"/>
                      <w:vertAlign w:val="baseline"/>
                      <w:lang w:val="en-US" w:eastAsia="zh-CN" w:bidi="ar-SA"/>
                    </w:rPr>
                    <w:t>9</w:t>
                  </w:r>
                </w:p>
              </w:tc>
              <w:tc>
                <w:tcPr>
                  <w:tcW w:w="1934" w:type="pct"/>
                  <w:tcBorders>
                    <w:tl2br w:val="nil"/>
                    <w:tr2bl w:val="nil"/>
                  </w:tcBorders>
                  <w:vAlign w:val="center"/>
                </w:tcPr>
                <w:p w14:paraId="3F94FB09">
                  <w:pPr>
                    <w:keepNext w:val="0"/>
                    <w:keepLines w:val="0"/>
                    <w:pageBreakBefore w:val="0"/>
                    <w:widowControl/>
                    <w:kinsoku/>
                    <w:wordWrap/>
                    <w:overflowPunct/>
                    <w:topLinePunct w:val="0"/>
                    <w:autoSpaceDE/>
                    <w:autoSpaceDN/>
                    <w:bidi w:val="0"/>
                    <w:adjustRightInd/>
                    <w:snapToGrid/>
                    <w:spacing w:before="79" w:beforeLines="25" w:after="79" w:afterLines="25" w:line="303" w:lineRule="auto"/>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重庆市新渝技工学校（新校区）</w:t>
                  </w:r>
                </w:p>
              </w:tc>
              <w:tc>
                <w:tcPr>
                  <w:tcW w:w="886" w:type="pct"/>
                  <w:tcBorders>
                    <w:tl2br w:val="nil"/>
                    <w:tr2bl w:val="nil"/>
                  </w:tcBorders>
                  <w:vAlign w:val="center"/>
                </w:tcPr>
                <w:p w14:paraId="14414B5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E</w:t>
                  </w:r>
                </w:p>
              </w:tc>
              <w:tc>
                <w:tcPr>
                  <w:tcW w:w="886" w:type="pct"/>
                  <w:tcBorders>
                    <w:tl2br w:val="nil"/>
                    <w:tr2bl w:val="nil"/>
                  </w:tcBorders>
                  <w:vAlign w:val="center"/>
                </w:tcPr>
                <w:p w14:paraId="189510D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eastAsia"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75</w:t>
                  </w:r>
                  <w:r>
                    <w:rPr>
                      <w:rFonts w:hint="eastAsia" w:ascii="Times New Roman" w:hAnsi="Times New Roman" w:eastAsia="宋体"/>
                      <w:b w:val="0"/>
                      <w:bCs w:val="0"/>
                      <w:color w:val="auto"/>
                      <w:sz w:val="21"/>
                      <w:szCs w:val="21"/>
                      <w:highlight w:val="none"/>
                    </w:rPr>
                    <w:t>m</w:t>
                  </w:r>
                </w:p>
              </w:tc>
              <w:tc>
                <w:tcPr>
                  <w:tcW w:w="740" w:type="pct"/>
                  <w:tcBorders>
                    <w:tl2br w:val="nil"/>
                    <w:tr2bl w:val="nil"/>
                  </w:tcBorders>
                  <w:vAlign w:val="center"/>
                </w:tcPr>
                <w:p w14:paraId="5269AE9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rightChars="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学校</w:t>
                  </w:r>
                </w:p>
              </w:tc>
            </w:tr>
          </w:tbl>
          <w:p w14:paraId="2BED4498">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default"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（2）、大气环境保护目标</w:t>
            </w:r>
          </w:p>
          <w:p w14:paraId="0A5F0ED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项目厂界外500米范围内无自然保护区、风景名胜区、居住区和农村地区中人群较集中的区域等，主要大气环境保护目标如下表：</w:t>
            </w:r>
          </w:p>
          <w:p w14:paraId="1C9C820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  大气环境保护目标一览表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22"/>
              <w:gridCol w:w="985"/>
              <w:gridCol w:w="930"/>
              <w:gridCol w:w="1007"/>
              <w:gridCol w:w="1518"/>
              <w:gridCol w:w="1292"/>
              <w:gridCol w:w="1038"/>
            </w:tblGrid>
            <w:tr w14:paraId="561BC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06" w:type="pct"/>
                  <w:vMerge w:val="restart"/>
                  <w:tcBorders>
                    <w:tl2br w:val="nil"/>
                    <w:tr2bl w:val="nil"/>
                  </w:tcBorders>
                  <w:vAlign w:val="center"/>
                </w:tcPr>
                <w:p w14:paraId="627083D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保护目标名称</w:t>
                  </w:r>
                </w:p>
              </w:tc>
              <w:tc>
                <w:tcPr>
                  <w:tcW w:w="1102" w:type="pct"/>
                  <w:gridSpan w:val="2"/>
                  <w:tcBorders>
                    <w:tl2br w:val="nil"/>
                    <w:tr2bl w:val="nil"/>
                  </w:tcBorders>
                  <w:vAlign w:val="center"/>
                </w:tcPr>
                <w:p w14:paraId="690F890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坐标（m）</w:t>
                  </w:r>
                </w:p>
              </w:tc>
              <w:tc>
                <w:tcPr>
                  <w:tcW w:w="579" w:type="pct"/>
                  <w:vMerge w:val="restart"/>
                  <w:tcBorders>
                    <w:tl2br w:val="nil"/>
                    <w:tr2bl w:val="nil"/>
                  </w:tcBorders>
                  <w:vAlign w:val="center"/>
                </w:tcPr>
                <w:p w14:paraId="26A8950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保护</w:t>
                  </w:r>
                </w:p>
                <w:p w14:paraId="77F644A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对象</w:t>
                  </w:r>
                </w:p>
              </w:tc>
              <w:tc>
                <w:tcPr>
                  <w:tcW w:w="873" w:type="pct"/>
                  <w:vMerge w:val="restart"/>
                  <w:tcBorders>
                    <w:tl2br w:val="nil"/>
                    <w:tr2bl w:val="nil"/>
                  </w:tcBorders>
                  <w:vAlign w:val="center"/>
                </w:tcPr>
                <w:p w14:paraId="1DE69A9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保护内容</w:t>
                  </w:r>
                </w:p>
              </w:tc>
              <w:tc>
                <w:tcPr>
                  <w:tcW w:w="743" w:type="pct"/>
                  <w:vMerge w:val="restart"/>
                  <w:tcBorders>
                    <w:tl2br w:val="nil"/>
                    <w:tr2bl w:val="nil"/>
                  </w:tcBorders>
                  <w:vAlign w:val="center"/>
                </w:tcPr>
                <w:p w14:paraId="630600F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相对厂址方位/距离m</w:t>
                  </w:r>
                </w:p>
              </w:tc>
              <w:tc>
                <w:tcPr>
                  <w:tcW w:w="594" w:type="pct"/>
                  <w:vMerge w:val="restart"/>
                  <w:tcBorders>
                    <w:tl2br w:val="nil"/>
                    <w:tr2bl w:val="nil"/>
                  </w:tcBorders>
                  <w:vAlign w:val="center"/>
                </w:tcPr>
                <w:p w14:paraId="412F231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环境</w:t>
                  </w:r>
                </w:p>
                <w:p w14:paraId="3CCAD73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功能区</w:t>
                  </w:r>
                </w:p>
              </w:tc>
            </w:tr>
            <w:tr w14:paraId="3F868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06" w:type="pct"/>
                  <w:vMerge w:val="continue"/>
                  <w:tcBorders>
                    <w:tl2br w:val="nil"/>
                    <w:tr2bl w:val="nil"/>
                  </w:tcBorders>
                  <w:vAlign w:val="center"/>
                </w:tcPr>
                <w:p w14:paraId="7024DFD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567" w:type="pct"/>
                  <w:tcBorders>
                    <w:tl2br w:val="nil"/>
                    <w:tr2bl w:val="nil"/>
                  </w:tcBorders>
                  <w:vAlign w:val="center"/>
                </w:tcPr>
                <w:p w14:paraId="565E3B2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X</w:t>
                  </w:r>
                </w:p>
              </w:tc>
              <w:tc>
                <w:tcPr>
                  <w:tcW w:w="534" w:type="pct"/>
                  <w:tcBorders>
                    <w:tl2br w:val="nil"/>
                    <w:tr2bl w:val="nil"/>
                  </w:tcBorders>
                  <w:vAlign w:val="center"/>
                </w:tcPr>
                <w:p w14:paraId="3744AF5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Y</w:t>
                  </w:r>
                </w:p>
              </w:tc>
              <w:tc>
                <w:tcPr>
                  <w:tcW w:w="579" w:type="pct"/>
                  <w:vMerge w:val="continue"/>
                  <w:tcBorders>
                    <w:tl2br w:val="nil"/>
                    <w:tr2bl w:val="nil"/>
                  </w:tcBorders>
                  <w:vAlign w:val="center"/>
                </w:tcPr>
                <w:p w14:paraId="6FD7E9F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873" w:type="pct"/>
                  <w:vMerge w:val="continue"/>
                  <w:tcBorders>
                    <w:tl2br w:val="nil"/>
                    <w:tr2bl w:val="nil"/>
                  </w:tcBorders>
                  <w:vAlign w:val="center"/>
                </w:tcPr>
                <w:p w14:paraId="4723DB9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743" w:type="pct"/>
                  <w:vMerge w:val="continue"/>
                  <w:tcBorders>
                    <w:tl2br w:val="nil"/>
                    <w:tr2bl w:val="nil"/>
                  </w:tcBorders>
                  <w:vAlign w:val="center"/>
                </w:tcPr>
                <w:p w14:paraId="5CD74F4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594" w:type="pct"/>
                  <w:vMerge w:val="continue"/>
                  <w:tcBorders>
                    <w:tl2br w:val="nil"/>
                    <w:tr2bl w:val="nil"/>
                  </w:tcBorders>
                  <w:vAlign w:val="center"/>
                </w:tcPr>
                <w:p w14:paraId="2E78D93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r>
            <w:tr w14:paraId="118E3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06" w:type="pct"/>
                  <w:tcBorders>
                    <w:tl2br w:val="nil"/>
                    <w:tr2bl w:val="nil"/>
                  </w:tcBorders>
                  <w:vAlign w:val="center"/>
                </w:tcPr>
                <w:p w14:paraId="6B26266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重庆市新渝技工学校（新校区）</w:t>
                  </w:r>
                </w:p>
              </w:tc>
              <w:tc>
                <w:tcPr>
                  <w:tcW w:w="567" w:type="pct"/>
                  <w:tcBorders>
                    <w:tl2br w:val="nil"/>
                    <w:tr2bl w:val="nil"/>
                  </w:tcBorders>
                  <w:vAlign w:val="center"/>
                </w:tcPr>
                <w:p w14:paraId="3DA17C7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75</w:t>
                  </w:r>
                </w:p>
              </w:tc>
              <w:tc>
                <w:tcPr>
                  <w:tcW w:w="534" w:type="pct"/>
                  <w:tcBorders>
                    <w:tl2br w:val="nil"/>
                    <w:tr2bl w:val="nil"/>
                  </w:tcBorders>
                  <w:vAlign w:val="center"/>
                </w:tcPr>
                <w:p w14:paraId="31F4981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0</w:t>
                  </w:r>
                </w:p>
              </w:tc>
              <w:tc>
                <w:tcPr>
                  <w:tcW w:w="579" w:type="pct"/>
                  <w:tcBorders>
                    <w:tl2br w:val="nil"/>
                    <w:tr2bl w:val="nil"/>
                  </w:tcBorders>
                  <w:vAlign w:val="center"/>
                </w:tcPr>
                <w:p w14:paraId="4C58F31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学校</w:t>
                  </w:r>
                </w:p>
              </w:tc>
              <w:tc>
                <w:tcPr>
                  <w:tcW w:w="873" w:type="pct"/>
                  <w:tcBorders>
                    <w:tl2br w:val="nil"/>
                    <w:tr2bl w:val="nil"/>
                  </w:tcBorders>
                  <w:vAlign w:val="center"/>
                </w:tcPr>
                <w:p w14:paraId="24A5CE3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师生约150人</w:t>
                  </w:r>
                </w:p>
              </w:tc>
              <w:tc>
                <w:tcPr>
                  <w:tcW w:w="743" w:type="pct"/>
                  <w:tcBorders>
                    <w:tl2br w:val="nil"/>
                    <w:tr2bl w:val="nil"/>
                  </w:tcBorders>
                  <w:vAlign w:val="center"/>
                </w:tcPr>
                <w:p w14:paraId="186F9C9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E，75~160</w:t>
                  </w:r>
                </w:p>
              </w:tc>
              <w:tc>
                <w:tcPr>
                  <w:tcW w:w="594" w:type="pct"/>
                  <w:tcBorders>
                    <w:tl2br w:val="nil"/>
                    <w:tr2bl w:val="nil"/>
                  </w:tcBorders>
                  <w:vAlign w:val="center"/>
                </w:tcPr>
                <w:p w14:paraId="213B157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二类</w:t>
                  </w:r>
                </w:p>
              </w:tc>
            </w:tr>
            <w:tr w14:paraId="4AE66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000" w:type="pct"/>
                  <w:gridSpan w:val="7"/>
                  <w:tcBorders>
                    <w:tl2br w:val="nil"/>
                    <w:tr2bl w:val="nil"/>
                  </w:tcBorders>
                  <w:vAlign w:val="center"/>
                </w:tcPr>
                <w:p w14:paraId="14F53C0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firstLine="422" w:firstLineChars="200"/>
                    <w:jc w:val="both"/>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注</w:t>
                  </w:r>
                  <w:r>
                    <w:rPr>
                      <w:rFonts w:hint="eastAsia" w:ascii="Times New Roman" w:hAnsi="Times New Roman" w:eastAsia="宋体"/>
                      <w:color w:val="auto"/>
                      <w:sz w:val="21"/>
                      <w:szCs w:val="21"/>
                      <w:highlight w:val="none"/>
                    </w:rPr>
                    <w:t>：采用相对坐标，</w:t>
                  </w:r>
                  <w:r>
                    <w:rPr>
                      <w:rFonts w:ascii="Times New Roman" w:hAnsi="Times New Roman" w:eastAsia="宋体"/>
                      <w:color w:val="auto"/>
                      <w:sz w:val="21"/>
                      <w:szCs w:val="21"/>
                      <w:highlight w:val="none"/>
                    </w:rPr>
                    <w:t>坐标原点为</w:t>
                  </w:r>
                  <w:r>
                    <w:rPr>
                      <w:rFonts w:hint="eastAsia" w:ascii="Times New Roman" w:hAnsi="Times New Roman" w:eastAsia="宋体"/>
                      <w:color w:val="auto"/>
                      <w:sz w:val="21"/>
                      <w:szCs w:val="21"/>
                      <w:highlight w:val="none"/>
                      <w:lang w:eastAsia="zh-CN"/>
                    </w:rPr>
                    <w:t>扩建项目租用厂房</w:t>
                  </w:r>
                  <w:r>
                    <w:rPr>
                      <w:rFonts w:ascii="Times New Roman" w:hAnsi="Times New Roman" w:eastAsia="宋体"/>
                      <w:color w:val="auto"/>
                      <w:sz w:val="21"/>
                      <w:szCs w:val="21"/>
                      <w:highlight w:val="none"/>
                    </w:rPr>
                    <w:t>中心</w:t>
                  </w:r>
                  <w:r>
                    <w:rPr>
                      <w:rFonts w:hint="eastAsia" w:ascii="Times New Roman" w:hAnsi="Times New Roman" w:eastAsia="宋体"/>
                      <w:color w:val="auto"/>
                      <w:sz w:val="21"/>
                      <w:szCs w:val="21"/>
                      <w:highlight w:val="none"/>
                    </w:rPr>
                    <w:t>。</w:t>
                  </w:r>
                </w:p>
              </w:tc>
            </w:tr>
          </w:tbl>
          <w:p w14:paraId="3FDB641E">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（3）、声环境保护目标</w:t>
            </w:r>
          </w:p>
          <w:p w14:paraId="3554C11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扩建项目厂界外50米范围内无声环境保护目标。</w:t>
            </w:r>
          </w:p>
          <w:p w14:paraId="695CB4AC">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（4）、地表水环境保护目标</w:t>
            </w:r>
          </w:p>
          <w:p w14:paraId="7371AEF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5" w:lineRule="auto"/>
              <w:ind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项目地表水环境保护目标见下表：</w:t>
            </w:r>
          </w:p>
          <w:p w14:paraId="64036F0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 xml:space="preserve">  地表水环境保护目标一览表</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39"/>
              <w:gridCol w:w="1446"/>
              <w:gridCol w:w="1448"/>
              <w:gridCol w:w="1000"/>
              <w:gridCol w:w="1326"/>
              <w:gridCol w:w="2033"/>
            </w:tblGrid>
            <w:tr w14:paraId="06CA6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vMerge w:val="restart"/>
                  <w:tcBorders>
                    <w:tl2br w:val="nil"/>
                    <w:tr2bl w:val="nil"/>
                  </w:tcBorders>
                  <w:vAlign w:val="center"/>
                </w:tcPr>
                <w:p w14:paraId="35DD8BA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保护目标名称</w:t>
                  </w:r>
                </w:p>
              </w:tc>
              <w:tc>
                <w:tcPr>
                  <w:tcW w:w="1665" w:type="pct"/>
                  <w:gridSpan w:val="2"/>
                  <w:tcBorders>
                    <w:tl2br w:val="nil"/>
                    <w:tr2bl w:val="nil"/>
                  </w:tcBorders>
                  <w:vAlign w:val="center"/>
                </w:tcPr>
                <w:p w14:paraId="5C8E72AB">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坐标</w:t>
                  </w:r>
                </w:p>
              </w:tc>
              <w:tc>
                <w:tcPr>
                  <w:tcW w:w="575" w:type="pct"/>
                  <w:vMerge w:val="restart"/>
                  <w:tcBorders>
                    <w:tl2br w:val="nil"/>
                    <w:tr2bl w:val="nil"/>
                  </w:tcBorders>
                  <w:vAlign w:val="center"/>
                </w:tcPr>
                <w:p w14:paraId="78CACB8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方位</w:t>
                  </w:r>
                </w:p>
              </w:tc>
              <w:tc>
                <w:tcPr>
                  <w:tcW w:w="763" w:type="pct"/>
                  <w:vMerge w:val="restart"/>
                  <w:tcBorders>
                    <w:tl2br w:val="nil"/>
                    <w:tr2bl w:val="nil"/>
                  </w:tcBorders>
                  <w:vAlign w:val="center"/>
                </w:tcPr>
                <w:p w14:paraId="757D751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距厂界最近距离/m</w:t>
                  </w:r>
                </w:p>
              </w:tc>
              <w:tc>
                <w:tcPr>
                  <w:tcW w:w="1167" w:type="pct"/>
                  <w:vMerge w:val="restart"/>
                  <w:tcBorders>
                    <w:tl2br w:val="nil"/>
                    <w:tr2bl w:val="nil"/>
                  </w:tcBorders>
                  <w:vAlign w:val="center"/>
                </w:tcPr>
                <w:p w14:paraId="49811A5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特征</w:t>
                  </w:r>
                </w:p>
              </w:tc>
            </w:tr>
            <w:tr w14:paraId="04385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vMerge w:val="continue"/>
                  <w:tcBorders>
                    <w:tl2br w:val="nil"/>
                    <w:tr2bl w:val="nil"/>
                  </w:tcBorders>
                  <w:vAlign w:val="center"/>
                </w:tcPr>
                <w:p w14:paraId="334A89F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832" w:type="pct"/>
                  <w:tcBorders>
                    <w:tl2br w:val="nil"/>
                    <w:tr2bl w:val="nil"/>
                  </w:tcBorders>
                  <w:vAlign w:val="center"/>
                </w:tcPr>
                <w:p w14:paraId="0FB5F0A8">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X</w:t>
                  </w:r>
                </w:p>
              </w:tc>
              <w:tc>
                <w:tcPr>
                  <w:tcW w:w="833" w:type="pct"/>
                  <w:tcBorders>
                    <w:tl2br w:val="nil"/>
                    <w:tr2bl w:val="nil"/>
                  </w:tcBorders>
                  <w:vAlign w:val="center"/>
                </w:tcPr>
                <w:p w14:paraId="5D016487">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3" w:lineRule="auto"/>
                    <w:ind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Y</w:t>
                  </w:r>
                </w:p>
              </w:tc>
              <w:tc>
                <w:tcPr>
                  <w:tcW w:w="575" w:type="pct"/>
                  <w:vMerge w:val="continue"/>
                  <w:tcBorders>
                    <w:tl2br w:val="nil"/>
                    <w:tr2bl w:val="nil"/>
                  </w:tcBorders>
                  <w:vAlign w:val="center"/>
                </w:tcPr>
                <w:p w14:paraId="11A2E5A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763" w:type="pct"/>
                  <w:vMerge w:val="continue"/>
                  <w:tcBorders>
                    <w:tl2br w:val="nil"/>
                    <w:tr2bl w:val="nil"/>
                  </w:tcBorders>
                  <w:vAlign w:val="center"/>
                </w:tcPr>
                <w:p w14:paraId="0836559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1167" w:type="pct"/>
                  <w:vMerge w:val="continue"/>
                  <w:tcBorders>
                    <w:tl2br w:val="nil"/>
                    <w:tr2bl w:val="nil"/>
                  </w:tcBorders>
                  <w:vAlign w:val="center"/>
                </w:tcPr>
                <w:p w14:paraId="138939D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r>
            <w:tr w14:paraId="5386A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tcBorders>
                    <w:tl2br w:val="nil"/>
                    <w:tr2bl w:val="nil"/>
                  </w:tcBorders>
                  <w:vAlign w:val="center"/>
                </w:tcPr>
                <w:p w14:paraId="0CC7D56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长江</w:t>
                  </w:r>
                </w:p>
              </w:tc>
              <w:tc>
                <w:tcPr>
                  <w:tcW w:w="832" w:type="pct"/>
                  <w:tcBorders>
                    <w:tl2br w:val="nil"/>
                    <w:tr2bl w:val="nil"/>
                  </w:tcBorders>
                  <w:vAlign w:val="center"/>
                </w:tcPr>
                <w:p w14:paraId="49DA6E8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-3550</w:t>
                  </w:r>
                </w:p>
              </w:tc>
              <w:tc>
                <w:tcPr>
                  <w:tcW w:w="833" w:type="pct"/>
                  <w:tcBorders>
                    <w:tl2br w:val="nil"/>
                    <w:tr2bl w:val="nil"/>
                  </w:tcBorders>
                  <w:vAlign w:val="center"/>
                </w:tcPr>
                <w:p w14:paraId="5A63AE9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-4000</w:t>
                  </w:r>
                </w:p>
              </w:tc>
              <w:tc>
                <w:tcPr>
                  <w:tcW w:w="575" w:type="pct"/>
                  <w:tcBorders>
                    <w:tl2br w:val="nil"/>
                    <w:tr2bl w:val="nil"/>
                  </w:tcBorders>
                  <w:vAlign w:val="center"/>
                </w:tcPr>
                <w:p w14:paraId="77EF044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default"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SW</w:t>
                  </w:r>
                </w:p>
              </w:tc>
              <w:tc>
                <w:tcPr>
                  <w:tcW w:w="763" w:type="pct"/>
                  <w:tcBorders>
                    <w:tl2br w:val="nil"/>
                    <w:tr2bl w:val="nil"/>
                  </w:tcBorders>
                  <w:vAlign w:val="center"/>
                </w:tcPr>
                <w:p w14:paraId="4135236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5300</w:t>
                  </w:r>
                </w:p>
              </w:tc>
              <w:tc>
                <w:tcPr>
                  <w:tcW w:w="1167" w:type="pct"/>
                  <w:tcBorders>
                    <w:tl2br w:val="nil"/>
                    <w:tr2bl w:val="nil"/>
                  </w:tcBorders>
                  <w:vAlign w:val="center"/>
                </w:tcPr>
                <w:p w14:paraId="656379B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jc w:val="center"/>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Ⅲ</w:t>
                  </w:r>
                  <w:r>
                    <w:rPr>
                      <w:rFonts w:ascii="Times New Roman" w:hAnsi="Times New Roman" w:eastAsia="宋体"/>
                      <w:color w:val="auto"/>
                      <w:sz w:val="21"/>
                      <w:szCs w:val="21"/>
                      <w:highlight w:val="none"/>
                    </w:rPr>
                    <w:t>类水域功能</w:t>
                  </w:r>
                </w:p>
              </w:tc>
            </w:tr>
            <w:tr w14:paraId="1A292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000" w:type="pct"/>
                  <w:gridSpan w:val="6"/>
                  <w:tcBorders>
                    <w:tl2br w:val="nil"/>
                    <w:tr2bl w:val="nil"/>
                  </w:tcBorders>
                  <w:vAlign w:val="center"/>
                </w:tcPr>
                <w:p w14:paraId="05BB110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3" w:lineRule="auto"/>
                    <w:ind w:right="0" w:firstLine="422" w:firstLineChars="200"/>
                    <w:jc w:val="both"/>
                    <w:textAlignment w:val="auto"/>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注</w:t>
                  </w:r>
                  <w:r>
                    <w:rPr>
                      <w:rFonts w:hint="eastAsia" w:ascii="Times New Roman" w:hAnsi="Times New Roman" w:eastAsia="宋体"/>
                      <w:color w:val="auto"/>
                      <w:sz w:val="21"/>
                      <w:szCs w:val="21"/>
                      <w:highlight w:val="none"/>
                    </w:rPr>
                    <w:t>：采用相对坐标，</w:t>
                  </w:r>
                  <w:r>
                    <w:rPr>
                      <w:rFonts w:ascii="Times New Roman" w:hAnsi="Times New Roman" w:eastAsia="宋体"/>
                      <w:color w:val="auto"/>
                      <w:sz w:val="21"/>
                      <w:szCs w:val="21"/>
                      <w:highlight w:val="none"/>
                    </w:rPr>
                    <w:t>坐标原点为厂区中心</w:t>
                  </w:r>
                  <w:r>
                    <w:rPr>
                      <w:rFonts w:hint="eastAsia" w:ascii="Times New Roman" w:hAnsi="Times New Roman" w:eastAsia="宋体"/>
                      <w:color w:val="auto"/>
                      <w:sz w:val="21"/>
                      <w:szCs w:val="21"/>
                      <w:highlight w:val="none"/>
                    </w:rPr>
                    <w:t>。</w:t>
                  </w:r>
                </w:p>
              </w:tc>
            </w:tr>
          </w:tbl>
          <w:p w14:paraId="4F3EA4B4">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72" w:lineRule="auto"/>
              <w:ind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（5）、地下水环境保护目标</w:t>
            </w:r>
          </w:p>
          <w:p w14:paraId="5DAAB274">
            <w:pPr>
              <w:keepNext w:val="0"/>
              <w:keepLines w:val="0"/>
              <w:pageBreakBefore w:val="0"/>
              <w:widowControl w:val="0"/>
              <w:kinsoku/>
              <w:wordWrap/>
              <w:overflowPunct/>
              <w:topLinePunct w:val="0"/>
              <w:autoSpaceDE/>
              <w:autoSpaceDN/>
              <w:bidi w:val="0"/>
              <w:adjustRightInd/>
              <w:snapToGrid/>
              <w:spacing w:line="368" w:lineRule="auto"/>
              <w:ind w:firstLine="480" w:firstLineChars="200"/>
              <w:textAlignment w:val="auto"/>
              <w:rPr>
                <w:rFonts w:hint="eastAsia" w:ascii="Times New Roman" w:hAnsi="Times New Roman"/>
                <w:color w:val="auto"/>
                <w:sz w:val="24"/>
                <w:szCs w:val="24"/>
                <w:highlight w:val="none"/>
                <w:vertAlign w:val="baseline"/>
                <w:lang w:val="en-US" w:eastAsia="zh-CN"/>
              </w:rPr>
            </w:pPr>
            <w:r>
              <w:rPr>
                <w:rFonts w:hint="eastAsia" w:ascii="Times New Roman" w:hAnsi="Times New Roman" w:cs="宋体" w:eastAsiaTheme="minorEastAsia"/>
                <w:b w:val="0"/>
                <w:bCs w:val="0"/>
                <w:color w:val="auto"/>
                <w:kern w:val="0"/>
                <w:sz w:val="24"/>
                <w:szCs w:val="24"/>
                <w:highlight w:val="none"/>
                <w:lang w:val="en-US" w:eastAsia="zh-CN" w:bidi="ar-SA"/>
              </w:rPr>
              <w:t>本项目厂界外500m范围内无地下水集中式饮用水水源和热水、矿泉水、温泉等特殊地下水资源。</w:t>
            </w:r>
          </w:p>
        </w:tc>
      </w:tr>
      <w:tr w14:paraId="5137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12" w:hRule="atLeast"/>
        </w:trPr>
        <w:tc>
          <w:tcPr>
            <w:tcW w:w="365" w:type="pct"/>
            <w:vAlign w:val="center"/>
          </w:tcPr>
          <w:p w14:paraId="4D400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宋体"/>
                <w:b/>
                <w:bCs/>
                <w:color w:val="auto"/>
                <w:kern w:val="0"/>
                <w:sz w:val="24"/>
                <w:szCs w:val="24"/>
                <w:highlight w:val="none"/>
                <w:lang w:val="en-US" w:eastAsia="zh-CN"/>
              </w:rPr>
            </w:pPr>
            <w:r>
              <w:rPr>
                <w:rFonts w:hint="eastAsia" w:ascii="Times New Roman" w:hAnsi="Times New Roman" w:cs="宋体"/>
                <w:b/>
                <w:bCs/>
                <w:color w:val="auto"/>
                <w:kern w:val="0"/>
                <w:sz w:val="24"/>
                <w:szCs w:val="24"/>
                <w:highlight w:val="none"/>
              </w:rPr>
              <w:t>污染物排放控制标准</w:t>
            </w:r>
          </w:p>
        </w:tc>
        <w:tc>
          <w:tcPr>
            <w:tcW w:w="4634" w:type="pct"/>
          </w:tcPr>
          <w:p w14:paraId="166BDC0F">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（1）、大气污染物排放标准</w:t>
            </w:r>
          </w:p>
          <w:p w14:paraId="2A5BB50D">
            <w:pPr>
              <w:keepNext w:val="0"/>
              <w:keepLines w:val="0"/>
              <w:pageBreakBefore w:val="0"/>
              <w:widowControl w:val="0"/>
              <w:kinsoku/>
              <w:wordWrap/>
              <w:overflowPunct/>
              <w:topLinePunct w:val="0"/>
              <w:autoSpaceDE/>
              <w:autoSpaceDN/>
              <w:bidi w:val="0"/>
              <w:adjustRightInd/>
              <w:snapToGrid/>
              <w:spacing w:line="375" w:lineRule="auto"/>
              <w:ind w:firstLine="480" w:firstLineChars="200"/>
              <w:textAlignment w:val="auto"/>
              <w:rPr>
                <w:rFonts w:hint="default"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1）废气有组织排放标准</w:t>
            </w:r>
          </w:p>
          <w:p w14:paraId="28139613">
            <w:pPr>
              <w:keepNext w:val="0"/>
              <w:keepLines w:val="0"/>
              <w:pageBreakBefore w:val="0"/>
              <w:widowControl w:val="0"/>
              <w:kinsoku/>
              <w:wordWrap/>
              <w:overflowPunct/>
              <w:topLinePunct w:val="0"/>
              <w:autoSpaceDE/>
              <w:autoSpaceDN/>
              <w:bidi w:val="0"/>
              <w:adjustRightInd/>
              <w:snapToGrid/>
              <w:spacing w:line="375" w:lineRule="auto"/>
              <w:ind w:firstLine="480" w:firstLineChars="200"/>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项目位于九龙坡区西彭园区D标准分区，属于重庆市地方标准《大气污染物综合排放标准》（DB 50/418-2016）中划分的</w:t>
            </w:r>
            <w:r>
              <w:rPr>
                <w:rFonts w:hint="eastAsia" w:ascii="Times New Roman" w:hAnsi="Times New Roman" w:cs="宋体"/>
                <w:b/>
                <w:bCs/>
                <w:color w:val="auto"/>
                <w:sz w:val="24"/>
                <w:szCs w:val="24"/>
                <w:highlight w:val="none"/>
                <w:u w:val="single"/>
                <w:lang w:val="en-US" w:eastAsia="zh-CN"/>
              </w:rPr>
              <w:t>主城区</w:t>
            </w:r>
            <w:r>
              <w:rPr>
                <w:rFonts w:hint="eastAsia" w:ascii="Times New Roman" w:hAnsi="Times New Roman" w:cs="宋体"/>
                <w:b w:val="0"/>
                <w:bCs w:val="0"/>
                <w:color w:val="auto"/>
                <w:sz w:val="24"/>
                <w:szCs w:val="24"/>
                <w:highlight w:val="none"/>
                <w:lang w:val="en-US" w:eastAsia="zh-CN"/>
              </w:rPr>
              <w:t>。</w:t>
            </w:r>
          </w:p>
          <w:p w14:paraId="12B7D5D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项目抛丸工序、喷粉工序产生的颗粒物执行重庆市地方标准《大气污染物综合排放标准》（DB50/418-2016）表1排放限值要求。</w:t>
            </w:r>
          </w:p>
          <w:p w14:paraId="0723B1A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color w:val="auto"/>
                <w:lang w:eastAsia="zh-CN"/>
              </w:rPr>
            </w:pPr>
            <w:r>
              <w:rPr>
                <w:rFonts w:hint="eastAsia" w:ascii="Times New Roman" w:hAnsi="Times New Roman" w:cs="宋体"/>
                <w:color w:val="auto"/>
                <w:sz w:val="24"/>
                <w:szCs w:val="24"/>
                <w:highlight w:val="none"/>
                <w:lang w:val="en-US" w:eastAsia="zh-CN"/>
              </w:rPr>
              <w:t>固化工序采用直接加热方式，产生的非甲烷总烃执行</w:t>
            </w:r>
            <w:r>
              <w:rPr>
                <w:rFonts w:hint="eastAsia"/>
                <w:color w:val="auto"/>
                <w:lang w:val="en-US" w:eastAsia="zh-CN"/>
              </w:rPr>
              <w:t>《</w:t>
            </w:r>
            <w:r>
              <w:rPr>
                <w:rFonts w:hint="eastAsia" w:ascii="Times New Roman" w:hAnsi="Times New Roman" w:cs="宋体"/>
                <w:color w:val="auto"/>
                <w:sz w:val="24"/>
                <w:szCs w:val="24"/>
                <w:highlight w:val="none"/>
                <w:lang w:val="en-US" w:eastAsia="zh-CN"/>
              </w:rPr>
              <w:t>摩托车及汽车配件制造表面涂装大气污染物排放标准》（DB50/660-2016）</w:t>
            </w:r>
            <w:r>
              <w:rPr>
                <w:rFonts w:hint="default" w:ascii="Times New Roman" w:hAnsi="Times New Roman" w:cs="Times New Roman"/>
                <w:bCs/>
                <w:color w:val="auto"/>
                <w:sz w:val="24"/>
                <w:szCs w:val="24"/>
                <w:lang w:eastAsia="zh-CN"/>
              </w:rPr>
              <w:t>表2中主城区相应污染物排放限值</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但标准中SO</w:t>
            </w:r>
            <w:r>
              <w:rPr>
                <w:rFonts w:hint="eastAsia" w:ascii="Times New Roman" w:hAnsi="Times New Roman" w:cs="Times New Roman"/>
                <w:bCs/>
                <w:color w:val="auto"/>
                <w:sz w:val="24"/>
                <w:szCs w:val="24"/>
                <w:vertAlign w:val="subscript"/>
                <w:lang w:val="en-US" w:eastAsia="zh-CN"/>
              </w:rPr>
              <w:t>2</w:t>
            </w:r>
            <w:r>
              <w:rPr>
                <w:rFonts w:hint="eastAsia" w:ascii="Times New Roman" w:hAnsi="Times New Roman" w:cs="Times New Roman"/>
                <w:bCs/>
                <w:color w:val="auto"/>
                <w:sz w:val="24"/>
                <w:szCs w:val="24"/>
                <w:lang w:val="en-US" w:eastAsia="zh-CN"/>
              </w:rPr>
              <w:t>、NO</w:t>
            </w:r>
            <w:r>
              <w:rPr>
                <w:rFonts w:hint="eastAsia" w:ascii="Times New Roman" w:hAnsi="Times New Roman" w:cs="Times New Roman"/>
                <w:bCs/>
                <w:color w:val="auto"/>
                <w:sz w:val="24"/>
                <w:szCs w:val="24"/>
                <w:vertAlign w:val="subscript"/>
                <w:lang w:val="en-US" w:eastAsia="zh-CN"/>
              </w:rPr>
              <w:t>X</w:t>
            </w:r>
            <w:r>
              <w:rPr>
                <w:rFonts w:hint="eastAsia" w:ascii="Times New Roman" w:hAnsi="Times New Roman" w:cs="Times New Roman"/>
                <w:bCs/>
                <w:color w:val="auto"/>
                <w:sz w:val="24"/>
                <w:szCs w:val="24"/>
                <w:vertAlign w:val="baseline"/>
                <w:lang w:val="en-US" w:eastAsia="zh-CN"/>
              </w:rPr>
              <w:t>排放限值</w:t>
            </w:r>
            <w:r>
              <w:rPr>
                <w:rFonts w:hint="eastAsia" w:ascii="Times New Roman" w:hAnsi="Times New Roman" w:cs="Times New Roman"/>
                <w:color w:val="auto"/>
                <w:sz w:val="24"/>
                <w:szCs w:val="24"/>
                <w:lang w:val="en-US" w:eastAsia="zh-CN"/>
              </w:rPr>
              <w:t>仅适用于燃烧类处理设施，因此，</w:t>
            </w:r>
            <w:r>
              <w:rPr>
                <w:rFonts w:hint="eastAsia" w:ascii="Times New Roman" w:hAnsi="Times New Roman" w:cs="Times New Roman"/>
                <w:bCs/>
                <w:color w:val="auto"/>
                <w:sz w:val="24"/>
                <w:szCs w:val="24"/>
                <w:lang w:val="en-US" w:eastAsia="zh-CN"/>
              </w:rPr>
              <w:t>SO</w:t>
            </w:r>
            <w:r>
              <w:rPr>
                <w:rFonts w:hint="eastAsia" w:ascii="Times New Roman" w:hAnsi="Times New Roman" w:cs="Times New Roman"/>
                <w:bCs/>
                <w:color w:val="auto"/>
                <w:sz w:val="24"/>
                <w:szCs w:val="24"/>
                <w:vertAlign w:val="subscript"/>
                <w:lang w:val="en-US" w:eastAsia="zh-CN"/>
              </w:rPr>
              <w:t>2</w:t>
            </w:r>
            <w:r>
              <w:rPr>
                <w:rFonts w:hint="eastAsia" w:ascii="Times New Roman" w:hAnsi="Times New Roman" w:cs="Times New Roman"/>
                <w:bCs/>
                <w:color w:val="auto"/>
                <w:sz w:val="24"/>
                <w:szCs w:val="24"/>
                <w:lang w:val="en-US" w:eastAsia="zh-CN"/>
              </w:rPr>
              <w:t>、NO</w:t>
            </w:r>
            <w:r>
              <w:rPr>
                <w:rFonts w:hint="eastAsia" w:ascii="Times New Roman" w:hAnsi="Times New Roman" w:cs="Times New Roman"/>
                <w:bCs/>
                <w:color w:val="auto"/>
                <w:sz w:val="24"/>
                <w:szCs w:val="24"/>
                <w:vertAlign w:val="subscript"/>
                <w:lang w:val="en-US" w:eastAsia="zh-CN"/>
              </w:rPr>
              <w:t>X</w:t>
            </w:r>
            <w:r>
              <w:rPr>
                <w:rFonts w:hint="eastAsia" w:ascii="Times New Roman" w:hAnsi="Times New Roman" w:cs="Times New Roman"/>
                <w:bCs/>
                <w:color w:val="auto"/>
                <w:sz w:val="24"/>
                <w:szCs w:val="24"/>
                <w:vertAlign w:val="baseline"/>
                <w:lang w:val="en-US" w:eastAsia="zh-CN"/>
              </w:rPr>
              <w:t>执行</w:t>
            </w:r>
            <w:r>
              <w:rPr>
                <w:rFonts w:hint="default" w:ascii="Times New Roman" w:hAnsi="Times New Roman" w:cs="Times New Roman"/>
                <w:bCs/>
                <w:color w:val="auto"/>
                <w:sz w:val="24"/>
                <w:szCs w:val="24"/>
              </w:rPr>
              <w:t>《大气污染物综合排放标准》（DB50/418-2016）</w:t>
            </w:r>
            <w:r>
              <w:rPr>
                <w:rFonts w:hint="default" w:ascii="Times New Roman" w:hAnsi="Times New Roman" w:cs="Times New Roman"/>
                <w:bCs/>
                <w:color w:val="auto"/>
                <w:sz w:val="24"/>
                <w:szCs w:val="24"/>
                <w:lang w:eastAsia="zh-CN"/>
              </w:rPr>
              <w:t>主城区</w:t>
            </w:r>
            <w:r>
              <w:rPr>
                <w:rFonts w:hint="default" w:ascii="Times New Roman" w:hAnsi="Times New Roman" w:cs="Times New Roman"/>
                <w:bCs/>
                <w:color w:val="auto"/>
                <w:sz w:val="24"/>
                <w:szCs w:val="24"/>
              </w:rPr>
              <w:t>排放限</w:t>
            </w:r>
            <w:r>
              <w:rPr>
                <w:rFonts w:hint="default" w:ascii="Times New Roman" w:hAnsi="Times New Roman" w:cs="Times New Roman"/>
                <w:bCs/>
                <w:color w:val="auto"/>
                <w:sz w:val="24"/>
                <w:szCs w:val="24"/>
                <w:lang w:eastAsia="zh-CN"/>
              </w:rPr>
              <w:t>值</w:t>
            </w:r>
            <w:r>
              <w:rPr>
                <w:rFonts w:hint="eastAsia" w:ascii="Times New Roman" w:hAnsi="Times New Roman" w:cs="宋体"/>
                <w:color w:val="auto"/>
                <w:sz w:val="24"/>
                <w:szCs w:val="24"/>
                <w:highlight w:val="none"/>
                <w:lang w:val="en-US" w:eastAsia="zh-CN"/>
              </w:rPr>
              <w:t>。</w:t>
            </w:r>
          </w:p>
          <w:p w14:paraId="447659E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color w:val="auto"/>
                <w:lang w:eastAsia="zh-CN"/>
              </w:rPr>
              <w:t>扩建项目废气排放标准详见表</w:t>
            </w:r>
            <w:r>
              <w:rPr>
                <w:rFonts w:hint="eastAsia" w:ascii="Times New Roman" w:hAnsi="Times New Roman" w:cs="宋体"/>
                <w:color w:val="auto"/>
                <w:sz w:val="24"/>
                <w:szCs w:val="24"/>
                <w:highlight w:val="none"/>
                <w:lang w:val="en-US" w:eastAsia="zh-CN"/>
              </w:rPr>
              <w:t>3-7~表3-9。</w:t>
            </w:r>
          </w:p>
          <w:p w14:paraId="4B5C8A2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 xml:space="preserve">  《大气污染物综合排放标准》（DB 50/418-2016）</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808"/>
              <w:gridCol w:w="1592"/>
              <w:gridCol w:w="1937"/>
              <w:gridCol w:w="1126"/>
              <w:gridCol w:w="2229"/>
            </w:tblGrid>
            <w:tr w14:paraId="620F1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40" w:type="pct"/>
                  <w:vMerge w:val="restart"/>
                  <w:tcBorders>
                    <w:tl2br w:val="nil"/>
                    <w:tr2bl w:val="nil"/>
                  </w:tcBorders>
                  <w:noWrap w:val="0"/>
                  <w:vAlign w:val="center"/>
                </w:tcPr>
                <w:p w14:paraId="0C99F8E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污染物</w:t>
                  </w:r>
                </w:p>
              </w:tc>
              <w:tc>
                <w:tcPr>
                  <w:tcW w:w="2678" w:type="pct"/>
                  <w:gridSpan w:val="3"/>
                  <w:tcBorders>
                    <w:tl2br w:val="nil"/>
                    <w:tr2bl w:val="nil"/>
                  </w:tcBorders>
                  <w:noWrap w:val="0"/>
                  <w:vAlign w:val="center"/>
                </w:tcPr>
                <w:p w14:paraId="5D4C884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有组织排放</w:t>
                  </w:r>
                </w:p>
              </w:tc>
              <w:tc>
                <w:tcPr>
                  <w:tcW w:w="1281" w:type="pct"/>
                  <w:vMerge w:val="restart"/>
                  <w:tcBorders>
                    <w:tl2br w:val="nil"/>
                    <w:tr2bl w:val="nil"/>
                  </w:tcBorders>
                  <w:noWrap w:val="0"/>
                  <w:vAlign w:val="center"/>
                </w:tcPr>
                <w:p w14:paraId="3CB4081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无组织排放监控浓度限值（mg/m</w:t>
                  </w:r>
                  <w:r>
                    <w:rPr>
                      <w:rFonts w:hint="eastAsia" w:ascii="Times New Roman" w:hAnsi="Times New Roman" w:cs="宋体"/>
                      <w:b/>
                      <w:bCs/>
                      <w:color w:val="auto"/>
                      <w:sz w:val="21"/>
                      <w:szCs w:val="21"/>
                      <w:highlight w:val="none"/>
                      <w:vertAlign w:val="superscript"/>
                      <w:lang w:val="en-US" w:eastAsia="zh-CN"/>
                    </w:rPr>
                    <w:t>3</w:t>
                  </w:r>
                  <w:r>
                    <w:rPr>
                      <w:rFonts w:hint="eastAsia" w:ascii="Times New Roman" w:hAnsi="Times New Roman" w:cs="宋体"/>
                      <w:b/>
                      <w:bCs/>
                      <w:color w:val="auto"/>
                      <w:sz w:val="21"/>
                      <w:szCs w:val="21"/>
                      <w:highlight w:val="none"/>
                      <w:vertAlign w:val="baseline"/>
                      <w:lang w:val="en-US" w:eastAsia="zh-CN"/>
                    </w:rPr>
                    <w:t>）</w:t>
                  </w:r>
                </w:p>
              </w:tc>
            </w:tr>
            <w:tr w14:paraId="60BF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40" w:type="pct"/>
                  <w:vMerge w:val="continue"/>
                  <w:tcBorders>
                    <w:tl2br w:val="nil"/>
                    <w:tr2bl w:val="nil"/>
                  </w:tcBorders>
                  <w:noWrap w:val="0"/>
                  <w:vAlign w:val="center"/>
                </w:tcPr>
                <w:p w14:paraId="023C64D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cs="宋体"/>
                      <w:b/>
                      <w:bCs/>
                      <w:color w:val="auto"/>
                      <w:sz w:val="21"/>
                      <w:szCs w:val="21"/>
                      <w:highlight w:val="none"/>
                      <w:vertAlign w:val="baseline"/>
                      <w:lang w:val="en-US" w:eastAsia="zh-CN"/>
                    </w:rPr>
                  </w:pPr>
                </w:p>
              </w:tc>
              <w:tc>
                <w:tcPr>
                  <w:tcW w:w="916" w:type="pct"/>
                  <w:tcBorders>
                    <w:tl2br w:val="nil"/>
                    <w:tr2bl w:val="nil"/>
                  </w:tcBorders>
                  <w:noWrap w:val="0"/>
                  <w:vAlign w:val="center"/>
                </w:tcPr>
                <w:p w14:paraId="0A64242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排放浓度限值（mg/m</w:t>
                  </w:r>
                  <w:r>
                    <w:rPr>
                      <w:rFonts w:hint="eastAsia" w:ascii="Times New Roman" w:hAnsi="Times New Roman" w:cs="宋体"/>
                      <w:b/>
                      <w:bCs/>
                      <w:color w:val="auto"/>
                      <w:sz w:val="21"/>
                      <w:szCs w:val="21"/>
                      <w:highlight w:val="none"/>
                      <w:vertAlign w:val="superscript"/>
                      <w:lang w:val="en-US" w:eastAsia="zh-CN"/>
                    </w:rPr>
                    <w:t>3</w:t>
                  </w:r>
                  <w:r>
                    <w:rPr>
                      <w:rFonts w:hint="eastAsia" w:ascii="Times New Roman" w:hAnsi="Times New Roman" w:cs="宋体"/>
                      <w:b/>
                      <w:bCs/>
                      <w:color w:val="auto"/>
                      <w:sz w:val="21"/>
                      <w:szCs w:val="21"/>
                      <w:highlight w:val="none"/>
                      <w:vertAlign w:val="baseline"/>
                      <w:lang w:val="en-US" w:eastAsia="zh-CN"/>
                    </w:rPr>
                    <w:t>）</w:t>
                  </w:r>
                </w:p>
              </w:tc>
              <w:tc>
                <w:tcPr>
                  <w:tcW w:w="1114" w:type="pct"/>
                  <w:tcBorders>
                    <w:tl2br w:val="nil"/>
                    <w:tr2bl w:val="nil"/>
                  </w:tcBorders>
                  <w:noWrap w:val="0"/>
                  <w:vAlign w:val="center"/>
                </w:tcPr>
                <w:p w14:paraId="7403B37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最高允许排放速率</w:t>
                  </w:r>
                </w:p>
                <w:p w14:paraId="392797D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（kg/h）</w:t>
                  </w:r>
                </w:p>
              </w:tc>
              <w:tc>
                <w:tcPr>
                  <w:tcW w:w="648" w:type="pct"/>
                  <w:tcBorders>
                    <w:tl2br w:val="nil"/>
                    <w:tr2bl w:val="nil"/>
                  </w:tcBorders>
                  <w:noWrap w:val="0"/>
                  <w:vAlign w:val="center"/>
                </w:tcPr>
                <w:p w14:paraId="21D42DB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排放高度（m）</w:t>
                  </w:r>
                </w:p>
              </w:tc>
              <w:tc>
                <w:tcPr>
                  <w:tcW w:w="1281" w:type="pct"/>
                  <w:vMerge w:val="continue"/>
                  <w:tcBorders>
                    <w:tl2br w:val="nil"/>
                    <w:tr2bl w:val="nil"/>
                  </w:tcBorders>
                  <w:noWrap w:val="0"/>
                  <w:vAlign w:val="center"/>
                </w:tcPr>
                <w:p w14:paraId="1C9B3E4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cs="宋体"/>
                      <w:b/>
                      <w:bCs/>
                      <w:color w:val="auto"/>
                      <w:sz w:val="21"/>
                      <w:szCs w:val="21"/>
                      <w:highlight w:val="none"/>
                      <w:vertAlign w:val="baseline"/>
                      <w:lang w:val="en-US" w:eastAsia="zh-CN"/>
                    </w:rPr>
                  </w:pPr>
                </w:p>
              </w:tc>
            </w:tr>
            <w:tr w14:paraId="0AB78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40" w:type="pct"/>
                  <w:tcBorders>
                    <w:tl2br w:val="nil"/>
                    <w:tr2bl w:val="nil"/>
                  </w:tcBorders>
                  <w:noWrap w:val="0"/>
                  <w:vAlign w:val="center"/>
                </w:tcPr>
                <w:p w14:paraId="598F6D9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颗粒物</w:t>
                  </w:r>
                </w:p>
              </w:tc>
              <w:tc>
                <w:tcPr>
                  <w:tcW w:w="916" w:type="pct"/>
                  <w:tcBorders>
                    <w:tl2br w:val="nil"/>
                    <w:tr2bl w:val="nil"/>
                  </w:tcBorders>
                  <w:noWrap w:val="0"/>
                  <w:vAlign w:val="center"/>
                </w:tcPr>
                <w:p w14:paraId="193858B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50</w:t>
                  </w:r>
                </w:p>
              </w:tc>
              <w:tc>
                <w:tcPr>
                  <w:tcW w:w="1114" w:type="pct"/>
                  <w:tcBorders>
                    <w:tl2br w:val="nil"/>
                    <w:tr2bl w:val="nil"/>
                  </w:tcBorders>
                  <w:noWrap w:val="0"/>
                  <w:vAlign w:val="center"/>
                </w:tcPr>
                <w:p w14:paraId="184B545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0.915</w:t>
                  </w:r>
                </w:p>
              </w:tc>
              <w:tc>
                <w:tcPr>
                  <w:tcW w:w="648" w:type="pct"/>
                  <w:tcBorders>
                    <w:tl2br w:val="nil"/>
                    <w:tr2bl w:val="nil"/>
                  </w:tcBorders>
                  <w:noWrap w:val="0"/>
                  <w:vAlign w:val="center"/>
                </w:tcPr>
                <w:p w14:paraId="730C793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21</w:t>
                  </w:r>
                </w:p>
              </w:tc>
              <w:tc>
                <w:tcPr>
                  <w:tcW w:w="1281" w:type="pct"/>
                  <w:tcBorders>
                    <w:tl2br w:val="nil"/>
                    <w:tr2bl w:val="nil"/>
                  </w:tcBorders>
                  <w:noWrap w:val="0"/>
                  <w:vAlign w:val="center"/>
                </w:tcPr>
                <w:p w14:paraId="73C80CC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1.0</w:t>
                  </w:r>
                </w:p>
              </w:tc>
            </w:tr>
            <w:tr w14:paraId="4190B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40" w:type="pct"/>
                  <w:tcBorders>
                    <w:tl2br w:val="nil"/>
                    <w:tr2bl w:val="nil"/>
                  </w:tcBorders>
                  <w:noWrap w:val="0"/>
                  <w:vAlign w:val="center"/>
                </w:tcPr>
                <w:p w14:paraId="0E7C5A0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二氧化硫</w:t>
                  </w:r>
                </w:p>
              </w:tc>
              <w:tc>
                <w:tcPr>
                  <w:tcW w:w="916" w:type="pct"/>
                  <w:tcBorders>
                    <w:tl2br w:val="nil"/>
                    <w:tr2bl w:val="nil"/>
                  </w:tcBorders>
                  <w:noWrap w:val="0"/>
                  <w:vAlign w:val="center"/>
                </w:tcPr>
                <w:p w14:paraId="47864DA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200</w:t>
                  </w:r>
                </w:p>
              </w:tc>
              <w:tc>
                <w:tcPr>
                  <w:tcW w:w="1114" w:type="pct"/>
                  <w:tcBorders>
                    <w:tl2br w:val="nil"/>
                    <w:tr2bl w:val="nil"/>
                  </w:tcBorders>
                  <w:noWrap w:val="0"/>
                  <w:vAlign w:val="center"/>
                </w:tcPr>
                <w:p w14:paraId="4A19AD9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0.855</w:t>
                  </w:r>
                </w:p>
              </w:tc>
              <w:tc>
                <w:tcPr>
                  <w:tcW w:w="648" w:type="pct"/>
                  <w:tcBorders>
                    <w:tl2br w:val="nil"/>
                    <w:tr2bl w:val="nil"/>
                  </w:tcBorders>
                  <w:noWrap w:val="0"/>
                  <w:vAlign w:val="center"/>
                </w:tcPr>
                <w:p w14:paraId="51DA4428">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21</w:t>
                  </w:r>
                </w:p>
              </w:tc>
              <w:tc>
                <w:tcPr>
                  <w:tcW w:w="1281" w:type="pct"/>
                  <w:tcBorders>
                    <w:tl2br w:val="nil"/>
                    <w:tr2bl w:val="nil"/>
                  </w:tcBorders>
                  <w:noWrap w:val="0"/>
                  <w:vAlign w:val="center"/>
                </w:tcPr>
                <w:p w14:paraId="0593D25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0.4</w:t>
                  </w:r>
                </w:p>
              </w:tc>
            </w:tr>
            <w:tr w14:paraId="22F8B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40" w:type="pct"/>
                  <w:tcBorders>
                    <w:tl2br w:val="nil"/>
                    <w:tr2bl w:val="nil"/>
                  </w:tcBorders>
                  <w:noWrap w:val="0"/>
                  <w:vAlign w:val="center"/>
                </w:tcPr>
                <w:p w14:paraId="3956344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氮氧化物</w:t>
                  </w:r>
                </w:p>
              </w:tc>
              <w:tc>
                <w:tcPr>
                  <w:tcW w:w="916" w:type="pct"/>
                  <w:tcBorders>
                    <w:tl2br w:val="nil"/>
                    <w:tr2bl w:val="nil"/>
                  </w:tcBorders>
                  <w:noWrap w:val="0"/>
                  <w:vAlign w:val="center"/>
                </w:tcPr>
                <w:p w14:paraId="3B609B4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200</w:t>
                  </w:r>
                </w:p>
              </w:tc>
              <w:tc>
                <w:tcPr>
                  <w:tcW w:w="1114" w:type="pct"/>
                  <w:tcBorders>
                    <w:tl2br w:val="nil"/>
                    <w:tr2bl w:val="nil"/>
                  </w:tcBorders>
                  <w:noWrap w:val="0"/>
                  <w:vAlign w:val="center"/>
                </w:tcPr>
                <w:p w14:paraId="6FD9976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0.285</w:t>
                  </w:r>
                </w:p>
              </w:tc>
              <w:tc>
                <w:tcPr>
                  <w:tcW w:w="648" w:type="pct"/>
                  <w:tcBorders>
                    <w:tl2br w:val="nil"/>
                    <w:tr2bl w:val="nil"/>
                  </w:tcBorders>
                  <w:noWrap w:val="0"/>
                  <w:vAlign w:val="center"/>
                </w:tcPr>
                <w:p w14:paraId="64D9561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21</w:t>
                  </w:r>
                </w:p>
              </w:tc>
              <w:tc>
                <w:tcPr>
                  <w:tcW w:w="1281" w:type="pct"/>
                  <w:tcBorders>
                    <w:tl2br w:val="nil"/>
                    <w:tr2bl w:val="nil"/>
                  </w:tcBorders>
                  <w:noWrap w:val="0"/>
                  <w:vAlign w:val="center"/>
                </w:tcPr>
                <w:p w14:paraId="4B44459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0.12</w:t>
                  </w:r>
                </w:p>
              </w:tc>
            </w:tr>
            <w:tr w14:paraId="6E09E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noWrap w:val="0"/>
                  <w:vAlign w:val="center"/>
                </w:tcPr>
                <w:p w14:paraId="3DBA169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宋体"/>
                      <w:color w:val="auto"/>
                      <w:sz w:val="21"/>
                      <w:szCs w:val="21"/>
                      <w:highlight w:val="none"/>
                      <w:vertAlign w:val="baseline"/>
                      <w:lang w:val="en-US" w:eastAsia="zh-CN"/>
                    </w:rPr>
                  </w:pPr>
                  <w:r>
                    <w:rPr>
                      <w:rFonts w:hint="eastAsia" w:ascii="Times New Roman" w:hAnsi="Times New Roman" w:cs="宋体"/>
                      <w:b/>
                      <w:bCs/>
                      <w:color w:val="FF0000"/>
                      <w:sz w:val="21"/>
                      <w:szCs w:val="21"/>
                      <w:highlight w:val="none"/>
                      <w:vertAlign w:val="baseline"/>
                      <w:lang w:val="en-US" w:eastAsia="zh-CN"/>
                    </w:rPr>
                    <w:t>注</w:t>
                  </w:r>
                  <w:r>
                    <w:rPr>
                      <w:rFonts w:hint="eastAsia" w:ascii="Times New Roman" w:hAnsi="Times New Roman" w:cs="宋体"/>
                      <w:color w:val="FF0000"/>
                      <w:sz w:val="21"/>
                      <w:szCs w:val="21"/>
                      <w:highlight w:val="none"/>
                      <w:vertAlign w:val="baseline"/>
                      <w:lang w:val="en-US" w:eastAsia="zh-CN"/>
                    </w:rPr>
                    <w:t>：根据DB50/418-2016中排气筒高度要求：“排气筒高度应高出200m半径范围内周边建筑物5m以上，不能达到该要求的排气筒，应按其高度对应的排放速率限值的50%执行。”本项目设置排气筒高度21m，周边200m半径范围内最高建筑物约25m，因此排放速率应按照21m高度对应排放速率限值50%执行。</w:t>
                  </w:r>
                </w:p>
              </w:tc>
            </w:tr>
          </w:tbl>
          <w:p w14:paraId="209514B9">
            <w:pPr>
              <w:pStyle w:val="39"/>
              <w:spacing w:before="15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 xml:space="preserve"> 《摩托车及汽车配件制造表面涂装大气污染物排放标准》（DB50/660-2016）</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44"/>
              <w:gridCol w:w="3100"/>
              <w:gridCol w:w="2634"/>
              <w:gridCol w:w="1714"/>
            </w:tblGrid>
            <w:tr w14:paraId="1C858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16" w:type="pct"/>
                  <w:tcBorders>
                    <w:tl2br w:val="nil"/>
                    <w:tr2bl w:val="nil"/>
                  </w:tcBorders>
                  <w:vAlign w:val="center"/>
                </w:tcPr>
                <w:p w14:paraId="24728628">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783" w:type="pct"/>
                  <w:tcBorders>
                    <w:tl2br w:val="nil"/>
                    <w:tr2bl w:val="nil"/>
                  </w:tcBorders>
                  <w:vAlign w:val="center"/>
                </w:tcPr>
                <w:p w14:paraId="190A8133">
                  <w:pPr>
                    <w:pStyle w:val="35"/>
                    <w:spacing w:before="31"/>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排放浓度</w:t>
                  </w:r>
                  <w:r>
                    <w:rPr>
                      <w:rFonts w:hint="default" w:ascii="Times New Roman" w:hAnsi="Times New Roman" w:eastAsia="宋体" w:cs="Times New Roman"/>
                      <w:b/>
                      <w:bCs/>
                      <w:color w:val="auto"/>
                      <w:lang w:val="en-US" w:eastAsia="zh-CN"/>
                    </w:rPr>
                    <w:t>限值</w:t>
                  </w:r>
                  <w:r>
                    <w:rPr>
                      <w:rFonts w:hint="default" w:ascii="Times New Roman" w:hAnsi="Times New Roman" w:eastAsia="宋体" w:cs="Times New Roman"/>
                      <w:b/>
                      <w:bCs/>
                      <w:color w:val="auto"/>
                    </w:rPr>
                    <w:t>（mg/m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主城区</w:t>
                  </w:r>
                </w:p>
              </w:tc>
              <w:tc>
                <w:tcPr>
                  <w:tcW w:w="1515" w:type="pct"/>
                  <w:tcBorders>
                    <w:tl2br w:val="nil"/>
                    <w:tr2bl w:val="nil"/>
                  </w:tcBorders>
                  <w:vAlign w:val="center"/>
                </w:tcPr>
                <w:p w14:paraId="6EC129FF">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最高允许排放速率（kg/h）</w:t>
                  </w:r>
                </w:p>
              </w:tc>
              <w:tc>
                <w:tcPr>
                  <w:tcW w:w="984" w:type="pct"/>
                  <w:tcBorders>
                    <w:tl2br w:val="nil"/>
                    <w:tr2bl w:val="nil"/>
                  </w:tcBorders>
                  <w:vAlign w:val="center"/>
                </w:tcPr>
                <w:p w14:paraId="6628777E">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排放高度（m）</w:t>
                  </w:r>
                  <w:r>
                    <w:rPr>
                      <w:rFonts w:hint="default" w:ascii="Times New Roman" w:hAnsi="Times New Roman" w:eastAsia="宋体" w:cs="Times New Roman"/>
                      <w:b/>
                      <w:bCs/>
                      <w:color w:val="auto"/>
                      <w:vertAlign w:val="superscript"/>
                    </w:rPr>
                    <w:t>①</w:t>
                  </w:r>
                </w:p>
              </w:tc>
            </w:tr>
            <w:tr w14:paraId="28D66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16" w:type="pct"/>
                  <w:tcBorders>
                    <w:tl2br w:val="nil"/>
                    <w:tr2bl w:val="nil"/>
                  </w:tcBorders>
                  <w:vAlign w:val="center"/>
                </w:tcPr>
                <w:p w14:paraId="6BB8072E">
                  <w:pPr>
                    <w:pStyle w:val="35"/>
                    <w:spacing w:before="3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非甲烷总烃</w:t>
                  </w:r>
                </w:p>
              </w:tc>
              <w:tc>
                <w:tcPr>
                  <w:tcW w:w="1783" w:type="pct"/>
                  <w:tcBorders>
                    <w:tl2br w:val="nil"/>
                    <w:tr2bl w:val="nil"/>
                  </w:tcBorders>
                  <w:vAlign w:val="center"/>
                </w:tcPr>
                <w:p w14:paraId="4D9FACAF">
                  <w:pPr>
                    <w:pStyle w:val="35"/>
                    <w:spacing w:before="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515" w:type="pct"/>
                  <w:tcBorders>
                    <w:tl2br w:val="nil"/>
                    <w:tr2bl w:val="nil"/>
                  </w:tcBorders>
                  <w:vAlign w:val="center"/>
                </w:tcPr>
                <w:p w14:paraId="2701F8EA">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1.55</w:t>
                  </w:r>
                </w:p>
              </w:tc>
              <w:tc>
                <w:tcPr>
                  <w:tcW w:w="984" w:type="pct"/>
                  <w:tcBorders>
                    <w:tl2br w:val="nil"/>
                    <w:tr2bl w:val="nil"/>
                  </w:tcBorders>
                  <w:vAlign w:val="center"/>
                </w:tcPr>
                <w:p w14:paraId="48899482">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r>
            <w:tr w14:paraId="7AC2C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000" w:type="pct"/>
                  <w:gridSpan w:val="4"/>
                  <w:tcBorders>
                    <w:tl2br w:val="nil"/>
                    <w:tr2bl w:val="nil"/>
                  </w:tcBorders>
                  <w:vAlign w:val="center"/>
                </w:tcPr>
                <w:p w14:paraId="2F14DAB3">
                  <w:pPr>
                    <w:keepNext w:val="0"/>
                    <w:keepLines w:val="0"/>
                    <w:widowControl/>
                    <w:suppressLineNumbers w:val="0"/>
                    <w:jc w:val="left"/>
                    <w:rPr>
                      <w:rFonts w:hint="eastAsia" w:ascii="Times New Roman" w:hAnsi="Times New Roman" w:eastAsia="宋体" w:cs="Times New Roman"/>
                      <w:color w:val="auto"/>
                      <w:lang w:val="en-US" w:eastAsia="zh-CN"/>
                    </w:rPr>
                  </w:pPr>
                  <w:r>
                    <w:rPr>
                      <w:rFonts w:hint="eastAsia" w:ascii="Times New Roman" w:hAnsi="Times New Roman" w:cs="宋体"/>
                      <w:b/>
                      <w:bCs/>
                      <w:color w:val="FF0000"/>
                      <w:sz w:val="21"/>
                      <w:szCs w:val="21"/>
                      <w:highlight w:val="none"/>
                      <w:vertAlign w:val="baseline"/>
                      <w:lang w:val="en-US" w:eastAsia="zh-CN"/>
                    </w:rPr>
                    <w:t>注</w:t>
                  </w:r>
                  <w:r>
                    <w:rPr>
                      <w:rFonts w:hint="eastAsia" w:ascii="Times New Roman" w:hAnsi="Times New Roman" w:cs="宋体"/>
                      <w:color w:val="FF0000"/>
                      <w:sz w:val="21"/>
                      <w:szCs w:val="21"/>
                      <w:highlight w:val="none"/>
                      <w:vertAlign w:val="baseline"/>
                      <w:lang w:val="en-US" w:eastAsia="zh-CN"/>
                    </w:rPr>
                    <w:t>：根据DB50/660-2016要求，</w:t>
                  </w:r>
                  <w:r>
                    <w:rPr>
                      <w:rFonts w:hint="eastAsia" w:ascii="Times New Roman" w:hAnsi="Times New Roman" w:cs="宋体" w:eastAsiaTheme="minorEastAsia"/>
                      <w:b w:val="0"/>
                      <w:bCs w:val="0"/>
                      <w:color w:val="FF0000"/>
                      <w:kern w:val="0"/>
                      <w:sz w:val="21"/>
                      <w:szCs w:val="21"/>
                      <w:highlight w:val="none"/>
                      <w:vertAlign w:val="baseline"/>
                      <w:lang w:val="en-US" w:eastAsia="zh-CN" w:bidi="ar-SA"/>
                    </w:rPr>
                    <w:t>新建涂装生产线排气筒除遵守表</w:t>
                  </w:r>
                  <w:r>
                    <w:rPr>
                      <w:rFonts w:hint="default" w:ascii="Times New Roman" w:hAnsi="Times New Roman" w:cs="宋体" w:eastAsiaTheme="minorEastAsia"/>
                      <w:b w:val="0"/>
                      <w:bCs w:val="0"/>
                      <w:color w:val="FF0000"/>
                      <w:kern w:val="0"/>
                      <w:sz w:val="21"/>
                      <w:szCs w:val="21"/>
                      <w:highlight w:val="none"/>
                      <w:vertAlign w:val="baseline"/>
                      <w:lang w:val="en-US" w:eastAsia="zh-CN" w:bidi="ar-SA"/>
                    </w:rPr>
                    <w:t>2</w:t>
                  </w:r>
                  <w:r>
                    <w:rPr>
                      <w:rFonts w:hint="eastAsia" w:ascii="Times New Roman" w:hAnsi="Times New Roman" w:cs="宋体" w:eastAsiaTheme="minorEastAsia"/>
                      <w:b w:val="0"/>
                      <w:bCs w:val="0"/>
                      <w:color w:val="FF0000"/>
                      <w:kern w:val="0"/>
                      <w:sz w:val="21"/>
                      <w:szCs w:val="21"/>
                      <w:highlight w:val="none"/>
                      <w:vertAlign w:val="baseline"/>
                      <w:lang w:val="en-US" w:eastAsia="zh-CN" w:bidi="ar-SA"/>
                    </w:rPr>
                    <w:t>对应的排放速率限值外，还应高出半径</w:t>
                  </w:r>
                  <w:r>
                    <w:rPr>
                      <w:rFonts w:hint="default" w:ascii="Times New Roman" w:hAnsi="Times New Roman" w:cs="宋体" w:eastAsiaTheme="minorEastAsia"/>
                      <w:b w:val="0"/>
                      <w:bCs w:val="0"/>
                      <w:color w:val="FF0000"/>
                      <w:kern w:val="0"/>
                      <w:sz w:val="21"/>
                      <w:szCs w:val="21"/>
                      <w:highlight w:val="none"/>
                      <w:vertAlign w:val="baseline"/>
                      <w:lang w:val="en-US" w:eastAsia="zh-CN" w:bidi="ar-SA"/>
                    </w:rPr>
                    <w:t>200m</w:t>
                  </w:r>
                  <w:r>
                    <w:rPr>
                      <w:rFonts w:hint="eastAsia" w:ascii="Times New Roman" w:hAnsi="Times New Roman" w:cs="宋体" w:eastAsiaTheme="minorEastAsia"/>
                      <w:b w:val="0"/>
                      <w:bCs w:val="0"/>
                      <w:color w:val="FF0000"/>
                      <w:kern w:val="0"/>
                      <w:sz w:val="21"/>
                      <w:szCs w:val="21"/>
                      <w:highlight w:val="none"/>
                      <w:vertAlign w:val="baseline"/>
                      <w:lang w:val="en-US" w:eastAsia="zh-CN" w:bidi="ar-SA"/>
                    </w:rPr>
                    <w:t>范围内的周边建筑物</w:t>
                  </w:r>
                  <w:r>
                    <w:rPr>
                      <w:rFonts w:hint="default" w:ascii="Times New Roman" w:hAnsi="Times New Roman" w:cs="宋体" w:eastAsiaTheme="minorEastAsia"/>
                      <w:b w:val="0"/>
                      <w:bCs w:val="0"/>
                      <w:color w:val="FF0000"/>
                      <w:kern w:val="0"/>
                      <w:sz w:val="21"/>
                      <w:szCs w:val="21"/>
                      <w:highlight w:val="none"/>
                      <w:vertAlign w:val="baseline"/>
                      <w:lang w:val="en-US" w:eastAsia="zh-CN" w:bidi="ar-SA"/>
                    </w:rPr>
                    <w:t>3m</w:t>
                  </w:r>
                  <w:r>
                    <w:rPr>
                      <w:rFonts w:hint="eastAsia" w:ascii="Times New Roman" w:hAnsi="Times New Roman" w:cs="宋体" w:eastAsiaTheme="minorEastAsia"/>
                      <w:b w:val="0"/>
                      <w:bCs w:val="0"/>
                      <w:color w:val="FF0000"/>
                      <w:kern w:val="0"/>
                      <w:sz w:val="21"/>
                      <w:szCs w:val="21"/>
                      <w:highlight w:val="none"/>
                      <w:vertAlign w:val="baseline"/>
                      <w:lang w:val="en-US" w:eastAsia="zh-CN" w:bidi="ar-SA"/>
                    </w:rPr>
                    <w:t>以上，不能达到该要求的排气筒，按其高度对应的排放速率的</w:t>
                  </w:r>
                  <w:r>
                    <w:rPr>
                      <w:rFonts w:hint="default" w:ascii="Times New Roman" w:hAnsi="Times New Roman" w:cs="宋体" w:eastAsiaTheme="minorEastAsia"/>
                      <w:b w:val="0"/>
                      <w:bCs w:val="0"/>
                      <w:color w:val="FF0000"/>
                      <w:kern w:val="0"/>
                      <w:sz w:val="21"/>
                      <w:szCs w:val="21"/>
                      <w:highlight w:val="none"/>
                      <w:vertAlign w:val="baseline"/>
                      <w:lang w:val="en-US" w:eastAsia="zh-CN" w:bidi="ar-SA"/>
                    </w:rPr>
                    <w:t>50%</w:t>
                  </w:r>
                  <w:r>
                    <w:rPr>
                      <w:rFonts w:hint="eastAsia" w:ascii="Times New Roman" w:hAnsi="Times New Roman" w:cs="宋体" w:eastAsiaTheme="minorEastAsia"/>
                      <w:b w:val="0"/>
                      <w:bCs w:val="0"/>
                      <w:color w:val="FF0000"/>
                      <w:kern w:val="0"/>
                      <w:sz w:val="21"/>
                      <w:szCs w:val="21"/>
                      <w:highlight w:val="none"/>
                      <w:vertAlign w:val="baseline"/>
                      <w:lang w:val="en-US" w:eastAsia="zh-CN" w:bidi="ar-SA"/>
                    </w:rPr>
                    <w:t>执行。</w:t>
                  </w:r>
                  <w:r>
                    <w:rPr>
                      <w:rFonts w:hint="eastAsia" w:ascii="Times New Roman" w:hAnsi="Times New Roman" w:cs="宋体"/>
                      <w:color w:val="FF0000"/>
                      <w:sz w:val="21"/>
                      <w:szCs w:val="21"/>
                      <w:highlight w:val="none"/>
                      <w:vertAlign w:val="baseline"/>
                      <w:lang w:val="en-US" w:eastAsia="zh-CN"/>
                    </w:rPr>
                    <w:t>本项目设置排气筒高度21m，周边200m半径范围内最高建筑物约25m，因此排放速率应按照21m高度对应排放速率限值50%执行。</w:t>
                  </w:r>
                </w:p>
              </w:tc>
            </w:tr>
          </w:tbl>
          <w:p w14:paraId="32CAB8BE">
            <w:pPr>
              <w:keepNext w:val="0"/>
              <w:keepLines w:val="0"/>
              <w:pageBreakBefore w:val="0"/>
              <w:widowControl w:val="0"/>
              <w:kinsoku/>
              <w:wordWrap/>
              <w:overflowPunct/>
              <w:topLinePunct w:val="0"/>
              <w:autoSpaceDE/>
              <w:autoSpaceDN/>
              <w:bidi w:val="0"/>
              <w:adjustRightInd/>
              <w:snapToGrid/>
              <w:spacing w:line="375" w:lineRule="auto"/>
              <w:ind w:firstLine="480" w:firstLineChars="200"/>
              <w:textAlignment w:val="auto"/>
              <w:rPr>
                <w:rFonts w:hint="default"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2）废气无组织排放标准</w:t>
            </w:r>
          </w:p>
          <w:p w14:paraId="561C593F">
            <w:pPr>
              <w:keepNext w:val="0"/>
              <w:keepLines w:val="0"/>
              <w:pageBreakBefore w:val="0"/>
              <w:widowControl w:val="0"/>
              <w:kinsoku/>
              <w:wordWrap/>
              <w:overflowPunct/>
              <w:topLinePunct w:val="0"/>
              <w:autoSpaceDE/>
              <w:autoSpaceDN/>
              <w:bidi w:val="0"/>
              <w:adjustRightInd/>
              <w:snapToGrid/>
              <w:spacing w:line="375" w:lineRule="auto"/>
              <w:ind w:firstLine="480" w:firstLineChars="200"/>
              <w:textAlignment w:val="auto"/>
              <w:rPr>
                <w:rFonts w:hint="default" w:ascii="Times New Roman" w:hAnsi="Times New Roman" w:cs="宋体"/>
                <w:b w:val="0"/>
                <w:bCs w:val="0"/>
                <w:color w:val="auto"/>
                <w:sz w:val="24"/>
                <w:szCs w:val="24"/>
                <w:highlight w:val="none"/>
                <w:lang w:val="en-US" w:eastAsia="zh-CN"/>
              </w:rPr>
            </w:pPr>
            <w:r>
              <w:rPr>
                <w:rFonts w:hint="default" w:ascii="Times New Roman" w:hAnsi="Times New Roman" w:cs="宋体"/>
                <w:b w:val="0"/>
                <w:bCs w:val="0"/>
                <w:color w:val="auto"/>
                <w:sz w:val="24"/>
                <w:szCs w:val="24"/>
                <w:highlight w:val="none"/>
                <w:lang w:val="en-US" w:eastAsia="zh-CN"/>
              </w:rPr>
              <w:t>①</w:t>
            </w:r>
            <w:r>
              <w:rPr>
                <w:rFonts w:hint="eastAsia" w:ascii="Times New Roman" w:hAnsi="Times New Roman" w:cs="宋体"/>
                <w:b w:val="0"/>
                <w:bCs w:val="0"/>
                <w:color w:val="auto"/>
                <w:sz w:val="24"/>
                <w:szCs w:val="24"/>
                <w:highlight w:val="none"/>
                <w:lang w:val="en-US" w:eastAsia="zh-CN"/>
              </w:rPr>
              <w:t>厂房外。非甲烷总烃厂区内非甲烷总烃无组织排放应满足《挥发性有机物无组织排放控制标准》（GB 37822-2019）特别排放限值。</w:t>
            </w:r>
          </w:p>
          <w:p w14:paraId="4ECADC32">
            <w:pPr>
              <w:keepNext w:val="0"/>
              <w:keepLines w:val="0"/>
              <w:pageBreakBefore w:val="0"/>
              <w:widowControl w:val="0"/>
              <w:kinsoku/>
              <w:wordWrap/>
              <w:overflowPunct/>
              <w:topLinePunct w:val="0"/>
              <w:autoSpaceDE/>
              <w:autoSpaceDN/>
              <w:bidi w:val="0"/>
              <w:adjustRightInd/>
              <w:snapToGrid/>
              <w:spacing w:line="375" w:lineRule="auto"/>
              <w:ind w:firstLine="480" w:firstLineChars="200"/>
              <w:textAlignment w:val="auto"/>
              <w:rPr>
                <w:rFonts w:hint="eastAsia" w:ascii="Times New Roman" w:hAnsi="Times New Roman" w:cs="宋体"/>
                <w:b w:val="0"/>
                <w:bCs w:val="0"/>
                <w:color w:val="auto"/>
                <w:sz w:val="24"/>
                <w:szCs w:val="24"/>
                <w:highlight w:val="none"/>
                <w:lang w:val="en-US" w:eastAsia="zh-CN"/>
              </w:rPr>
            </w:pPr>
            <w:r>
              <w:rPr>
                <w:rFonts w:hint="default" w:ascii="Times New Roman" w:hAnsi="Times New Roman" w:cs="宋体"/>
                <w:b w:val="0"/>
                <w:bCs w:val="0"/>
                <w:color w:val="auto"/>
                <w:sz w:val="24"/>
                <w:szCs w:val="24"/>
                <w:highlight w:val="none"/>
                <w:lang w:val="en-US" w:eastAsia="zh-CN"/>
              </w:rPr>
              <w:t>②</w:t>
            </w:r>
            <w:r>
              <w:rPr>
                <w:rFonts w:hint="eastAsia" w:ascii="Times New Roman" w:hAnsi="Times New Roman" w:cs="宋体"/>
                <w:b w:val="0"/>
                <w:bCs w:val="0"/>
                <w:color w:val="auto"/>
                <w:sz w:val="24"/>
                <w:szCs w:val="24"/>
                <w:highlight w:val="none"/>
                <w:lang w:val="en-US" w:eastAsia="zh-CN"/>
              </w:rPr>
              <w:t>厂界。二氧化硫、氮氧化物、颗粒物厂界无组织排放限值按《大气污染物综合排放标准》（DB50/418-2016）执行。非甲烷总烃厂界无组织排放执行《摩托车及汽车配件制造表面涂装大气污染物排放标准》（DB50/660-2016）限值。</w:t>
            </w:r>
          </w:p>
          <w:p w14:paraId="6E4B1B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综上，项目废气无组织排放标准汇总如下：</w:t>
            </w:r>
          </w:p>
          <w:p w14:paraId="6C97E7E9">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w:t>
            </w:r>
            <w:r>
              <w:rPr>
                <w:rFonts w:hint="eastAsia"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rPr>
              <w:t xml:space="preserve">  污染物无组织排放执行标准</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55"/>
              <w:gridCol w:w="1936"/>
              <w:gridCol w:w="1968"/>
              <w:gridCol w:w="3673"/>
            </w:tblGrid>
            <w:tr w14:paraId="4E9D9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55" w:type="dxa"/>
                  <w:tcBorders>
                    <w:tl2br w:val="nil"/>
                    <w:tr2bl w:val="nil"/>
                  </w:tcBorders>
                  <w:vAlign w:val="center"/>
                </w:tcPr>
                <w:p w14:paraId="1D60BFFE">
                  <w:pPr>
                    <w:pStyle w:val="35"/>
                    <w:spacing w:before="31"/>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w:t>
                  </w:r>
                </w:p>
              </w:tc>
              <w:tc>
                <w:tcPr>
                  <w:tcW w:w="1936" w:type="dxa"/>
                  <w:tcBorders>
                    <w:tl2br w:val="nil"/>
                    <w:tr2bl w:val="nil"/>
                  </w:tcBorders>
                  <w:vAlign w:val="center"/>
                </w:tcPr>
                <w:p w14:paraId="5D7E4147">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污染物</w:t>
                  </w:r>
                </w:p>
              </w:tc>
              <w:tc>
                <w:tcPr>
                  <w:tcW w:w="1968" w:type="dxa"/>
                  <w:tcBorders>
                    <w:tl2br w:val="nil"/>
                    <w:tr2bl w:val="nil"/>
                  </w:tcBorders>
                  <w:vAlign w:val="center"/>
                </w:tcPr>
                <w:p w14:paraId="6843637B">
                  <w:pPr>
                    <w:pStyle w:val="35"/>
                    <w:spacing w:before="31"/>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无组织排放监控点浓度限值（mg/m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3673" w:type="dxa"/>
                  <w:tcBorders>
                    <w:tl2br w:val="nil"/>
                    <w:tr2bl w:val="nil"/>
                  </w:tcBorders>
                  <w:vAlign w:val="center"/>
                </w:tcPr>
                <w:p w14:paraId="16408377">
                  <w:pPr>
                    <w:pStyle w:val="35"/>
                    <w:spacing w:before="31"/>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23499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755" w:type="dxa"/>
                  <w:vMerge w:val="restart"/>
                  <w:tcBorders>
                    <w:tl2br w:val="nil"/>
                    <w:tr2bl w:val="nil"/>
                  </w:tcBorders>
                  <w:vAlign w:val="center"/>
                </w:tcPr>
                <w:p w14:paraId="578B7DBA">
                  <w:pPr>
                    <w:pStyle w:val="35"/>
                    <w:spacing w:before="3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厂房外</w:t>
                  </w:r>
                </w:p>
              </w:tc>
              <w:tc>
                <w:tcPr>
                  <w:tcW w:w="1936" w:type="dxa"/>
                  <w:vMerge w:val="restart"/>
                  <w:tcBorders>
                    <w:tl2br w:val="nil"/>
                    <w:tr2bl w:val="nil"/>
                  </w:tcBorders>
                  <w:vAlign w:val="center"/>
                </w:tcPr>
                <w:p w14:paraId="2ED613A0">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968" w:type="dxa"/>
                  <w:tcBorders>
                    <w:tl2br w:val="nil"/>
                    <w:tr2bl w:val="nil"/>
                  </w:tcBorders>
                  <w:vAlign w:val="center"/>
                </w:tcPr>
                <w:p w14:paraId="1A1B5DA1">
                  <w:pPr>
                    <w:pStyle w:val="35"/>
                    <w:spacing w:before="3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监控点处1h平均浓度值</w:t>
                  </w:r>
                  <w:r>
                    <w:rPr>
                      <w:rFonts w:hint="default" w:ascii="Times New Roman" w:hAnsi="Times New Roman" w:eastAsia="宋体" w:cs="Times New Roman"/>
                      <w:color w:val="auto"/>
                      <w:sz w:val="21"/>
                      <w:szCs w:val="21"/>
                      <w:lang w:eastAsia="zh-CN"/>
                    </w:rPr>
                    <w:t>）</w:t>
                  </w:r>
                </w:p>
              </w:tc>
              <w:tc>
                <w:tcPr>
                  <w:tcW w:w="3673" w:type="dxa"/>
                  <w:vMerge w:val="restart"/>
                  <w:tcBorders>
                    <w:tl2br w:val="nil"/>
                    <w:tr2bl w:val="nil"/>
                  </w:tcBorders>
                  <w:vAlign w:val="center"/>
                </w:tcPr>
                <w:p w14:paraId="694D95BF">
                  <w:pPr>
                    <w:pStyle w:val="35"/>
                    <w:spacing w:before="3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《挥发性有机物无组织排放控制标准》（GB37822-2019）</w:t>
                  </w:r>
                </w:p>
              </w:tc>
            </w:tr>
            <w:tr w14:paraId="60EEF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755" w:type="dxa"/>
                  <w:vMerge w:val="continue"/>
                  <w:tcBorders>
                    <w:tl2br w:val="nil"/>
                    <w:tr2bl w:val="nil"/>
                  </w:tcBorders>
                  <w:vAlign w:val="center"/>
                </w:tcPr>
                <w:p w14:paraId="117E2407">
                  <w:pPr>
                    <w:pStyle w:val="35"/>
                    <w:spacing w:before="31"/>
                    <w:rPr>
                      <w:rFonts w:hint="default" w:ascii="Times New Roman" w:hAnsi="Times New Roman" w:eastAsia="宋体" w:cs="Times New Roman"/>
                      <w:color w:val="auto"/>
                      <w:sz w:val="21"/>
                      <w:szCs w:val="21"/>
                      <w:lang w:val="en-US" w:eastAsia="zh-CN"/>
                    </w:rPr>
                  </w:pPr>
                </w:p>
              </w:tc>
              <w:tc>
                <w:tcPr>
                  <w:tcW w:w="1936" w:type="dxa"/>
                  <w:vMerge w:val="continue"/>
                  <w:tcBorders>
                    <w:tl2br w:val="nil"/>
                    <w:tr2bl w:val="nil"/>
                  </w:tcBorders>
                  <w:vAlign w:val="center"/>
                </w:tcPr>
                <w:p w14:paraId="3C81E8A4">
                  <w:pPr>
                    <w:pStyle w:val="35"/>
                    <w:spacing w:before="31"/>
                    <w:rPr>
                      <w:rFonts w:hint="default" w:ascii="Times New Roman" w:hAnsi="Times New Roman" w:eastAsia="宋体" w:cs="Times New Roman"/>
                      <w:color w:val="auto"/>
                      <w:sz w:val="21"/>
                      <w:szCs w:val="21"/>
                    </w:rPr>
                  </w:pPr>
                </w:p>
              </w:tc>
              <w:tc>
                <w:tcPr>
                  <w:tcW w:w="1968" w:type="dxa"/>
                  <w:tcBorders>
                    <w:tl2br w:val="nil"/>
                    <w:tr2bl w:val="nil"/>
                  </w:tcBorders>
                  <w:vAlign w:val="center"/>
                </w:tcPr>
                <w:p w14:paraId="03688EA9">
                  <w:pPr>
                    <w:pStyle w:val="35"/>
                    <w:spacing w:before="3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监控点处任意一次浓度值</w:t>
                  </w:r>
                  <w:r>
                    <w:rPr>
                      <w:rFonts w:hint="default" w:ascii="Times New Roman" w:hAnsi="Times New Roman" w:eastAsia="宋体" w:cs="Times New Roman"/>
                      <w:color w:val="auto"/>
                      <w:sz w:val="21"/>
                      <w:szCs w:val="21"/>
                      <w:lang w:eastAsia="zh-CN"/>
                    </w:rPr>
                    <w:t>）</w:t>
                  </w:r>
                </w:p>
              </w:tc>
              <w:tc>
                <w:tcPr>
                  <w:tcW w:w="3673" w:type="dxa"/>
                  <w:vMerge w:val="continue"/>
                  <w:tcBorders>
                    <w:tl2br w:val="nil"/>
                    <w:tr2bl w:val="nil"/>
                  </w:tcBorders>
                  <w:vAlign w:val="center"/>
                </w:tcPr>
                <w:p w14:paraId="5C15ACDB">
                  <w:pPr>
                    <w:pStyle w:val="35"/>
                    <w:spacing w:before="31"/>
                    <w:rPr>
                      <w:rFonts w:hint="default" w:ascii="Times New Roman" w:hAnsi="Times New Roman" w:eastAsia="宋体" w:cs="Times New Roman"/>
                      <w:color w:val="auto"/>
                      <w:sz w:val="21"/>
                      <w:szCs w:val="21"/>
                    </w:rPr>
                  </w:pPr>
                </w:p>
              </w:tc>
            </w:tr>
            <w:tr w14:paraId="3F6C0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restart"/>
                  <w:tcBorders>
                    <w:tl2br w:val="nil"/>
                    <w:tr2bl w:val="nil"/>
                  </w:tcBorders>
                  <w:vAlign w:val="center"/>
                </w:tcPr>
                <w:p w14:paraId="00D8E134">
                  <w:pPr>
                    <w:pStyle w:val="35"/>
                    <w:spacing w:before="3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1936" w:type="dxa"/>
                  <w:tcBorders>
                    <w:tl2br w:val="nil"/>
                    <w:tr2bl w:val="nil"/>
                  </w:tcBorders>
                  <w:shd w:val="clear" w:color="auto" w:fill="auto"/>
                  <w:vAlign w:val="center"/>
                </w:tcPr>
                <w:p w14:paraId="18CE8033">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1968" w:type="dxa"/>
                  <w:tcBorders>
                    <w:tl2br w:val="nil"/>
                    <w:tr2bl w:val="nil"/>
                  </w:tcBorders>
                  <w:shd w:val="clear" w:color="auto" w:fill="auto"/>
                  <w:vAlign w:val="center"/>
                </w:tcPr>
                <w:p w14:paraId="74EAFED7">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3673" w:type="dxa"/>
                  <w:vMerge w:val="restart"/>
                  <w:tcBorders>
                    <w:tl2br w:val="nil"/>
                    <w:tr2bl w:val="nil"/>
                  </w:tcBorders>
                  <w:vAlign w:val="center"/>
                </w:tcPr>
                <w:p w14:paraId="639E9CD3">
                  <w:pPr>
                    <w:pStyle w:val="35"/>
                    <w:spacing w:before="3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《大气污染物综合排放标准》（DB50/418-2016）</w:t>
                  </w:r>
                </w:p>
              </w:tc>
            </w:tr>
            <w:tr w14:paraId="5A546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continue"/>
                  <w:tcBorders>
                    <w:tl2br w:val="nil"/>
                    <w:tr2bl w:val="nil"/>
                  </w:tcBorders>
                  <w:vAlign w:val="center"/>
                </w:tcPr>
                <w:p w14:paraId="403B4A3F">
                  <w:pPr>
                    <w:pStyle w:val="35"/>
                    <w:spacing w:before="31"/>
                    <w:rPr>
                      <w:rFonts w:hint="default" w:ascii="Times New Roman" w:hAnsi="Times New Roman" w:eastAsia="宋体" w:cs="Times New Roman"/>
                      <w:color w:val="auto"/>
                      <w:sz w:val="21"/>
                      <w:szCs w:val="21"/>
                    </w:rPr>
                  </w:pPr>
                </w:p>
              </w:tc>
              <w:tc>
                <w:tcPr>
                  <w:tcW w:w="1936" w:type="dxa"/>
                  <w:tcBorders>
                    <w:tl2br w:val="nil"/>
                    <w:tr2bl w:val="nil"/>
                  </w:tcBorders>
                  <w:shd w:val="clear" w:color="auto" w:fill="auto"/>
                  <w:vAlign w:val="center"/>
                </w:tcPr>
                <w:p w14:paraId="0AB553AF">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二氧化硫</w:t>
                  </w:r>
                </w:p>
              </w:tc>
              <w:tc>
                <w:tcPr>
                  <w:tcW w:w="1968" w:type="dxa"/>
                  <w:tcBorders>
                    <w:tl2br w:val="nil"/>
                    <w:tr2bl w:val="nil"/>
                  </w:tcBorders>
                  <w:shd w:val="clear" w:color="auto" w:fill="auto"/>
                  <w:vAlign w:val="center"/>
                </w:tcPr>
                <w:p w14:paraId="722A9F37">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0.4</w:t>
                  </w:r>
                </w:p>
              </w:tc>
              <w:tc>
                <w:tcPr>
                  <w:tcW w:w="3673" w:type="dxa"/>
                  <w:vMerge w:val="continue"/>
                  <w:tcBorders>
                    <w:tl2br w:val="nil"/>
                    <w:tr2bl w:val="nil"/>
                  </w:tcBorders>
                  <w:vAlign w:val="center"/>
                </w:tcPr>
                <w:p w14:paraId="5AD362C4">
                  <w:pPr>
                    <w:pStyle w:val="35"/>
                    <w:spacing w:before="31"/>
                    <w:rPr>
                      <w:rFonts w:hint="default" w:ascii="Times New Roman" w:hAnsi="Times New Roman" w:eastAsia="宋体" w:cs="Times New Roman"/>
                      <w:color w:val="auto"/>
                      <w:sz w:val="21"/>
                      <w:szCs w:val="21"/>
                    </w:rPr>
                  </w:pPr>
                </w:p>
              </w:tc>
            </w:tr>
            <w:tr w14:paraId="74A08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continue"/>
                  <w:tcBorders>
                    <w:tl2br w:val="nil"/>
                    <w:tr2bl w:val="nil"/>
                  </w:tcBorders>
                  <w:vAlign w:val="center"/>
                </w:tcPr>
                <w:p w14:paraId="7D36B2ED">
                  <w:pPr>
                    <w:pStyle w:val="35"/>
                    <w:spacing w:before="31"/>
                    <w:rPr>
                      <w:rFonts w:hint="default" w:ascii="Times New Roman" w:hAnsi="Times New Roman" w:eastAsia="宋体" w:cs="Times New Roman"/>
                      <w:color w:val="auto"/>
                      <w:sz w:val="21"/>
                      <w:szCs w:val="21"/>
                    </w:rPr>
                  </w:pPr>
                </w:p>
              </w:tc>
              <w:tc>
                <w:tcPr>
                  <w:tcW w:w="1936" w:type="dxa"/>
                  <w:tcBorders>
                    <w:tl2br w:val="nil"/>
                    <w:tr2bl w:val="nil"/>
                  </w:tcBorders>
                  <w:shd w:val="clear" w:color="auto" w:fill="auto"/>
                  <w:vAlign w:val="center"/>
                </w:tcPr>
                <w:p w14:paraId="73F01625">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氮氧化物</w:t>
                  </w:r>
                </w:p>
              </w:tc>
              <w:tc>
                <w:tcPr>
                  <w:tcW w:w="1968" w:type="dxa"/>
                  <w:tcBorders>
                    <w:tl2br w:val="nil"/>
                    <w:tr2bl w:val="nil"/>
                  </w:tcBorders>
                  <w:shd w:val="clear" w:color="auto" w:fill="auto"/>
                  <w:vAlign w:val="center"/>
                </w:tcPr>
                <w:p w14:paraId="30944AC6">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0.12</w:t>
                  </w:r>
                </w:p>
              </w:tc>
              <w:tc>
                <w:tcPr>
                  <w:tcW w:w="3673" w:type="dxa"/>
                  <w:vMerge w:val="continue"/>
                  <w:tcBorders>
                    <w:tl2br w:val="nil"/>
                    <w:tr2bl w:val="nil"/>
                  </w:tcBorders>
                  <w:vAlign w:val="center"/>
                </w:tcPr>
                <w:p w14:paraId="0D635E78">
                  <w:pPr>
                    <w:pStyle w:val="35"/>
                    <w:spacing w:before="31"/>
                    <w:rPr>
                      <w:rFonts w:hint="default" w:ascii="Times New Roman" w:hAnsi="Times New Roman" w:eastAsia="宋体" w:cs="Times New Roman"/>
                      <w:color w:val="auto"/>
                      <w:sz w:val="21"/>
                      <w:szCs w:val="21"/>
                    </w:rPr>
                  </w:pPr>
                </w:p>
              </w:tc>
            </w:tr>
            <w:tr w14:paraId="16938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continue"/>
                  <w:tcBorders>
                    <w:tl2br w:val="nil"/>
                    <w:tr2bl w:val="nil"/>
                  </w:tcBorders>
                  <w:vAlign w:val="center"/>
                </w:tcPr>
                <w:p w14:paraId="51961E9D">
                  <w:pPr>
                    <w:pStyle w:val="35"/>
                    <w:spacing w:before="31"/>
                    <w:rPr>
                      <w:rFonts w:hint="default" w:ascii="Times New Roman" w:hAnsi="Times New Roman" w:eastAsia="宋体" w:cs="Times New Roman"/>
                      <w:color w:val="auto"/>
                      <w:sz w:val="21"/>
                      <w:szCs w:val="21"/>
                    </w:rPr>
                  </w:pPr>
                </w:p>
              </w:tc>
              <w:tc>
                <w:tcPr>
                  <w:tcW w:w="1936" w:type="dxa"/>
                  <w:tcBorders>
                    <w:tl2br w:val="nil"/>
                    <w:tr2bl w:val="nil"/>
                  </w:tcBorders>
                  <w:shd w:val="clear" w:color="auto" w:fill="auto"/>
                  <w:vAlign w:val="center"/>
                </w:tcPr>
                <w:p w14:paraId="4C853C26">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968" w:type="dxa"/>
                  <w:tcBorders>
                    <w:tl2br w:val="nil"/>
                    <w:tr2bl w:val="nil"/>
                  </w:tcBorders>
                  <w:shd w:val="clear" w:color="auto" w:fill="auto"/>
                  <w:vAlign w:val="center"/>
                </w:tcPr>
                <w:p w14:paraId="6CD9C4EA">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p>
              </w:tc>
              <w:tc>
                <w:tcPr>
                  <w:tcW w:w="3673" w:type="dxa"/>
                  <w:tcBorders>
                    <w:tl2br w:val="nil"/>
                    <w:tr2bl w:val="nil"/>
                  </w:tcBorders>
                  <w:vAlign w:val="center"/>
                </w:tcPr>
                <w:p w14:paraId="570D0036">
                  <w:pPr>
                    <w:pStyle w:val="35"/>
                    <w:spacing w:before="3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《摩托车及汽车配件制造表面涂装大气污染物排放标准》（DB50/660-2016）</w:t>
                  </w:r>
                </w:p>
              </w:tc>
            </w:tr>
          </w:tbl>
          <w:p w14:paraId="74AD5549">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2、水污染物排放标准</w:t>
            </w:r>
          </w:p>
          <w:p w14:paraId="5216363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扩建项目运营期无工艺废水排放，地面清洁采用清扫方式清洁，员工办公生活产生的污水依托森迪安防产业园现有1#生化池预处理达《污水综合排放标准》（</w:t>
            </w:r>
            <w:r>
              <w:rPr>
                <w:rFonts w:hint="default" w:ascii="Times New Roman" w:hAnsi="Times New Roman" w:cs="宋体"/>
                <w:color w:val="auto"/>
                <w:sz w:val="24"/>
                <w:szCs w:val="24"/>
                <w:highlight w:val="none"/>
                <w:lang w:val="en-US" w:eastAsia="zh-CN"/>
              </w:rPr>
              <w:t>GB8978-1996</w:t>
            </w:r>
            <w:r>
              <w:rPr>
                <w:rFonts w:hint="eastAsia" w:ascii="Times New Roman" w:hAnsi="Times New Roman" w:cs="宋体"/>
                <w:color w:val="auto"/>
                <w:sz w:val="24"/>
                <w:szCs w:val="24"/>
                <w:highlight w:val="none"/>
                <w:lang w:val="en-US" w:eastAsia="zh-CN"/>
              </w:rPr>
              <w:t>）三级标准后，再经市政污水管网进入西彭园区污水处理厂处理达标后排入桥头河，再汇入长江。</w:t>
            </w:r>
          </w:p>
          <w:p w14:paraId="3E2C07B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2023年西彭工业园区污水处理厂开展扩建工程，拟增加10000m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/d的污水处理能力，并提高排放标准，预计2025年扩建完成。建成后，西彭工业园区污水处理厂处理能力达到15000m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/d，排放标准提高到《城镇污水处理厂污染物排放标准》（GB18918-2002）一级A标准，其中COD、NH</w:t>
            </w:r>
            <w:r>
              <w:rPr>
                <w:rFonts w:hint="eastAsia" w:ascii="Times New Roman" w:hAnsi="Times New Roman" w:cs="宋体"/>
                <w:color w:val="auto"/>
                <w:sz w:val="24"/>
                <w:szCs w:val="24"/>
                <w:highlight w:val="none"/>
                <w:vertAlign w:val="subscript"/>
                <w:lang w:val="en-US" w:eastAsia="zh-CN"/>
              </w:rPr>
              <w:t>3</w:t>
            </w:r>
            <w:r>
              <w:rPr>
                <w:rFonts w:hint="eastAsia" w:ascii="Times New Roman" w:hAnsi="Times New Roman" w:cs="宋体"/>
                <w:color w:val="auto"/>
                <w:sz w:val="24"/>
                <w:szCs w:val="24"/>
                <w:highlight w:val="none"/>
                <w:lang w:val="en-US" w:eastAsia="zh-CN"/>
              </w:rPr>
              <w:t>-N提高到《地表水环境质量标准》（GB3838-2002）IV类标准。</w:t>
            </w:r>
          </w:p>
          <w:p w14:paraId="6298451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本项目排入水环境标准近期执行《污水综合排放标准》（GB8978-1996）一级标准，远期执行《城镇污水处理厂污染物排放标准》（GB18918-2002）一级A标准（其中COD、NH</w:t>
            </w:r>
            <w:r>
              <w:rPr>
                <w:rFonts w:hint="eastAsia" w:ascii="Times New Roman" w:hAnsi="Times New Roman" w:cs="宋体"/>
                <w:color w:val="auto"/>
                <w:sz w:val="24"/>
                <w:szCs w:val="24"/>
                <w:highlight w:val="none"/>
                <w:vertAlign w:val="subscript"/>
                <w:lang w:val="en-US" w:eastAsia="zh-CN"/>
              </w:rPr>
              <w:t>3</w:t>
            </w:r>
            <w:r>
              <w:rPr>
                <w:rFonts w:hint="eastAsia" w:ascii="Times New Roman" w:hAnsi="Times New Roman" w:cs="宋体"/>
                <w:color w:val="auto"/>
                <w:sz w:val="24"/>
                <w:szCs w:val="24"/>
                <w:highlight w:val="none"/>
                <w:lang w:val="en-US" w:eastAsia="zh-CN"/>
              </w:rPr>
              <w:t>-N执行《地表水环境质量标准》（GB3838-2002）IV类标准）。</w:t>
            </w:r>
          </w:p>
          <w:p w14:paraId="79D4F40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执行标准限值详见表3-10。</w:t>
            </w:r>
          </w:p>
          <w:p w14:paraId="5D1E0C8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 xml:space="preserve">  项目污水排放标准限值 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944"/>
              <w:gridCol w:w="1005"/>
              <w:gridCol w:w="1179"/>
              <w:gridCol w:w="1179"/>
              <w:gridCol w:w="1179"/>
              <w:gridCol w:w="1206"/>
            </w:tblGrid>
            <w:tr w14:paraId="42719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noWrap w:val="0"/>
                  <w:vAlign w:val="center"/>
                </w:tcPr>
                <w:p w14:paraId="5FB225CC">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bCs/>
                      <w:color w:val="auto"/>
                      <w:kern w:val="0"/>
                      <w:sz w:val="21"/>
                      <w:szCs w:val="21"/>
                      <w:highlight w:val="none"/>
                      <w:vertAlign w:val="baseline"/>
                      <w:lang w:val="en-US" w:eastAsia="zh-CN" w:bidi="ar-SA"/>
                    </w:rPr>
                  </w:pPr>
                  <w:r>
                    <w:rPr>
                      <w:rFonts w:hint="eastAsia" w:ascii="Times New Roman" w:hAnsi="Times New Roman" w:eastAsia="宋体" w:cs="Times New Roman"/>
                      <w:b/>
                      <w:bCs/>
                      <w:color w:val="auto"/>
                      <w:kern w:val="0"/>
                      <w:sz w:val="21"/>
                      <w:szCs w:val="21"/>
                      <w:highlight w:val="none"/>
                      <w:lang w:val="en-US" w:eastAsia="zh-CN" w:bidi="ar"/>
                    </w:rPr>
                    <w:t>污染物名称</w:t>
                  </w:r>
                </w:p>
              </w:tc>
              <w:tc>
                <w:tcPr>
                  <w:tcW w:w="578" w:type="pct"/>
                  <w:tcBorders>
                    <w:tl2br w:val="nil"/>
                    <w:tr2bl w:val="nil"/>
                  </w:tcBorders>
                  <w:noWrap w:val="0"/>
                  <w:vAlign w:val="center"/>
                </w:tcPr>
                <w:p w14:paraId="1DB40A3D">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pH</w:t>
                  </w:r>
                </w:p>
              </w:tc>
              <w:tc>
                <w:tcPr>
                  <w:tcW w:w="678" w:type="pct"/>
                  <w:tcBorders>
                    <w:tl2br w:val="nil"/>
                    <w:tr2bl w:val="nil"/>
                  </w:tcBorders>
                  <w:noWrap w:val="0"/>
                  <w:vAlign w:val="center"/>
                </w:tcPr>
                <w:p w14:paraId="45025EF6">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COD</w:t>
                  </w:r>
                </w:p>
              </w:tc>
              <w:tc>
                <w:tcPr>
                  <w:tcW w:w="678" w:type="pct"/>
                  <w:tcBorders>
                    <w:tl2br w:val="nil"/>
                    <w:tr2bl w:val="nil"/>
                  </w:tcBorders>
                  <w:noWrap w:val="0"/>
                  <w:vAlign w:val="center"/>
                </w:tcPr>
                <w:p w14:paraId="303B03E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BOD</w:t>
                  </w:r>
                  <w:r>
                    <w:rPr>
                      <w:rFonts w:hint="default" w:ascii="Times New Roman" w:hAnsi="Times New Roman" w:eastAsia="宋体" w:cs="Times New Roman"/>
                      <w:b/>
                      <w:bCs/>
                      <w:color w:val="auto"/>
                      <w:kern w:val="0"/>
                      <w:sz w:val="21"/>
                      <w:szCs w:val="21"/>
                      <w:highlight w:val="none"/>
                      <w:vertAlign w:val="subscript"/>
                      <w:lang w:val="en-US" w:eastAsia="zh-CN" w:bidi="ar"/>
                    </w:rPr>
                    <w:t>5</w:t>
                  </w:r>
                </w:p>
              </w:tc>
              <w:tc>
                <w:tcPr>
                  <w:tcW w:w="678" w:type="pct"/>
                  <w:tcBorders>
                    <w:tl2br w:val="nil"/>
                    <w:tr2bl w:val="nil"/>
                  </w:tcBorders>
                  <w:noWrap w:val="0"/>
                  <w:vAlign w:val="center"/>
                </w:tcPr>
                <w:p w14:paraId="671363F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SS</w:t>
                  </w:r>
                </w:p>
              </w:tc>
              <w:tc>
                <w:tcPr>
                  <w:tcW w:w="692" w:type="pct"/>
                  <w:tcBorders>
                    <w:tl2br w:val="nil"/>
                    <w:tr2bl w:val="nil"/>
                  </w:tcBorders>
                  <w:noWrap w:val="0"/>
                  <w:vAlign w:val="center"/>
                </w:tcPr>
                <w:p w14:paraId="0F53C5B2">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NH</w:t>
                  </w:r>
                  <w:r>
                    <w:rPr>
                      <w:rFonts w:hint="default" w:ascii="Times New Roman" w:hAnsi="Times New Roman" w:eastAsia="宋体" w:cs="Times New Roman"/>
                      <w:b/>
                      <w:bCs/>
                      <w:color w:val="auto"/>
                      <w:kern w:val="0"/>
                      <w:sz w:val="21"/>
                      <w:szCs w:val="21"/>
                      <w:highlight w:val="none"/>
                      <w:vertAlign w:val="sub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-N</w:t>
                  </w:r>
                </w:p>
              </w:tc>
            </w:tr>
            <w:tr w14:paraId="7794F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noWrap w:val="0"/>
                  <w:vAlign w:val="center"/>
                </w:tcPr>
                <w:p w14:paraId="1255EECA">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GB</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8978-1996</w:t>
                  </w:r>
                  <w:r>
                    <w:rPr>
                      <w:rFonts w:hint="eastAsia" w:ascii="Times New Roman" w:hAnsi="Times New Roman" w:eastAsia="宋体" w:cs="宋体"/>
                      <w:color w:val="auto"/>
                      <w:kern w:val="0"/>
                      <w:sz w:val="21"/>
                      <w:szCs w:val="21"/>
                      <w:highlight w:val="none"/>
                      <w:lang w:val="en-US" w:eastAsia="zh-CN" w:bidi="ar"/>
                    </w:rPr>
                    <w:t>）三级标准</w:t>
                  </w:r>
                </w:p>
              </w:tc>
              <w:tc>
                <w:tcPr>
                  <w:tcW w:w="578" w:type="pct"/>
                  <w:tcBorders>
                    <w:tl2br w:val="nil"/>
                    <w:tr2bl w:val="nil"/>
                  </w:tcBorders>
                  <w:noWrap w:val="0"/>
                  <w:vAlign w:val="center"/>
                </w:tcPr>
                <w:p w14:paraId="7CAB0106">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6-9</w:t>
                  </w:r>
                </w:p>
              </w:tc>
              <w:tc>
                <w:tcPr>
                  <w:tcW w:w="678" w:type="pct"/>
                  <w:tcBorders>
                    <w:tl2br w:val="nil"/>
                    <w:tr2bl w:val="nil"/>
                  </w:tcBorders>
                  <w:noWrap w:val="0"/>
                  <w:vAlign w:val="center"/>
                </w:tcPr>
                <w:p w14:paraId="4593C659">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500</w:t>
                  </w:r>
                </w:p>
              </w:tc>
              <w:tc>
                <w:tcPr>
                  <w:tcW w:w="678" w:type="pct"/>
                  <w:tcBorders>
                    <w:tl2br w:val="nil"/>
                    <w:tr2bl w:val="nil"/>
                  </w:tcBorders>
                  <w:noWrap w:val="0"/>
                  <w:vAlign w:val="center"/>
                </w:tcPr>
                <w:p w14:paraId="61D733F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300</w:t>
                  </w:r>
                </w:p>
              </w:tc>
              <w:tc>
                <w:tcPr>
                  <w:tcW w:w="678" w:type="pct"/>
                  <w:tcBorders>
                    <w:tl2br w:val="nil"/>
                    <w:tr2bl w:val="nil"/>
                  </w:tcBorders>
                  <w:noWrap w:val="0"/>
                  <w:vAlign w:val="center"/>
                </w:tcPr>
                <w:p w14:paraId="22B1D6DB">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400</w:t>
                  </w:r>
                </w:p>
              </w:tc>
              <w:tc>
                <w:tcPr>
                  <w:tcW w:w="692" w:type="pct"/>
                  <w:tcBorders>
                    <w:tl2br w:val="nil"/>
                    <w:tr2bl w:val="nil"/>
                  </w:tcBorders>
                  <w:noWrap w:val="0"/>
                  <w:vAlign w:val="center"/>
                </w:tcPr>
                <w:p w14:paraId="65874B2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45*</w:t>
                  </w:r>
                </w:p>
              </w:tc>
            </w:tr>
            <w:tr w14:paraId="5AE94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noWrap w:val="0"/>
                  <w:vAlign w:val="center"/>
                </w:tcPr>
                <w:p w14:paraId="6F835D3E">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（GB 8978-1996）</w:t>
                  </w:r>
                  <w:r>
                    <w:rPr>
                      <w:rFonts w:hint="eastAsia" w:ascii="Times New Roman" w:hAnsi="Times New Roman" w:eastAsia="宋体" w:cs="Times New Roman"/>
                      <w:b w:val="0"/>
                      <w:bCs w:val="0"/>
                      <w:color w:val="auto"/>
                      <w:kern w:val="0"/>
                      <w:sz w:val="21"/>
                      <w:szCs w:val="21"/>
                      <w:highlight w:val="none"/>
                      <w:lang w:val="en-US" w:eastAsia="zh-CN" w:bidi="ar"/>
                    </w:rPr>
                    <w:t>一</w:t>
                  </w:r>
                  <w:r>
                    <w:rPr>
                      <w:rFonts w:hint="default" w:ascii="Times New Roman" w:hAnsi="Times New Roman" w:eastAsia="宋体" w:cs="Times New Roman"/>
                      <w:b w:val="0"/>
                      <w:bCs w:val="0"/>
                      <w:color w:val="auto"/>
                      <w:kern w:val="0"/>
                      <w:sz w:val="21"/>
                      <w:szCs w:val="21"/>
                      <w:highlight w:val="none"/>
                      <w:lang w:val="en-US" w:eastAsia="zh-CN" w:bidi="ar"/>
                    </w:rPr>
                    <w:t>级标准</w:t>
                  </w:r>
                </w:p>
              </w:tc>
              <w:tc>
                <w:tcPr>
                  <w:tcW w:w="578" w:type="pct"/>
                  <w:tcBorders>
                    <w:tl2br w:val="nil"/>
                    <w:tr2bl w:val="nil"/>
                  </w:tcBorders>
                  <w:noWrap w:val="0"/>
                  <w:vAlign w:val="center"/>
                </w:tcPr>
                <w:p w14:paraId="1C9B204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6-9</w:t>
                  </w:r>
                </w:p>
              </w:tc>
              <w:tc>
                <w:tcPr>
                  <w:tcW w:w="678" w:type="pct"/>
                  <w:tcBorders>
                    <w:tl2br w:val="nil"/>
                    <w:tr2bl w:val="nil"/>
                  </w:tcBorders>
                  <w:noWrap w:val="0"/>
                  <w:vAlign w:val="center"/>
                </w:tcPr>
                <w:p w14:paraId="5369D92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100</w:t>
                  </w:r>
                </w:p>
              </w:tc>
              <w:tc>
                <w:tcPr>
                  <w:tcW w:w="678" w:type="pct"/>
                  <w:tcBorders>
                    <w:tl2br w:val="nil"/>
                    <w:tr2bl w:val="nil"/>
                  </w:tcBorders>
                  <w:noWrap w:val="0"/>
                  <w:vAlign w:val="center"/>
                </w:tcPr>
                <w:p w14:paraId="7B64863C">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30</w:t>
                  </w:r>
                </w:p>
              </w:tc>
              <w:tc>
                <w:tcPr>
                  <w:tcW w:w="678" w:type="pct"/>
                  <w:tcBorders>
                    <w:tl2br w:val="nil"/>
                    <w:tr2bl w:val="nil"/>
                  </w:tcBorders>
                  <w:noWrap w:val="0"/>
                  <w:vAlign w:val="center"/>
                </w:tcPr>
                <w:p w14:paraId="5FD94D0F">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70</w:t>
                  </w:r>
                </w:p>
              </w:tc>
              <w:tc>
                <w:tcPr>
                  <w:tcW w:w="692" w:type="pct"/>
                  <w:tcBorders>
                    <w:tl2br w:val="nil"/>
                    <w:tr2bl w:val="nil"/>
                  </w:tcBorders>
                  <w:noWrap w:val="0"/>
                  <w:vAlign w:val="center"/>
                </w:tcPr>
                <w:p w14:paraId="5DA3FEE9">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w:t>
                  </w:r>
                </w:p>
              </w:tc>
            </w:tr>
            <w:tr w14:paraId="3C78A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noWrap w:val="0"/>
                  <w:vAlign w:val="center"/>
                </w:tcPr>
                <w:p w14:paraId="6644896D">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（GB18918-2002）一级A标准</w:t>
                  </w:r>
                </w:p>
              </w:tc>
              <w:tc>
                <w:tcPr>
                  <w:tcW w:w="578" w:type="pct"/>
                  <w:tcBorders>
                    <w:tl2br w:val="nil"/>
                    <w:tr2bl w:val="nil"/>
                  </w:tcBorders>
                  <w:noWrap w:val="0"/>
                  <w:vAlign w:val="center"/>
                </w:tcPr>
                <w:p w14:paraId="1FCE0B5E">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6~9</w:t>
                  </w:r>
                </w:p>
              </w:tc>
              <w:tc>
                <w:tcPr>
                  <w:tcW w:w="678" w:type="pct"/>
                  <w:tcBorders>
                    <w:tl2br w:val="nil"/>
                    <w:tr2bl w:val="nil"/>
                  </w:tcBorders>
                  <w:noWrap w:val="0"/>
                  <w:vAlign w:val="center"/>
                </w:tcPr>
                <w:p w14:paraId="2B2F834A">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30**</w:t>
                  </w:r>
                </w:p>
              </w:tc>
              <w:tc>
                <w:tcPr>
                  <w:tcW w:w="678" w:type="pct"/>
                  <w:tcBorders>
                    <w:tl2br w:val="nil"/>
                    <w:tr2bl w:val="nil"/>
                  </w:tcBorders>
                  <w:noWrap w:val="0"/>
                  <w:vAlign w:val="center"/>
                </w:tcPr>
                <w:p w14:paraId="5490212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w:t>
                  </w:r>
                </w:p>
              </w:tc>
              <w:tc>
                <w:tcPr>
                  <w:tcW w:w="678" w:type="pct"/>
                  <w:tcBorders>
                    <w:tl2br w:val="nil"/>
                    <w:tr2bl w:val="nil"/>
                  </w:tcBorders>
                  <w:noWrap w:val="0"/>
                  <w:vAlign w:val="center"/>
                </w:tcPr>
                <w:p w14:paraId="1B30DB4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w:t>
                  </w:r>
                </w:p>
              </w:tc>
              <w:tc>
                <w:tcPr>
                  <w:tcW w:w="692" w:type="pct"/>
                  <w:tcBorders>
                    <w:tl2br w:val="nil"/>
                    <w:tr2bl w:val="nil"/>
                  </w:tcBorders>
                  <w:noWrap w:val="0"/>
                  <w:vAlign w:val="center"/>
                </w:tcPr>
                <w:p w14:paraId="6C74348F">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w:t>
                  </w:r>
                </w:p>
              </w:tc>
            </w:tr>
            <w:tr w14:paraId="5459B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noWrap w:val="0"/>
                  <w:vAlign w:val="center"/>
                </w:tcPr>
                <w:p w14:paraId="3780F97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both"/>
                    <w:textAlignment w:val="auto"/>
                    <w:rPr>
                      <w:rFonts w:hint="eastAsia" w:ascii="Times New Roman" w:hAnsi="Times New Roman" w:eastAsia="宋体"/>
                      <w:color w:val="auto"/>
                      <w:spacing w:val="0"/>
                      <w:w w:val="100"/>
                      <w:kern w:val="2"/>
                      <w:sz w:val="21"/>
                      <w:szCs w:val="21"/>
                      <w:highlight w:val="none"/>
                      <w:lang w:eastAsia="zh-CN"/>
                    </w:rPr>
                  </w:pPr>
                  <w:r>
                    <w:rPr>
                      <w:rFonts w:hint="eastAsia" w:ascii="Times New Roman" w:hAnsi="Times New Roman" w:eastAsia="宋体"/>
                      <w:b/>
                      <w:bCs/>
                      <w:color w:val="auto"/>
                      <w:spacing w:val="0"/>
                      <w:w w:val="100"/>
                      <w:kern w:val="2"/>
                      <w:sz w:val="21"/>
                      <w:szCs w:val="21"/>
                      <w:highlight w:val="none"/>
                      <w:lang w:val="en-US" w:eastAsia="zh-CN"/>
                    </w:rPr>
                    <w:t>注</w:t>
                  </w:r>
                  <w:r>
                    <w:rPr>
                      <w:rFonts w:hint="eastAsia" w:ascii="Times New Roman" w:hAnsi="Times New Roman" w:eastAsia="宋体"/>
                      <w:color w:val="auto"/>
                      <w:spacing w:val="0"/>
                      <w:w w:val="100"/>
                      <w:kern w:val="2"/>
                      <w:sz w:val="21"/>
                      <w:szCs w:val="21"/>
                      <w:highlight w:val="none"/>
                      <w:lang w:val="en-US" w:eastAsia="zh-CN"/>
                    </w:rPr>
                    <w:t>：“*”氨氮参照执行</w:t>
                  </w:r>
                  <w:r>
                    <w:rPr>
                      <w:rFonts w:hint="eastAsia" w:ascii="Times New Roman" w:hAnsi="Times New Roman" w:eastAsia="宋体"/>
                      <w:color w:val="auto"/>
                      <w:spacing w:val="0"/>
                      <w:w w:val="100"/>
                      <w:kern w:val="2"/>
                      <w:sz w:val="21"/>
                      <w:szCs w:val="21"/>
                      <w:highlight w:val="none"/>
                    </w:rPr>
                    <w:t>《污水排入城镇下水道水质标准》（GB/T 31962-2015）</w:t>
                  </w:r>
                  <w:r>
                    <w:rPr>
                      <w:rFonts w:hint="eastAsia" w:ascii="Times New Roman" w:hAnsi="Times New Roman" w:eastAsia="宋体"/>
                      <w:color w:val="auto"/>
                      <w:spacing w:val="0"/>
                      <w:w w:val="100"/>
                      <w:kern w:val="2"/>
                      <w:sz w:val="21"/>
                      <w:szCs w:val="21"/>
                      <w:highlight w:val="none"/>
                      <w:lang w:eastAsia="zh-CN"/>
                    </w:rPr>
                    <w:t>；</w:t>
                  </w:r>
                </w:p>
                <w:p w14:paraId="161B7D1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firstLine="420" w:firstLineChars="200"/>
                    <w:jc w:val="both"/>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olor w:val="auto"/>
                      <w:spacing w:val="0"/>
                      <w:w w:val="100"/>
                      <w:kern w:val="2"/>
                      <w:sz w:val="21"/>
                      <w:szCs w:val="21"/>
                      <w:highlight w:val="none"/>
                      <w:lang w:val="en-US" w:eastAsia="zh-CN"/>
                    </w:rPr>
                    <w:t>“**”执行《地表水环境质量标准》（GB3838-2002）IV类标准。</w:t>
                  </w:r>
                </w:p>
              </w:tc>
            </w:tr>
          </w:tbl>
          <w:p w14:paraId="17398CB3">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3、噪声排放标准</w:t>
            </w:r>
          </w:p>
          <w:p w14:paraId="552EEAE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本项目运营期噪声排放执行《工业企业厂界环境噪声排放标准》（GB 12348-2008）3类标准。</w:t>
            </w:r>
          </w:p>
          <w:p w14:paraId="6453151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8"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执行标准限值详见表3-11。</w:t>
            </w:r>
          </w:p>
          <w:p w14:paraId="5BAD024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  工业企业厂界环境噪声排放限值 单位：Leq[dB(A)]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775"/>
              <w:gridCol w:w="3017"/>
              <w:gridCol w:w="2900"/>
            </w:tblGrid>
            <w:tr w14:paraId="5920E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96" w:type="pct"/>
                  <w:tcBorders>
                    <w:tl2br w:val="nil"/>
                    <w:tr2bl w:val="nil"/>
                  </w:tcBorders>
                  <w:noWrap w:val="0"/>
                  <w:vAlign w:val="center"/>
                </w:tcPr>
                <w:p w14:paraId="4940EC8A">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声环境功能区类别</w:t>
                  </w:r>
                </w:p>
              </w:tc>
              <w:tc>
                <w:tcPr>
                  <w:tcW w:w="1735" w:type="pct"/>
                  <w:tcBorders>
                    <w:tl2br w:val="nil"/>
                    <w:tr2bl w:val="nil"/>
                  </w:tcBorders>
                  <w:noWrap w:val="0"/>
                  <w:vAlign w:val="center"/>
                </w:tcPr>
                <w:p w14:paraId="29F3FC0F">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cs="宋体"/>
                      <w:b/>
                      <w:bCs/>
                      <w:color w:val="auto"/>
                      <w:sz w:val="21"/>
                      <w:szCs w:val="21"/>
                      <w:highlight w:val="none"/>
                      <w:vertAlign w:val="baseline"/>
                      <w:lang w:val="en-US" w:eastAsia="zh-CN"/>
                    </w:rPr>
                  </w:pPr>
                  <w:r>
                    <w:rPr>
                      <w:rFonts w:hint="eastAsia" w:ascii="Times New Roman" w:hAnsi="Times New Roman" w:cs="宋体"/>
                      <w:b/>
                      <w:bCs/>
                      <w:color w:val="auto"/>
                      <w:sz w:val="21"/>
                      <w:szCs w:val="21"/>
                      <w:highlight w:val="none"/>
                      <w:vertAlign w:val="baseline"/>
                      <w:lang w:val="en-US" w:eastAsia="zh-CN"/>
                    </w:rPr>
                    <w:t>昼间</w:t>
                  </w:r>
                </w:p>
              </w:tc>
              <w:tc>
                <w:tcPr>
                  <w:tcW w:w="1667" w:type="pct"/>
                  <w:tcBorders>
                    <w:tl2br w:val="nil"/>
                    <w:tr2bl w:val="nil"/>
                  </w:tcBorders>
                  <w:noWrap w:val="0"/>
                  <w:vAlign w:val="center"/>
                </w:tcPr>
                <w:p w14:paraId="35FFAD7D">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cs="宋体"/>
                      <w:b/>
                      <w:bCs/>
                      <w:color w:val="auto"/>
                      <w:sz w:val="21"/>
                      <w:szCs w:val="21"/>
                      <w:highlight w:val="none"/>
                      <w:vertAlign w:val="baseline"/>
                      <w:lang w:val="en-US" w:eastAsia="zh-CN"/>
                    </w:rPr>
                  </w:pPr>
                  <w:r>
                    <w:rPr>
                      <w:rFonts w:hint="default" w:ascii="Times New Roman" w:hAnsi="Times New Roman" w:cs="宋体"/>
                      <w:b/>
                      <w:bCs/>
                      <w:color w:val="auto"/>
                      <w:sz w:val="21"/>
                      <w:szCs w:val="21"/>
                      <w:highlight w:val="none"/>
                      <w:vertAlign w:val="baseline"/>
                      <w:lang w:val="en-US" w:eastAsia="zh-CN"/>
                    </w:rPr>
                    <w:t>夜间</w:t>
                  </w:r>
                </w:p>
              </w:tc>
            </w:tr>
            <w:tr w14:paraId="65B62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96" w:type="pct"/>
                  <w:tcBorders>
                    <w:tl2br w:val="nil"/>
                    <w:tr2bl w:val="nil"/>
                  </w:tcBorders>
                  <w:noWrap w:val="0"/>
                  <w:vAlign w:val="center"/>
                </w:tcPr>
                <w:p w14:paraId="6C7CE49A">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3类</w:t>
                  </w:r>
                </w:p>
              </w:tc>
              <w:tc>
                <w:tcPr>
                  <w:tcW w:w="1735" w:type="pct"/>
                  <w:tcBorders>
                    <w:tl2br w:val="nil"/>
                    <w:tr2bl w:val="nil"/>
                  </w:tcBorders>
                  <w:noWrap w:val="0"/>
                  <w:vAlign w:val="center"/>
                </w:tcPr>
                <w:p w14:paraId="5A1A7EDA">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cs="宋体"/>
                      <w:color w:val="auto"/>
                      <w:sz w:val="21"/>
                      <w:szCs w:val="21"/>
                      <w:highlight w:val="none"/>
                      <w:vertAlign w:val="baseline"/>
                      <w:lang w:val="en-US" w:eastAsia="zh-CN"/>
                    </w:rPr>
                  </w:pPr>
                  <w:r>
                    <w:rPr>
                      <w:rFonts w:hint="eastAsia" w:ascii="Times New Roman" w:hAnsi="Times New Roman" w:cs="宋体"/>
                      <w:color w:val="auto"/>
                      <w:sz w:val="21"/>
                      <w:szCs w:val="21"/>
                      <w:highlight w:val="none"/>
                      <w:vertAlign w:val="baseline"/>
                      <w:lang w:val="en-US" w:eastAsia="zh-CN"/>
                    </w:rPr>
                    <w:t>65</w:t>
                  </w:r>
                </w:p>
              </w:tc>
              <w:tc>
                <w:tcPr>
                  <w:tcW w:w="1667" w:type="pct"/>
                  <w:tcBorders>
                    <w:tl2br w:val="nil"/>
                    <w:tr2bl w:val="nil"/>
                  </w:tcBorders>
                  <w:noWrap w:val="0"/>
                  <w:vAlign w:val="center"/>
                </w:tcPr>
                <w:p w14:paraId="7578C92C">
                  <w:pPr>
                    <w:pStyle w:val="18"/>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cs="宋体"/>
                      <w:color w:val="auto"/>
                      <w:sz w:val="21"/>
                      <w:szCs w:val="21"/>
                      <w:highlight w:val="none"/>
                      <w:vertAlign w:val="baseline"/>
                      <w:lang w:val="en-US" w:eastAsia="zh-CN"/>
                    </w:rPr>
                  </w:pPr>
                  <w:r>
                    <w:rPr>
                      <w:rFonts w:hint="default" w:ascii="Times New Roman" w:hAnsi="Times New Roman" w:cs="宋体"/>
                      <w:color w:val="auto"/>
                      <w:sz w:val="21"/>
                      <w:szCs w:val="21"/>
                      <w:highlight w:val="none"/>
                      <w:vertAlign w:val="baseline"/>
                      <w:lang w:val="en-US" w:eastAsia="zh-CN"/>
                    </w:rPr>
                    <w:t>55</w:t>
                  </w:r>
                </w:p>
              </w:tc>
            </w:tr>
          </w:tbl>
          <w:p w14:paraId="004DF405">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cs="宋体"/>
                <w:b/>
                <w:bCs/>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4、固废贮存标准</w:t>
            </w:r>
          </w:p>
          <w:p w14:paraId="13FE3115">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一般工业固废：按照生态环境部公告2024年第4号发布的《固体废物分类与代码目录》进行识别，其贮存过程应满足相应防渗漏、防雨淋、防扬尘等环境保护要求。</w:t>
            </w:r>
          </w:p>
          <w:p w14:paraId="143096C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olor w:val="auto"/>
                <w:highlight w:val="none"/>
                <w:vertAlign w:val="baseline"/>
                <w:lang w:val="en-US" w:eastAsia="zh-CN"/>
              </w:rPr>
            </w:pPr>
            <w:r>
              <w:rPr>
                <w:rFonts w:hint="default" w:ascii="Times New Roman" w:hAnsi="Times New Roman" w:cs="Times New Roman"/>
                <w:color w:val="auto"/>
                <w:sz w:val="24"/>
                <w:szCs w:val="24"/>
              </w:rPr>
              <w:t>危险废物：应按《国家危险废物名录》（2021年版）、《危险废物鉴别标准通则》（GB5085.7-2019）、《危险废物贮存污染控制标准》（GB18597-2023）《危险废物识别标志设置技术规范》（HJ1276-2022）等相关文件，进行识别、贮存和管理。</w:t>
            </w:r>
          </w:p>
        </w:tc>
      </w:tr>
      <w:tr w14:paraId="59A0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97" w:hRule="atLeast"/>
        </w:trPr>
        <w:tc>
          <w:tcPr>
            <w:tcW w:w="365" w:type="pct"/>
            <w:vAlign w:val="center"/>
          </w:tcPr>
          <w:p w14:paraId="131240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宋体"/>
                <w:b/>
                <w:bCs/>
                <w:color w:val="auto"/>
                <w:kern w:val="0"/>
                <w:sz w:val="24"/>
                <w:szCs w:val="24"/>
                <w:highlight w:val="none"/>
                <w:lang w:val="en-US" w:eastAsia="zh-CN"/>
              </w:rPr>
            </w:pPr>
            <w:r>
              <w:rPr>
                <w:rFonts w:hint="eastAsia" w:ascii="Times New Roman" w:hAnsi="Times New Roman" w:cs="宋体"/>
                <w:b/>
                <w:bCs/>
                <w:color w:val="auto"/>
                <w:kern w:val="0"/>
                <w:sz w:val="24"/>
                <w:szCs w:val="24"/>
                <w:highlight w:val="none"/>
              </w:rPr>
              <w:t>总量控制指标</w:t>
            </w:r>
          </w:p>
        </w:tc>
        <w:tc>
          <w:tcPr>
            <w:tcW w:w="4634" w:type="pct"/>
            <w:vAlign w:val="center"/>
          </w:tcPr>
          <w:p w14:paraId="1AD8AC94">
            <w:pPr>
              <w:keepNext w:val="0"/>
              <w:keepLines w:val="0"/>
              <w:pageBreakBefore w:val="0"/>
              <w:widowControl/>
              <w:suppressLineNumbers w:val="0"/>
              <w:kinsoku/>
              <w:wordWrap/>
              <w:overflowPunct/>
              <w:topLinePunct w:val="0"/>
              <w:autoSpaceDE/>
              <w:autoSpaceDN/>
              <w:bidi w:val="0"/>
              <w:adjustRightInd/>
              <w:snapToGrid/>
              <w:spacing w:line="372" w:lineRule="auto"/>
              <w:ind w:firstLine="480" w:firstLineChars="200"/>
              <w:jc w:val="both"/>
              <w:textAlignment w:val="auto"/>
              <w:rPr>
                <w:rFonts w:hint="eastAsia" w:ascii="Times New Roman" w:hAnsi="Times New Roman" w:cs="宋体" w:eastAsiaTheme="minorEastAsia"/>
                <w:b w:val="0"/>
                <w:bCs w:val="0"/>
                <w:color w:val="auto"/>
                <w:kern w:val="0"/>
                <w:sz w:val="24"/>
                <w:szCs w:val="24"/>
                <w:highlight w:val="none"/>
                <w:u w:val="none"/>
                <w:lang w:val="en-US" w:eastAsia="zh-CN" w:bidi="ar-SA"/>
              </w:rPr>
            </w:pPr>
            <w:r>
              <w:rPr>
                <w:rFonts w:hint="eastAsia" w:ascii="Times New Roman" w:hAnsi="Times New Roman" w:cs="宋体" w:eastAsiaTheme="minorEastAsia"/>
                <w:b w:val="0"/>
                <w:bCs w:val="0"/>
                <w:color w:val="auto"/>
                <w:kern w:val="0"/>
                <w:sz w:val="24"/>
                <w:szCs w:val="24"/>
                <w:highlight w:val="none"/>
                <w:u w:val="none"/>
                <w:lang w:val="en-US" w:eastAsia="zh-CN" w:bidi="ar-SA"/>
              </w:rPr>
              <w:t>项目建成后污染物排放总量指标建议如下：</w:t>
            </w:r>
          </w:p>
          <w:p w14:paraId="54E4D653">
            <w:pPr>
              <w:keepNext w:val="0"/>
              <w:keepLines w:val="0"/>
              <w:pageBreakBefore w:val="0"/>
              <w:widowControl/>
              <w:suppressLineNumbers w:val="0"/>
              <w:kinsoku/>
              <w:wordWrap/>
              <w:overflowPunct/>
              <w:topLinePunct w:val="0"/>
              <w:autoSpaceDE/>
              <w:autoSpaceDN/>
              <w:bidi w:val="0"/>
              <w:adjustRightInd/>
              <w:snapToGrid/>
              <w:spacing w:before="32" w:beforeLines="10" w:after="32" w:afterLines="10" w:line="372" w:lineRule="auto"/>
              <w:ind w:firstLine="482" w:firstLineChars="200"/>
              <w:jc w:val="both"/>
              <w:textAlignment w:val="auto"/>
              <w:rPr>
                <w:rFonts w:hint="eastAsia" w:ascii="Times New Roman" w:hAnsi="Times New Roman" w:cs="宋体" w:eastAsiaTheme="minorEastAsia"/>
                <w:b w:val="0"/>
                <w:bCs w:val="0"/>
                <w:color w:val="auto"/>
                <w:kern w:val="0"/>
                <w:sz w:val="24"/>
                <w:szCs w:val="24"/>
                <w:highlight w:val="none"/>
                <w:u w:val="none"/>
                <w:lang w:val="en-US" w:eastAsia="zh-CN" w:bidi="ar-SA"/>
              </w:rPr>
            </w:pPr>
            <w:r>
              <w:rPr>
                <w:rFonts w:hint="eastAsia" w:ascii="Times New Roman" w:hAnsi="Times New Roman" w:cs="宋体" w:eastAsiaTheme="minorEastAsia"/>
                <w:b/>
                <w:bCs/>
                <w:color w:val="auto"/>
                <w:kern w:val="0"/>
                <w:sz w:val="24"/>
                <w:szCs w:val="24"/>
                <w:highlight w:val="none"/>
                <w:u w:val="none"/>
                <w:lang w:val="en-US" w:eastAsia="zh-CN" w:bidi="ar-SA"/>
              </w:rPr>
              <w:t>废气</w:t>
            </w:r>
            <w:r>
              <w:rPr>
                <w:rFonts w:hint="eastAsia" w:ascii="Times New Roman" w:hAnsi="Times New Roman" w:cs="宋体" w:eastAsiaTheme="minorEastAsia"/>
                <w:b w:val="0"/>
                <w:bCs w:val="0"/>
                <w:color w:val="auto"/>
                <w:kern w:val="0"/>
                <w:sz w:val="24"/>
                <w:szCs w:val="24"/>
                <w:highlight w:val="none"/>
                <w:u w:val="none"/>
                <w:lang w:val="en-US" w:eastAsia="zh-CN" w:bidi="ar-SA"/>
              </w:rPr>
              <w:t>：</w:t>
            </w:r>
            <w:r>
              <w:rPr>
                <w:rFonts w:hint="eastAsia" w:ascii="Times New Roman" w:hAnsi="Times New Roman" w:cs="宋体"/>
                <w:b w:val="0"/>
                <w:bCs w:val="0"/>
                <w:color w:val="auto"/>
                <w:kern w:val="0"/>
                <w:sz w:val="24"/>
                <w:szCs w:val="24"/>
                <w:highlight w:val="none"/>
                <w:u w:val="single"/>
                <w:lang w:val="en-US" w:eastAsia="zh-CN" w:bidi="ar-SA"/>
              </w:rPr>
              <w:t>颗粒物</w:t>
            </w:r>
            <w:r>
              <w:rPr>
                <w:rFonts w:hint="eastAsia" w:ascii="Times New Roman" w:hAnsi="Times New Roman" w:cs="宋体" w:eastAsiaTheme="minorEastAsia"/>
                <w:b w:val="0"/>
                <w:bCs w:val="0"/>
                <w:color w:val="auto"/>
                <w:kern w:val="0"/>
                <w:sz w:val="24"/>
                <w:szCs w:val="24"/>
                <w:highlight w:val="none"/>
                <w:u w:val="single"/>
                <w:lang w:val="en-US" w:eastAsia="zh-CN" w:bidi="ar-SA"/>
              </w:rPr>
              <w:t>：</w:t>
            </w:r>
            <w:r>
              <w:rPr>
                <w:rFonts w:hint="eastAsia" w:ascii="Times New Roman" w:hAnsi="Times New Roman" w:cs="宋体"/>
                <w:b w:val="0"/>
                <w:bCs w:val="0"/>
                <w:color w:val="auto"/>
                <w:kern w:val="0"/>
                <w:sz w:val="24"/>
                <w:szCs w:val="24"/>
                <w:highlight w:val="none"/>
                <w:u w:val="single"/>
                <w:lang w:val="en-US" w:eastAsia="zh-CN" w:bidi="ar-SA"/>
              </w:rPr>
              <w:t>0.407</w:t>
            </w:r>
            <w:r>
              <w:rPr>
                <w:rFonts w:hint="default" w:ascii="Times New Roman" w:hAnsi="Times New Roman" w:cs="宋体" w:eastAsiaTheme="minorEastAsia"/>
                <w:b w:val="0"/>
                <w:bCs w:val="0"/>
                <w:color w:val="auto"/>
                <w:kern w:val="0"/>
                <w:sz w:val="24"/>
                <w:szCs w:val="24"/>
                <w:highlight w:val="none"/>
                <w:u w:val="single"/>
                <w:lang w:val="en-US" w:eastAsia="zh-CN" w:bidi="ar-SA"/>
              </w:rPr>
              <w:t>t/a</w:t>
            </w:r>
            <w:r>
              <w:rPr>
                <w:rFonts w:hint="eastAsia" w:ascii="Times New Roman" w:hAnsi="Times New Roman" w:cs="宋体"/>
                <w:b w:val="0"/>
                <w:bCs w:val="0"/>
                <w:color w:val="auto"/>
                <w:kern w:val="0"/>
                <w:sz w:val="24"/>
                <w:szCs w:val="24"/>
                <w:highlight w:val="none"/>
                <w:u w:val="single"/>
                <w:lang w:val="en-US" w:eastAsia="zh-CN" w:bidi="ar-SA"/>
              </w:rPr>
              <w:t>、非甲烷总烃0.02t/a、二氧化硫0.018t/a，氮氧化物0.174t/a</w:t>
            </w:r>
            <w:r>
              <w:rPr>
                <w:rFonts w:hint="eastAsia" w:ascii="Times New Roman" w:hAnsi="Times New Roman" w:cs="宋体" w:eastAsiaTheme="minorEastAsia"/>
                <w:b w:val="0"/>
                <w:bCs w:val="0"/>
                <w:color w:val="auto"/>
                <w:kern w:val="0"/>
                <w:sz w:val="24"/>
                <w:szCs w:val="24"/>
                <w:highlight w:val="none"/>
                <w:u w:val="none"/>
                <w:lang w:val="en-US" w:eastAsia="zh-CN" w:bidi="ar-SA"/>
              </w:rPr>
              <w:t>。</w:t>
            </w:r>
          </w:p>
          <w:p w14:paraId="08869C22">
            <w:pPr>
              <w:keepNext w:val="0"/>
              <w:keepLines w:val="0"/>
              <w:pageBreakBefore w:val="0"/>
              <w:widowControl/>
              <w:suppressLineNumbers w:val="0"/>
              <w:kinsoku/>
              <w:wordWrap/>
              <w:overflowPunct/>
              <w:topLinePunct w:val="0"/>
              <w:autoSpaceDE/>
              <w:autoSpaceDN/>
              <w:bidi w:val="0"/>
              <w:adjustRightInd/>
              <w:snapToGrid/>
              <w:spacing w:before="32" w:beforeLines="10" w:after="32" w:afterLines="10" w:line="372" w:lineRule="auto"/>
              <w:ind w:firstLine="482" w:firstLineChars="200"/>
              <w:jc w:val="both"/>
              <w:textAlignment w:val="auto"/>
              <w:rPr>
                <w:rFonts w:hint="default" w:ascii="Times New Roman" w:hAnsi="Times New Roman" w:cs="宋体" w:eastAsiaTheme="minorEastAsia"/>
                <w:b w:val="0"/>
                <w:bCs w:val="0"/>
                <w:color w:val="auto"/>
                <w:kern w:val="0"/>
                <w:sz w:val="24"/>
                <w:szCs w:val="24"/>
                <w:highlight w:val="none"/>
                <w:u w:val="none"/>
                <w:lang w:val="en-US" w:eastAsia="zh-CN" w:bidi="ar-SA"/>
              </w:rPr>
            </w:pPr>
            <w:r>
              <w:rPr>
                <w:rFonts w:hint="eastAsia" w:ascii="Times New Roman" w:hAnsi="Times New Roman" w:cs="宋体" w:eastAsiaTheme="minorEastAsia"/>
                <w:b/>
                <w:bCs/>
                <w:color w:val="auto"/>
                <w:kern w:val="0"/>
                <w:sz w:val="24"/>
                <w:szCs w:val="24"/>
                <w:highlight w:val="none"/>
                <w:u w:val="none"/>
                <w:lang w:val="en-US" w:eastAsia="zh-CN" w:bidi="ar-SA"/>
              </w:rPr>
              <w:t>废水</w:t>
            </w:r>
            <w:r>
              <w:rPr>
                <w:rFonts w:hint="eastAsia" w:ascii="Times New Roman" w:hAnsi="Times New Roman" w:cs="宋体" w:eastAsiaTheme="minorEastAsia"/>
                <w:b w:val="0"/>
                <w:bCs w:val="0"/>
                <w:color w:val="auto"/>
                <w:kern w:val="0"/>
                <w:sz w:val="24"/>
                <w:szCs w:val="24"/>
                <w:highlight w:val="none"/>
                <w:u w:val="none"/>
                <w:lang w:val="en-US" w:eastAsia="zh-CN" w:bidi="ar-SA"/>
              </w:rPr>
              <w:t>：</w:t>
            </w:r>
            <w:r>
              <w:rPr>
                <w:rFonts w:hint="eastAsia" w:ascii="Times New Roman" w:hAnsi="Times New Roman" w:cs="宋体"/>
                <w:b w:val="0"/>
                <w:bCs w:val="0"/>
                <w:color w:val="auto"/>
                <w:kern w:val="0"/>
                <w:sz w:val="24"/>
                <w:szCs w:val="24"/>
                <w:highlight w:val="none"/>
                <w:u w:val="none"/>
                <w:lang w:val="en-US" w:eastAsia="zh-CN" w:bidi="ar-SA"/>
              </w:rPr>
              <w:t>近期：</w:t>
            </w:r>
            <w:r>
              <w:rPr>
                <w:rFonts w:hint="default" w:ascii="Times New Roman" w:hAnsi="Times New Roman" w:cs="宋体" w:eastAsiaTheme="minorEastAsia"/>
                <w:b w:val="0"/>
                <w:bCs w:val="0"/>
                <w:color w:val="auto"/>
                <w:kern w:val="0"/>
                <w:sz w:val="24"/>
                <w:szCs w:val="24"/>
                <w:highlight w:val="none"/>
                <w:u w:val="single"/>
                <w:lang w:val="en-US" w:eastAsia="zh-CN" w:bidi="ar-SA"/>
              </w:rPr>
              <w:t>COD</w:t>
            </w:r>
            <w:r>
              <w:rPr>
                <w:rFonts w:hint="eastAsia" w:ascii="Times New Roman" w:hAnsi="Times New Roman" w:cs="宋体" w:eastAsiaTheme="minorEastAsia"/>
                <w:b w:val="0"/>
                <w:bCs w:val="0"/>
                <w:color w:val="auto"/>
                <w:kern w:val="0"/>
                <w:sz w:val="24"/>
                <w:szCs w:val="24"/>
                <w:highlight w:val="none"/>
                <w:u w:val="single"/>
                <w:lang w:val="en-US" w:eastAsia="zh-CN" w:bidi="ar-SA"/>
              </w:rPr>
              <w:t>：</w:t>
            </w:r>
            <w:r>
              <w:rPr>
                <w:rFonts w:hint="eastAsia" w:ascii="Times New Roman" w:hAnsi="Times New Roman" w:cs="宋体"/>
                <w:b w:val="0"/>
                <w:bCs w:val="0"/>
                <w:color w:val="auto"/>
                <w:kern w:val="0"/>
                <w:sz w:val="24"/>
                <w:szCs w:val="24"/>
                <w:highlight w:val="none"/>
                <w:u w:val="single"/>
                <w:lang w:val="en-US" w:eastAsia="zh-CN" w:bidi="ar-SA"/>
              </w:rPr>
              <w:t>0.014</w:t>
            </w:r>
            <w:r>
              <w:rPr>
                <w:rFonts w:hint="default" w:ascii="Times New Roman" w:hAnsi="Times New Roman" w:cs="宋体" w:eastAsiaTheme="minorEastAsia"/>
                <w:b w:val="0"/>
                <w:bCs w:val="0"/>
                <w:color w:val="auto"/>
                <w:kern w:val="0"/>
                <w:sz w:val="24"/>
                <w:szCs w:val="24"/>
                <w:highlight w:val="none"/>
                <w:u w:val="single"/>
                <w:lang w:val="en-US" w:eastAsia="zh-CN" w:bidi="ar-SA"/>
              </w:rPr>
              <w:t>t/a</w:t>
            </w:r>
            <w:r>
              <w:rPr>
                <w:rFonts w:hint="eastAsia" w:ascii="Times New Roman" w:hAnsi="Times New Roman" w:cs="宋体" w:eastAsiaTheme="minorEastAsia"/>
                <w:b w:val="0"/>
                <w:bCs w:val="0"/>
                <w:color w:val="auto"/>
                <w:kern w:val="0"/>
                <w:sz w:val="24"/>
                <w:szCs w:val="24"/>
                <w:highlight w:val="none"/>
                <w:u w:val="single"/>
                <w:lang w:val="en-US" w:eastAsia="zh-CN" w:bidi="ar-SA"/>
              </w:rPr>
              <w:t>，氨氮：</w:t>
            </w:r>
            <w:r>
              <w:rPr>
                <w:rFonts w:hint="eastAsia" w:ascii="Times New Roman" w:hAnsi="Times New Roman" w:cs="宋体"/>
                <w:b w:val="0"/>
                <w:bCs w:val="0"/>
                <w:color w:val="auto"/>
                <w:kern w:val="0"/>
                <w:sz w:val="24"/>
                <w:szCs w:val="24"/>
                <w:highlight w:val="none"/>
                <w:u w:val="single"/>
                <w:lang w:val="en-US" w:eastAsia="zh-CN" w:bidi="ar-SA"/>
              </w:rPr>
              <w:t>0.002</w:t>
            </w:r>
            <w:r>
              <w:rPr>
                <w:rFonts w:hint="default" w:ascii="Times New Roman" w:hAnsi="Times New Roman" w:cs="宋体" w:eastAsiaTheme="minorEastAsia"/>
                <w:b w:val="0"/>
                <w:bCs w:val="0"/>
                <w:color w:val="auto"/>
                <w:kern w:val="0"/>
                <w:sz w:val="24"/>
                <w:szCs w:val="24"/>
                <w:highlight w:val="none"/>
                <w:u w:val="single"/>
                <w:lang w:val="en-US" w:eastAsia="zh-CN" w:bidi="ar-SA"/>
              </w:rPr>
              <w:t>t/a</w:t>
            </w:r>
            <w:r>
              <w:rPr>
                <w:rFonts w:hint="eastAsia" w:ascii="Times New Roman" w:hAnsi="Times New Roman" w:cs="宋体"/>
                <w:b w:val="0"/>
                <w:bCs w:val="0"/>
                <w:color w:val="auto"/>
                <w:kern w:val="0"/>
                <w:sz w:val="24"/>
                <w:szCs w:val="24"/>
                <w:highlight w:val="none"/>
                <w:u w:val="single"/>
                <w:lang w:val="en-US" w:eastAsia="zh-CN" w:bidi="ar-SA"/>
              </w:rPr>
              <w:t>；远期：</w:t>
            </w:r>
            <w:r>
              <w:rPr>
                <w:rFonts w:hint="default" w:ascii="Times New Roman" w:hAnsi="Times New Roman" w:cs="宋体" w:eastAsiaTheme="minorEastAsia"/>
                <w:b w:val="0"/>
                <w:bCs w:val="0"/>
                <w:color w:val="auto"/>
                <w:kern w:val="0"/>
                <w:sz w:val="24"/>
                <w:szCs w:val="24"/>
                <w:highlight w:val="none"/>
                <w:u w:val="single"/>
                <w:lang w:val="en-US" w:eastAsia="zh-CN" w:bidi="ar-SA"/>
              </w:rPr>
              <w:t>COD</w:t>
            </w:r>
            <w:r>
              <w:rPr>
                <w:rFonts w:hint="eastAsia" w:ascii="Times New Roman" w:hAnsi="Times New Roman" w:cs="宋体" w:eastAsiaTheme="minorEastAsia"/>
                <w:b w:val="0"/>
                <w:bCs w:val="0"/>
                <w:color w:val="auto"/>
                <w:kern w:val="0"/>
                <w:sz w:val="24"/>
                <w:szCs w:val="24"/>
                <w:highlight w:val="none"/>
                <w:u w:val="single"/>
                <w:lang w:val="en-US" w:eastAsia="zh-CN" w:bidi="ar-SA"/>
              </w:rPr>
              <w:t>：</w:t>
            </w:r>
            <w:r>
              <w:rPr>
                <w:rFonts w:hint="eastAsia" w:ascii="Times New Roman" w:hAnsi="Times New Roman" w:cs="宋体"/>
                <w:b w:val="0"/>
                <w:bCs w:val="0"/>
                <w:color w:val="auto"/>
                <w:kern w:val="0"/>
                <w:sz w:val="24"/>
                <w:szCs w:val="24"/>
                <w:highlight w:val="none"/>
                <w:u w:val="single"/>
                <w:lang w:val="en-US" w:eastAsia="zh-CN" w:bidi="ar-SA"/>
              </w:rPr>
              <w:t>0.004</w:t>
            </w:r>
            <w:r>
              <w:rPr>
                <w:rFonts w:hint="default" w:ascii="Times New Roman" w:hAnsi="Times New Roman" w:cs="宋体" w:eastAsiaTheme="minorEastAsia"/>
                <w:b w:val="0"/>
                <w:bCs w:val="0"/>
                <w:color w:val="auto"/>
                <w:kern w:val="0"/>
                <w:sz w:val="24"/>
                <w:szCs w:val="24"/>
                <w:highlight w:val="none"/>
                <w:u w:val="single"/>
                <w:lang w:val="en-US" w:eastAsia="zh-CN" w:bidi="ar-SA"/>
              </w:rPr>
              <w:t>t/a</w:t>
            </w:r>
            <w:r>
              <w:rPr>
                <w:rFonts w:hint="eastAsia" w:ascii="Times New Roman" w:hAnsi="Times New Roman" w:cs="宋体" w:eastAsiaTheme="minorEastAsia"/>
                <w:b w:val="0"/>
                <w:bCs w:val="0"/>
                <w:color w:val="auto"/>
                <w:kern w:val="0"/>
                <w:sz w:val="24"/>
                <w:szCs w:val="24"/>
                <w:highlight w:val="none"/>
                <w:u w:val="single"/>
                <w:lang w:val="en-US" w:eastAsia="zh-CN" w:bidi="ar-SA"/>
              </w:rPr>
              <w:t>，氨氮：</w:t>
            </w:r>
            <w:r>
              <w:rPr>
                <w:rFonts w:hint="eastAsia" w:ascii="Times New Roman" w:hAnsi="Times New Roman" w:cs="宋体"/>
                <w:b w:val="0"/>
                <w:bCs w:val="0"/>
                <w:color w:val="auto"/>
                <w:kern w:val="0"/>
                <w:sz w:val="24"/>
                <w:szCs w:val="24"/>
                <w:highlight w:val="none"/>
                <w:u w:val="single"/>
                <w:lang w:val="en-US" w:eastAsia="zh-CN" w:bidi="ar-SA"/>
              </w:rPr>
              <w:t>0.0002</w:t>
            </w:r>
            <w:r>
              <w:rPr>
                <w:rFonts w:hint="default" w:ascii="Times New Roman" w:hAnsi="Times New Roman" w:cs="宋体" w:eastAsiaTheme="minorEastAsia"/>
                <w:b w:val="0"/>
                <w:bCs w:val="0"/>
                <w:color w:val="auto"/>
                <w:kern w:val="0"/>
                <w:sz w:val="24"/>
                <w:szCs w:val="24"/>
                <w:highlight w:val="none"/>
                <w:u w:val="single"/>
                <w:lang w:val="en-US" w:eastAsia="zh-CN" w:bidi="ar-SA"/>
              </w:rPr>
              <w:t>t/a</w:t>
            </w:r>
            <w:r>
              <w:rPr>
                <w:rFonts w:hint="eastAsia" w:ascii="Times New Roman" w:hAnsi="Times New Roman" w:cs="宋体" w:eastAsiaTheme="minorEastAsia"/>
                <w:b w:val="0"/>
                <w:bCs w:val="0"/>
                <w:color w:val="auto"/>
                <w:kern w:val="0"/>
                <w:sz w:val="24"/>
                <w:szCs w:val="24"/>
                <w:highlight w:val="none"/>
                <w:u w:val="none"/>
                <w:lang w:val="en-US" w:eastAsia="zh-CN" w:bidi="ar-SA"/>
              </w:rPr>
              <w:t>。</w:t>
            </w:r>
          </w:p>
        </w:tc>
      </w:tr>
    </w:tbl>
    <w:p w14:paraId="768BCD3D">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outlineLvl w:val="0"/>
        <w:rPr>
          <w:rFonts w:hint="default" w:ascii="Times New Roman" w:hAnsi="Times New Roman" w:eastAsia="宋体" w:cs="Times New Roman"/>
          <w:snapToGrid w:val="0"/>
          <w:color w:val="auto"/>
          <w:sz w:val="30"/>
          <w:szCs w:val="30"/>
          <w:highlight w:val="none"/>
        </w:rPr>
      </w:pPr>
      <w:bookmarkStart w:id="10" w:name="_Toc1193"/>
    </w:p>
    <w:p w14:paraId="3BCC133D">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outlineLvl w:val="0"/>
        <w:rPr>
          <w:rFonts w:hint="default" w:ascii="Times New Roman" w:hAnsi="Times New Roman" w:eastAsia="宋体" w:cs="Times New Roman"/>
          <w:snapToGrid w:val="0"/>
          <w:color w:val="auto"/>
          <w:sz w:val="30"/>
          <w:szCs w:val="30"/>
          <w:highlight w:val="none"/>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80724D6">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outlineLvl w:val="0"/>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snapToGrid w:val="0"/>
          <w:color w:val="auto"/>
          <w:sz w:val="30"/>
          <w:szCs w:val="30"/>
          <w:highlight w:val="none"/>
        </w:rPr>
        <w:t>四、主要环境影响和保护措施</w:t>
      </w:r>
      <w:bookmarkEnd w:id="10"/>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9"/>
        <w:gridCol w:w="8468"/>
      </w:tblGrid>
      <w:tr w14:paraId="5235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76" w:type="pct"/>
            <w:vAlign w:val="center"/>
          </w:tcPr>
          <w:p w14:paraId="261284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olor w:val="auto"/>
                <w:sz w:val="24"/>
                <w:szCs w:val="24"/>
                <w:highlight w:val="none"/>
                <w:vertAlign w:val="baseline"/>
                <w:lang w:val="en-US" w:eastAsia="zh-CN"/>
              </w:rPr>
            </w:pPr>
            <w:r>
              <w:rPr>
                <w:rFonts w:hint="eastAsia" w:ascii="Times New Roman" w:hAnsi="Times New Roman" w:cs="宋体"/>
                <w:b/>
                <w:bCs/>
                <w:color w:val="auto"/>
                <w:kern w:val="2"/>
                <w:sz w:val="24"/>
                <w:szCs w:val="24"/>
                <w:highlight w:val="none"/>
              </w:rPr>
              <w:t>施工期环境保护措施</w:t>
            </w:r>
          </w:p>
        </w:tc>
        <w:tc>
          <w:tcPr>
            <w:tcW w:w="4623" w:type="pct"/>
            <w:vAlign w:val="center"/>
          </w:tcPr>
          <w:p w14:paraId="04663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扩建项目位于重庆市西彭工业园区D标准分区，租用森迪安防产业园10#厂房实施，施工期仅进行装修及设备安装，施工期环境保护措施如下：</w:t>
            </w:r>
          </w:p>
          <w:p w14:paraId="25A605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2" w:firstLineChars="200"/>
              <w:jc w:val="both"/>
              <w:textAlignment w:val="auto"/>
              <w:rPr>
                <w:rFonts w:hint="default" w:ascii="Times New Roman" w:hAnsi="Times New Roman" w:cs="Times New Roman"/>
                <w:bCs/>
                <w:color w:val="auto"/>
                <w:spacing w:val="-10"/>
                <w:sz w:val="24"/>
                <w:szCs w:val="24"/>
                <w:highlight w:val="none"/>
              </w:rPr>
            </w:pP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lang w:val="en-US" w:eastAsia="zh-CN"/>
              </w:rPr>
              <w:t>1</w:t>
            </w: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rPr>
              <w:t>、水环境</w:t>
            </w:r>
          </w:p>
          <w:p w14:paraId="22035F4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施工期废水主要为施工人员生活污水。项目所在区域市政设施完善，施工人员生活污水依托现有生化池处理后接入市政污水管网，进入</w:t>
            </w:r>
            <w:r>
              <w:rPr>
                <w:rFonts w:hint="eastAsia" w:cs="Times New Roman"/>
                <w:bCs/>
                <w:color w:val="auto"/>
                <w:spacing w:val="-10"/>
                <w:sz w:val="24"/>
                <w:szCs w:val="24"/>
                <w:highlight w:val="none"/>
                <w:lang w:eastAsia="zh-CN"/>
              </w:rPr>
              <w:t>西彭园区污水</w:t>
            </w:r>
            <w:r>
              <w:rPr>
                <w:rFonts w:hint="default" w:ascii="Times New Roman" w:hAnsi="Times New Roman" w:cs="Times New Roman"/>
                <w:color w:val="auto"/>
                <w:sz w:val="24"/>
                <w:szCs w:val="24"/>
                <w:highlight w:val="none"/>
              </w:rPr>
              <w:t>处理厂</w:t>
            </w:r>
            <w:r>
              <w:rPr>
                <w:rFonts w:hint="default" w:ascii="Times New Roman" w:hAnsi="Times New Roman" w:cs="Times New Roman"/>
                <w:bCs/>
                <w:color w:val="auto"/>
                <w:spacing w:val="-10"/>
                <w:sz w:val="24"/>
                <w:szCs w:val="24"/>
                <w:highlight w:val="none"/>
              </w:rPr>
              <w:t>处理，处置措施合理。</w:t>
            </w:r>
          </w:p>
          <w:p w14:paraId="55B992E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2" w:firstLineChars="200"/>
              <w:jc w:val="both"/>
              <w:textAlignment w:val="auto"/>
              <w:rPr>
                <w:rFonts w:hint="default" w:ascii="Times New Roman" w:hAnsi="Times New Roman" w:cs="Times New Roman"/>
                <w:b/>
                <w:color w:val="auto"/>
                <w:spacing w:val="-10"/>
                <w:sz w:val="24"/>
                <w:szCs w:val="24"/>
                <w:highlight w:val="none"/>
              </w:rPr>
            </w:pP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lang w:val="en-US" w:eastAsia="zh-CN"/>
              </w:rPr>
              <w:t>2</w:t>
            </w: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rPr>
              <w:t>、大气环境</w:t>
            </w:r>
          </w:p>
          <w:p w14:paraId="29F3EF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施工期产生的废气主要是厂房内部装饰、设备安装调试产生的粉尘废气。项目</w:t>
            </w:r>
            <w:r>
              <w:rPr>
                <w:rFonts w:hint="default" w:ascii="Times New Roman" w:hAnsi="Times New Roman" w:cs="Times New Roman"/>
                <w:bCs/>
                <w:color w:val="auto"/>
                <w:sz w:val="24"/>
                <w:szCs w:val="24"/>
                <w:highlight w:val="none"/>
              </w:rPr>
              <w:t>利用</w:t>
            </w:r>
            <w:r>
              <w:rPr>
                <w:rFonts w:hint="default" w:ascii="Times New Roman" w:hAnsi="Times New Roman" w:cs="Times New Roman"/>
                <w:bCs/>
                <w:color w:val="auto"/>
                <w:spacing w:val="-10"/>
                <w:sz w:val="24"/>
                <w:szCs w:val="24"/>
                <w:highlight w:val="none"/>
              </w:rPr>
              <w:t>已建成的厂房，室内装饰等工程量较小，施工期间产生的粉尘量小。</w:t>
            </w:r>
          </w:p>
          <w:p w14:paraId="31F422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2" w:firstLineChars="200"/>
              <w:jc w:val="both"/>
              <w:textAlignment w:val="auto"/>
              <w:rPr>
                <w:rFonts w:hint="default" w:ascii="Times New Roman" w:hAnsi="Times New Roman" w:cs="Times New Roman"/>
                <w:b/>
                <w:color w:val="auto"/>
                <w:spacing w:val="-10"/>
                <w:sz w:val="24"/>
                <w:szCs w:val="24"/>
                <w:highlight w:val="none"/>
              </w:rPr>
            </w:pP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lang w:val="en-US" w:eastAsia="zh-CN"/>
              </w:rPr>
              <w:t>3</w:t>
            </w: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rPr>
              <w:t>、声环境</w:t>
            </w:r>
          </w:p>
          <w:p w14:paraId="0568293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施工期间的噪声主要是运输车辆的噪声、设备安装等产生的噪声，噪声值在70~85dB(A)之间。由于施工主要集中在车间内部，只对内部进行装饰、设备安装调试，噪声产生时间短，施工噪声对周边环境影响很小，不会发生施工扰民现象。</w:t>
            </w:r>
          </w:p>
          <w:p w14:paraId="74203BA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2" w:firstLineChars="200"/>
              <w:jc w:val="both"/>
              <w:textAlignment w:val="auto"/>
              <w:rPr>
                <w:rFonts w:hint="default" w:ascii="Times New Roman" w:hAnsi="Times New Roman" w:cs="Times New Roman"/>
                <w:b/>
                <w:color w:val="auto"/>
                <w:spacing w:val="-10"/>
                <w:sz w:val="24"/>
                <w:szCs w:val="24"/>
                <w:highlight w:val="none"/>
              </w:rPr>
            </w:pP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lang w:val="en-US" w:eastAsia="zh-CN"/>
              </w:rPr>
              <w:t>4</w:t>
            </w:r>
            <w:r>
              <w:rPr>
                <w:rFonts w:hint="default" w:ascii="Times New Roman" w:hAnsi="Times New Roman" w:cs="Times New Roman"/>
                <w:b/>
                <w:color w:val="auto"/>
                <w:spacing w:val="-10"/>
                <w:sz w:val="24"/>
                <w:szCs w:val="24"/>
                <w:highlight w:val="none"/>
                <w:lang w:eastAsia="zh-CN"/>
              </w:rPr>
              <w:t>）</w:t>
            </w:r>
            <w:r>
              <w:rPr>
                <w:rFonts w:hint="default" w:ascii="Times New Roman" w:hAnsi="Times New Roman" w:cs="Times New Roman"/>
                <w:b/>
                <w:color w:val="auto"/>
                <w:spacing w:val="-10"/>
                <w:sz w:val="24"/>
                <w:szCs w:val="24"/>
                <w:highlight w:val="none"/>
              </w:rPr>
              <w:t>、固废</w:t>
            </w:r>
          </w:p>
          <w:p w14:paraId="7AC8FE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eastAsia" w:ascii="宋体" w:hAnsi="宋体" w:cs="宋体"/>
                <w:bCs/>
                <w:color w:val="auto"/>
                <w:spacing w:val="-10"/>
                <w:sz w:val="24"/>
                <w:szCs w:val="24"/>
                <w:highlight w:val="none"/>
              </w:rPr>
            </w:pPr>
            <w:r>
              <w:rPr>
                <w:rFonts w:hint="eastAsia" w:ascii="宋体" w:hAnsi="宋体" w:cs="宋体"/>
                <w:bCs/>
                <w:color w:val="auto"/>
                <w:spacing w:val="-10"/>
                <w:sz w:val="24"/>
                <w:szCs w:val="24"/>
                <w:highlight w:val="none"/>
              </w:rPr>
              <w:t>施工期间产生的固体废物主要是设备的包装废料、室内装修材料弃渣和生活垃圾等。装修施工废弃物料、建渣应按重庆市有关固体废弃物处理的规定要求，在施工完成后由施工单位负责清运。在工程竣工以后，施工单位应负责将工地剩余的建筑垃圾、工程渣土处理干净。生活垃圾交由环卫部门统一收集送城市垃圾场卫生填埋。</w:t>
            </w:r>
          </w:p>
          <w:p w14:paraId="517C60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eastAsia"/>
                <w:lang w:val="en-US" w:eastAsia="zh-CN"/>
              </w:rPr>
            </w:pPr>
            <w:r>
              <w:rPr>
                <w:rFonts w:hint="eastAsia" w:ascii="宋体" w:hAnsi="宋体" w:cs="宋体" w:eastAsiaTheme="minorEastAsia"/>
                <w:bCs/>
                <w:color w:val="auto"/>
                <w:spacing w:val="-10"/>
                <w:kern w:val="2"/>
                <w:sz w:val="24"/>
                <w:szCs w:val="24"/>
                <w:highlight w:val="none"/>
                <w:lang w:val="en-US" w:eastAsia="zh-CN" w:bidi="ar-SA"/>
              </w:rPr>
              <w:t>采取上述措施后，本项目施工产生的固体废物对周围环境影响较小。</w:t>
            </w:r>
          </w:p>
        </w:tc>
      </w:tr>
      <w:tr w14:paraId="4016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7" w:hRule="atLeast"/>
        </w:trPr>
        <w:tc>
          <w:tcPr>
            <w:tcW w:w="376" w:type="pct"/>
            <w:vAlign w:val="center"/>
          </w:tcPr>
          <w:p w14:paraId="2D47C7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宋体"/>
                <w:b/>
                <w:bCs/>
                <w:color w:val="auto"/>
                <w:kern w:val="2"/>
                <w:sz w:val="24"/>
                <w:szCs w:val="24"/>
                <w:highlight w:val="none"/>
                <w:lang w:val="en-US" w:eastAsia="zh-CN"/>
              </w:rPr>
            </w:pPr>
            <w:r>
              <w:rPr>
                <w:rFonts w:hint="eastAsia" w:ascii="Times New Roman" w:hAnsi="Times New Roman" w:cs="宋体"/>
                <w:b/>
                <w:bCs/>
                <w:color w:val="auto"/>
                <w:kern w:val="2"/>
                <w:sz w:val="24"/>
                <w:szCs w:val="24"/>
                <w:highlight w:val="none"/>
              </w:rPr>
              <w:t>运营期环境影响和保护措施</w:t>
            </w:r>
          </w:p>
        </w:tc>
        <w:tc>
          <w:tcPr>
            <w:tcW w:w="4623" w:type="pct"/>
          </w:tcPr>
          <w:p w14:paraId="26231634">
            <w:pPr>
              <w:keepNext w:val="0"/>
              <w:keepLines w:val="0"/>
              <w:pageBreakBefore w:val="0"/>
              <w:widowControl w:val="0"/>
              <w:numPr>
                <w:ilvl w:val="0"/>
                <w:numId w:val="5"/>
              </w:numPr>
              <w:kinsoku/>
              <w:wordWrap/>
              <w:overflowPunct/>
              <w:topLinePunct w:val="0"/>
              <w:autoSpaceDE/>
              <w:autoSpaceDN/>
              <w:bidi w:val="0"/>
              <w:adjustRightInd/>
              <w:snapToGrid/>
              <w:spacing w:before="32" w:beforeLines="10" w:after="32" w:afterLines="10" w:line="360" w:lineRule="auto"/>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废气</w:t>
            </w:r>
          </w:p>
          <w:p w14:paraId="39C67FA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1）废气污染物排放源强</w:t>
            </w:r>
          </w:p>
          <w:p w14:paraId="22678F63">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项目废气污染源源强核算结果及相关参数一览表见表4-1，废气排放口基本情况见表4-2。</w:t>
            </w:r>
          </w:p>
          <w:p w14:paraId="2F3FE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p>
          <w:p w14:paraId="2B632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p>
          <w:p w14:paraId="233C3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p>
          <w:p w14:paraId="109D2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szCs w:val="24"/>
                <w:highlight w:val="none"/>
                <w:lang w:val="en-US" w:eastAsia="zh-CN"/>
              </w:rPr>
            </w:pPr>
          </w:p>
        </w:tc>
      </w:tr>
    </w:tbl>
    <w:p w14:paraId="21DD1CAB">
      <w:pPr>
        <w:pStyle w:val="27"/>
        <w:keepNext w:val="0"/>
        <w:keepLines w:val="0"/>
        <w:pageBreakBefore w:val="0"/>
        <w:widowControl w:val="0"/>
        <w:kinsoku/>
        <w:wordWrap/>
        <w:overflowPunct/>
        <w:topLinePunct w:val="0"/>
        <w:bidi w:val="0"/>
        <w:adjustRightInd/>
        <w:snapToGrid/>
        <w:spacing w:line="40" w:lineRule="exact"/>
        <w:textAlignment w:val="auto"/>
        <w:rPr>
          <w:rFonts w:hint="eastAsia" w:ascii="Times New Roman" w:hAnsi="Times New Roman" w:eastAsia="宋体"/>
          <w:color w:val="auto"/>
          <w:sz w:val="24"/>
          <w:szCs w:val="24"/>
          <w:highlight w:val="none"/>
          <w:lang w:val="en-US" w:eastAsia="zh-CN"/>
        </w:rPr>
      </w:pPr>
    </w:p>
    <w:p w14:paraId="10AD0F00">
      <w:pPr>
        <w:keepNext w:val="0"/>
        <w:keepLines w:val="0"/>
        <w:pageBreakBefore w:val="0"/>
        <w:widowControl w:val="0"/>
        <w:kinsoku/>
        <w:wordWrap/>
        <w:overflowPunct/>
        <w:topLinePunct w:val="0"/>
        <w:bidi w:val="0"/>
        <w:adjustRightInd/>
        <w:snapToGrid/>
        <w:spacing w:line="40" w:lineRule="exact"/>
        <w:textAlignment w:val="auto"/>
        <w:rPr>
          <w:rFonts w:hint="eastAsia" w:ascii="Times New Roman" w:hAnsi="Times New Roman" w:eastAsia="宋体"/>
          <w:color w:val="auto"/>
          <w:sz w:val="24"/>
          <w:szCs w:val="24"/>
          <w:highlight w:val="none"/>
          <w:lang w:val="en-US" w:eastAsia="zh-CN"/>
        </w:rPr>
      </w:pPr>
    </w:p>
    <w:p w14:paraId="1D0F3B0D">
      <w:pPr>
        <w:pStyle w:val="21"/>
        <w:rPr>
          <w:rFonts w:hint="eastAsia" w:eastAsia="宋体"/>
          <w:color w:val="auto"/>
          <w:sz w:val="24"/>
          <w:szCs w:val="24"/>
          <w:highlight w:val="none"/>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2"/>
        <w:tblW w:w="52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6"/>
        <w:gridCol w:w="14061"/>
      </w:tblGrid>
      <w:tr w14:paraId="0101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87" w:hRule="atLeast"/>
          <w:jc w:val="center"/>
        </w:trPr>
        <w:tc>
          <w:tcPr>
            <w:tcW w:w="216" w:type="pct"/>
            <w:tcMar>
              <w:left w:w="28" w:type="dxa"/>
              <w:right w:w="28" w:type="dxa"/>
            </w:tcMar>
            <w:vAlign w:val="center"/>
          </w:tcPr>
          <w:p w14:paraId="3C91BF30">
            <w:pPr>
              <w:pStyle w:val="43"/>
              <w:spacing w:before="93" w:after="93"/>
              <w:rPr>
                <w:rFonts w:cs="宋体"/>
                <w:b/>
                <w:bCs/>
                <w:color w:val="auto"/>
              </w:rPr>
            </w:pPr>
            <w:r>
              <w:rPr>
                <w:rFonts w:hint="eastAsia"/>
                <w:b/>
                <w:bCs/>
                <w:color w:val="auto"/>
              </w:rPr>
              <w:t>运营期环境影响和保护措施</w:t>
            </w:r>
          </w:p>
        </w:tc>
        <w:tc>
          <w:tcPr>
            <w:tcW w:w="4783" w:type="pct"/>
          </w:tcPr>
          <w:p w14:paraId="2295DA83">
            <w:pPr>
              <w:pStyle w:val="8"/>
              <w:keepNext w:val="0"/>
              <w:keepLines w:val="0"/>
              <w:spacing w:before="156" w:after="0"/>
              <w:rPr>
                <w:b w:val="0"/>
                <w:bCs w:val="0"/>
                <w:color w:val="000000" w:themeColor="text1"/>
                <w14:textFill>
                  <w14:solidFill>
                    <w14:schemeClr w14:val="tx1"/>
                  </w14:solidFill>
                </w14:textFill>
              </w:rPr>
            </w:pPr>
            <w:bookmarkStart w:id="11" w:name="_Ref20353"/>
            <w:bookmarkStart w:id="12" w:name="_Ref19826"/>
            <w:r>
              <w:rPr>
                <w:rFonts w:hint="default" w:ascii="Times New Roman" w:hAnsi="Times New Roman" w:eastAsia="宋体" w:cs="Times New Roman"/>
                <w:b w:val="0"/>
                <w:bCs w:val="0"/>
                <w:color w:val="000000" w:themeColor="text1"/>
                <w:sz w:val="24"/>
                <w:szCs w:val="24"/>
                <w14:textFill>
                  <w14:solidFill>
                    <w14:schemeClr w14:val="tx1"/>
                  </w14:solidFill>
                </w14:textFill>
              </w:rPr>
              <w:t>表4-</w:t>
            </w:r>
            <w:bookmarkEnd w:id="11"/>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14:textFill>
                  <w14:solidFill>
                    <w14:schemeClr w14:val="tx1"/>
                  </w14:solidFill>
                </w14:textFill>
              </w:rPr>
              <w:t>项目废气污染源源强核算结果及相关参数一览表</w:t>
            </w:r>
            <w:bookmarkEnd w:id="12"/>
          </w:p>
          <w:tbl>
            <w:tblPr>
              <w:tblStyle w:val="23"/>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45"/>
              <w:gridCol w:w="1141"/>
              <w:gridCol w:w="1283"/>
              <w:gridCol w:w="935"/>
              <w:gridCol w:w="760"/>
              <w:gridCol w:w="619"/>
              <w:gridCol w:w="678"/>
              <w:gridCol w:w="733"/>
              <w:gridCol w:w="868"/>
              <w:gridCol w:w="1164"/>
              <w:gridCol w:w="771"/>
              <w:gridCol w:w="975"/>
              <w:gridCol w:w="733"/>
              <w:gridCol w:w="791"/>
              <w:gridCol w:w="836"/>
              <w:gridCol w:w="902"/>
            </w:tblGrid>
            <w:tr w14:paraId="15B94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restart"/>
                  <w:tcBorders>
                    <w:tl2br w:val="nil"/>
                    <w:tr2bl w:val="nil"/>
                  </w:tcBorders>
                  <w:tcMar>
                    <w:top w:w="0" w:type="dxa"/>
                    <w:left w:w="57" w:type="dxa"/>
                    <w:bottom w:w="0" w:type="dxa"/>
                    <w:right w:w="57" w:type="dxa"/>
                  </w:tcMar>
                  <w:vAlign w:val="center"/>
                </w:tcPr>
                <w:p w14:paraId="2918BFA4">
                  <w:pPr>
                    <w:pStyle w:val="35"/>
                    <w:keepNext w:val="0"/>
                    <w:keepLines w:val="0"/>
                    <w:pageBreakBefore w:val="0"/>
                    <w:widowControl/>
                    <w:kinsoku w:val="0"/>
                    <w:wordWrap w:val="0"/>
                    <w:overflowPunct/>
                    <w:topLinePunct w:val="0"/>
                    <w:autoSpaceDE/>
                    <w:autoSpaceDN/>
                    <w:bidi w:val="0"/>
                    <w:adjustRightInd/>
                    <w:snapToGrid/>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w:t>
                  </w:r>
                </w:p>
              </w:tc>
              <w:tc>
                <w:tcPr>
                  <w:tcW w:w="409" w:type="pct"/>
                  <w:vMerge w:val="restart"/>
                  <w:tcBorders>
                    <w:tl2br w:val="nil"/>
                    <w:tr2bl w:val="nil"/>
                  </w:tcBorders>
                  <w:tcMar>
                    <w:top w:w="0" w:type="dxa"/>
                    <w:left w:w="57" w:type="dxa"/>
                    <w:bottom w:w="0" w:type="dxa"/>
                    <w:right w:w="57" w:type="dxa"/>
                  </w:tcMar>
                  <w:vAlign w:val="center"/>
                </w:tcPr>
                <w:p w14:paraId="4F88EECE">
                  <w:pPr>
                    <w:pStyle w:val="35"/>
                    <w:keepNext w:val="0"/>
                    <w:keepLines w:val="0"/>
                    <w:pageBreakBefore w:val="0"/>
                    <w:widowControl/>
                    <w:kinsoku w:val="0"/>
                    <w:wordWrap w:val="0"/>
                    <w:overflowPunct/>
                    <w:topLinePunct w:val="0"/>
                    <w:autoSpaceDE/>
                    <w:autoSpaceDN/>
                    <w:bidi w:val="0"/>
                    <w:adjustRightInd/>
                    <w:snapToGrid/>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污染源</w:t>
                  </w:r>
                </w:p>
              </w:tc>
              <w:tc>
                <w:tcPr>
                  <w:tcW w:w="460" w:type="pct"/>
                  <w:vMerge w:val="restart"/>
                  <w:tcBorders>
                    <w:tl2br w:val="nil"/>
                    <w:tr2bl w:val="nil"/>
                  </w:tcBorders>
                  <w:tcMar>
                    <w:top w:w="0" w:type="dxa"/>
                    <w:left w:w="57" w:type="dxa"/>
                    <w:bottom w:w="0" w:type="dxa"/>
                    <w:right w:w="57" w:type="dxa"/>
                  </w:tcMar>
                  <w:vAlign w:val="center"/>
                </w:tcPr>
                <w:p w14:paraId="06214164">
                  <w:pPr>
                    <w:pStyle w:val="35"/>
                    <w:keepNext w:val="0"/>
                    <w:keepLines w:val="0"/>
                    <w:pageBreakBefore w:val="0"/>
                    <w:widowControl/>
                    <w:kinsoku w:val="0"/>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335" w:type="pct"/>
                  <w:vMerge w:val="restart"/>
                  <w:tcBorders>
                    <w:tl2br w:val="nil"/>
                    <w:tr2bl w:val="nil"/>
                  </w:tcBorders>
                  <w:tcMar>
                    <w:top w:w="0" w:type="dxa"/>
                    <w:left w:w="57" w:type="dxa"/>
                    <w:bottom w:w="0" w:type="dxa"/>
                    <w:right w:w="57" w:type="dxa"/>
                  </w:tcMar>
                  <w:vAlign w:val="center"/>
                </w:tcPr>
                <w:p w14:paraId="1B0C004E">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风量m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/h</w:t>
                  </w:r>
                </w:p>
              </w:tc>
              <w:tc>
                <w:tcPr>
                  <w:tcW w:w="272" w:type="pct"/>
                  <w:vMerge w:val="restart"/>
                  <w:tcBorders>
                    <w:tl2br w:val="nil"/>
                    <w:tr2bl w:val="nil"/>
                  </w:tcBorders>
                  <w:tcMar>
                    <w:top w:w="0" w:type="dxa"/>
                    <w:left w:w="57" w:type="dxa"/>
                    <w:bottom w:w="0" w:type="dxa"/>
                    <w:right w:w="57" w:type="dxa"/>
                  </w:tcMar>
                  <w:vAlign w:val="center"/>
                </w:tcPr>
                <w:p w14:paraId="4DD7C40C">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产生量t/a</w:t>
                  </w:r>
                </w:p>
              </w:tc>
              <w:tc>
                <w:tcPr>
                  <w:tcW w:w="222" w:type="pct"/>
                  <w:vMerge w:val="restart"/>
                  <w:tcBorders>
                    <w:tl2br w:val="nil"/>
                    <w:tr2bl w:val="nil"/>
                  </w:tcBorders>
                  <w:tcMar>
                    <w:top w:w="0" w:type="dxa"/>
                    <w:left w:w="57" w:type="dxa"/>
                    <w:bottom w:w="0" w:type="dxa"/>
                    <w:right w:w="57" w:type="dxa"/>
                  </w:tcMar>
                  <w:vAlign w:val="center"/>
                </w:tcPr>
                <w:p w14:paraId="22C9F9EA">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无组织t/a</w:t>
                  </w:r>
                </w:p>
              </w:tc>
              <w:tc>
                <w:tcPr>
                  <w:tcW w:w="817" w:type="pct"/>
                  <w:gridSpan w:val="3"/>
                  <w:tcBorders>
                    <w:tl2br w:val="nil"/>
                    <w:tr2bl w:val="nil"/>
                  </w:tcBorders>
                  <w:tcMar>
                    <w:top w:w="0" w:type="dxa"/>
                    <w:left w:w="57" w:type="dxa"/>
                    <w:bottom w:w="0" w:type="dxa"/>
                    <w:right w:w="57" w:type="dxa"/>
                  </w:tcMar>
                  <w:vAlign w:val="center"/>
                </w:tcPr>
                <w:p w14:paraId="2D4A73D4">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有组织产生情况</w:t>
                  </w:r>
                </w:p>
              </w:tc>
              <w:tc>
                <w:tcPr>
                  <w:tcW w:w="1044" w:type="pct"/>
                  <w:gridSpan w:val="3"/>
                  <w:tcBorders>
                    <w:tl2br w:val="nil"/>
                    <w:tr2bl w:val="nil"/>
                  </w:tcBorders>
                  <w:tcMar>
                    <w:top w:w="0" w:type="dxa"/>
                    <w:left w:w="57" w:type="dxa"/>
                    <w:bottom w:w="0" w:type="dxa"/>
                    <w:right w:w="57" w:type="dxa"/>
                  </w:tcMar>
                  <w:vAlign w:val="center"/>
                </w:tcPr>
                <w:p w14:paraId="3375805F">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治理措施</w:t>
                  </w:r>
                </w:p>
              </w:tc>
              <w:tc>
                <w:tcPr>
                  <w:tcW w:w="846" w:type="pct"/>
                  <w:gridSpan w:val="3"/>
                  <w:tcBorders>
                    <w:tl2br w:val="nil"/>
                    <w:tr2bl w:val="nil"/>
                  </w:tcBorders>
                  <w:tcMar>
                    <w:top w:w="0" w:type="dxa"/>
                    <w:left w:w="57" w:type="dxa"/>
                    <w:bottom w:w="0" w:type="dxa"/>
                    <w:right w:w="57" w:type="dxa"/>
                  </w:tcMar>
                  <w:vAlign w:val="center"/>
                </w:tcPr>
                <w:p w14:paraId="081CDB08">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有组织排放情况</w:t>
                  </w:r>
                </w:p>
              </w:tc>
              <w:tc>
                <w:tcPr>
                  <w:tcW w:w="323" w:type="pct"/>
                  <w:vMerge w:val="restart"/>
                  <w:tcBorders>
                    <w:tl2br w:val="nil"/>
                    <w:tr2bl w:val="nil"/>
                  </w:tcBorders>
                  <w:tcMar>
                    <w:top w:w="0" w:type="dxa"/>
                    <w:left w:w="57" w:type="dxa"/>
                    <w:bottom w:w="0" w:type="dxa"/>
                    <w:right w:w="57" w:type="dxa"/>
                  </w:tcMar>
                  <w:vAlign w:val="center"/>
                </w:tcPr>
                <w:p w14:paraId="4FA03A5C">
                  <w:pPr>
                    <w:pStyle w:val="35"/>
                    <w:spacing w:before="3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排放时间h/a</w:t>
                  </w:r>
                </w:p>
              </w:tc>
            </w:tr>
            <w:tr w14:paraId="59BC8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tcMar>
                    <w:top w:w="0" w:type="dxa"/>
                    <w:left w:w="57" w:type="dxa"/>
                    <w:bottom w:w="0" w:type="dxa"/>
                    <w:right w:w="57" w:type="dxa"/>
                  </w:tcMar>
                  <w:vAlign w:val="center"/>
                </w:tcPr>
                <w:p w14:paraId="3504F698">
                  <w:pPr>
                    <w:pStyle w:val="35"/>
                    <w:spacing w:before="31"/>
                    <w:rPr>
                      <w:rFonts w:hint="default" w:ascii="Times New Roman" w:hAnsi="Times New Roman" w:cs="Times New Roman"/>
                      <w:b/>
                      <w:bCs/>
                      <w:color w:val="000000" w:themeColor="text1"/>
                      <w14:textFill>
                        <w14:solidFill>
                          <w14:schemeClr w14:val="tx1"/>
                        </w14:solidFill>
                      </w14:textFill>
                    </w:rPr>
                  </w:pPr>
                </w:p>
              </w:tc>
              <w:tc>
                <w:tcPr>
                  <w:tcW w:w="409" w:type="pct"/>
                  <w:vMerge w:val="continue"/>
                  <w:tcBorders>
                    <w:tl2br w:val="nil"/>
                    <w:tr2bl w:val="nil"/>
                  </w:tcBorders>
                  <w:tcMar>
                    <w:top w:w="0" w:type="dxa"/>
                    <w:left w:w="57" w:type="dxa"/>
                    <w:bottom w:w="0" w:type="dxa"/>
                    <w:right w:w="57" w:type="dxa"/>
                  </w:tcMar>
                  <w:vAlign w:val="center"/>
                </w:tcPr>
                <w:p w14:paraId="49D96C0D">
                  <w:pPr>
                    <w:pStyle w:val="35"/>
                    <w:spacing w:before="31"/>
                    <w:rPr>
                      <w:rFonts w:hint="default" w:ascii="Times New Roman" w:hAnsi="Times New Roman" w:cs="Times New Roman"/>
                      <w:b/>
                      <w:bCs/>
                      <w:color w:val="000000" w:themeColor="text1"/>
                      <w14:textFill>
                        <w14:solidFill>
                          <w14:schemeClr w14:val="tx1"/>
                        </w14:solidFill>
                      </w14:textFill>
                    </w:rPr>
                  </w:pPr>
                </w:p>
              </w:tc>
              <w:tc>
                <w:tcPr>
                  <w:tcW w:w="460" w:type="pct"/>
                  <w:vMerge w:val="continue"/>
                  <w:tcBorders>
                    <w:tl2br w:val="nil"/>
                    <w:tr2bl w:val="nil"/>
                  </w:tcBorders>
                  <w:tcMar>
                    <w:top w:w="0" w:type="dxa"/>
                    <w:left w:w="57" w:type="dxa"/>
                    <w:bottom w:w="0" w:type="dxa"/>
                    <w:right w:w="57" w:type="dxa"/>
                  </w:tcMar>
                  <w:vAlign w:val="center"/>
                </w:tcPr>
                <w:p w14:paraId="080B4C97">
                  <w:pPr>
                    <w:pStyle w:val="35"/>
                    <w:spacing w:before="31"/>
                    <w:rPr>
                      <w:rFonts w:hint="default" w:ascii="Times New Roman" w:hAnsi="Times New Roman" w:cs="Times New Roman"/>
                      <w:b/>
                      <w:bCs/>
                      <w:color w:val="000000" w:themeColor="text1"/>
                      <w14:textFill>
                        <w14:solidFill>
                          <w14:schemeClr w14:val="tx1"/>
                        </w14:solidFill>
                      </w14:textFill>
                    </w:rPr>
                  </w:pPr>
                </w:p>
              </w:tc>
              <w:tc>
                <w:tcPr>
                  <w:tcW w:w="335" w:type="pct"/>
                  <w:vMerge w:val="continue"/>
                  <w:tcBorders>
                    <w:tl2br w:val="nil"/>
                    <w:tr2bl w:val="nil"/>
                  </w:tcBorders>
                  <w:tcMar>
                    <w:top w:w="0" w:type="dxa"/>
                    <w:left w:w="57" w:type="dxa"/>
                    <w:bottom w:w="0" w:type="dxa"/>
                    <w:right w:w="57" w:type="dxa"/>
                  </w:tcMar>
                  <w:vAlign w:val="center"/>
                </w:tcPr>
                <w:p w14:paraId="7F70FE5A">
                  <w:pPr>
                    <w:pStyle w:val="35"/>
                    <w:spacing w:before="31"/>
                    <w:rPr>
                      <w:rFonts w:hint="default" w:ascii="Times New Roman" w:hAnsi="Times New Roman" w:cs="Times New Roman"/>
                      <w:b/>
                      <w:bCs/>
                      <w:color w:val="000000" w:themeColor="text1"/>
                      <w14:textFill>
                        <w14:solidFill>
                          <w14:schemeClr w14:val="tx1"/>
                        </w14:solidFill>
                      </w14:textFill>
                    </w:rPr>
                  </w:pPr>
                </w:p>
              </w:tc>
              <w:tc>
                <w:tcPr>
                  <w:tcW w:w="272" w:type="pct"/>
                  <w:vMerge w:val="continue"/>
                  <w:tcBorders>
                    <w:tl2br w:val="nil"/>
                    <w:tr2bl w:val="nil"/>
                  </w:tcBorders>
                  <w:tcMar>
                    <w:top w:w="0" w:type="dxa"/>
                    <w:left w:w="57" w:type="dxa"/>
                    <w:bottom w:w="0" w:type="dxa"/>
                    <w:right w:w="57" w:type="dxa"/>
                  </w:tcMar>
                  <w:vAlign w:val="center"/>
                </w:tcPr>
                <w:p w14:paraId="50A8D42C">
                  <w:pPr>
                    <w:pStyle w:val="35"/>
                    <w:spacing w:before="31"/>
                    <w:rPr>
                      <w:rFonts w:hint="default" w:ascii="Times New Roman" w:hAnsi="Times New Roman" w:cs="Times New Roman"/>
                      <w:b/>
                      <w:bCs/>
                      <w:color w:val="000000" w:themeColor="text1"/>
                      <w14:textFill>
                        <w14:solidFill>
                          <w14:schemeClr w14:val="tx1"/>
                        </w14:solidFill>
                      </w14:textFill>
                    </w:rPr>
                  </w:pPr>
                </w:p>
              </w:tc>
              <w:tc>
                <w:tcPr>
                  <w:tcW w:w="222" w:type="pct"/>
                  <w:vMerge w:val="continue"/>
                  <w:tcBorders>
                    <w:tl2br w:val="nil"/>
                    <w:tr2bl w:val="nil"/>
                  </w:tcBorders>
                  <w:tcMar>
                    <w:top w:w="0" w:type="dxa"/>
                    <w:left w:w="57" w:type="dxa"/>
                    <w:bottom w:w="0" w:type="dxa"/>
                    <w:right w:w="57" w:type="dxa"/>
                  </w:tcMar>
                  <w:vAlign w:val="center"/>
                </w:tcPr>
                <w:p w14:paraId="3535D8CB">
                  <w:pPr>
                    <w:pStyle w:val="35"/>
                    <w:spacing w:before="31"/>
                    <w:rPr>
                      <w:rFonts w:hint="default" w:ascii="Times New Roman" w:hAnsi="Times New Roman" w:cs="Times New Roman"/>
                      <w:b/>
                      <w:bCs/>
                      <w:color w:val="000000" w:themeColor="text1"/>
                      <w14:textFill>
                        <w14:solidFill>
                          <w14:schemeClr w14:val="tx1"/>
                        </w14:solidFill>
                      </w14:textFill>
                    </w:rPr>
                  </w:pPr>
                </w:p>
              </w:tc>
              <w:tc>
                <w:tcPr>
                  <w:tcW w:w="243" w:type="pct"/>
                  <w:tcBorders>
                    <w:tl2br w:val="nil"/>
                    <w:tr2bl w:val="nil"/>
                  </w:tcBorders>
                  <w:tcMar>
                    <w:top w:w="0" w:type="dxa"/>
                    <w:left w:w="57" w:type="dxa"/>
                    <w:bottom w:w="0" w:type="dxa"/>
                    <w:right w:w="57" w:type="dxa"/>
                  </w:tcMar>
                  <w:vAlign w:val="center"/>
                </w:tcPr>
                <w:p w14:paraId="1A4D5A35">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量t/a</w:t>
                  </w:r>
                </w:p>
              </w:tc>
              <w:tc>
                <w:tcPr>
                  <w:tcW w:w="263" w:type="pct"/>
                  <w:tcBorders>
                    <w:tl2br w:val="nil"/>
                    <w:tr2bl w:val="nil"/>
                  </w:tcBorders>
                  <w:tcMar>
                    <w:top w:w="0" w:type="dxa"/>
                    <w:left w:w="57" w:type="dxa"/>
                    <w:bottom w:w="0" w:type="dxa"/>
                    <w:right w:w="57" w:type="dxa"/>
                  </w:tcMar>
                  <w:vAlign w:val="center"/>
                </w:tcPr>
                <w:p w14:paraId="758AD51A">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速率kg/h</w:t>
                  </w:r>
                </w:p>
              </w:tc>
              <w:tc>
                <w:tcPr>
                  <w:tcW w:w="311" w:type="pct"/>
                  <w:tcBorders>
                    <w:tl2br w:val="nil"/>
                    <w:tr2bl w:val="nil"/>
                  </w:tcBorders>
                  <w:tcMar>
                    <w:top w:w="0" w:type="dxa"/>
                    <w:left w:w="57" w:type="dxa"/>
                    <w:bottom w:w="0" w:type="dxa"/>
                    <w:right w:w="57" w:type="dxa"/>
                  </w:tcMar>
                  <w:vAlign w:val="center"/>
                </w:tcPr>
                <w:p w14:paraId="4D2E46DD">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浓度mg/m</w:t>
                  </w:r>
                  <w:r>
                    <w:rPr>
                      <w:rFonts w:hint="default" w:ascii="Times New Roman" w:hAnsi="Times New Roman" w:cs="Times New Roman"/>
                      <w:b/>
                      <w:bCs/>
                      <w:color w:val="000000" w:themeColor="text1"/>
                      <w:vertAlign w:val="superscript"/>
                      <w14:textFill>
                        <w14:solidFill>
                          <w14:schemeClr w14:val="tx1"/>
                        </w14:solidFill>
                      </w14:textFill>
                    </w:rPr>
                    <w:t>3</w:t>
                  </w:r>
                </w:p>
              </w:tc>
              <w:tc>
                <w:tcPr>
                  <w:tcW w:w="417" w:type="pct"/>
                  <w:tcBorders>
                    <w:tl2br w:val="nil"/>
                    <w:tr2bl w:val="nil"/>
                  </w:tcBorders>
                  <w:tcMar>
                    <w:top w:w="0" w:type="dxa"/>
                    <w:left w:w="57" w:type="dxa"/>
                    <w:bottom w:w="0" w:type="dxa"/>
                    <w:right w:w="57" w:type="dxa"/>
                  </w:tcMar>
                  <w:vAlign w:val="center"/>
                </w:tcPr>
                <w:p w14:paraId="67387ABE">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治理工艺</w:t>
                  </w:r>
                </w:p>
              </w:tc>
              <w:tc>
                <w:tcPr>
                  <w:tcW w:w="276" w:type="pct"/>
                  <w:tcBorders>
                    <w:tl2br w:val="nil"/>
                    <w:tr2bl w:val="nil"/>
                  </w:tcBorders>
                  <w:tcMar>
                    <w:top w:w="0" w:type="dxa"/>
                    <w:left w:w="57" w:type="dxa"/>
                    <w:bottom w:w="0" w:type="dxa"/>
                    <w:right w:w="57" w:type="dxa"/>
                  </w:tcMar>
                  <w:vAlign w:val="center"/>
                </w:tcPr>
                <w:p w14:paraId="54EAC8F7">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处理效率%</w:t>
                  </w:r>
                </w:p>
              </w:tc>
              <w:tc>
                <w:tcPr>
                  <w:tcW w:w="349" w:type="pct"/>
                  <w:tcBorders>
                    <w:tl2br w:val="nil"/>
                    <w:tr2bl w:val="nil"/>
                  </w:tcBorders>
                  <w:tcMar>
                    <w:top w:w="0" w:type="dxa"/>
                    <w:left w:w="57" w:type="dxa"/>
                    <w:bottom w:w="0" w:type="dxa"/>
                    <w:right w:w="57" w:type="dxa"/>
                  </w:tcMar>
                  <w:vAlign w:val="center"/>
                </w:tcPr>
                <w:p w14:paraId="6E02B16D">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是否为可行技术</w:t>
                  </w:r>
                </w:p>
              </w:tc>
              <w:tc>
                <w:tcPr>
                  <w:tcW w:w="263" w:type="pct"/>
                  <w:tcBorders>
                    <w:tl2br w:val="nil"/>
                    <w:tr2bl w:val="nil"/>
                  </w:tcBorders>
                  <w:tcMar>
                    <w:top w:w="0" w:type="dxa"/>
                    <w:left w:w="57" w:type="dxa"/>
                    <w:bottom w:w="0" w:type="dxa"/>
                    <w:right w:w="57" w:type="dxa"/>
                  </w:tcMar>
                  <w:vAlign w:val="center"/>
                </w:tcPr>
                <w:p w14:paraId="328EE778">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量t/a</w:t>
                  </w:r>
                </w:p>
              </w:tc>
              <w:tc>
                <w:tcPr>
                  <w:tcW w:w="283" w:type="pct"/>
                  <w:tcBorders>
                    <w:tl2br w:val="nil"/>
                    <w:tr2bl w:val="nil"/>
                  </w:tcBorders>
                  <w:tcMar>
                    <w:top w:w="0" w:type="dxa"/>
                    <w:left w:w="57" w:type="dxa"/>
                    <w:bottom w:w="0" w:type="dxa"/>
                    <w:right w:w="57" w:type="dxa"/>
                  </w:tcMar>
                  <w:vAlign w:val="center"/>
                </w:tcPr>
                <w:p w14:paraId="00F7B62B">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速率kg/h</w:t>
                  </w:r>
                </w:p>
              </w:tc>
              <w:tc>
                <w:tcPr>
                  <w:tcW w:w="299" w:type="pct"/>
                  <w:tcBorders>
                    <w:tl2br w:val="nil"/>
                    <w:tr2bl w:val="nil"/>
                  </w:tcBorders>
                  <w:tcMar>
                    <w:top w:w="0" w:type="dxa"/>
                    <w:left w:w="57" w:type="dxa"/>
                    <w:bottom w:w="0" w:type="dxa"/>
                    <w:right w:w="57" w:type="dxa"/>
                  </w:tcMar>
                  <w:vAlign w:val="center"/>
                </w:tcPr>
                <w:p w14:paraId="7789725E">
                  <w:pPr>
                    <w:pStyle w:val="35"/>
                    <w:spacing w:before="31"/>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浓度mg/m</w:t>
                  </w:r>
                  <w:r>
                    <w:rPr>
                      <w:rFonts w:hint="default" w:ascii="Times New Roman" w:hAnsi="Times New Roman" w:cs="Times New Roman"/>
                      <w:b/>
                      <w:bCs/>
                      <w:color w:val="000000" w:themeColor="text1"/>
                      <w:vertAlign w:val="superscript"/>
                      <w14:textFill>
                        <w14:solidFill>
                          <w14:schemeClr w14:val="tx1"/>
                        </w14:solidFill>
                      </w14:textFill>
                    </w:rPr>
                    <w:t>3</w:t>
                  </w:r>
                </w:p>
              </w:tc>
              <w:tc>
                <w:tcPr>
                  <w:tcW w:w="323" w:type="pct"/>
                  <w:vMerge w:val="continue"/>
                  <w:tcBorders>
                    <w:tl2br w:val="nil"/>
                    <w:tr2bl w:val="nil"/>
                  </w:tcBorders>
                  <w:tcMar>
                    <w:top w:w="0" w:type="dxa"/>
                    <w:left w:w="57" w:type="dxa"/>
                    <w:bottom w:w="0" w:type="dxa"/>
                    <w:right w:w="57" w:type="dxa"/>
                  </w:tcMar>
                  <w:vAlign w:val="center"/>
                </w:tcPr>
                <w:p w14:paraId="779F81E6">
                  <w:pPr>
                    <w:pStyle w:val="35"/>
                    <w:spacing w:before="31"/>
                    <w:rPr>
                      <w:rFonts w:hint="default" w:ascii="Times New Roman" w:hAnsi="Times New Roman" w:cs="Times New Roman"/>
                      <w:color w:val="000000" w:themeColor="text1"/>
                      <w14:textFill>
                        <w14:solidFill>
                          <w14:schemeClr w14:val="tx1"/>
                        </w14:solidFill>
                      </w14:textFill>
                    </w:rPr>
                  </w:pPr>
                </w:p>
              </w:tc>
            </w:tr>
            <w:tr w14:paraId="723F2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tcBorders>
                    <w:tl2br w:val="nil"/>
                    <w:tr2bl w:val="nil"/>
                  </w:tcBorders>
                  <w:tcMar>
                    <w:top w:w="0" w:type="dxa"/>
                    <w:left w:w="57" w:type="dxa"/>
                    <w:bottom w:w="0" w:type="dxa"/>
                    <w:right w:w="57" w:type="dxa"/>
                  </w:tcMar>
                  <w:vAlign w:val="center"/>
                </w:tcPr>
                <w:p w14:paraId="29BD156C">
                  <w:pPr>
                    <w:pStyle w:val="35"/>
                    <w:bidi w:val="0"/>
                    <w:jc w:val="center"/>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DA00</w:t>
                  </w:r>
                  <w:r>
                    <w:rPr>
                      <w:rFonts w:hint="eastAsia" w:ascii="Times New Roman" w:hAnsi="Times New Roman" w:cs="Times New Roman"/>
                      <w:color w:val="000000" w:themeColor="text1"/>
                      <w:lang w:val="en-US" w:eastAsia="zh-CN"/>
                      <w14:textFill>
                        <w14:solidFill>
                          <w14:schemeClr w14:val="tx1"/>
                        </w14:solidFill>
                      </w14:textFill>
                    </w:rPr>
                    <w:t>2</w:t>
                  </w:r>
                </w:p>
              </w:tc>
              <w:tc>
                <w:tcPr>
                  <w:tcW w:w="409" w:type="pct"/>
                  <w:tcBorders>
                    <w:tl2br w:val="nil"/>
                    <w:tr2bl w:val="nil"/>
                  </w:tcBorders>
                  <w:tcMar>
                    <w:top w:w="0" w:type="dxa"/>
                    <w:left w:w="57" w:type="dxa"/>
                    <w:bottom w:w="0" w:type="dxa"/>
                    <w:right w:w="57" w:type="dxa"/>
                  </w:tcMar>
                  <w:vAlign w:val="center"/>
                </w:tcPr>
                <w:p w14:paraId="6DB1412B">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抛丸废气</w:t>
                  </w:r>
                </w:p>
              </w:tc>
              <w:tc>
                <w:tcPr>
                  <w:tcW w:w="460" w:type="pct"/>
                  <w:tcBorders>
                    <w:tl2br w:val="nil"/>
                    <w:tr2bl w:val="nil"/>
                  </w:tcBorders>
                  <w:tcMar>
                    <w:top w:w="0" w:type="dxa"/>
                    <w:left w:w="57" w:type="dxa"/>
                    <w:bottom w:w="0" w:type="dxa"/>
                    <w:right w:w="57" w:type="dxa"/>
                  </w:tcMar>
                  <w:vAlign w:val="center"/>
                </w:tcPr>
                <w:p w14:paraId="2851FAC3">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w:t>
                  </w:r>
                </w:p>
              </w:tc>
              <w:tc>
                <w:tcPr>
                  <w:tcW w:w="335" w:type="pct"/>
                  <w:tcBorders>
                    <w:tl2br w:val="nil"/>
                    <w:tr2bl w:val="nil"/>
                  </w:tcBorders>
                  <w:tcMar>
                    <w:top w:w="0" w:type="dxa"/>
                    <w:left w:w="57" w:type="dxa"/>
                    <w:bottom w:w="0" w:type="dxa"/>
                    <w:right w:w="57" w:type="dxa"/>
                  </w:tcMar>
                  <w:vAlign w:val="center"/>
                </w:tcPr>
                <w:p w14:paraId="0CAA38AE">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15000</w:t>
                  </w:r>
                </w:p>
              </w:tc>
              <w:tc>
                <w:tcPr>
                  <w:tcW w:w="272" w:type="pct"/>
                  <w:tcBorders>
                    <w:tl2br w:val="nil"/>
                    <w:tr2bl w:val="nil"/>
                  </w:tcBorders>
                  <w:tcMar>
                    <w:top w:w="0" w:type="dxa"/>
                    <w:left w:w="57" w:type="dxa"/>
                    <w:bottom w:w="0" w:type="dxa"/>
                    <w:right w:w="57" w:type="dxa"/>
                  </w:tcMar>
                  <w:vAlign w:val="center"/>
                </w:tcPr>
                <w:p w14:paraId="5AA9F1F3">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0.7</w:t>
                  </w:r>
                </w:p>
              </w:tc>
              <w:tc>
                <w:tcPr>
                  <w:tcW w:w="222" w:type="pct"/>
                  <w:tcBorders>
                    <w:tl2br w:val="nil"/>
                    <w:tr2bl w:val="nil"/>
                  </w:tcBorders>
                  <w:tcMar>
                    <w:top w:w="0" w:type="dxa"/>
                    <w:left w:w="57" w:type="dxa"/>
                    <w:bottom w:w="0" w:type="dxa"/>
                    <w:right w:w="57" w:type="dxa"/>
                  </w:tcMar>
                  <w:vAlign w:val="center"/>
                </w:tcPr>
                <w:p w14:paraId="13D055F4">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0.014</w:t>
                  </w:r>
                </w:p>
              </w:tc>
              <w:tc>
                <w:tcPr>
                  <w:tcW w:w="243" w:type="pct"/>
                  <w:tcBorders>
                    <w:tl2br w:val="nil"/>
                    <w:tr2bl w:val="nil"/>
                  </w:tcBorders>
                  <w:tcMar>
                    <w:top w:w="0" w:type="dxa"/>
                    <w:left w:w="57" w:type="dxa"/>
                    <w:bottom w:w="0" w:type="dxa"/>
                    <w:right w:w="57" w:type="dxa"/>
                  </w:tcMar>
                  <w:vAlign w:val="center"/>
                </w:tcPr>
                <w:p w14:paraId="70F11D9D">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0.686</w:t>
                  </w:r>
                </w:p>
              </w:tc>
              <w:tc>
                <w:tcPr>
                  <w:tcW w:w="263" w:type="pct"/>
                  <w:tcBorders>
                    <w:tl2br w:val="nil"/>
                    <w:tr2bl w:val="nil"/>
                  </w:tcBorders>
                  <w:tcMar>
                    <w:top w:w="0" w:type="dxa"/>
                    <w:left w:w="57" w:type="dxa"/>
                    <w:bottom w:w="0" w:type="dxa"/>
                    <w:right w:w="57" w:type="dxa"/>
                  </w:tcMar>
                  <w:vAlign w:val="center"/>
                </w:tcPr>
                <w:p w14:paraId="609F39C8">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0.549</w:t>
                  </w:r>
                </w:p>
              </w:tc>
              <w:tc>
                <w:tcPr>
                  <w:tcW w:w="311" w:type="pct"/>
                  <w:tcBorders>
                    <w:tl2br w:val="nil"/>
                    <w:tr2bl w:val="nil"/>
                  </w:tcBorders>
                  <w:tcMar>
                    <w:top w:w="0" w:type="dxa"/>
                    <w:left w:w="57" w:type="dxa"/>
                    <w:bottom w:w="0" w:type="dxa"/>
                    <w:right w:w="57" w:type="dxa"/>
                  </w:tcMar>
                  <w:vAlign w:val="center"/>
                </w:tcPr>
                <w:p w14:paraId="2BF94631">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36.59</w:t>
                  </w:r>
                </w:p>
              </w:tc>
              <w:tc>
                <w:tcPr>
                  <w:tcW w:w="417" w:type="pct"/>
                  <w:tcBorders>
                    <w:tl2br w:val="nil"/>
                    <w:tr2bl w:val="nil"/>
                  </w:tcBorders>
                  <w:tcMar>
                    <w:top w:w="0" w:type="dxa"/>
                    <w:left w:w="57" w:type="dxa"/>
                    <w:bottom w:w="0" w:type="dxa"/>
                    <w:right w:w="57" w:type="dxa"/>
                  </w:tcMar>
                  <w:vAlign w:val="center"/>
                </w:tcPr>
                <w:p w14:paraId="08EDED7B">
                  <w:pPr>
                    <w:pStyle w:val="35"/>
                    <w:bidi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布袋除尘</w:t>
                  </w:r>
                </w:p>
              </w:tc>
              <w:tc>
                <w:tcPr>
                  <w:tcW w:w="276" w:type="pct"/>
                  <w:tcBorders>
                    <w:tl2br w:val="nil"/>
                    <w:tr2bl w:val="nil"/>
                  </w:tcBorders>
                  <w:tcMar>
                    <w:top w:w="0" w:type="dxa"/>
                    <w:left w:w="57" w:type="dxa"/>
                    <w:bottom w:w="0" w:type="dxa"/>
                    <w:right w:w="57" w:type="dxa"/>
                  </w:tcMar>
                  <w:vAlign w:val="center"/>
                </w:tcPr>
                <w:p w14:paraId="03DAB47A">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90</w:t>
                  </w:r>
                </w:p>
              </w:tc>
              <w:tc>
                <w:tcPr>
                  <w:tcW w:w="349" w:type="pct"/>
                  <w:tcBorders>
                    <w:tl2br w:val="nil"/>
                    <w:tr2bl w:val="nil"/>
                  </w:tcBorders>
                  <w:tcMar>
                    <w:top w:w="0" w:type="dxa"/>
                    <w:left w:w="57" w:type="dxa"/>
                    <w:bottom w:w="0" w:type="dxa"/>
                    <w:right w:w="57" w:type="dxa"/>
                  </w:tcMar>
                  <w:vAlign w:val="center"/>
                </w:tcPr>
                <w:p w14:paraId="326A42A7">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63" w:type="pct"/>
                  <w:tcBorders>
                    <w:tl2br w:val="nil"/>
                    <w:tr2bl w:val="nil"/>
                  </w:tcBorders>
                  <w:tcMar>
                    <w:top w:w="0" w:type="dxa"/>
                    <w:left w:w="57" w:type="dxa"/>
                    <w:bottom w:w="0" w:type="dxa"/>
                    <w:right w:w="57" w:type="dxa"/>
                  </w:tcMar>
                  <w:vAlign w:val="center"/>
                </w:tcPr>
                <w:p w14:paraId="799AC4C4">
                  <w:pPr>
                    <w:pStyle w:val="35"/>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0.069</w:t>
                  </w:r>
                </w:p>
              </w:tc>
              <w:tc>
                <w:tcPr>
                  <w:tcW w:w="283" w:type="pct"/>
                  <w:tcBorders>
                    <w:tl2br w:val="nil"/>
                    <w:tr2bl w:val="nil"/>
                  </w:tcBorders>
                  <w:tcMar>
                    <w:top w:w="0" w:type="dxa"/>
                    <w:left w:w="57" w:type="dxa"/>
                    <w:bottom w:w="0" w:type="dxa"/>
                    <w:right w:w="57" w:type="dxa"/>
                  </w:tcMar>
                  <w:vAlign w:val="center"/>
                </w:tcPr>
                <w:p w14:paraId="07C58E39">
                  <w:pPr>
                    <w:pStyle w:val="35"/>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0.055</w:t>
                  </w:r>
                </w:p>
              </w:tc>
              <w:tc>
                <w:tcPr>
                  <w:tcW w:w="299" w:type="pct"/>
                  <w:tcBorders>
                    <w:tl2br w:val="nil"/>
                    <w:tr2bl w:val="nil"/>
                  </w:tcBorders>
                  <w:tcMar>
                    <w:top w:w="0" w:type="dxa"/>
                    <w:left w:w="57" w:type="dxa"/>
                    <w:bottom w:w="0" w:type="dxa"/>
                    <w:right w:w="57" w:type="dxa"/>
                  </w:tcMar>
                  <w:vAlign w:val="center"/>
                </w:tcPr>
                <w:p w14:paraId="733C0FA2">
                  <w:pPr>
                    <w:pStyle w:val="35"/>
                    <w:bidi w:val="0"/>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3.69</w:t>
                  </w:r>
                </w:p>
              </w:tc>
              <w:tc>
                <w:tcPr>
                  <w:tcW w:w="323" w:type="pct"/>
                  <w:tcBorders>
                    <w:tl2br w:val="nil"/>
                    <w:tr2bl w:val="nil"/>
                  </w:tcBorders>
                  <w:tcMar>
                    <w:top w:w="0" w:type="dxa"/>
                    <w:left w:w="57" w:type="dxa"/>
                    <w:bottom w:w="0" w:type="dxa"/>
                    <w:right w:w="57" w:type="dxa"/>
                  </w:tcMar>
                  <w:vAlign w:val="center"/>
                </w:tcPr>
                <w:p w14:paraId="35B61399">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1250</w:t>
                  </w:r>
                </w:p>
              </w:tc>
            </w:tr>
            <w:tr w14:paraId="4C70E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267" w:type="pct"/>
                  <w:tcBorders>
                    <w:tl2br w:val="nil"/>
                    <w:tr2bl w:val="nil"/>
                  </w:tcBorders>
                  <w:tcMar>
                    <w:top w:w="0" w:type="dxa"/>
                    <w:left w:w="57" w:type="dxa"/>
                    <w:bottom w:w="0" w:type="dxa"/>
                    <w:right w:w="57" w:type="dxa"/>
                  </w:tcMar>
                  <w:vAlign w:val="center"/>
                </w:tcPr>
                <w:p w14:paraId="557FF881">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w:t>
                  </w:r>
                  <w:r>
                    <w:rPr>
                      <w:rFonts w:hint="eastAsia" w:ascii="Times New Roman" w:hAnsi="Times New Roman" w:cs="Times New Roman"/>
                      <w:color w:val="000000" w:themeColor="text1"/>
                      <w:lang w:val="en-US" w:eastAsia="zh-CN"/>
                      <w14:textFill>
                        <w14:solidFill>
                          <w14:schemeClr w14:val="tx1"/>
                        </w14:solidFill>
                      </w14:textFill>
                    </w:rPr>
                    <w:t>3</w:t>
                  </w:r>
                </w:p>
              </w:tc>
              <w:tc>
                <w:tcPr>
                  <w:tcW w:w="409" w:type="pct"/>
                  <w:tcBorders>
                    <w:tl2br w:val="nil"/>
                    <w:tr2bl w:val="nil"/>
                  </w:tcBorders>
                  <w:tcMar>
                    <w:top w:w="0" w:type="dxa"/>
                    <w:left w:w="57" w:type="dxa"/>
                    <w:bottom w:w="0" w:type="dxa"/>
                    <w:right w:w="57" w:type="dxa"/>
                  </w:tcMar>
                  <w:vAlign w:val="center"/>
                </w:tcPr>
                <w:p w14:paraId="5E75F53D">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喷粉废气</w:t>
                  </w:r>
                </w:p>
              </w:tc>
              <w:tc>
                <w:tcPr>
                  <w:tcW w:w="460" w:type="pct"/>
                  <w:tcBorders>
                    <w:tl2br w:val="nil"/>
                    <w:tr2bl w:val="nil"/>
                  </w:tcBorders>
                  <w:tcMar>
                    <w:top w:w="0" w:type="dxa"/>
                    <w:left w:w="57" w:type="dxa"/>
                    <w:bottom w:w="0" w:type="dxa"/>
                    <w:right w:w="57" w:type="dxa"/>
                  </w:tcMar>
                  <w:vAlign w:val="center"/>
                </w:tcPr>
                <w:p w14:paraId="00998EAD">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w:t>
                  </w:r>
                </w:p>
              </w:tc>
              <w:tc>
                <w:tcPr>
                  <w:tcW w:w="335" w:type="pct"/>
                  <w:tcBorders>
                    <w:tl2br w:val="nil"/>
                    <w:tr2bl w:val="nil"/>
                  </w:tcBorders>
                  <w:tcMar>
                    <w:top w:w="0" w:type="dxa"/>
                    <w:left w:w="57" w:type="dxa"/>
                    <w:bottom w:w="0" w:type="dxa"/>
                    <w:right w:w="57" w:type="dxa"/>
                  </w:tcMar>
                  <w:vAlign w:val="center"/>
                </w:tcPr>
                <w:p w14:paraId="0B5F4E59">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8000</w:t>
                  </w:r>
                </w:p>
              </w:tc>
              <w:tc>
                <w:tcPr>
                  <w:tcW w:w="272" w:type="pct"/>
                  <w:tcBorders>
                    <w:tl2br w:val="nil"/>
                    <w:tr2bl w:val="nil"/>
                  </w:tcBorders>
                  <w:tcMar>
                    <w:top w:w="0" w:type="dxa"/>
                    <w:left w:w="57" w:type="dxa"/>
                    <w:bottom w:w="0" w:type="dxa"/>
                    <w:right w:w="57" w:type="dxa"/>
                  </w:tcMar>
                  <w:vAlign w:val="center"/>
                </w:tcPr>
                <w:p w14:paraId="29A32E9E">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1.641</w:t>
                  </w:r>
                </w:p>
              </w:tc>
              <w:tc>
                <w:tcPr>
                  <w:tcW w:w="222" w:type="pct"/>
                  <w:tcBorders>
                    <w:tl2br w:val="nil"/>
                    <w:tr2bl w:val="nil"/>
                  </w:tcBorders>
                  <w:tcMar>
                    <w:top w:w="0" w:type="dxa"/>
                    <w:left w:w="57" w:type="dxa"/>
                    <w:bottom w:w="0" w:type="dxa"/>
                    <w:right w:w="57" w:type="dxa"/>
                  </w:tcMar>
                  <w:vAlign w:val="center"/>
                </w:tcPr>
                <w:p w14:paraId="51859785">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0.082</w:t>
                  </w:r>
                </w:p>
              </w:tc>
              <w:tc>
                <w:tcPr>
                  <w:tcW w:w="243" w:type="pct"/>
                  <w:tcBorders>
                    <w:tl2br w:val="nil"/>
                    <w:tr2bl w:val="nil"/>
                  </w:tcBorders>
                  <w:tcMar>
                    <w:top w:w="0" w:type="dxa"/>
                    <w:left w:w="57" w:type="dxa"/>
                    <w:bottom w:w="0" w:type="dxa"/>
                    <w:right w:w="57" w:type="dxa"/>
                  </w:tcMar>
                  <w:vAlign w:val="center"/>
                </w:tcPr>
                <w:p w14:paraId="2708D170">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1.559</w:t>
                  </w:r>
                </w:p>
              </w:tc>
              <w:tc>
                <w:tcPr>
                  <w:tcW w:w="263" w:type="pct"/>
                  <w:tcBorders>
                    <w:tl2br w:val="nil"/>
                    <w:tr2bl w:val="nil"/>
                  </w:tcBorders>
                  <w:tcMar>
                    <w:top w:w="0" w:type="dxa"/>
                    <w:left w:w="57" w:type="dxa"/>
                    <w:bottom w:w="0" w:type="dxa"/>
                    <w:right w:w="57" w:type="dxa"/>
                  </w:tcMar>
                  <w:vAlign w:val="center"/>
                </w:tcPr>
                <w:p w14:paraId="0149DA3C">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0.855</w:t>
                  </w:r>
                </w:p>
              </w:tc>
              <w:tc>
                <w:tcPr>
                  <w:tcW w:w="311" w:type="pct"/>
                  <w:tcBorders>
                    <w:tl2br w:val="nil"/>
                    <w:tr2bl w:val="nil"/>
                  </w:tcBorders>
                  <w:tcMar>
                    <w:top w:w="0" w:type="dxa"/>
                    <w:left w:w="57" w:type="dxa"/>
                    <w:bottom w:w="0" w:type="dxa"/>
                    <w:right w:w="57" w:type="dxa"/>
                  </w:tcMar>
                  <w:vAlign w:val="center"/>
                </w:tcPr>
                <w:p w14:paraId="65095B9E">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107</w:t>
                  </w:r>
                </w:p>
              </w:tc>
              <w:tc>
                <w:tcPr>
                  <w:tcW w:w="417" w:type="pct"/>
                  <w:tcBorders>
                    <w:tl2br w:val="nil"/>
                    <w:tr2bl w:val="nil"/>
                  </w:tcBorders>
                  <w:tcMar>
                    <w:top w:w="0" w:type="dxa"/>
                    <w:left w:w="57" w:type="dxa"/>
                    <w:bottom w:w="0" w:type="dxa"/>
                    <w:right w:w="57" w:type="dxa"/>
                  </w:tcMar>
                  <w:vAlign w:val="center"/>
                </w:tcPr>
                <w:p w14:paraId="21538689">
                  <w:pPr>
                    <w:pStyle w:val="35"/>
                    <w:bidi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滤筒除尘</w:t>
                  </w:r>
                </w:p>
              </w:tc>
              <w:tc>
                <w:tcPr>
                  <w:tcW w:w="276" w:type="pct"/>
                  <w:tcBorders>
                    <w:tl2br w:val="nil"/>
                    <w:tr2bl w:val="nil"/>
                  </w:tcBorders>
                  <w:tcMar>
                    <w:top w:w="0" w:type="dxa"/>
                    <w:left w:w="57" w:type="dxa"/>
                    <w:bottom w:w="0" w:type="dxa"/>
                    <w:right w:w="57" w:type="dxa"/>
                  </w:tcMar>
                  <w:vAlign w:val="center"/>
                </w:tcPr>
                <w:p w14:paraId="5CE2446F">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80</w:t>
                  </w:r>
                </w:p>
              </w:tc>
              <w:tc>
                <w:tcPr>
                  <w:tcW w:w="349" w:type="pct"/>
                  <w:tcBorders>
                    <w:tl2br w:val="nil"/>
                    <w:tr2bl w:val="nil"/>
                  </w:tcBorders>
                  <w:tcMar>
                    <w:top w:w="0" w:type="dxa"/>
                    <w:left w:w="57" w:type="dxa"/>
                    <w:bottom w:w="0" w:type="dxa"/>
                    <w:right w:w="57" w:type="dxa"/>
                  </w:tcMar>
                  <w:vAlign w:val="center"/>
                </w:tcPr>
                <w:p w14:paraId="45F29E7D">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63" w:type="pct"/>
                  <w:tcBorders>
                    <w:tl2br w:val="nil"/>
                    <w:tr2bl w:val="nil"/>
                  </w:tcBorders>
                  <w:tcMar>
                    <w:top w:w="0" w:type="dxa"/>
                    <w:left w:w="57" w:type="dxa"/>
                    <w:bottom w:w="0" w:type="dxa"/>
                    <w:right w:w="57" w:type="dxa"/>
                  </w:tcMar>
                  <w:vAlign w:val="center"/>
                </w:tcPr>
                <w:p w14:paraId="36FD9CF6">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0.312</w:t>
                  </w:r>
                </w:p>
              </w:tc>
              <w:tc>
                <w:tcPr>
                  <w:tcW w:w="283" w:type="pct"/>
                  <w:tcBorders>
                    <w:tl2br w:val="nil"/>
                    <w:tr2bl w:val="nil"/>
                  </w:tcBorders>
                  <w:tcMar>
                    <w:top w:w="0" w:type="dxa"/>
                    <w:left w:w="57" w:type="dxa"/>
                    <w:bottom w:w="0" w:type="dxa"/>
                    <w:right w:w="57" w:type="dxa"/>
                  </w:tcMar>
                  <w:vAlign w:val="center"/>
                </w:tcPr>
                <w:p w14:paraId="3BD830FC">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0.171</w:t>
                  </w:r>
                </w:p>
              </w:tc>
              <w:tc>
                <w:tcPr>
                  <w:tcW w:w="299" w:type="pct"/>
                  <w:tcBorders>
                    <w:tl2br w:val="nil"/>
                    <w:tr2bl w:val="nil"/>
                  </w:tcBorders>
                  <w:tcMar>
                    <w:top w:w="0" w:type="dxa"/>
                    <w:left w:w="57" w:type="dxa"/>
                    <w:bottom w:w="0" w:type="dxa"/>
                    <w:right w:w="57" w:type="dxa"/>
                  </w:tcMar>
                  <w:vAlign w:val="center"/>
                </w:tcPr>
                <w:p w14:paraId="5F5B65CA">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21.4</w:t>
                  </w:r>
                </w:p>
              </w:tc>
              <w:tc>
                <w:tcPr>
                  <w:tcW w:w="323" w:type="pct"/>
                  <w:tcBorders>
                    <w:tl2br w:val="nil"/>
                    <w:tr2bl w:val="nil"/>
                  </w:tcBorders>
                  <w:tcMar>
                    <w:top w:w="0" w:type="dxa"/>
                    <w:left w:w="57" w:type="dxa"/>
                    <w:bottom w:w="0" w:type="dxa"/>
                    <w:right w:w="57" w:type="dxa"/>
                  </w:tcMar>
                  <w:vAlign w:val="center"/>
                </w:tcPr>
                <w:p w14:paraId="040AEF1A">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1824</w:t>
                  </w:r>
                </w:p>
              </w:tc>
            </w:tr>
            <w:tr w14:paraId="74ED6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restart"/>
                  <w:tcBorders>
                    <w:tl2br w:val="nil"/>
                    <w:tr2bl w:val="nil"/>
                  </w:tcBorders>
                  <w:tcMar>
                    <w:top w:w="0" w:type="dxa"/>
                    <w:left w:w="57" w:type="dxa"/>
                    <w:bottom w:w="0" w:type="dxa"/>
                    <w:right w:w="57" w:type="dxa"/>
                  </w:tcMar>
                  <w:vAlign w:val="center"/>
                </w:tcPr>
                <w:p w14:paraId="1A425602">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DA004</w:t>
                  </w:r>
                </w:p>
              </w:tc>
              <w:tc>
                <w:tcPr>
                  <w:tcW w:w="409" w:type="pct"/>
                  <w:vMerge w:val="restart"/>
                  <w:tcBorders>
                    <w:tl2br w:val="nil"/>
                    <w:tr2bl w:val="nil"/>
                  </w:tcBorders>
                  <w:tcMar>
                    <w:top w:w="0" w:type="dxa"/>
                    <w:left w:w="57" w:type="dxa"/>
                    <w:bottom w:w="0" w:type="dxa"/>
                    <w:right w:w="57" w:type="dxa"/>
                  </w:tcMar>
                  <w:vAlign w:val="center"/>
                </w:tcPr>
                <w:p w14:paraId="064A4114">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固化废气</w:t>
                  </w:r>
                </w:p>
              </w:tc>
              <w:tc>
                <w:tcPr>
                  <w:tcW w:w="460" w:type="pct"/>
                  <w:tcBorders>
                    <w:tl2br w:val="nil"/>
                    <w:tr2bl w:val="nil"/>
                  </w:tcBorders>
                  <w:tcMar>
                    <w:top w:w="0" w:type="dxa"/>
                    <w:left w:w="57" w:type="dxa"/>
                    <w:bottom w:w="0" w:type="dxa"/>
                    <w:right w:w="57" w:type="dxa"/>
                  </w:tcMar>
                  <w:vAlign w:val="center"/>
                </w:tcPr>
                <w:p w14:paraId="29726CD1">
                  <w:pPr>
                    <w:pStyle w:val="35"/>
                    <w:bidi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非甲烷总烃</w:t>
                  </w:r>
                </w:p>
              </w:tc>
              <w:tc>
                <w:tcPr>
                  <w:tcW w:w="335" w:type="pct"/>
                  <w:vMerge w:val="restart"/>
                  <w:tcBorders>
                    <w:tl2br w:val="nil"/>
                    <w:tr2bl w:val="nil"/>
                  </w:tcBorders>
                  <w:tcMar>
                    <w:top w:w="0" w:type="dxa"/>
                    <w:left w:w="57" w:type="dxa"/>
                    <w:bottom w:w="0" w:type="dxa"/>
                    <w:right w:w="57" w:type="dxa"/>
                  </w:tcMar>
                  <w:vAlign w:val="center"/>
                </w:tcPr>
                <w:p w14:paraId="3807527F">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5000</w:t>
                  </w:r>
                </w:p>
              </w:tc>
              <w:tc>
                <w:tcPr>
                  <w:tcW w:w="272" w:type="pct"/>
                  <w:tcBorders>
                    <w:tl2br w:val="nil"/>
                    <w:tr2bl w:val="nil"/>
                  </w:tcBorders>
                  <w:tcMar>
                    <w:top w:w="0" w:type="dxa"/>
                    <w:left w:w="57" w:type="dxa"/>
                    <w:bottom w:w="0" w:type="dxa"/>
                    <w:right w:w="57" w:type="dxa"/>
                  </w:tcMar>
                  <w:vAlign w:val="center"/>
                </w:tcPr>
                <w:p w14:paraId="7C8221FC">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0.03</w:t>
                  </w:r>
                </w:p>
              </w:tc>
              <w:tc>
                <w:tcPr>
                  <w:tcW w:w="222" w:type="pct"/>
                  <w:tcBorders>
                    <w:tl2br w:val="nil"/>
                    <w:tr2bl w:val="nil"/>
                  </w:tcBorders>
                  <w:tcMar>
                    <w:top w:w="0" w:type="dxa"/>
                    <w:left w:w="57" w:type="dxa"/>
                    <w:bottom w:w="0" w:type="dxa"/>
                    <w:right w:w="57" w:type="dxa"/>
                  </w:tcMar>
                  <w:vAlign w:val="center"/>
                </w:tcPr>
                <w:p w14:paraId="3C6BE164">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0.006</w:t>
                  </w:r>
                </w:p>
              </w:tc>
              <w:tc>
                <w:tcPr>
                  <w:tcW w:w="243" w:type="pct"/>
                  <w:tcBorders>
                    <w:tl2br w:val="nil"/>
                    <w:tr2bl w:val="nil"/>
                  </w:tcBorders>
                  <w:tcMar>
                    <w:top w:w="0" w:type="dxa"/>
                    <w:left w:w="57" w:type="dxa"/>
                    <w:bottom w:w="0" w:type="dxa"/>
                    <w:right w:w="57" w:type="dxa"/>
                  </w:tcMar>
                  <w:vAlign w:val="center"/>
                </w:tcPr>
                <w:p w14:paraId="07C0E91C">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0.024</w:t>
                  </w:r>
                </w:p>
              </w:tc>
              <w:tc>
                <w:tcPr>
                  <w:tcW w:w="263" w:type="pct"/>
                  <w:tcBorders>
                    <w:tl2br w:val="nil"/>
                    <w:tr2bl w:val="nil"/>
                  </w:tcBorders>
                  <w:tcMar>
                    <w:top w:w="0" w:type="dxa"/>
                    <w:left w:w="57" w:type="dxa"/>
                    <w:bottom w:w="0" w:type="dxa"/>
                    <w:right w:w="57" w:type="dxa"/>
                  </w:tcMar>
                  <w:vAlign w:val="center"/>
                </w:tcPr>
                <w:p w14:paraId="433D21F6">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0.012</w:t>
                  </w:r>
                </w:p>
              </w:tc>
              <w:tc>
                <w:tcPr>
                  <w:tcW w:w="311" w:type="pct"/>
                  <w:tcBorders>
                    <w:tl2br w:val="nil"/>
                    <w:tr2bl w:val="nil"/>
                  </w:tcBorders>
                  <w:tcMar>
                    <w:top w:w="0" w:type="dxa"/>
                    <w:left w:w="57" w:type="dxa"/>
                    <w:bottom w:w="0" w:type="dxa"/>
                    <w:right w:w="57" w:type="dxa"/>
                  </w:tcMar>
                  <w:vAlign w:val="center"/>
                </w:tcPr>
                <w:p w14:paraId="6F12BE1B">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2.4</w:t>
                  </w:r>
                </w:p>
              </w:tc>
              <w:tc>
                <w:tcPr>
                  <w:tcW w:w="417" w:type="pct"/>
                  <w:vMerge w:val="restart"/>
                  <w:tcBorders>
                    <w:tl2br w:val="nil"/>
                    <w:tr2bl w:val="nil"/>
                  </w:tcBorders>
                  <w:tcMar>
                    <w:top w:w="0" w:type="dxa"/>
                    <w:left w:w="57" w:type="dxa"/>
                    <w:bottom w:w="0" w:type="dxa"/>
                    <w:right w:w="57" w:type="dxa"/>
                  </w:tcMar>
                  <w:vAlign w:val="center"/>
                </w:tcPr>
                <w:p w14:paraId="3545631C">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“干式过滤</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活性炭”</w:t>
                  </w:r>
                </w:p>
              </w:tc>
              <w:tc>
                <w:tcPr>
                  <w:tcW w:w="276" w:type="pct"/>
                  <w:tcBorders>
                    <w:tl2br w:val="nil"/>
                    <w:tr2bl w:val="nil"/>
                  </w:tcBorders>
                  <w:tcMar>
                    <w:top w:w="0" w:type="dxa"/>
                    <w:left w:w="57" w:type="dxa"/>
                    <w:bottom w:w="0" w:type="dxa"/>
                    <w:right w:w="57" w:type="dxa"/>
                  </w:tcMar>
                  <w:vAlign w:val="center"/>
                </w:tcPr>
                <w:p w14:paraId="42CA94B9">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w:t>
                  </w:r>
                </w:p>
              </w:tc>
              <w:tc>
                <w:tcPr>
                  <w:tcW w:w="349" w:type="pct"/>
                  <w:tcBorders>
                    <w:tl2br w:val="nil"/>
                    <w:tr2bl w:val="nil"/>
                  </w:tcBorders>
                  <w:tcMar>
                    <w:top w:w="0" w:type="dxa"/>
                    <w:left w:w="57" w:type="dxa"/>
                    <w:bottom w:w="0" w:type="dxa"/>
                    <w:right w:w="57" w:type="dxa"/>
                  </w:tcMar>
                  <w:vAlign w:val="center"/>
                </w:tcPr>
                <w:p w14:paraId="49208D13">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263" w:type="pct"/>
                  <w:tcBorders>
                    <w:tl2br w:val="nil"/>
                    <w:tr2bl w:val="nil"/>
                  </w:tcBorders>
                  <w:tcMar>
                    <w:top w:w="0" w:type="dxa"/>
                    <w:left w:w="57" w:type="dxa"/>
                    <w:bottom w:w="0" w:type="dxa"/>
                    <w:right w:w="57" w:type="dxa"/>
                  </w:tcMar>
                  <w:vAlign w:val="center"/>
                </w:tcPr>
                <w:p w14:paraId="33CED4E1">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0.02</w:t>
                  </w:r>
                </w:p>
              </w:tc>
              <w:tc>
                <w:tcPr>
                  <w:tcW w:w="283" w:type="pct"/>
                  <w:tcBorders>
                    <w:tl2br w:val="nil"/>
                    <w:tr2bl w:val="nil"/>
                  </w:tcBorders>
                  <w:tcMar>
                    <w:top w:w="0" w:type="dxa"/>
                    <w:left w:w="57" w:type="dxa"/>
                    <w:bottom w:w="0" w:type="dxa"/>
                    <w:right w:w="57" w:type="dxa"/>
                  </w:tcMar>
                  <w:vAlign w:val="center"/>
                </w:tcPr>
                <w:p w14:paraId="17B7CD71">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w:t>
                  </w:r>
                  <w:r>
                    <w:rPr>
                      <w:rFonts w:hint="eastAsia" w:ascii="Times New Roman" w:hAnsi="Times New Roman" w:cs="Times New Roman"/>
                      <w:color w:val="000000" w:themeColor="text1"/>
                      <w:lang w:val="en-US" w:eastAsia="zh-CN"/>
                      <w14:textFill>
                        <w14:solidFill>
                          <w14:schemeClr w14:val="tx1"/>
                        </w14:solidFill>
                      </w14:textFill>
                    </w:rPr>
                    <w:t>1</w:t>
                  </w:r>
                </w:p>
              </w:tc>
              <w:tc>
                <w:tcPr>
                  <w:tcW w:w="299" w:type="pct"/>
                  <w:tcBorders>
                    <w:tl2br w:val="nil"/>
                    <w:tr2bl w:val="nil"/>
                  </w:tcBorders>
                  <w:tcMar>
                    <w:top w:w="0" w:type="dxa"/>
                    <w:left w:w="57" w:type="dxa"/>
                    <w:bottom w:w="0" w:type="dxa"/>
                    <w:right w:w="57" w:type="dxa"/>
                  </w:tcMar>
                  <w:vAlign w:val="center"/>
                </w:tcPr>
                <w:p w14:paraId="65F8B9BD">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323" w:type="pct"/>
                  <w:vMerge w:val="restart"/>
                  <w:tcBorders>
                    <w:tl2br w:val="nil"/>
                    <w:tr2bl w:val="nil"/>
                  </w:tcBorders>
                  <w:tcMar>
                    <w:top w:w="0" w:type="dxa"/>
                    <w:left w:w="57" w:type="dxa"/>
                    <w:bottom w:w="0" w:type="dxa"/>
                    <w:right w:w="57" w:type="dxa"/>
                  </w:tcMar>
                  <w:vAlign w:val="center"/>
                </w:tcPr>
                <w:p w14:paraId="42B1C085">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1930</w:t>
                  </w:r>
                </w:p>
              </w:tc>
            </w:tr>
            <w:tr w14:paraId="53A7F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249E2A14">
                  <w:pPr>
                    <w:pStyle w:val="35"/>
                    <w:bidi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p>
              </w:tc>
              <w:tc>
                <w:tcPr>
                  <w:tcW w:w="409" w:type="pct"/>
                  <w:vMerge w:val="continue"/>
                  <w:tcBorders>
                    <w:tl2br w:val="nil"/>
                    <w:tr2bl w:val="nil"/>
                  </w:tcBorders>
                  <w:vAlign w:val="center"/>
                </w:tcPr>
                <w:p w14:paraId="77B0FC19">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60" w:type="pct"/>
                  <w:tcBorders>
                    <w:tl2br w:val="nil"/>
                    <w:tr2bl w:val="nil"/>
                  </w:tcBorders>
                  <w:vAlign w:val="center"/>
                </w:tcPr>
                <w:p w14:paraId="2134B3CA">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335" w:type="pct"/>
                  <w:vMerge w:val="continue"/>
                  <w:tcBorders>
                    <w:tl2br w:val="nil"/>
                    <w:tr2bl w:val="nil"/>
                  </w:tcBorders>
                  <w:vAlign w:val="center"/>
                </w:tcPr>
                <w:p w14:paraId="0D3535FC">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272" w:type="pct"/>
                  <w:tcBorders>
                    <w:tl2br w:val="nil"/>
                    <w:tr2bl w:val="nil"/>
                  </w:tcBorders>
                  <w:vAlign w:val="center"/>
                </w:tcPr>
                <w:p w14:paraId="5C04ECBD">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033</w:t>
                  </w:r>
                </w:p>
              </w:tc>
              <w:tc>
                <w:tcPr>
                  <w:tcW w:w="222" w:type="pct"/>
                  <w:tcBorders>
                    <w:tl2br w:val="nil"/>
                    <w:tr2bl w:val="nil"/>
                  </w:tcBorders>
                  <w:vAlign w:val="center"/>
                </w:tcPr>
                <w:p w14:paraId="35376A56">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0.007</w:t>
                  </w:r>
                </w:p>
              </w:tc>
              <w:tc>
                <w:tcPr>
                  <w:tcW w:w="243" w:type="pct"/>
                  <w:tcBorders>
                    <w:tl2br w:val="nil"/>
                    <w:tr2bl w:val="nil"/>
                  </w:tcBorders>
                  <w:vAlign w:val="center"/>
                </w:tcPr>
                <w:p w14:paraId="6BF75A0D">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0.026</w:t>
                  </w:r>
                </w:p>
              </w:tc>
              <w:tc>
                <w:tcPr>
                  <w:tcW w:w="263" w:type="pct"/>
                  <w:tcBorders>
                    <w:tl2br w:val="nil"/>
                    <w:tr2bl w:val="nil"/>
                  </w:tcBorders>
                  <w:vAlign w:val="center"/>
                </w:tcPr>
                <w:p w14:paraId="4F2737F9">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0.014</w:t>
                  </w:r>
                </w:p>
              </w:tc>
              <w:tc>
                <w:tcPr>
                  <w:tcW w:w="311" w:type="pct"/>
                  <w:tcBorders>
                    <w:tl2br w:val="nil"/>
                    <w:tr2bl w:val="nil"/>
                  </w:tcBorders>
                  <w:vAlign w:val="center"/>
                </w:tcPr>
                <w:p w14:paraId="59904C8B">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2.8</w:t>
                  </w:r>
                </w:p>
              </w:tc>
              <w:tc>
                <w:tcPr>
                  <w:tcW w:w="417" w:type="pct"/>
                  <w:vMerge w:val="continue"/>
                  <w:tcBorders>
                    <w:tl2br w:val="nil"/>
                    <w:tr2bl w:val="nil"/>
                  </w:tcBorders>
                  <w:vAlign w:val="center"/>
                </w:tcPr>
                <w:p w14:paraId="71D85365">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276" w:type="pct"/>
                  <w:vMerge w:val="restart"/>
                  <w:tcBorders>
                    <w:tl2br w:val="nil"/>
                    <w:tr2bl w:val="nil"/>
                  </w:tcBorders>
                  <w:vAlign w:val="center"/>
                </w:tcPr>
                <w:p w14:paraId="291C4D04">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p>
              </w:tc>
              <w:tc>
                <w:tcPr>
                  <w:tcW w:w="349" w:type="pct"/>
                  <w:vMerge w:val="restart"/>
                  <w:tcBorders>
                    <w:tl2br w:val="nil"/>
                    <w:tr2bl w:val="nil"/>
                  </w:tcBorders>
                  <w:vAlign w:val="center"/>
                </w:tcPr>
                <w:p w14:paraId="2237234D">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w:t>
                  </w:r>
                </w:p>
              </w:tc>
              <w:tc>
                <w:tcPr>
                  <w:tcW w:w="733" w:type="dxa"/>
                  <w:tcBorders>
                    <w:tl2br w:val="nil"/>
                    <w:tr2bl w:val="nil"/>
                  </w:tcBorders>
                  <w:vAlign w:val="center"/>
                </w:tcPr>
                <w:p w14:paraId="3CB4E8F6">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0.026</w:t>
                  </w:r>
                </w:p>
              </w:tc>
              <w:tc>
                <w:tcPr>
                  <w:tcW w:w="283" w:type="pct"/>
                  <w:tcBorders>
                    <w:tl2br w:val="nil"/>
                    <w:tr2bl w:val="nil"/>
                  </w:tcBorders>
                  <w:vAlign w:val="center"/>
                </w:tcPr>
                <w:p w14:paraId="7779CDBB">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0.014</w:t>
                  </w:r>
                </w:p>
              </w:tc>
              <w:tc>
                <w:tcPr>
                  <w:tcW w:w="299" w:type="pct"/>
                  <w:tcBorders>
                    <w:tl2br w:val="nil"/>
                    <w:tr2bl w:val="nil"/>
                  </w:tcBorders>
                  <w:vAlign w:val="center"/>
                </w:tcPr>
                <w:p w14:paraId="0F3BCFD4">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2.8</w:t>
                  </w:r>
                </w:p>
              </w:tc>
              <w:tc>
                <w:tcPr>
                  <w:tcW w:w="323" w:type="pct"/>
                  <w:vMerge w:val="continue"/>
                  <w:tcBorders>
                    <w:tl2br w:val="nil"/>
                    <w:tr2bl w:val="nil"/>
                  </w:tcBorders>
                  <w:vAlign w:val="center"/>
                </w:tcPr>
                <w:p w14:paraId="738BFF1E">
                  <w:pPr>
                    <w:pStyle w:val="35"/>
                    <w:bidi w:val="0"/>
                    <w:jc w:val="center"/>
                    <w:rPr>
                      <w:rFonts w:hint="default"/>
                      <w:color w:val="000000" w:themeColor="text1"/>
                      <w:lang w:val="en-US" w:eastAsia="zh-CN"/>
                      <w14:textFill>
                        <w14:solidFill>
                          <w14:schemeClr w14:val="tx1"/>
                        </w14:solidFill>
                      </w14:textFill>
                    </w:rPr>
                  </w:pPr>
                </w:p>
              </w:tc>
            </w:tr>
            <w:tr w14:paraId="662DF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0FD4349C">
                  <w:pPr>
                    <w:pStyle w:val="35"/>
                    <w:bidi w:val="0"/>
                    <w:jc w:val="center"/>
                    <w:rPr>
                      <w:rFonts w:hint="default" w:ascii="Times New Roman" w:hAnsi="Times New Roman" w:cs="Times New Roman"/>
                      <w:color w:val="000000" w:themeColor="text1"/>
                      <w14:textFill>
                        <w14:solidFill>
                          <w14:schemeClr w14:val="tx1"/>
                        </w14:solidFill>
                      </w14:textFill>
                    </w:rPr>
                  </w:pPr>
                </w:p>
              </w:tc>
              <w:tc>
                <w:tcPr>
                  <w:tcW w:w="409" w:type="pct"/>
                  <w:vMerge w:val="continue"/>
                  <w:tcBorders>
                    <w:tl2br w:val="nil"/>
                    <w:tr2bl w:val="nil"/>
                  </w:tcBorders>
                  <w:vAlign w:val="center"/>
                </w:tcPr>
                <w:p w14:paraId="46BFB8AA">
                  <w:pPr>
                    <w:pStyle w:val="35"/>
                    <w:bidi w:val="0"/>
                    <w:jc w:val="center"/>
                    <w:rPr>
                      <w:rFonts w:hint="default" w:ascii="Times New Roman" w:hAnsi="Times New Roman" w:cs="Times New Roman"/>
                      <w:color w:val="000000" w:themeColor="text1"/>
                      <w14:textFill>
                        <w14:solidFill>
                          <w14:schemeClr w14:val="tx1"/>
                        </w14:solidFill>
                      </w14:textFill>
                    </w:rPr>
                  </w:pPr>
                </w:p>
              </w:tc>
              <w:tc>
                <w:tcPr>
                  <w:tcW w:w="460" w:type="pct"/>
                  <w:tcBorders>
                    <w:tl2br w:val="nil"/>
                    <w:tr2bl w:val="nil"/>
                  </w:tcBorders>
                  <w:vAlign w:val="center"/>
                </w:tcPr>
                <w:p w14:paraId="248038E2">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二氧化硫</w:t>
                  </w:r>
                </w:p>
              </w:tc>
              <w:tc>
                <w:tcPr>
                  <w:tcW w:w="335" w:type="pct"/>
                  <w:vMerge w:val="continue"/>
                  <w:tcBorders>
                    <w:tl2br w:val="nil"/>
                    <w:tr2bl w:val="nil"/>
                  </w:tcBorders>
                  <w:vAlign w:val="center"/>
                </w:tcPr>
                <w:p w14:paraId="6604A9C3">
                  <w:pPr>
                    <w:pStyle w:val="35"/>
                    <w:bidi w:val="0"/>
                    <w:jc w:val="center"/>
                    <w:rPr>
                      <w:rFonts w:hint="default" w:ascii="Times New Roman" w:hAnsi="Times New Roman" w:cs="Times New Roman"/>
                      <w:color w:val="000000" w:themeColor="text1"/>
                      <w14:textFill>
                        <w14:solidFill>
                          <w14:schemeClr w14:val="tx1"/>
                        </w14:solidFill>
                      </w14:textFill>
                    </w:rPr>
                  </w:pPr>
                </w:p>
              </w:tc>
              <w:tc>
                <w:tcPr>
                  <w:tcW w:w="272" w:type="pct"/>
                  <w:tcBorders>
                    <w:tl2br w:val="nil"/>
                    <w:tr2bl w:val="nil"/>
                  </w:tcBorders>
                  <w:vAlign w:val="center"/>
                </w:tcPr>
                <w:p w14:paraId="7A4357C7">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lang w:val="en-US" w:eastAsia="zh-CN"/>
                    </w:rPr>
                    <w:t>0.0</w:t>
                  </w:r>
                  <w:r>
                    <w:rPr>
                      <w:rFonts w:hint="eastAsia" w:ascii="Times New Roman" w:hAnsi="Times New Roman" w:eastAsia="宋体" w:cs="Times New Roman"/>
                      <w:color w:val="auto"/>
                      <w:lang w:val="en-US" w:eastAsia="zh-CN"/>
                    </w:rPr>
                    <w:t>23</w:t>
                  </w:r>
                </w:p>
              </w:tc>
              <w:tc>
                <w:tcPr>
                  <w:tcW w:w="222" w:type="pct"/>
                  <w:tcBorders>
                    <w:tl2br w:val="nil"/>
                    <w:tr2bl w:val="nil"/>
                  </w:tcBorders>
                  <w:vAlign w:val="center"/>
                </w:tcPr>
                <w:p w14:paraId="0C7A8346">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0.005</w:t>
                  </w:r>
                </w:p>
              </w:tc>
              <w:tc>
                <w:tcPr>
                  <w:tcW w:w="243" w:type="pct"/>
                  <w:tcBorders>
                    <w:tl2br w:val="nil"/>
                    <w:tr2bl w:val="nil"/>
                  </w:tcBorders>
                  <w:vAlign w:val="center"/>
                </w:tcPr>
                <w:p w14:paraId="70F549BE">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0.018</w:t>
                  </w:r>
                </w:p>
              </w:tc>
              <w:tc>
                <w:tcPr>
                  <w:tcW w:w="263" w:type="pct"/>
                  <w:tcBorders>
                    <w:tl2br w:val="nil"/>
                    <w:tr2bl w:val="nil"/>
                  </w:tcBorders>
                  <w:vAlign w:val="center"/>
                </w:tcPr>
                <w:p w14:paraId="2ACE2DD7">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w:t>
                  </w:r>
                </w:p>
              </w:tc>
              <w:tc>
                <w:tcPr>
                  <w:tcW w:w="311" w:type="pct"/>
                  <w:tcBorders>
                    <w:tl2br w:val="nil"/>
                    <w:tr2bl w:val="nil"/>
                  </w:tcBorders>
                  <w:vAlign w:val="center"/>
                </w:tcPr>
                <w:p w14:paraId="6A312F37">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417" w:type="pct"/>
                  <w:vMerge w:val="continue"/>
                  <w:tcBorders>
                    <w:tl2br w:val="nil"/>
                    <w:tr2bl w:val="nil"/>
                  </w:tcBorders>
                  <w:vAlign w:val="center"/>
                </w:tcPr>
                <w:p w14:paraId="2193CB52">
                  <w:pPr>
                    <w:pStyle w:val="35"/>
                    <w:bidi w:val="0"/>
                    <w:jc w:val="center"/>
                    <w:rPr>
                      <w:rFonts w:hint="default" w:ascii="Times New Roman" w:hAnsi="Times New Roman" w:cs="Times New Roman"/>
                      <w:color w:val="000000" w:themeColor="text1"/>
                      <w14:textFill>
                        <w14:solidFill>
                          <w14:schemeClr w14:val="tx1"/>
                        </w14:solidFill>
                      </w14:textFill>
                    </w:rPr>
                  </w:pPr>
                </w:p>
              </w:tc>
              <w:tc>
                <w:tcPr>
                  <w:tcW w:w="276" w:type="pct"/>
                  <w:vMerge w:val="continue"/>
                  <w:tcBorders>
                    <w:tl2br w:val="nil"/>
                    <w:tr2bl w:val="nil"/>
                  </w:tcBorders>
                  <w:vAlign w:val="center"/>
                </w:tcPr>
                <w:p w14:paraId="019BD1E7">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349" w:type="pct"/>
                  <w:vMerge w:val="continue"/>
                  <w:tcBorders>
                    <w:tl2br w:val="nil"/>
                    <w:tr2bl w:val="nil"/>
                  </w:tcBorders>
                  <w:vAlign w:val="center"/>
                </w:tcPr>
                <w:p w14:paraId="71799750">
                  <w:pPr>
                    <w:pStyle w:val="35"/>
                    <w:bidi w:val="0"/>
                    <w:jc w:val="center"/>
                    <w:rPr>
                      <w:rFonts w:hint="default" w:ascii="Times New Roman" w:hAnsi="Times New Roman" w:cs="Times New Roman"/>
                      <w:color w:val="000000" w:themeColor="text1"/>
                      <w14:textFill>
                        <w14:solidFill>
                          <w14:schemeClr w14:val="tx1"/>
                        </w14:solidFill>
                      </w14:textFill>
                    </w:rPr>
                  </w:pPr>
                </w:p>
              </w:tc>
              <w:tc>
                <w:tcPr>
                  <w:tcW w:w="733" w:type="dxa"/>
                  <w:tcBorders>
                    <w:tl2br w:val="nil"/>
                    <w:tr2bl w:val="nil"/>
                  </w:tcBorders>
                  <w:vAlign w:val="center"/>
                </w:tcPr>
                <w:p w14:paraId="4970ECDA">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0.018</w:t>
                  </w:r>
                </w:p>
              </w:tc>
              <w:tc>
                <w:tcPr>
                  <w:tcW w:w="283" w:type="pct"/>
                  <w:tcBorders>
                    <w:tl2br w:val="nil"/>
                    <w:tr2bl w:val="nil"/>
                  </w:tcBorders>
                  <w:vAlign w:val="center"/>
                </w:tcPr>
                <w:p w14:paraId="6507431F">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w:t>
                  </w:r>
                </w:p>
              </w:tc>
              <w:tc>
                <w:tcPr>
                  <w:tcW w:w="299" w:type="pct"/>
                  <w:tcBorders>
                    <w:tl2br w:val="nil"/>
                    <w:tr2bl w:val="nil"/>
                  </w:tcBorders>
                  <w:vAlign w:val="center"/>
                </w:tcPr>
                <w:p w14:paraId="768B77E9">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323" w:type="pct"/>
                  <w:vMerge w:val="continue"/>
                  <w:tcBorders>
                    <w:tl2br w:val="nil"/>
                    <w:tr2bl w:val="nil"/>
                  </w:tcBorders>
                  <w:vAlign w:val="center"/>
                </w:tcPr>
                <w:p w14:paraId="335C8F52">
                  <w:pPr>
                    <w:pStyle w:val="35"/>
                    <w:bidi w:val="0"/>
                    <w:jc w:val="center"/>
                    <w:rPr>
                      <w:rFonts w:hint="eastAsia"/>
                      <w:color w:val="000000" w:themeColor="text1"/>
                      <w14:textFill>
                        <w14:solidFill>
                          <w14:schemeClr w14:val="tx1"/>
                        </w14:solidFill>
                      </w14:textFill>
                    </w:rPr>
                  </w:pPr>
                </w:p>
              </w:tc>
            </w:tr>
            <w:tr w14:paraId="167E6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0C61043F">
                  <w:pPr>
                    <w:pStyle w:val="35"/>
                    <w:bidi w:val="0"/>
                    <w:jc w:val="center"/>
                    <w:rPr>
                      <w:rFonts w:hint="default" w:ascii="Times New Roman" w:hAnsi="Times New Roman" w:cs="Times New Roman"/>
                      <w:color w:val="000000" w:themeColor="text1"/>
                      <w14:textFill>
                        <w14:solidFill>
                          <w14:schemeClr w14:val="tx1"/>
                        </w14:solidFill>
                      </w14:textFill>
                    </w:rPr>
                  </w:pPr>
                </w:p>
              </w:tc>
              <w:tc>
                <w:tcPr>
                  <w:tcW w:w="409" w:type="pct"/>
                  <w:vMerge w:val="continue"/>
                  <w:tcBorders>
                    <w:tl2br w:val="nil"/>
                    <w:tr2bl w:val="nil"/>
                  </w:tcBorders>
                  <w:vAlign w:val="center"/>
                </w:tcPr>
                <w:p w14:paraId="7CDA7B6A">
                  <w:pPr>
                    <w:pStyle w:val="35"/>
                    <w:bidi w:val="0"/>
                    <w:jc w:val="center"/>
                    <w:rPr>
                      <w:rFonts w:hint="default" w:ascii="Times New Roman" w:hAnsi="Times New Roman" w:cs="Times New Roman"/>
                      <w:color w:val="000000" w:themeColor="text1"/>
                      <w14:textFill>
                        <w14:solidFill>
                          <w14:schemeClr w14:val="tx1"/>
                        </w14:solidFill>
                      </w14:textFill>
                    </w:rPr>
                  </w:pPr>
                </w:p>
              </w:tc>
              <w:tc>
                <w:tcPr>
                  <w:tcW w:w="460" w:type="pct"/>
                  <w:tcBorders>
                    <w:tl2br w:val="nil"/>
                    <w:tr2bl w:val="nil"/>
                  </w:tcBorders>
                  <w:vAlign w:val="center"/>
                </w:tcPr>
                <w:p w14:paraId="26931C82">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氮氧化物</w:t>
                  </w:r>
                </w:p>
              </w:tc>
              <w:tc>
                <w:tcPr>
                  <w:tcW w:w="335" w:type="pct"/>
                  <w:vMerge w:val="continue"/>
                  <w:tcBorders>
                    <w:tl2br w:val="nil"/>
                    <w:tr2bl w:val="nil"/>
                  </w:tcBorders>
                  <w:vAlign w:val="center"/>
                </w:tcPr>
                <w:p w14:paraId="3799FDF3">
                  <w:pPr>
                    <w:pStyle w:val="35"/>
                    <w:bidi w:val="0"/>
                    <w:jc w:val="center"/>
                    <w:rPr>
                      <w:rFonts w:hint="default" w:ascii="Times New Roman" w:hAnsi="Times New Roman" w:cs="Times New Roman"/>
                      <w:color w:val="000000" w:themeColor="text1"/>
                      <w14:textFill>
                        <w14:solidFill>
                          <w14:schemeClr w14:val="tx1"/>
                        </w14:solidFill>
                      </w14:textFill>
                    </w:rPr>
                  </w:pPr>
                </w:p>
              </w:tc>
              <w:tc>
                <w:tcPr>
                  <w:tcW w:w="272" w:type="pct"/>
                  <w:tcBorders>
                    <w:tl2br w:val="nil"/>
                    <w:tr2bl w:val="nil"/>
                  </w:tcBorders>
                  <w:vAlign w:val="center"/>
                </w:tcPr>
                <w:p w14:paraId="457E12BA">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217</w:t>
                  </w:r>
                </w:p>
              </w:tc>
              <w:tc>
                <w:tcPr>
                  <w:tcW w:w="222" w:type="pct"/>
                  <w:tcBorders>
                    <w:tl2br w:val="nil"/>
                    <w:tr2bl w:val="nil"/>
                  </w:tcBorders>
                  <w:vAlign w:val="center"/>
                </w:tcPr>
                <w:p w14:paraId="09B989FD">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0.043</w:t>
                  </w:r>
                </w:p>
              </w:tc>
              <w:tc>
                <w:tcPr>
                  <w:tcW w:w="243" w:type="pct"/>
                  <w:tcBorders>
                    <w:tl2br w:val="nil"/>
                    <w:tr2bl w:val="nil"/>
                  </w:tcBorders>
                  <w:vAlign w:val="center"/>
                </w:tcPr>
                <w:p w14:paraId="434FCE26">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0.174</w:t>
                  </w:r>
                </w:p>
              </w:tc>
              <w:tc>
                <w:tcPr>
                  <w:tcW w:w="263" w:type="pct"/>
                  <w:tcBorders>
                    <w:tl2br w:val="nil"/>
                    <w:tr2bl w:val="nil"/>
                  </w:tcBorders>
                  <w:vAlign w:val="center"/>
                </w:tcPr>
                <w:p w14:paraId="5E786F6C">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0.09</w:t>
                  </w:r>
                </w:p>
              </w:tc>
              <w:tc>
                <w:tcPr>
                  <w:tcW w:w="311" w:type="pct"/>
                  <w:tcBorders>
                    <w:tl2br w:val="nil"/>
                    <w:tr2bl w:val="nil"/>
                  </w:tcBorders>
                  <w:vAlign w:val="center"/>
                </w:tcPr>
                <w:p w14:paraId="4920A00C">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w:t>
                  </w:r>
                </w:p>
              </w:tc>
              <w:tc>
                <w:tcPr>
                  <w:tcW w:w="417" w:type="pct"/>
                  <w:vMerge w:val="continue"/>
                  <w:tcBorders>
                    <w:tl2br w:val="nil"/>
                    <w:tr2bl w:val="nil"/>
                  </w:tcBorders>
                  <w:vAlign w:val="center"/>
                </w:tcPr>
                <w:p w14:paraId="715BEFAF">
                  <w:pPr>
                    <w:pStyle w:val="35"/>
                    <w:bidi w:val="0"/>
                    <w:jc w:val="center"/>
                    <w:rPr>
                      <w:rFonts w:hint="default" w:ascii="Times New Roman" w:hAnsi="Times New Roman" w:cs="Times New Roman"/>
                      <w:color w:val="000000" w:themeColor="text1"/>
                      <w14:textFill>
                        <w14:solidFill>
                          <w14:schemeClr w14:val="tx1"/>
                        </w14:solidFill>
                      </w14:textFill>
                    </w:rPr>
                  </w:pPr>
                </w:p>
              </w:tc>
              <w:tc>
                <w:tcPr>
                  <w:tcW w:w="276" w:type="pct"/>
                  <w:vMerge w:val="continue"/>
                  <w:tcBorders>
                    <w:tl2br w:val="nil"/>
                    <w:tr2bl w:val="nil"/>
                  </w:tcBorders>
                  <w:vAlign w:val="center"/>
                </w:tcPr>
                <w:p w14:paraId="382A399A">
                  <w:pPr>
                    <w:pStyle w:val="35"/>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349" w:type="pct"/>
                  <w:vMerge w:val="continue"/>
                  <w:tcBorders>
                    <w:tl2br w:val="nil"/>
                    <w:tr2bl w:val="nil"/>
                  </w:tcBorders>
                  <w:vAlign w:val="center"/>
                </w:tcPr>
                <w:p w14:paraId="2D56A74A">
                  <w:pPr>
                    <w:pStyle w:val="35"/>
                    <w:bidi w:val="0"/>
                    <w:jc w:val="center"/>
                    <w:rPr>
                      <w:rFonts w:hint="default" w:ascii="Times New Roman" w:hAnsi="Times New Roman" w:cs="Times New Roman"/>
                      <w:color w:val="000000" w:themeColor="text1"/>
                      <w14:textFill>
                        <w14:solidFill>
                          <w14:schemeClr w14:val="tx1"/>
                        </w14:solidFill>
                      </w14:textFill>
                    </w:rPr>
                  </w:pPr>
                </w:p>
              </w:tc>
              <w:tc>
                <w:tcPr>
                  <w:tcW w:w="733" w:type="dxa"/>
                  <w:tcBorders>
                    <w:tl2br w:val="nil"/>
                    <w:tr2bl w:val="nil"/>
                  </w:tcBorders>
                  <w:vAlign w:val="center"/>
                </w:tcPr>
                <w:p w14:paraId="7139E834">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lang w:val="en-US" w:eastAsia="zh-CN"/>
                    </w:rPr>
                    <w:t>0.174</w:t>
                  </w:r>
                </w:p>
              </w:tc>
              <w:tc>
                <w:tcPr>
                  <w:tcW w:w="283" w:type="pct"/>
                  <w:tcBorders>
                    <w:tl2br w:val="nil"/>
                    <w:tr2bl w:val="nil"/>
                  </w:tcBorders>
                  <w:vAlign w:val="center"/>
                </w:tcPr>
                <w:p w14:paraId="32BC670C">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0.09</w:t>
                  </w:r>
                </w:p>
              </w:tc>
              <w:tc>
                <w:tcPr>
                  <w:tcW w:w="299" w:type="pct"/>
                  <w:tcBorders>
                    <w:tl2br w:val="nil"/>
                    <w:tr2bl w:val="nil"/>
                  </w:tcBorders>
                  <w:vAlign w:val="center"/>
                </w:tcPr>
                <w:p w14:paraId="45A94F15">
                  <w:pPr>
                    <w:pStyle w:val="3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w:t>
                  </w:r>
                </w:p>
              </w:tc>
              <w:tc>
                <w:tcPr>
                  <w:tcW w:w="323" w:type="pct"/>
                  <w:vMerge w:val="continue"/>
                  <w:tcBorders>
                    <w:tl2br w:val="nil"/>
                    <w:tr2bl w:val="nil"/>
                  </w:tcBorders>
                  <w:vAlign w:val="center"/>
                </w:tcPr>
                <w:p w14:paraId="7343A8AD">
                  <w:pPr>
                    <w:pStyle w:val="35"/>
                    <w:bidi w:val="0"/>
                    <w:jc w:val="center"/>
                    <w:rPr>
                      <w:rFonts w:hint="eastAsia"/>
                      <w:color w:val="000000" w:themeColor="text1"/>
                      <w14:textFill>
                        <w14:solidFill>
                          <w14:schemeClr w14:val="tx1"/>
                        </w14:solidFill>
                      </w14:textFill>
                    </w:rPr>
                  </w:pPr>
                </w:p>
              </w:tc>
            </w:tr>
          </w:tbl>
          <w:p w14:paraId="3CF01724">
            <w:pPr>
              <w:pStyle w:val="8"/>
              <w:keepNext w:val="0"/>
              <w:keepLines w:val="0"/>
              <w:spacing w:before="156" w:after="0"/>
              <w:rPr>
                <w:rFonts w:hint="default" w:ascii="Times New Roman" w:hAnsi="Times New Roman" w:eastAsia="宋体" w:cs="Times New Roman"/>
                <w:b w:val="0"/>
                <w:bCs w:val="0"/>
                <w:color w:val="auto"/>
                <w:sz w:val="24"/>
                <w:szCs w:val="24"/>
              </w:rPr>
            </w:pPr>
            <w:bookmarkStart w:id="13" w:name="_Ref20382"/>
            <w:r>
              <w:rPr>
                <w:rFonts w:hint="default" w:ascii="Times New Roman" w:hAnsi="Times New Roman" w:eastAsia="宋体" w:cs="Times New Roman"/>
                <w:b w:val="0"/>
                <w:bCs w:val="0"/>
                <w:color w:val="auto"/>
                <w:sz w:val="24"/>
                <w:szCs w:val="24"/>
              </w:rPr>
              <w:t>表4-</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SEQ 表4- \* ARABIC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w:t>
            </w:r>
            <w:r>
              <w:rPr>
                <w:rFonts w:hint="default" w:ascii="Times New Roman" w:hAnsi="Times New Roman" w:eastAsia="宋体" w:cs="Times New Roman"/>
                <w:b w:val="0"/>
                <w:bCs w:val="0"/>
                <w:color w:val="auto"/>
                <w:sz w:val="24"/>
                <w:szCs w:val="24"/>
              </w:rPr>
              <w:fldChar w:fldCharType="end"/>
            </w:r>
            <w:bookmarkEnd w:id="13"/>
            <w:r>
              <w:rPr>
                <w:rFonts w:hint="eastAsia" w:ascii="Times New Roman" w:hAnsi="Times New Roman" w:eastAsia="宋体" w:cs="Times New Roman"/>
                <w:b w:val="0"/>
                <w:bCs w:val="0"/>
                <w:color w:val="auto"/>
                <w:sz w:val="24"/>
                <w:szCs w:val="24"/>
              </w:rPr>
              <w:t>项目排放口基本情况一览表</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7"/>
              <w:gridCol w:w="1145"/>
              <w:gridCol w:w="1991"/>
              <w:gridCol w:w="1337"/>
              <w:gridCol w:w="1172"/>
              <w:gridCol w:w="914"/>
              <w:gridCol w:w="886"/>
              <w:gridCol w:w="983"/>
              <w:gridCol w:w="1240"/>
              <w:gridCol w:w="3073"/>
            </w:tblGrid>
            <w:tr w14:paraId="1045F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917" w:type="dxa"/>
                  <w:vMerge w:val="restart"/>
                  <w:tcBorders>
                    <w:tl2br w:val="nil"/>
                    <w:tr2bl w:val="nil"/>
                  </w:tcBorders>
                  <w:tcMar>
                    <w:top w:w="0" w:type="dxa"/>
                    <w:left w:w="57" w:type="dxa"/>
                    <w:bottom w:w="0" w:type="dxa"/>
                    <w:right w:w="57" w:type="dxa"/>
                  </w:tcMar>
                  <w:vAlign w:val="center"/>
                </w:tcPr>
                <w:p w14:paraId="6CD07B62">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排气筒</w:t>
                  </w:r>
                </w:p>
              </w:tc>
              <w:tc>
                <w:tcPr>
                  <w:tcW w:w="1145" w:type="dxa"/>
                  <w:vMerge w:val="restart"/>
                  <w:tcBorders>
                    <w:tl2br w:val="nil"/>
                    <w:tr2bl w:val="nil"/>
                  </w:tcBorders>
                  <w:tcMar>
                    <w:top w:w="0" w:type="dxa"/>
                    <w:left w:w="57" w:type="dxa"/>
                    <w:bottom w:w="0" w:type="dxa"/>
                    <w:right w:w="57" w:type="dxa"/>
                  </w:tcMar>
                  <w:vAlign w:val="center"/>
                </w:tcPr>
                <w:p w14:paraId="110B3F64">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1991" w:type="dxa"/>
                  <w:vMerge w:val="restart"/>
                  <w:tcBorders>
                    <w:tl2br w:val="nil"/>
                    <w:tr2bl w:val="nil"/>
                  </w:tcBorders>
                  <w:tcMar>
                    <w:top w:w="0" w:type="dxa"/>
                    <w:left w:w="57" w:type="dxa"/>
                    <w:bottom w:w="0" w:type="dxa"/>
                    <w:right w:w="57" w:type="dxa"/>
                  </w:tcMar>
                  <w:vAlign w:val="center"/>
                </w:tcPr>
                <w:p w14:paraId="7C3976C3">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2509" w:type="dxa"/>
                  <w:gridSpan w:val="2"/>
                  <w:tcBorders>
                    <w:tl2br w:val="nil"/>
                    <w:tr2bl w:val="nil"/>
                  </w:tcBorders>
                  <w:tcMar>
                    <w:top w:w="0" w:type="dxa"/>
                    <w:left w:w="57" w:type="dxa"/>
                    <w:bottom w:w="0" w:type="dxa"/>
                    <w:right w:w="57" w:type="dxa"/>
                  </w:tcMar>
                  <w:vAlign w:val="center"/>
                </w:tcPr>
                <w:p w14:paraId="48FA28B1">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地理坐标</w:t>
                  </w:r>
                </w:p>
              </w:tc>
              <w:tc>
                <w:tcPr>
                  <w:tcW w:w="914" w:type="dxa"/>
                  <w:vMerge w:val="restart"/>
                  <w:tcBorders>
                    <w:tl2br w:val="nil"/>
                    <w:tr2bl w:val="nil"/>
                  </w:tcBorders>
                  <w:tcMar>
                    <w:top w:w="0" w:type="dxa"/>
                    <w:left w:w="57" w:type="dxa"/>
                    <w:bottom w:w="0" w:type="dxa"/>
                    <w:right w:w="57" w:type="dxa"/>
                  </w:tcMar>
                  <w:vAlign w:val="center"/>
                </w:tcPr>
                <w:p w14:paraId="07069E6E">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排气筒高度m</w:t>
                  </w:r>
                </w:p>
              </w:tc>
              <w:tc>
                <w:tcPr>
                  <w:tcW w:w="886" w:type="dxa"/>
                  <w:vMerge w:val="restart"/>
                  <w:tcBorders>
                    <w:tl2br w:val="nil"/>
                    <w:tr2bl w:val="nil"/>
                  </w:tcBorders>
                  <w:tcMar>
                    <w:top w:w="0" w:type="dxa"/>
                    <w:left w:w="57" w:type="dxa"/>
                    <w:bottom w:w="0" w:type="dxa"/>
                    <w:right w:w="57" w:type="dxa"/>
                  </w:tcMar>
                  <w:vAlign w:val="center"/>
                </w:tcPr>
                <w:p w14:paraId="6D95703A">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排气筒内径m</w:t>
                  </w:r>
                </w:p>
              </w:tc>
              <w:tc>
                <w:tcPr>
                  <w:tcW w:w="983" w:type="dxa"/>
                  <w:vMerge w:val="restart"/>
                  <w:tcBorders>
                    <w:tl2br w:val="nil"/>
                    <w:tr2bl w:val="nil"/>
                  </w:tcBorders>
                  <w:tcMar>
                    <w:top w:w="0" w:type="dxa"/>
                    <w:left w:w="57" w:type="dxa"/>
                    <w:bottom w:w="0" w:type="dxa"/>
                    <w:right w:w="57" w:type="dxa"/>
                  </w:tcMar>
                  <w:vAlign w:val="center"/>
                </w:tcPr>
                <w:p w14:paraId="20825D82">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温度（℃）</w:t>
                  </w:r>
                </w:p>
              </w:tc>
              <w:tc>
                <w:tcPr>
                  <w:tcW w:w="1240" w:type="dxa"/>
                  <w:vMerge w:val="restart"/>
                  <w:tcBorders>
                    <w:tl2br w:val="nil"/>
                    <w:tr2bl w:val="nil"/>
                  </w:tcBorders>
                  <w:tcMar>
                    <w:top w:w="0" w:type="dxa"/>
                    <w:left w:w="57" w:type="dxa"/>
                    <w:bottom w:w="0" w:type="dxa"/>
                    <w:right w:w="57" w:type="dxa"/>
                  </w:tcMar>
                  <w:vAlign w:val="center"/>
                </w:tcPr>
                <w:p w14:paraId="2665FFBD">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类型</w:t>
                  </w:r>
                </w:p>
              </w:tc>
              <w:tc>
                <w:tcPr>
                  <w:tcW w:w="3073" w:type="dxa"/>
                  <w:vMerge w:val="restart"/>
                  <w:tcBorders>
                    <w:tl2br w:val="nil"/>
                    <w:tr2bl w:val="nil"/>
                  </w:tcBorders>
                  <w:tcMar>
                    <w:top w:w="0" w:type="dxa"/>
                    <w:left w:w="57" w:type="dxa"/>
                    <w:bottom w:w="0" w:type="dxa"/>
                    <w:right w:w="57" w:type="dxa"/>
                  </w:tcMar>
                  <w:vAlign w:val="center"/>
                </w:tcPr>
                <w:p w14:paraId="007A9468">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排放标准</w:t>
                  </w:r>
                </w:p>
              </w:tc>
            </w:tr>
            <w:tr w14:paraId="5378F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17" w:type="dxa"/>
                  <w:vMerge w:val="continue"/>
                  <w:tcBorders>
                    <w:tl2br w:val="nil"/>
                    <w:tr2bl w:val="nil"/>
                  </w:tcBorders>
                  <w:tcMar>
                    <w:top w:w="0" w:type="dxa"/>
                    <w:left w:w="57" w:type="dxa"/>
                    <w:bottom w:w="0" w:type="dxa"/>
                    <w:right w:w="57" w:type="dxa"/>
                  </w:tcMar>
                </w:tcPr>
                <w:p w14:paraId="7CD827AD">
                  <w:pPr>
                    <w:pStyle w:val="35"/>
                    <w:spacing w:before="31"/>
                    <w:rPr>
                      <w:rFonts w:hint="default" w:ascii="Times New Roman" w:hAnsi="Times New Roman" w:eastAsia="宋体" w:cs="Times New Roman"/>
                      <w:color w:val="auto"/>
                    </w:rPr>
                  </w:pPr>
                </w:p>
              </w:tc>
              <w:tc>
                <w:tcPr>
                  <w:tcW w:w="1145" w:type="dxa"/>
                  <w:vMerge w:val="continue"/>
                  <w:tcBorders>
                    <w:tl2br w:val="nil"/>
                    <w:tr2bl w:val="nil"/>
                  </w:tcBorders>
                  <w:tcMar>
                    <w:top w:w="0" w:type="dxa"/>
                    <w:left w:w="57" w:type="dxa"/>
                    <w:bottom w:w="0" w:type="dxa"/>
                    <w:right w:w="57" w:type="dxa"/>
                  </w:tcMar>
                </w:tcPr>
                <w:p w14:paraId="72212937">
                  <w:pPr>
                    <w:pStyle w:val="35"/>
                    <w:spacing w:before="31"/>
                    <w:rPr>
                      <w:rFonts w:hint="default" w:ascii="Times New Roman" w:hAnsi="Times New Roman" w:eastAsia="宋体" w:cs="Times New Roman"/>
                      <w:color w:val="auto"/>
                    </w:rPr>
                  </w:pPr>
                </w:p>
              </w:tc>
              <w:tc>
                <w:tcPr>
                  <w:tcW w:w="1991" w:type="dxa"/>
                  <w:vMerge w:val="continue"/>
                  <w:tcBorders>
                    <w:tl2br w:val="nil"/>
                    <w:tr2bl w:val="nil"/>
                  </w:tcBorders>
                  <w:tcMar>
                    <w:top w:w="0" w:type="dxa"/>
                    <w:left w:w="57" w:type="dxa"/>
                    <w:bottom w:w="0" w:type="dxa"/>
                    <w:right w:w="57" w:type="dxa"/>
                  </w:tcMar>
                </w:tcPr>
                <w:p w14:paraId="61F5A367">
                  <w:pPr>
                    <w:pStyle w:val="35"/>
                    <w:spacing w:before="31"/>
                    <w:rPr>
                      <w:rFonts w:hint="default" w:ascii="Times New Roman" w:hAnsi="Times New Roman" w:eastAsia="宋体" w:cs="Times New Roman"/>
                      <w:color w:val="auto"/>
                    </w:rPr>
                  </w:pPr>
                </w:p>
              </w:tc>
              <w:tc>
                <w:tcPr>
                  <w:tcW w:w="1337" w:type="dxa"/>
                  <w:tcBorders>
                    <w:tl2br w:val="nil"/>
                    <w:tr2bl w:val="nil"/>
                  </w:tcBorders>
                  <w:tcMar>
                    <w:top w:w="0" w:type="dxa"/>
                    <w:left w:w="57" w:type="dxa"/>
                    <w:bottom w:w="0" w:type="dxa"/>
                    <w:right w:w="57" w:type="dxa"/>
                  </w:tcMar>
                  <w:vAlign w:val="center"/>
                </w:tcPr>
                <w:p w14:paraId="0A29D2BE">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经度</w:t>
                  </w:r>
                </w:p>
              </w:tc>
              <w:tc>
                <w:tcPr>
                  <w:tcW w:w="1172" w:type="dxa"/>
                  <w:tcBorders>
                    <w:tl2br w:val="nil"/>
                    <w:tr2bl w:val="nil"/>
                  </w:tcBorders>
                  <w:tcMar>
                    <w:top w:w="0" w:type="dxa"/>
                    <w:left w:w="57" w:type="dxa"/>
                    <w:bottom w:w="0" w:type="dxa"/>
                    <w:right w:w="57" w:type="dxa"/>
                  </w:tcMar>
                  <w:vAlign w:val="center"/>
                </w:tcPr>
                <w:p w14:paraId="3D56E012">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纬度</w:t>
                  </w:r>
                </w:p>
              </w:tc>
              <w:tc>
                <w:tcPr>
                  <w:tcW w:w="914" w:type="dxa"/>
                  <w:vMerge w:val="continue"/>
                  <w:tcBorders>
                    <w:tl2br w:val="nil"/>
                    <w:tr2bl w:val="nil"/>
                  </w:tcBorders>
                  <w:tcMar>
                    <w:top w:w="0" w:type="dxa"/>
                    <w:left w:w="57" w:type="dxa"/>
                    <w:bottom w:w="0" w:type="dxa"/>
                    <w:right w:w="57" w:type="dxa"/>
                  </w:tcMar>
                </w:tcPr>
                <w:p w14:paraId="3D6E180A">
                  <w:pPr>
                    <w:pStyle w:val="35"/>
                    <w:spacing w:before="31"/>
                    <w:rPr>
                      <w:rFonts w:hint="default" w:ascii="Times New Roman" w:hAnsi="Times New Roman" w:eastAsia="宋体" w:cs="Times New Roman"/>
                      <w:color w:val="auto"/>
                    </w:rPr>
                  </w:pPr>
                </w:p>
              </w:tc>
              <w:tc>
                <w:tcPr>
                  <w:tcW w:w="886" w:type="dxa"/>
                  <w:vMerge w:val="continue"/>
                  <w:tcBorders>
                    <w:tl2br w:val="nil"/>
                    <w:tr2bl w:val="nil"/>
                  </w:tcBorders>
                  <w:tcMar>
                    <w:top w:w="0" w:type="dxa"/>
                    <w:left w:w="57" w:type="dxa"/>
                    <w:bottom w:w="0" w:type="dxa"/>
                    <w:right w:w="57" w:type="dxa"/>
                  </w:tcMar>
                </w:tcPr>
                <w:p w14:paraId="06567AF4">
                  <w:pPr>
                    <w:pStyle w:val="35"/>
                    <w:spacing w:before="31"/>
                    <w:rPr>
                      <w:rFonts w:hint="default" w:ascii="Times New Roman" w:hAnsi="Times New Roman" w:eastAsia="宋体" w:cs="Times New Roman"/>
                      <w:color w:val="auto"/>
                    </w:rPr>
                  </w:pPr>
                </w:p>
              </w:tc>
              <w:tc>
                <w:tcPr>
                  <w:tcW w:w="983" w:type="dxa"/>
                  <w:vMerge w:val="continue"/>
                  <w:tcBorders>
                    <w:tl2br w:val="nil"/>
                    <w:tr2bl w:val="nil"/>
                  </w:tcBorders>
                  <w:tcMar>
                    <w:top w:w="0" w:type="dxa"/>
                    <w:left w:w="57" w:type="dxa"/>
                    <w:bottom w:w="0" w:type="dxa"/>
                    <w:right w:w="57" w:type="dxa"/>
                  </w:tcMar>
                </w:tcPr>
                <w:p w14:paraId="4147DC4E">
                  <w:pPr>
                    <w:pStyle w:val="35"/>
                    <w:spacing w:before="31"/>
                    <w:rPr>
                      <w:rFonts w:hint="default" w:ascii="Times New Roman" w:hAnsi="Times New Roman" w:eastAsia="宋体" w:cs="Times New Roman"/>
                      <w:color w:val="auto"/>
                    </w:rPr>
                  </w:pPr>
                </w:p>
              </w:tc>
              <w:tc>
                <w:tcPr>
                  <w:tcW w:w="1240" w:type="dxa"/>
                  <w:vMerge w:val="continue"/>
                  <w:tcBorders>
                    <w:tl2br w:val="nil"/>
                    <w:tr2bl w:val="nil"/>
                  </w:tcBorders>
                  <w:tcMar>
                    <w:top w:w="0" w:type="dxa"/>
                    <w:left w:w="57" w:type="dxa"/>
                    <w:bottom w:w="0" w:type="dxa"/>
                    <w:right w:w="57" w:type="dxa"/>
                  </w:tcMar>
                </w:tcPr>
                <w:p w14:paraId="2B825CA0">
                  <w:pPr>
                    <w:pStyle w:val="35"/>
                    <w:spacing w:before="31"/>
                    <w:rPr>
                      <w:rFonts w:hint="default" w:ascii="Times New Roman" w:hAnsi="Times New Roman" w:eastAsia="宋体" w:cs="Times New Roman"/>
                      <w:color w:val="auto"/>
                    </w:rPr>
                  </w:pPr>
                </w:p>
              </w:tc>
              <w:tc>
                <w:tcPr>
                  <w:tcW w:w="3073" w:type="dxa"/>
                  <w:vMerge w:val="continue"/>
                  <w:tcBorders>
                    <w:tl2br w:val="nil"/>
                    <w:tr2bl w:val="nil"/>
                  </w:tcBorders>
                  <w:tcMar>
                    <w:top w:w="0" w:type="dxa"/>
                    <w:left w:w="57" w:type="dxa"/>
                    <w:bottom w:w="0" w:type="dxa"/>
                    <w:right w:w="57" w:type="dxa"/>
                  </w:tcMar>
                </w:tcPr>
                <w:p w14:paraId="436DE5F0">
                  <w:pPr>
                    <w:pStyle w:val="35"/>
                    <w:spacing w:before="31"/>
                    <w:rPr>
                      <w:rFonts w:hint="default" w:ascii="Times New Roman" w:hAnsi="Times New Roman" w:eastAsia="宋体" w:cs="Times New Roman"/>
                      <w:color w:val="auto"/>
                    </w:rPr>
                  </w:pPr>
                </w:p>
              </w:tc>
            </w:tr>
            <w:tr w14:paraId="0CAD2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tcBorders>
                    <w:tl2br w:val="nil"/>
                    <w:tr2bl w:val="nil"/>
                  </w:tcBorders>
                  <w:tcMar>
                    <w:top w:w="0" w:type="dxa"/>
                    <w:left w:w="57" w:type="dxa"/>
                    <w:bottom w:w="0" w:type="dxa"/>
                    <w:right w:w="57" w:type="dxa"/>
                  </w:tcMar>
                  <w:vAlign w:val="center"/>
                </w:tcPr>
                <w:p w14:paraId="5113599D">
                  <w:pPr>
                    <w:pStyle w:val="35"/>
                    <w:bidi w:val="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DA00</w:t>
                  </w:r>
                  <w:r>
                    <w:rPr>
                      <w:rFonts w:hint="eastAsia" w:ascii="Times New Roman" w:hAnsi="Times New Roman" w:eastAsia="宋体" w:cs="Times New Roman"/>
                      <w:color w:val="auto"/>
                      <w:lang w:val="en-US" w:eastAsia="zh-CN"/>
                    </w:rPr>
                    <w:t>2</w:t>
                  </w:r>
                </w:p>
              </w:tc>
              <w:tc>
                <w:tcPr>
                  <w:tcW w:w="1145" w:type="dxa"/>
                  <w:tcBorders>
                    <w:tl2br w:val="nil"/>
                    <w:tr2bl w:val="nil"/>
                  </w:tcBorders>
                  <w:tcMar>
                    <w:top w:w="0" w:type="dxa"/>
                    <w:left w:w="57" w:type="dxa"/>
                    <w:bottom w:w="0" w:type="dxa"/>
                    <w:right w:w="57" w:type="dxa"/>
                  </w:tcMar>
                  <w:vAlign w:val="center"/>
                </w:tcPr>
                <w:p w14:paraId="61562D16">
                  <w:pPr>
                    <w:pStyle w:val="35"/>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抛丸废气</w:t>
                  </w:r>
                </w:p>
              </w:tc>
              <w:tc>
                <w:tcPr>
                  <w:tcW w:w="1991" w:type="dxa"/>
                  <w:tcBorders>
                    <w:tl2br w:val="nil"/>
                    <w:tr2bl w:val="nil"/>
                  </w:tcBorders>
                  <w:tcMar>
                    <w:top w:w="0" w:type="dxa"/>
                    <w:left w:w="57" w:type="dxa"/>
                    <w:bottom w:w="0" w:type="dxa"/>
                    <w:right w:w="57" w:type="dxa"/>
                  </w:tcMar>
                  <w:vAlign w:val="center"/>
                </w:tcPr>
                <w:p w14:paraId="2EBB5390">
                  <w:pPr>
                    <w:pStyle w:val="35"/>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颗粒物</w:t>
                  </w:r>
                </w:p>
              </w:tc>
              <w:tc>
                <w:tcPr>
                  <w:tcW w:w="1337" w:type="dxa"/>
                  <w:tcBorders>
                    <w:tl2br w:val="nil"/>
                    <w:tr2bl w:val="nil"/>
                  </w:tcBorders>
                  <w:tcMar>
                    <w:top w:w="0" w:type="dxa"/>
                    <w:left w:w="57" w:type="dxa"/>
                    <w:bottom w:w="0" w:type="dxa"/>
                    <w:right w:w="57" w:type="dxa"/>
                  </w:tcMar>
                  <w:vAlign w:val="center"/>
                </w:tcPr>
                <w:p w14:paraId="3AA08E28">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106.318099</w:t>
                  </w:r>
                </w:p>
              </w:tc>
              <w:tc>
                <w:tcPr>
                  <w:tcW w:w="1172" w:type="dxa"/>
                  <w:tcBorders>
                    <w:tl2br w:val="nil"/>
                    <w:tr2bl w:val="nil"/>
                  </w:tcBorders>
                  <w:tcMar>
                    <w:top w:w="0" w:type="dxa"/>
                    <w:left w:w="57" w:type="dxa"/>
                    <w:bottom w:w="0" w:type="dxa"/>
                    <w:right w:w="57" w:type="dxa"/>
                  </w:tcMar>
                  <w:vAlign w:val="center"/>
                </w:tcPr>
                <w:p w14:paraId="15A6B791">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29.325597</w:t>
                  </w:r>
                </w:p>
              </w:tc>
              <w:tc>
                <w:tcPr>
                  <w:tcW w:w="914" w:type="dxa"/>
                  <w:tcBorders>
                    <w:tl2br w:val="nil"/>
                    <w:tr2bl w:val="nil"/>
                  </w:tcBorders>
                  <w:tcMar>
                    <w:top w:w="0" w:type="dxa"/>
                    <w:left w:w="57" w:type="dxa"/>
                    <w:bottom w:w="0" w:type="dxa"/>
                    <w:right w:w="57" w:type="dxa"/>
                  </w:tcMar>
                  <w:vAlign w:val="center"/>
                </w:tcPr>
                <w:p w14:paraId="64CEB813">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886" w:type="dxa"/>
                  <w:tcBorders>
                    <w:tl2br w:val="nil"/>
                    <w:tr2bl w:val="nil"/>
                  </w:tcBorders>
                  <w:tcMar>
                    <w:top w:w="0" w:type="dxa"/>
                    <w:left w:w="57" w:type="dxa"/>
                    <w:bottom w:w="0" w:type="dxa"/>
                    <w:right w:w="57" w:type="dxa"/>
                  </w:tcMar>
                  <w:vAlign w:val="center"/>
                </w:tcPr>
                <w:p w14:paraId="3C8DCAA7">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w:t>
                  </w:r>
                </w:p>
              </w:tc>
              <w:tc>
                <w:tcPr>
                  <w:tcW w:w="983" w:type="dxa"/>
                  <w:tcBorders>
                    <w:tl2br w:val="nil"/>
                    <w:tr2bl w:val="nil"/>
                  </w:tcBorders>
                  <w:tcMar>
                    <w:top w:w="0" w:type="dxa"/>
                    <w:left w:w="57" w:type="dxa"/>
                    <w:bottom w:w="0" w:type="dxa"/>
                    <w:right w:w="57" w:type="dxa"/>
                  </w:tcMar>
                  <w:vAlign w:val="center"/>
                </w:tcPr>
                <w:p w14:paraId="14F823D9">
                  <w:pPr>
                    <w:pStyle w:val="35"/>
                    <w:spacing w:before="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w:t>
                  </w:r>
                </w:p>
              </w:tc>
              <w:tc>
                <w:tcPr>
                  <w:tcW w:w="1240" w:type="dxa"/>
                  <w:tcBorders>
                    <w:tl2br w:val="nil"/>
                    <w:tr2bl w:val="nil"/>
                  </w:tcBorders>
                  <w:tcMar>
                    <w:top w:w="0" w:type="dxa"/>
                    <w:left w:w="57" w:type="dxa"/>
                    <w:bottom w:w="0" w:type="dxa"/>
                    <w:right w:w="57" w:type="dxa"/>
                  </w:tcMar>
                  <w:vAlign w:val="center"/>
                </w:tcPr>
                <w:p w14:paraId="15817706">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一般排放口</w:t>
                  </w:r>
                </w:p>
              </w:tc>
              <w:tc>
                <w:tcPr>
                  <w:tcW w:w="3073" w:type="dxa"/>
                  <w:tcBorders>
                    <w:tl2br w:val="nil"/>
                    <w:tr2bl w:val="nil"/>
                  </w:tcBorders>
                  <w:tcMar>
                    <w:top w:w="0" w:type="dxa"/>
                    <w:left w:w="57" w:type="dxa"/>
                    <w:bottom w:w="0" w:type="dxa"/>
                    <w:right w:w="57" w:type="dxa"/>
                  </w:tcMar>
                  <w:vAlign w:val="center"/>
                </w:tcPr>
                <w:p w14:paraId="49E55F43">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《大气污染物综合排放标准》（DB50/418-2016）</w:t>
                  </w:r>
                </w:p>
              </w:tc>
            </w:tr>
            <w:tr w14:paraId="0720F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tcBorders>
                    <w:tl2br w:val="nil"/>
                    <w:tr2bl w:val="nil"/>
                  </w:tcBorders>
                  <w:tcMar>
                    <w:top w:w="0" w:type="dxa"/>
                    <w:left w:w="57" w:type="dxa"/>
                    <w:bottom w:w="0" w:type="dxa"/>
                    <w:right w:w="57" w:type="dxa"/>
                  </w:tcMar>
                  <w:vAlign w:val="center"/>
                </w:tcPr>
                <w:p w14:paraId="20E65177">
                  <w:pPr>
                    <w:pStyle w:val="35"/>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DA00</w:t>
                  </w:r>
                  <w:r>
                    <w:rPr>
                      <w:rFonts w:hint="eastAsia" w:ascii="Times New Roman" w:hAnsi="Times New Roman" w:eastAsia="宋体" w:cs="Times New Roman"/>
                      <w:color w:val="auto"/>
                      <w:lang w:val="en-US" w:eastAsia="zh-CN"/>
                    </w:rPr>
                    <w:t>3</w:t>
                  </w:r>
                </w:p>
              </w:tc>
              <w:tc>
                <w:tcPr>
                  <w:tcW w:w="1145" w:type="dxa"/>
                  <w:tcBorders>
                    <w:tl2br w:val="nil"/>
                    <w:tr2bl w:val="nil"/>
                  </w:tcBorders>
                  <w:tcMar>
                    <w:top w:w="0" w:type="dxa"/>
                    <w:left w:w="57" w:type="dxa"/>
                    <w:bottom w:w="0" w:type="dxa"/>
                    <w:right w:w="57" w:type="dxa"/>
                  </w:tcMar>
                  <w:vAlign w:val="center"/>
                </w:tcPr>
                <w:p w14:paraId="659F1945">
                  <w:pPr>
                    <w:pStyle w:val="35"/>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喷粉废气</w:t>
                  </w:r>
                </w:p>
              </w:tc>
              <w:tc>
                <w:tcPr>
                  <w:tcW w:w="1991" w:type="dxa"/>
                  <w:tcBorders>
                    <w:tl2br w:val="nil"/>
                    <w:tr2bl w:val="nil"/>
                  </w:tcBorders>
                  <w:tcMar>
                    <w:top w:w="0" w:type="dxa"/>
                    <w:left w:w="57" w:type="dxa"/>
                    <w:bottom w:w="0" w:type="dxa"/>
                    <w:right w:w="57" w:type="dxa"/>
                  </w:tcMar>
                  <w:vAlign w:val="center"/>
                </w:tcPr>
                <w:p w14:paraId="37164C30">
                  <w:pPr>
                    <w:pStyle w:val="35"/>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颗粒物</w:t>
                  </w:r>
                </w:p>
              </w:tc>
              <w:tc>
                <w:tcPr>
                  <w:tcW w:w="1337" w:type="dxa"/>
                  <w:tcBorders>
                    <w:tl2br w:val="nil"/>
                    <w:tr2bl w:val="nil"/>
                  </w:tcBorders>
                  <w:tcMar>
                    <w:top w:w="0" w:type="dxa"/>
                    <w:left w:w="57" w:type="dxa"/>
                    <w:bottom w:w="0" w:type="dxa"/>
                    <w:right w:w="57" w:type="dxa"/>
                  </w:tcMar>
                  <w:vAlign w:val="center"/>
                </w:tcPr>
                <w:p w14:paraId="2EFC3488">
                  <w:pPr>
                    <w:pStyle w:val="35"/>
                    <w:spacing w:before="3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106.3178793</w:t>
                  </w:r>
                </w:p>
              </w:tc>
              <w:tc>
                <w:tcPr>
                  <w:tcW w:w="1172" w:type="dxa"/>
                  <w:tcBorders>
                    <w:tl2br w:val="nil"/>
                    <w:tr2bl w:val="nil"/>
                  </w:tcBorders>
                  <w:tcMar>
                    <w:top w:w="0" w:type="dxa"/>
                    <w:left w:w="57" w:type="dxa"/>
                    <w:bottom w:w="0" w:type="dxa"/>
                    <w:right w:w="57" w:type="dxa"/>
                  </w:tcMar>
                  <w:vAlign w:val="center"/>
                </w:tcPr>
                <w:p w14:paraId="5D6F9B24">
                  <w:pPr>
                    <w:pStyle w:val="35"/>
                    <w:spacing w:before="3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29.324613</w:t>
                  </w:r>
                </w:p>
              </w:tc>
              <w:tc>
                <w:tcPr>
                  <w:tcW w:w="914" w:type="dxa"/>
                  <w:tcBorders>
                    <w:tl2br w:val="nil"/>
                    <w:tr2bl w:val="nil"/>
                  </w:tcBorders>
                  <w:tcMar>
                    <w:top w:w="0" w:type="dxa"/>
                    <w:left w:w="57" w:type="dxa"/>
                    <w:bottom w:w="0" w:type="dxa"/>
                    <w:right w:w="57" w:type="dxa"/>
                  </w:tcMar>
                  <w:vAlign w:val="center"/>
                </w:tcPr>
                <w:p w14:paraId="56C9C756">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886" w:type="dxa"/>
                  <w:tcBorders>
                    <w:tl2br w:val="nil"/>
                    <w:tr2bl w:val="nil"/>
                  </w:tcBorders>
                  <w:tcMar>
                    <w:top w:w="0" w:type="dxa"/>
                    <w:left w:w="57" w:type="dxa"/>
                    <w:bottom w:w="0" w:type="dxa"/>
                    <w:right w:w="57" w:type="dxa"/>
                  </w:tcMar>
                  <w:vAlign w:val="center"/>
                </w:tcPr>
                <w:p w14:paraId="52353F29">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983" w:type="dxa"/>
                  <w:tcBorders>
                    <w:tl2br w:val="nil"/>
                    <w:tr2bl w:val="nil"/>
                  </w:tcBorders>
                  <w:tcMar>
                    <w:top w:w="0" w:type="dxa"/>
                    <w:left w:w="57" w:type="dxa"/>
                    <w:bottom w:w="0" w:type="dxa"/>
                    <w:right w:w="57" w:type="dxa"/>
                  </w:tcMar>
                  <w:vAlign w:val="center"/>
                </w:tcPr>
                <w:p w14:paraId="209733E4">
                  <w:pPr>
                    <w:pStyle w:val="35"/>
                    <w:spacing w:before="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w:t>
                  </w:r>
                </w:p>
              </w:tc>
              <w:tc>
                <w:tcPr>
                  <w:tcW w:w="1240" w:type="dxa"/>
                  <w:tcBorders>
                    <w:tl2br w:val="nil"/>
                    <w:tr2bl w:val="nil"/>
                  </w:tcBorders>
                  <w:tcMar>
                    <w:top w:w="0" w:type="dxa"/>
                    <w:left w:w="57" w:type="dxa"/>
                    <w:bottom w:w="0" w:type="dxa"/>
                    <w:right w:w="57" w:type="dxa"/>
                  </w:tcMar>
                  <w:vAlign w:val="center"/>
                </w:tcPr>
                <w:p w14:paraId="4EBB9F59">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一般排放口</w:t>
                  </w:r>
                </w:p>
              </w:tc>
              <w:tc>
                <w:tcPr>
                  <w:tcW w:w="3073" w:type="dxa"/>
                  <w:tcBorders>
                    <w:tl2br w:val="nil"/>
                    <w:tr2bl w:val="nil"/>
                  </w:tcBorders>
                  <w:tcMar>
                    <w:top w:w="0" w:type="dxa"/>
                    <w:left w:w="57" w:type="dxa"/>
                    <w:bottom w:w="0" w:type="dxa"/>
                    <w:right w:w="57" w:type="dxa"/>
                  </w:tcMar>
                  <w:vAlign w:val="center"/>
                </w:tcPr>
                <w:p w14:paraId="03435259">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《大气污染物综合排放标准》（DB50/418-2016）</w:t>
                  </w:r>
                </w:p>
              </w:tc>
            </w:tr>
            <w:tr w14:paraId="15FFB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98" w:hRule="atLeast"/>
              </w:trPr>
              <w:tc>
                <w:tcPr>
                  <w:tcW w:w="917" w:type="dxa"/>
                  <w:vMerge w:val="restart"/>
                  <w:tcBorders>
                    <w:tl2br w:val="nil"/>
                    <w:tr2bl w:val="nil"/>
                  </w:tcBorders>
                  <w:tcMar>
                    <w:top w:w="0" w:type="dxa"/>
                    <w:left w:w="57" w:type="dxa"/>
                    <w:bottom w:w="0" w:type="dxa"/>
                    <w:right w:w="57" w:type="dxa"/>
                  </w:tcMar>
                  <w:vAlign w:val="center"/>
                </w:tcPr>
                <w:p w14:paraId="57A8A43B">
                  <w:pPr>
                    <w:pStyle w:val="35"/>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DA00</w:t>
                  </w:r>
                  <w:r>
                    <w:rPr>
                      <w:rFonts w:hint="eastAsia" w:ascii="Times New Roman" w:hAnsi="Times New Roman" w:eastAsia="宋体" w:cs="Times New Roman"/>
                      <w:color w:val="auto"/>
                      <w:lang w:val="en-US" w:eastAsia="zh-CN"/>
                    </w:rPr>
                    <w:t>4</w:t>
                  </w:r>
                </w:p>
              </w:tc>
              <w:tc>
                <w:tcPr>
                  <w:tcW w:w="1145" w:type="dxa"/>
                  <w:vMerge w:val="restart"/>
                  <w:tcBorders>
                    <w:tl2br w:val="nil"/>
                    <w:tr2bl w:val="nil"/>
                  </w:tcBorders>
                  <w:tcMar>
                    <w:top w:w="0" w:type="dxa"/>
                    <w:left w:w="57" w:type="dxa"/>
                    <w:bottom w:w="0" w:type="dxa"/>
                    <w:right w:w="57" w:type="dxa"/>
                  </w:tcMar>
                  <w:vAlign w:val="center"/>
                </w:tcPr>
                <w:p w14:paraId="41A35A24">
                  <w:pPr>
                    <w:pStyle w:val="35"/>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固化废气</w:t>
                  </w:r>
                </w:p>
              </w:tc>
              <w:tc>
                <w:tcPr>
                  <w:tcW w:w="1991" w:type="dxa"/>
                  <w:tcBorders>
                    <w:tl2br w:val="nil"/>
                    <w:tr2bl w:val="nil"/>
                  </w:tcBorders>
                  <w:tcMar>
                    <w:top w:w="0" w:type="dxa"/>
                    <w:left w:w="57" w:type="dxa"/>
                    <w:bottom w:w="0" w:type="dxa"/>
                    <w:right w:w="57" w:type="dxa"/>
                  </w:tcMar>
                  <w:vAlign w:val="center"/>
                </w:tcPr>
                <w:p w14:paraId="284E41C5">
                  <w:pPr>
                    <w:pStyle w:val="35"/>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非甲烷总烃</w:t>
                  </w:r>
                </w:p>
              </w:tc>
              <w:tc>
                <w:tcPr>
                  <w:tcW w:w="1337" w:type="dxa"/>
                  <w:vMerge w:val="restart"/>
                  <w:tcBorders>
                    <w:tl2br w:val="nil"/>
                    <w:tr2bl w:val="nil"/>
                  </w:tcBorders>
                  <w:tcMar>
                    <w:top w:w="0" w:type="dxa"/>
                    <w:left w:w="57" w:type="dxa"/>
                    <w:bottom w:w="0" w:type="dxa"/>
                    <w:right w:w="57" w:type="dxa"/>
                  </w:tcMar>
                  <w:vAlign w:val="center"/>
                </w:tcPr>
                <w:p w14:paraId="15750080">
                  <w:pPr>
                    <w:pStyle w:val="35"/>
                    <w:spacing w:before="3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106.3178096</w:t>
                  </w:r>
                </w:p>
              </w:tc>
              <w:tc>
                <w:tcPr>
                  <w:tcW w:w="1172" w:type="dxa"/>
                  <w:vMerge w:val="restart"/>
                  <w:tcBorders>
                    <w:tl2br w:val="nil"/>
                    <w:tr2bl w:val="nil"/>
                  </w:tcBorders>
                  <w:tcMar>
                    <w:top w:w="0" w:type="dxa"/>
                    <w:left w:w="57" w:type="dxa"/>
                    <w:bottom w:w="0" w:type="dxa"/>
                    <w:right w:w="57" w:type="dxa"/>
                  </w:tcMar>
                  <w:vAlign w:val="center"/>
                </w:tcPr>
                <w:p w14:paraId="5274DE25">
                  <w:pPr>
                    <w:pStyle w:val="35"/>
                    <w:spacing w:before="31"/>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29.324629</w:t>
                  </w:r>
                </w:p>
              </w:tc>
              <w:tc>
                <w:tcPr>
                  <w:tcW w:w="914" w:type="dxa"/>
                  <w:vMerge w:val="restart"/>
                  <w:tcBorders>
                    <w:tl2br w:val="nil"/>
                    <w:tr2bl w:val="nil"/>
                  </w:tcBorders>
                  <w:tcMar>
                    <w:top w:w="0" w:type="dxa"/>
                    <w:left w:w="57" w:type="dxa"/>
                    <w:bottom w:w="0" w:type="dxa"/>
                    <w:right w:w="57" w:type="dxa"/>
                  </w:tcMar>
                  <w:vAlign w:val="center"/>
                </w:tcPr>
                <w:p w14:paraId="12E6740A">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886" w:type="dxa"/>
                  <w:vMerge w:val="restart"/>
                  <w:tcBorders>
                    <w:tl2br w:val="nil"/>
                    <w:tr2bl w:val="nil"/>
                  </w:tcBorders>
                  <w:tcMar>
                    <w:top w:w="0" w:type="dxa"/>
                    <w:left w:w="57" w:type="dxa"/>
                    <w:bottom w:w="0" w:type="dxa"/>
                    <w:right w:w="57" w:type="dxa"/>
                  </w:tcMar>
                  <w:vAlign w:val="center"/>
                </w:tcPr>
                <w:p w14:paraId="39378663">
                  <w:pPr>
                    <w:pStyle w:val="35"/>
                    <w:spacing w:before="3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w:t>
                  </w:r>
                </w:p>
              </w:tc>
              <w:tc>
                <w:tcPr>
                  <w:tcW w:w="983" w:type="dxa"/>
                  <w:vMerge w:val="restart"/>
                  <w:tcBorders>
                    <w:tl2br w:val="nil"/>
                    <w:tr2bl w:val="nil"/>
                  </w:tcBorders>
                  <w:tcMar>
                    <w:top w:w="0" w:type="dxa"/>
                    <w:left w:w="57" w:type="dxa"/>
                    <w:bottom w:w="0" w:type="dxa"/>
                    <w:right w:w="57" w:type="dxa"/>
                  </w:tcMar>
                  <w:vAlign w:val="center"/>
                </w:tcPr>
                <w:p w14:paraId="24E585D9">
                  <w:pPr>
                    <w:pStyle w:val="35"/>
                    <w:spacing w:before="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w:t>
                  </w:r>
                </w:p>
              </w:tc>
              <w:tc>
                <w:tcPr>
                  <w:tcW w:w="1240" w:type="dxa"/>
                  <w:vMerge w:val="restart"/>
                  <w:tcBorders>
                    <w:tl2br w:val="nil"/>
                    <w:tr2bl w:val="nil"/>
                  </w:tcBorders>
                  <w:tcMar>
                    <w:top w:w="0" w:type="dxa"/>
                    <w:left w:w="57" w:type="dxa"/>
                    <w:bottom w:w="0" w:type="dxa"/>
                    <w:right w:w="57" w:type="dxa"/>
                  </w:tcMar>
                  <w:vAlign w:val="center"/>
                </w:tcPr>
                <w:p w14:paraId="6EEFBDBA">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一般排放口</w:t>
                  </w:r>
                </w:p>
              </w:tc>
              <w:tc>
                <w:tcPr>
                  <w:tcW w:w="3073" w:type="dxa"/>
                  <w:tcBorders>
                    <w:tl2br w:val="nil"/>
                    <w:tr2bl w:val="nil"/>
                  </w:tcBorders>
                  <w:tcMar>
                    <w:top w:w="0" w:type="dxa"/>
                    <w:left w:w="57" w:type="dxa"/>
                    <w:bottom w:w="0" w:type="dxa"/>
                    <w:right w:w="57" w:type="dxa"/>
                  </w:tcMar>
                  <w:vAlign w:val="center"/>
                </w:tcPr>
                <w:p w14:paraId="3BAB195A">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《摩托车及汽车配件制造表面涂装大气污染物排放标准》（DB50/660-2016）</w:t>
                  </w:r>
                </w:p>
              </w:tc>
            </w:tr>
            <w:tr w14:paraId="13DF8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vMerge w:val="continue"/>
                  <w:tcBorders>
                    <w:tl2br w:val="nil"/>
                    <w:tr2bl w:val="nil"/>
                  </w:tcBorders>
                  <w:tcMar>
                    <w:top w:w="0" w:type="dxa"/>
                    <w:left w:w="57" w:type="dxa"/>
                    <w:bottom w:w="0" w:type="dxa"/>
                    <w:right w:w="57" w:type="dxa"/>
                  </w:tcMar>
                  <w:vAlign w:val="center"/>
                </w:tcPr>
                <w:p w14:paraId="30BB0424">
                  <w:pPr>
                    <w:pStyle w:val="35"/>
                    <w:bidi w:val="0"/>
                    <w:jc w:val="center"/>
                    <w:rPr>
                      <w:rFonts w:hint="default" w:ascii="Times New Roman" w:hAnsi="Times New Roman" w:eastAsia="宋体" w:cs="Times New Roman"/>
                      <w:color w:val="auto"/>
                    </w:rPr>
                  </w:pPr>
                </w:p>
              </w:tc>
              <w:tc>
                <w:tcPr>
                  <w:tcW w:w="1145" w:type="dxa"/>
                  <w:vMerge w:val="continue"/>
                  <w:tcBorders>
                    <w:tl2br w:val="nil"/>
                    <w:tr2bl w:val="nil"/>
                  </w:tcBorders>
                  <w:tcMar>
                    <w:top w:w="0" w:type="dxa"/>
                    <w:left w:w="57" w:type="dxa"/>
                    <w:bottom w:w="0" w:type="dxa"/>
                    <w:right w:w="57" w:type="dxa"/>
                  </w:tcMar>
                  <w:vAlign w:val="center"/>
                </w:tcPr>
                <w:p w14:paraId="3B71093B">
                  <w:pPr>
                    <w:pStyle w:val="35"/>
                    <w:bidi w:val="0"/>
                    <w:jc w:val="center"/>
                    <w:rPr>
                      <w:rFonts w:hint="default" w:ascii="Times New Roman" w:hAnsi="Times New Roman" w:eastAsia="宋体" w:cs="Times New Roman"/>
                      <w:color w:val="auto"/>
                      <w:lang w:val="en-US" w:eastAsia="zh-CN"/>
                    </w:rPr>
                  </w:pPr>
                </w:p>
              </w:tc>
              <w:tc>
                <w:tcPr>
                  <w:tcW w:w="1991" w:type="dxa"/>
                  <w:tcBorders>
                    <w:tl2br w:val="nil"/>
                    <w:tr2bl w:val="nil"/>
                  </w:tcBorders>
                  <w:tcMar>
                    <w:top w:w="0" w:type="dxa"/>
                    <w:left w:w="57" w:type="dxa"/>
                    <w:bottom w:w="0" w:type="dxa"/>
                    <w:right w:w="57" w:type="dxa"/>
                  </w:tcMar>
                  <w:vAlign w:val="center"/>
                </w:tcPr>
                <w:p w14:paraId="3CB33E3E">
                  <w:pPr>
                    <w:pStyle w:val="35"/>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颗粒物、二氧化硫、氮氧化物</w:t>
                  </w:r>
                </w:p>
              </w:tc>
              <w:tc>
                <w:tcPr>
                  <w:tcW w:w="1337" w:type="dxa"/>
                  <w:vMerge w:val="continue"/>
                  <w:tcBorders>
                    <w:tl2br w:val="nil"/>
                    <w:tr2bl w:val="nil"/>
                  </w:tcBorders>
                  <w:tcMar>
                    <w:top w:w="0" w:type="dxa"/>
                    <w:left w:w="57" w:type="dxa"/>
                    <w:bottom w:w="0" w:type="dxa"/>
                    <w:right w:w="57" w:type="dxa"/>
                  </w:tcMar>
                  <w:vAlign w:val="center"/>
                </w:tcPr>
                <w:p w14:paraId="5719F61C">
                  <w:pPr>
                    <w:pStyle w:val="35"/>
                    <w:spacing w:before="31"/>
                    <w:rPr>
                      <w:rFonts w:hint="eastAsia" w:ascii="Times New Roman" w:hAnsi="Times New Roman" w:eastAsia="宋体" w:cs="Times New Roman"/>
                      <w:color w:val="auto"/>
                      <w:highlight w:val="none"/>
                      <w:lang w:val="en-US" w:eastAsia="zh-CN"/>
                    </w:rPr>
                  </w:pPr>
                </w:p>
              </w:tc>
              <w:tc>
                <w:tcPr>
                  <w:tcW w:w="1172" w:type="dxa"/>
                  <w:vMerge w:val="continue"/>
                  <w:tcBorders>
                    <w:tl2br w:val="nil"/>
                    <w:tr2bl w:val="nil"/>
                  </w:tcBorders>
                  <w:tcMar>
                    <w:top w:w="0" w:type="dxa"/>
                    <w:left w:w="57" w:type="dxa"/>
                    <w:bottom w:w="0" w:type="dxa"/>
                    <w:right w:w="57" w:type="dxa"/>
                  </w:tcMar>
                  <w:vAlign w:val="center"/>
                </w:tcPr>
                <w:p w14:paraId="213D933C">
                  <w:pPr>
                    <w:pStyle w:val="35"/>
                    <w:spacing w:before="31"/>
                    <w:rPr>
                      <w:rFonts w:hint="eastAsia" w:ascii="Times New Roman" w:hAnsi="Times New Roman" w:eastAsia="宋体" w:cs="Times New Roman"/>
                      <w:color w:val="auto"/>
                      <w:highlight w:val="none"/>
                      <w:lang w:val="en-US" w:eastAsia="zh-CN"/>
                    </w:rPr>
                  </w:pPr>
                </w:p>
              </w:tc>
              <w:tc>
                <w:tcPr>
                  <w:tcW w:w="914" w:type="dxa"/>
                  <w:vMerge w:val="continue"/>
                  <w:tcBorders>
                    <w:tl2br w:val="nil"/>
                    <w:tr2bl w:val="nil"/>
                  </w:tcBorders>
                  <w:tcMar>
                    <w:top w:w="0" w:type="dxa"/>
                    <w:left w:w="57" w:type="dxa"/>
                    <w:bottom w:w="0" w:type="dxa"/>
                    <w:right w:w="57" w:type="dxa"/>
                  </w:tcMar>
                  <w:vAlign w:val="center"/>
                </w:tcPr>
                <w:p w14:paraId="3B53D633">
                  <w:pPr>
                    <w:pStyle w:val="35"/>
                    <w:spacing w:before="31"/>
                    <w:rPr>
                      <w:rFonts w:hint="eastAsia" w:ascii="Times New Roman" w:hAnsi="Times New Roman" w:eastAsia="宋体" w:cs="Times New Roman"/>
                      <w:color w:val="auto"/>
                      <w:lang w:val="en-US" w:eastAsia="zh-CN"/>
                    </w:rPr>
                  </w:pPr>
                </w:p>
              </w:tc>
              <w:tc>
                <w:tcPr>
                  <w:tcW w:w="886" w:type="dxa"/>
                  <w:vMerge w:val="continue"/>
                  <w:tcBorders>
                    <w:tl2br w:val="nil"/>
                    <w:tr2bl w:val="nil"/>
                  </w:tcBorders>
                  <w:tcMar>
                    <w:top w:w="0" w:type="dxa"/>
                    <w:left w:w="57" w:type="dxa"/>
                    <w:bottom w:w="0" w:type="dxa"/>
                    <w:right w:w="57" w:type="dxa"/>
                  </w:tcMar>
                  <w:vAlign w:val="center"/>
                </w:tcPr>
                <w:p w14:paraId="4B533289">
                  <w:pPr>
                    <w:pStyle w:val="35"/>
                    <w:spacing w:before="31"/>
                    <w:rPr>
                      <w:rFonts w:hint="eastAsia" w:ascii="Times New Roman" w:hAnsi="Times New Roman" w:eastAsia="宋体" w:cs="Times New Roman"/>
                      <w:color w:val="auto"/>
                      <w:lang w:val="en-US" w:eastAsia="zh-CN"/>
                    </w:rPr>
                  </w:pPr>
                </w:p>
              </w:tc>
              <w:tc>
                <w:tcPr>
                  <w:tcW w:w="983" w:type="dxa"/>
                  <w:vMerge w:val="continue"/>
                  <w:tcBorders>
                    <w:tl2br w:val="nil"/>
                    <w:tr2bl w:val="nil"/>
                  </w:tcBorders>
                  <w:tcMar>
                    <w:top w:w="0" w:type="dxa"/>
                    <w:left w:w="57" w:type="dxa"/>
                    <w:bottom w:w="0" w:type="dxa"/>
                    <w:right w:w="57" w:type="dxa"/>
                  </w:tcMar>
                  <w:vAlign w:val="center"/>
                </w:tcPr>
                <w:p w14:paraId="55D5F8EE">
                  <w:pPr>
                    <w:pStyle w:val="35"/>
                    <w:spacing w:before="31"/>
                    <w:rPr>
                      <w:rFonts w:hint="default" w:ascii="Times New Roman" w:hAnsi="Times New Roman" w:eastAsia="宋体" w:cs="Times New Roman"/>
                      <w:color w:val="auto"/>
                      <w:lang w:val="en-US" w:eastAsia="zh-CN"/>
                    </w:rPr>
                  </w:pPr>
                </w:p>
              </w:tc>
              <w:tc>
                <w:tcPr>
                  <w:tcW w:w="1240" w:type="dxa"/>
                  <w:vMerge w:val="continue"/>
                  <w:tcBorders>
                    <w:tl2br w:val="nil"/>
                    <w:tr2bl w:val="nil"/>
                  </w:tcBorders>
                  <w:tcMar>
                    <w:top w:w="0" w:type="dxa"/>
                    <w:left w:w="57" w:type="dxa"/>
                    <w:bottom w:w="0" w:type="dxa"/>
                    <w:right w:w="57" w:type="dxa"/>
                  </w:tcMar>
                  <w:vAlign w:val="center"/>
                </w:tcPr>
                <w:p w14:paraId="2B12D2DA">
                  <w:pPr>
                    <w:pStyle w:val="35"/>
                    <w:spacing w:before="31"/>
                    <w:rPr>
                      <w:rFonts w:hint="default" w:ascii="Times New Roman" w:hAnsi="Times New Roman" w:eastAsia="宋体" w:cs="Times New Roman"/>
                      <w:color w:val="auto"/>
                    </w:rPr>
                  </w:pPr>
                </w:p>
              </w:tc>
              <w:tc>
                <w:tcPr>
                  <w:tcW w:w="3073" w:type="dxa"/>
                  <w:tcBorders>
                    <w:tl2br w:val="nil"/>
                    <w:tr2bl w:val="nil"/>
                  </w:tcBorders>
                  <w:tcMar>
                    <w:top w:w="0" w:type="dxa"/>
                    <w:left w:w="57" w:type="dxa"/>
                    <w:bottom w:w="0" w:type="dxa"/>
                    <w:right w:w="57" w:type="dxa"/>
                  </w:tcMar>
                  <w:vAlign w:val="center"/>
                </w:tcPr>
                <w:p w14:paraId="37AEECD8">
                  <w:pPr>
                    <w:pStyle w:val="35"/>
                    <w:spacing w:before="31"/>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《大气污染物综合排放标准》（DB50/418-2016）</w:t>
                  </w:r>
                </w:p>
              </w:tc>
            </w:tr>
          </w:tbl>
          <w:p w14:paraId="51E479D1">
            <w:pPr>
              <w:pStyle w:val="38"/>
              <w:spacing w:line="240" w:lineRule="auto"/>
              <w:ind w:firstLine="0" w:firstLineChars="0"/>
              <w:rPr>
                <w:color w:val="auto"/>
              </w:rPr>
            </w:pPr>
          </w:p>
        </w:tc>
      </w:tr>
    </w:tbl>
    <w:p w14:paraId="62947D41">
      <w:pPr>
        <w:pStyle w:val="20"/>
        <w:rPr>
          <w:rFonts w:hint="eastAsia"/>
          <w:lang w:val="en-US" w:eastAsia="zh-CN"/>
        </w:rPr>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22"/>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9"/>
        <w:gridCol w:w="8570"/>
      </w:tblGrid>
      <w:tr w14:paraId="0ED8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73" w:hRule="atLeast"/>
          <w:jc w:val="center"/>
        </w:trPr>
        <w:tc>
          <w:tcPr>
            <w:tcW w:w="322" w:type="pct"/>
            <w:tcMar>
              <w:left w:w="28" w:type="dxa"/>
              <w:right w:w="28" w:type="dxa"/>
            </w:tcMar>
            <w:vAlign w:val="center"/>
          </w:tcPr>
          <w:p w14:paraId="46A46476">
            <w:pPr>
              <w:pStyle w:val="43"/>
              <w:spacing w:before="93" w:after="93"/>
              <w:rPr>
                <w:rFonts w:cs="宋体"/>
                <w:b/>
                <w:bCs/>
                <w:color w:val="auto"/>
              </w:rPr>
            </w:pPr>
            <w:r>
              <w:rPr>
                <w:rFonts w:hint="eastAsia"/>
                <w:b/>
                <w:bCs/>
                <w:color w:val="auto"/>
              </w:rPr>
              <w:t>运营期环境影响和保护措施</w:t>
            </w:r>
          </w:p>
        </w:tc>
        <w:tc>
          <w:tcPr>
            <w:tcW w:w="4677" w:type="pct"/>
            <w:vAlign w:val="center"/>
          </w:tcPr>
          <w:p w14:paraId="66C28A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1）源强核算过程简述：</w:t>
            </w:r>
          </w:p>
          <w:p w14:paraId="574DC4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eastAsia" w:ascii="Times New Roman" w:hAnsi="Times New Roman" w:eastAsia="宋体" w:cs="宋体"/>
                <w:b w:val="0"/>
                <w:bCs w:val="0"/>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t>（</w:t>
            </w:r>
            <w:r>
              <w:rPr>
                <w:rFonts w:hint="eastAsia" w:ascii="Times New Roman" w:hAnsi="Times New Roman" w:eastAsia="宋体" w:cs="宋体"/>
                <w:b/>
                <w:bCs/>
                <w:color w:val="auto"/>
                <w:sz w:val="24"/>
                <w:szCs w:val="24"/>
                <w:highlight w:val="none"/>
                <w:lang w:val="en-US" w:eastAsia="zh-CN"/>
              </w:rPr>
              <w:t>1</w:t>
            </w:r>
            <w:r>
              <w:rPr>
                <w:rFonts w:hint="eastAsia" w:ascii="Times New Roman" w:hAnsi="Times New Roman" w:eastAsia="宋体" w:cs="宋体"/>
                <w:b/>
                <w:bCs/>
                <w:color w:val="auto"/>
                <w:sz w:val="24"/>
                <w:szCs w:val="24"/>
                <w:highlight w:val="none"/>
                <w:lang w:eastAsia="zh-CN"/>
              </w:rPr>
              <w:t>）</w:t>
            </w:r>
            <w:r>
              <w:rPr>
                <w:rFonts w:hint="eastAsia" w:ascii="Times New Roman" w:hAnsi="Times New Roman" w:eastAsia="宋体" w:cs="宋体"/>
                <w:b/>
                <w:bCs/>
                <w:color w:val="auto"/>
                <w:sz w:val="24"/>
                <w:szCs w:val="24"/>
                <w:highlight w:val="none"/>
                <w:lang w:val="en-US" w:eastAsia="zh-CN"/>
              </w:rPr>
              <w:t>抛丸废气（G1）</w:t>
            </w:r>
            <w:r>
              <w:rPr>
                <w:rFonts w:hint="eastAsia" w:ascii="Times New Roman" w:hAnsi="Times New Roman" w:eastAsia="宋体" w:cs="宋体"/>
                <w:b w:val="0"/>
                <w:bCs w:val="0"/>
                <w:color w:val="auto"/>
                <w:sz w:val="24"/>
                <w:szCs w:val="24"/>
                <w:highlight w:val="none"/>
                <w:lang w:eastAsia="zh-CN"/>
              </w:rPr>
              <w:t>：</w:t>
            </w:r>
          </w:p>
          <w:p w14:paraId="6D1AA4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使用2台抛丸机对冲焊件进行预处置，祛除工件表面杂质、提高工件表面光滑度，产生抛丸废气，主要污染物为颗粒物。扩建项目需抛丸处理工件10万件，项目工件较小，根据现有工程钢材使用量核算，抛丸工件重量约320t/a。根据设备产能匹配性分析，年工作时间1250h/a。污染物产生源强计算如下表所示。</w:t>
            </w:r>
          </w:p>
          <w:p w14:paraId="5786C80D">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项目抛丸废气</w:t>
            </w:r>
            <w:r>
              <w:rPr>
                <w:rFonts w:hint="default" w:ascii="Times New Roman" w:hAnsi="Times New Roman" w:eastAsia="宋体" w:cs="Times New Roman"/>
                <w:color w:val="auto"/>
                <w:sz w:val="24"/>
                <w:szCs w:val="24"/>
              </w:rPr>
              <w:t>源强计算表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9"/>
              <w:gridCol w:w="607"/>
              <w:gridCol w:w="633"/>
              <w:gridCol w:w="741"/>
              <w:gridCol w:w="928"/>
              <w:gridCol w:w="818"/>
              <w:gridCol w:w="3956"/>
            </w:tblGrid>
            <w:tr w14:paraId="6D7C1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55" w:type="pct"/>
                  <w:tcBorders>
                    <w:tl2br w:val="nil"/>
                    <w:tr2bl w:val="nil"/>
                  </w:tcBorders>
                  <w:vAlign w:val="center"/>
                </w:tcPr>
                <w:p w14:paraId="052FBC6C">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359" w:type="pct"/>
                  <w:tcBorders>
                    <w:tl2br w:val="nil"/>
                    <w:tr2bl w:val="nil"/>
                  </w:tcBorders>
                  <w:vAlign w:val="center"/>
                </w:tcPr>
                <w:p w14:paraId="6FDC8F6B">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374" w:type="pct"/>
                  <w:tcBorders>
                    <w:tl2br w:val="nil"/>
                    <w:tr2bl w:val="nil"/>
                  </w:tcBorders>
                  <w:vAlign w:val="center"/>
                </w:tcPr>
                <w:p w14:paraId="5B9D9B3A">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438" w:type="pct"/>
                  <w:tcBorders>
                    <w:tl2br w:val="nil"/>
                    <w:tr2bl w:val="nil"/>
                  </w:tcBorders>
                  <w:vAlign w:val="center"/>
                </w:tcPr>
                <w:p w14:paraId="1AE5FB20">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w:t>
                  </w:r>
                </w:p>
              </w:tc>
              <w:tc>
                <w:tcPr>
                  <w:tcW w:w="549" w:type="pct"/>
                  <w:tcBorders>
                    <w:tl2br w:val="nil"/>
                    <w:tr2bl w:val="nil"/>
                  </w:tcBorders>
                  <w:vAlign w:val="center"/>
                </w:tcPr>
                <w:p w14:paraId="7ABEA89E">
                  <w:pPr>
                    <w:pStyle w:val="35"/>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加工量</w:t>
                  </w:r>
                  <w:r>
                    <w:rPr>
                      <w:rFonts w:hint="default" w:ascii="Times New Roman" w:hAnsi="Times New Roman" w:eastAsia="宋体" w:cs="Times New Roman"/>
                      <w:b/>
                      <w:bCs/>
                      <w:color w:val="auto"/>
                      <w:lang w:val="en-US" w:eastAsia="zh-CN"/>
                    </w:rPr>
                    <w:br w:type="textWrapping"/>
                  </w:r>
                  <w:r>
                    <w:rPr>
                      <w:rFonts w:hint="default" w:ascii="Times New Roman" w:hAnsi="Times New Roman" w:eastAsia="宋体" w:cs="Times New Roman"/>
                      <w:b/>
                      <w:bCs/>
                      <w:color w:val="auto"/>
                    </w:rPr>
                    <w:t>t/a</w:t>
                  </w:r>
                </w:p>
              </w:tc>
              <w:tc>
                <w:tcPr>
                  <w:tcW w:w="484" w:type="pct"/>
                  <w:tcBorders>
                    <w:tl2br w:val="nil"/>
                    <w:tr2bl w:val="nil"/>
                  </w:tcBorders>
                  <w:vAlign w:val="center"/>
                </w:tcPr>
                <w:p w14:paraId="278A51BB">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产生量</w:t>
                  </w:r>
                  <w:r>
                    <w:rPr>
                      <w:rFonts w:hint="default" w:ascii="Times New Roman" w:hAnsi="Times New Roman" w:eastAsia="宋体" w:cs="Times New Roman"/>
                      <w:b/>
                      <w:bCs/>
                      <w:color w:val="auto"/>
                    </w:rPr>
                    <w:br w:type="textWrapping"/>
                  </w:r>
                  <w:r>
                    <w:rPr>
                      <w:rFonts w:hint="default" w:ascii="Times New Roman" w:hAnsi="Times New Roman" w:eastAsia="宋体" w:cs="Times New Roman"/>
                      <w:b/>
                      <w:bCs/>
                      <w:color w:val="auto"/>
                    </w:rPr>
                    <w:t>t/a</w:t>
                  </w:r>
                </w:p>
              </w:tc>
              <w:tc>
                <w:tcPr>
                  <w:tcW w:w="2339" w:type="pct"/>
                  <w:tcBorders>
                    <w:tl2br w:val="nil"/>
                    <w:tr2bl w:val="nil"/>
                  </w:tcBorders>
                  <w:vAlign w:val="center"/>
                </w:tcPr>
                <w:p w14:paraId="2FC48CCC">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产污系数来源</w:t>
                  </w:r>
                </w:p>
              </w:tc>
            </w:tr>
            <w:tr w14:paraId="4E4BA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5" w:type="pct"/>
                  <w:tcBorders>
                    <w:tl2br w:val="nil"/>
                    <w:tr2bl w:val="nil"/>
                  </w:tcBorders>
                  <w:vAlign w:val="center"/>
                </w:tcPr>
                <w:p w14:paraId="336AFAF9">
                  <w:pPr>
                    <w:pStyle w:val="35"/>
                    <w:bidi w:val="0"/>
                    <w:rPr>
                      <w:rFonts w:hint="default" w:ascii="Times New Roman" w:hAnsi="Times New Roman" w:cs="Times New Roman" w:eastAsiaTheme="minorEastAsia"/>
                      <w:color w:val="auto"/>
                      <w:lang w:eastAsia="zh-CN"/>
                    </w:rPr>
                  </w:pPr>
                  <w:r>
                    <w:rPr>
                      <w:rFonts w:hint="default" w:ascii="Times New Roman" w:hAnsi="Times New Roman" w:cs="Times New Roman"/>
                      <w:color w:val="auto"/>
                    </w:rPr>
                    <w:t>G</w:t>
                  </w:r>
                  <w:r>
                    <w:rPr>
                      <w:rFonts w:hint="default" w:ascii="Times New Roman" w:hAnsi="Times New Roman" w:cs="Times New Roman"/>
                      <w:color w:val="auto"/>
                      <w:lang w:val="en-US" w:eastAsia="zh-CN"/>
                    </w:rPr>
                    <w:t>1</w:t>
                  </w:r>
                </w:p>
              </w:tc>
              <w:tc>
                <w:tcPr>
                  <w:tcW w:w="359" w:type="pct"/>
                  <w:tcBorders>
                    <w:tl2br w:val="nil"/>
                    <w:tr2bl w:val="nil"/>
                  </w:tcBorders>
                  <w:vAlign w:val="center"/>
                </w:tcPr>
                <w:p w14:paraId="7A46F0A6">
                  <w:pPr>
                    <w:pStyle w:val="35"/>
                    <w:bidi w:val="0"/>
                    <w:rPr>
                      <w:rFonts w:hint="default" w:ascii="Times New Roman" w:hAnsi="Times New Roman" w:cs="Times New Roman"/>
                      <w:color w:val="auto"/>
                    </w:rPr>
                  </w:pPr>
                  <w:r>
                    <w:rPr>
                      <w:rFonts w:hint="default" w:ascii="Times New Roman" w:hAnsi="Times New Roman" w:cs="Times New Roman"/>
                      <w:color w:val="auto"/>
                    </w:rPr>
                    <w:t>抛丸废气</w:t>
                  </w:r>
                </w:p>
              </w:tc>
              <w:tc>
                <w:tcPr>
                  <w:tcW w:w="374" w:type="pct"/>
                  <w:tcBorders>
                    <w:tl2br w:val="nil"/>
                    <w:tr2bl w:val="nil"/>
                  </w:tcBorders>
                  <w:vAlign w:val="center"/>
                </w:tcPr>
                <w:p w14:paraId="5B7DEC39">
                  <w:pPr>
                    <w:pStyle w:val="35"/>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颗粒物</w:t>
                  </w:r>
                </w:p>
              </w:tc>
              <w:tc>
                <w:tcPr>
                  <w:tcW w:w="438" w:type="pct"/>
                  <w:tcBorders>
                    <w:tl2br w:val="nil"/>
                    <w:tr2bl w:val="nil"/>
                  </w:tcBorders>
                  <w:vAlign w:val="center"/>
                </w:tcPr>
                <w:p w14:paraId="608FC95E">
                  <w:pPr>
                    <w:pStyle w:val="35"/>
                    <w:bidi w:val="0"/>
                    <w:rPr>
                      <w:rFonts w:hint="default" w:ascii="Times New Roman" w:hAnsi="Times New Roman" w:cs="Times New Roman"/>
                      <w:color w:val="auto"/>
                    </w:rPr>
                  </w:pPr>
                  <w:r>
                    <w:rPr>
                      <w:rFonts w:hint="default" w:ascii="Times New Roman" w:hAnsi="Times New Roman" w:cs="Times New Roman"/>
                      <w:color w:val="auto"/>
                    </w:rPr>
                    <w:t>2.19千克/吨-原料</w:t>
                  </w:r>
                </w:p>
              </w:tc>
              <w:tc>
                <w:tcPr>
                  <w:tcW w:w="549" w:type="pct"/>
                  <w:tcBorders>
                    <w:tl2br w:val="nil"/>
                    <w:tr2bl w:val="nil"/>
                  </w:tcBorders>
                  <w:vAlign w:val="center"/>
                </w:tcPr>
                <w:p w14:paraId="09B79C80">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320</w:t>
                  </w:r>
                </w:p>
              </w:tc>
              <w:tc>
                <w:tcPr>
                  <w:tcW w:w="484" w:type="pct"/>
                  <w:tcBorders>
                    <w:tl2br w:val="nil"/>
                    <w:tr2bl w:val="nil"/>
                  </w:tcBorders>
                  <w:vAlign w:val="center"/>
                </w:tcPr>
                <w:p w14:paraId="28F98F3D">
                  <w:pPr>
                    <w:pStyle w:val="35"/>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0.7</w:t>
                  </w:r>
                </w:p>
              </w:tc>
              <w:tc>
                <w:tcPr>
                  <w:tcW w:w="2339" w:type="pct"/>
                  <w:tcBorders>
                    <w:tl2br w:val="nil"/>
                    <w:tr2bl w:val="nil"/>
                  </w:tcBorders>
                  <w:vAlign w:val="center"/>
                </w:tcPr>
                <w:p w14:paraId="20849451">
                  <w:pPr>
                    <w:pStyle w:val="35"/>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《排放源统计调查产排污核算方法和系数手册》中“机械行业系数手册”，预处理抛丸粉尘产生系数为2.19千克/吨-原料</w:t>
                  </w:r>
                </w:p>
              </w:tc>
            </w:tr>
          </w:tbl>
          <w:p w14:paraId="48B5C15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0" w:firstLineChars="200"/>
              <w:jc w:val="both"/>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抛丸废气分别经设备自带袋式除尘器处置后引入1根21m高排气筒DA002排放。抛丸机工作时较为密闭，废气收集效率以98%计，未收集污染物车间无组织排放。布袋除尘器处置效率按90%，风机风量15000m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/h。则抛丸废气排放情况如下表：</w:t>
            </w:r>
          </w:p>
          <w:p w14:paraId="013737C2">
            <w:pPr>
              <w:pStyle w:val="39"/>
              <w:spacing w:before="15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项目抛丸废气排放情况一览</w:t>
            </w:r>
            <w:r>
              <w:rPr>
                <w:rFonts w:hint="eastAsia" w:ascii="Times New Roman" w:hAnsi="Times New Roman" w:eastAsia="宋体" w:cs="Times New Roman"/>
                <w:color w:val="auto"/>
                <w:sz w:val="24"/>
                <w:szCs w:val="24"/>
              </w:rPr>
              <w:t>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6"/>
              <w:gridCol w:w="567"/>
              <w:gridCol w:w="810"/>
              <w:gridCol w:w="768"/>
              <w:gridCol w:w="689"/>
              <w:gridCol w:w="567"/>
              <w:gridCol w:w="689"/>
              <w:gridCol w:w="864"/>
              <w:gridCol w:w="662"/>
              <w:gridCol w:w="662"/>
              <w:gridCol w:w="716"/>
              <w:gridCol w:w="795"/>
            </w:tblGrid>
            <w:tr w14:paraId="518E3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4" w:type="pct"/>
                  <w:vMerge w:val="restart"/>
                  <w:tcBorders>
                    <w:tl2br w:val="nil"/>
                    <w:tr2bl w:val="nil"/>
                  </w:tcBorders>
                  <w:vAlign w:val="center"/>
                </w:tcPr>
                <w:p w14:paraId="3ED0B36C">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335" w:type="pct"/>
                  <w:vMerge w:val="restart"/>
                  <w:tcBorders>
                    <w:tl2br w:val="nil"/>
                    <w:tr2bl w:val="nil"/>
                  </w:tcBorders>
                  <w:vAlign w:val="center"/>
                </w:tcPr>
                <w:p w14:paraId="6E71B44C">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479" w:type="pct"/>
                  <w:vMerge w:val="restart"/>
                  <w:tcBorders>
                    <w:tl2br w:val="nil"/>
                    <w:tr2bl w:val="nil"/>
                  </w:tcBorders>
                  <w:vAlign w:val="center"/>
                </w:tcPr>
                <w:p w14:paraId="405C2D14">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排放时间</w:t>
                  </w:r>
                  <w:r>
                    <w:rPr>
                      <w:rFonts w:hint="default" w:ascii="Times New Roman" w:hAnsi="Times New Roman" w:cs="Times New Roman"/>
                      <w:b/>
                      <w:bCs/>
                      <w:color w:val="auto"/>
                    </w:rPr>
                    <w:t>h</w:t>
                  </w:r>
                  <w:r>
                    <w:rPr>
                      <w:rFonts w:hint="default" w:ascii="Times New Roman" w:hAnsi="Times New Roman" w:cs="Times New Roman"/>
                      <w:b/>
                      <w:bCs/>
                      <w:color w:val="auto"/>
                      <w:lang w:val="en-US" w:eastAsia="zh-CN"/>
                    </w:rPr>
                    <w:t>/a</w:t>
                  </w:r>
                </w:p>
              </w:tc>
              <w:tc>
                <w:tcPr>
                  <w:tcW w:w="454" w:type="pct"/>
                  <w:vMerge w:val="restart"/>
                  <w:tcBorders>
                    <w:tl2br w:val="nil"/>
                    <w:tr2bl w:val="nil"/>
                  </w:tcBorders>
                  <w:vAlign w:val="center"/>
                </w:tcPr>
                <w:p w14:paraId="1C7788F0">
                  <w:pPr>
                    <w:pStyle w:val="35"/>
                    <w:bidi w:val="0"/>
                    <w:rPr>
                      <w:rFonts w:hint="default" w:ascii="Times New Roman" w:hAnsi="Times New Roman" w:cs="Times New Roman"/>
                      <w:b/>
                      <w:bCs/>
                      <w:color w:val="auto"/>
                    </w:rPr>
                  </w:pPr>
                  <w:r>
                    <w:rPr>
                      <w:rFonts w:hint="default" w:ascii="Times New Roman" w:hAnsi="Times New Roman" w:cs="Times New Roman"/>
                      <w:b/>
                      <w:bCs/>
                      <w:color w:val="auto"/>
                    </w:rPr>
                    <w:t>产生量t/a</w:t>
                  </w:r>
                </w:p>
              </w:tc>
              <w:tc>
                <w:tcPr>
                  <w:tcW w:w="407" w:type="pct"/>
                  <w:vMerge w:val="restart"/>
                  <w:tcBorders>
                    <w:tl2br w:val="nil"/>
                    <w:tr2bl w:val="nil"/>
                  </w:tcBorders>
                  <w:vAlign w:val="center"/>
                </w:tcPr>
                <w:p w14:paraId="649BD625">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收集效率</w:t>
                  </w:r>
                </w:p>
              </w:tc>
              <w:tc>
                <w:tcPr>
                  <w:tcW w:w="335" w:type="pct"/>
                  <w:vMerge w:val="restart"/>
                  <w:tcBorders>
                    <w:tl2br w:val="nil"/>
                    <w:tr2bl w:val="nil"/>
                  </w:tcBorders>
                  <w:vAlign w:val="center"/>
                </w:tcPr>
                <w:p w14:paraId="25BCA74D">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处置效率</w:t>
                  </w:r>
                </w:p>
              </w:tc>
              <w:tc>
                <w:tcPr>
                  <w:tcW w:w="407" w:type="pct"/>
                  <w:vMerge w:val="restart"/>
                  <w:tcBorders>
                    <w:tl2br w:val="nil"/>
                    <w:tr2bl w:val="nil"/>
                  </w:tcBorders>
                  <w:vAlign w:val="center"/>
                </w:tcPr>
                <w:p w14:paraId="086F737B">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风量m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/h</w:t>
                  </w:r>
                </w:p>
              </w:tc>
              <w:tc>
                <w:tcPr>
                  <w:tcW w:w="511" w:type="pct"/>
                  <w:vMerge w:val="restart"/>
                  <w:tcBorders>
                    <w:tl2br w:val="nil"/>
                    <w:tr2bl w:val="nil"/>
                  </w:tcBorders>
                  <w:vAlign w:val="center"/>
                </w:tcPr>
                <w:p w14:paraId="1EDAB224">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无组织排放量</w:t>
                  </w:r>
                </w:p>
              </w:tc>
              <w:tc>
                <w:tcPr>
                  <w:tcW w:w="1205" w:type="pct"/>
                  <w:gridSpan w:val="3"/>
                  <w:tcBorders>
                    <w:tl2br w:val="nil"/>
                    <w:tr2bl w:val="nil"/>
                  </w:tcBorders>
                  <w:vAlign w:val="center"/>
                </w:tcPr>
                <w:p w14:paraId="316C2892">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有组织排放</w:t>
                  </w:r>
                </w:p>
              </w:tc>
              <w:tc>
                <w:tcPr>
                  <w:tcW w:w="470" w:type="pct"/>
                  <w:vMerge w:val="restart"/>
                  <w:tcBorders>
                    <w:tl2br w:val="nil"/>
                    <w:tr2bl w:val="nil"/>
                  </w:tcBorders>
                  <w:vAlign w:val="center"/>
                </w:tcPr>
                <w:p w14:paraId="2DF5D900">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排气筒编号</w:t>
                  </w:r>
                </w:p>
              </w:tc>
            </w:tr>
            <w:tr w14:paraId="1F0AE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8" w:hRule="atLeast"/>
                <w:jc w:val="center"/>
              </w:trPr>
              <w:tc>
                <w:tcPr>
                  <w:tcW w:w="394" w:type="pct"/>
                  <w:vMerge w:val="continue"/>
                  <w:tcBorders>
                    <w:tl2br w:val="nil"/>
                    <w:tr2bl w:val="nil"/>
                  </w:tcBorders>
                  <w:vAlign w:val="center"/>
                </w:tcPr>
                <w:p w14:paraId="3A42B1F8">
                  <w:pPr>
                    <w:pStyle w:val="35"/>
                    <w:bidi w:val="0"/>
                    <w:rPr>
                      <w:rFonts w:hint="default" w:ascii="Times New Roman" w:hAnsi="Times New Roman" w:cs="Times New Roman"/>
                      <w:color w:val="auto"/>
                    </w:rPr>
                  </w:pPr>
                </w:p>
              </w:tc>
              <w:tc>
                <w:tcPr>
                  <w:tcW w:w="335" w:type="pct"/>
                  <w:vMerge w:val="continue"/>
                  <w:tcBorders>
                    <w:tl2br w:val="nil"/>
                    <w:tr2bl w:val="nil"/>
                  </w:tcBorders>
                  <w:vAlign w:val="center"/>
                </w:tcPr>
                <w:p w14:paraId="1CC03D00">
                  <w:pPr>
                    <w:pStyle w:val="35"/>
                    <w:bidi w:val="0"/>
                    <w:rPr>
                      <w:rFonts w:hint="default" w:ascii="Times New Roman" w:hAnsi="Times New Roman" w:cs="Times New Roman"/>
                      <w:color w:val="auto"/>
                    </w:rPr>
                  </w:pPr>
                </w:p>
              </w:tc>
              <w:tc>
                <w:tcPr>
                  <w:tcW w:w="479" w:type="pct"/>
                  <w:vMerge w:val="continue"/>
                  <w:tcBorders>
                    <w:tl2br w:val="nil"/>
                    <w:tr2bl w:val="nil"/>
                  </w:tcBorders>
                  <w:vAlign w:val="center"/>
                </w:tcPr>
                <w:p w14:paraId="64ACF033">
                  <w:pPr>
                    <w:pStyle w:val="35"/>
                    <w:bidi w:val="0"/>
                    <w:rPr>
                      <w:rFonts w:hint="default" w:ascii="Times New Roman" w:hAnsi="Times New Roman" w:cs="Times New Roman"/>
                      <w:color w:val="auto"/>
                    </w:rPr>
                  </w:pPr>
                </w:p>
              </w:tc>
              <w:tc>
                <w:tcPr>
                  <w:tcW w:w="454" w:type="pct"/>
                  <w:vMerge w:val="continue"/>
                  <w:tcBorders>
                    <w:tl2br w:val="nil"/>
                    <w:tr2bl w:val="nil"/>
                  </w:tcBorders>
                  <w:vAlign w:val="center"/>
                </w:tcPr>
                <w:p w14:paraId="071F97BF">
                  <w:pPr>
                    <w:pStyle w:val="35"/>
                    <w:bidi w:val="0"/>
                    <w:rPr>
                      <w:rFonts w:hint="default" w:ascii="Times New Roman" w:hAnsi="Times New Roman" w:cs="Times New Roman"/>
                      <w:color w:val="auto"/>
                    </w:rPr>
                  </w:pPr>
                </w:p>
              </w:tc>
              <w:tc>
                <w:tcPr>
                  <w:tcW w:w="407" w:type="pct"/>
                  <w:vMerge w:val="continue"/>
                  <w:tcBorders>
                    <w:tl2br w:val="nil"/>
                    <w:tr2bl w:val="nil"/>
                  </w:tcBorders>
                  <w:vAlign w:val="center"/>
                </w:tcPr>
                <w:p w14:paraId="554F1D8A">
                  <w:pPr>
                    <w:pStyle w:val="35"/>
                    <w:bidi w:val="0"/>
                    <w:rPr>
                      <w:rFonts w:hint="default" w:ascii="Times New Roman" w:hAnsi="Times New Roman" w:cs="Times New Roman"/>
                      <w:color w:val="auto"/>
                    </w:rPr>
                  </w:pPr>
                </w:p>
              </w:tc>
              <w:tc>
                <w:tcPr>
                  <w:tcW w:w="335" w:type="pct"/>
                  <w:vMerge w:val="continue"/>
                  <w:tcBorders>
                    <w:tl2br w:val="nil"/>
                    <w:tr2bl w:val="nil"/>
                  </w:tcBorders>
                  <w:vAlign w:val="center"/>
                </w:tcPr>
                <w:p w14:paraId="0744D558">
                  <w:pPr>
                    <w:pStyle w:val="35"/>
                    <w:bidi w:val="0"/>
                    <w:rPr>
                      <w:rFonts w:hint="default" w:ascii="Times New Roman" w:hAnsi="Times New Roman" w:cs="Times New Roman"/>
                      <w:color w:val="auto"/>
                    </w:rPr>
                  </w:pPr>
                </w:p>
              </w:tc>
              <w:tc>
                <w:tcPr>
                  <w:tcW w:w="407" w:type="pct"/>
                  <w:vMerge w:val="continue"/>
                  <w:tcBorders>
                    <w:tl2br w:val="nil"/>
                    <w:tr2bl w:val="nil"/>
                  </w:tcBorders>
                  <w:vAlign w:val="center"/>
                </w:tcPr>
                <w:p w14:paraId="31555332">
                  <w:pPr>
                    <w:pStyle w:val="35"/>
                    <w:bidi w:val="0"/>
                    <w:rPr>
                      <w:rFonts w:hint="default" w:ascii="Times New Roman" w:hAnsi="Times New Roman" w:cs="Times New Roman"/>
                      <w:color w:val="auto"/>
                    </w:rPr>
                  </w:pPr>
                </w:p>
              </w:tc>
              <w:tc>
                <w:tcPr>
                  <w:tcW w:w="511" w:type="pct"/>
                  <w:vMerge w:val="continue"/>
                  <w:tcBorders>
                    <w:tl2br w:val="nil"/>
                    <w:tr2bl w:val="nil"/>
                  </w:tcBorders>
                  <w:vAlign w:val="center"/>
                </w:tcPr>
                <w:p w14:paraId="1B6B6FD2">
                  <w:pPr>
                    <w:pStyle w:val="35"/>
                    <w:bidi w:val="0"/>
                    <w:rPr>
                      <w:rFonts w:hint="default" w:ascii="Times New Roman" w:hAnsi="Times New Roman" w:cs="Times New Roman"/>
                      <w:color w:val="auto"/>
                    </w:rPr>
                  </w:pPr>
                </w:p>
              </w:tc>
              <w:tc>
                <w:tcPr>
                  <w:tcW w:w="391" w:type="pct"/>
                  <w:tcBorders>
                    <w:tl2br w:val="nil"/>
                    <w:tr2bl w:val="nil"/>
                  </w:tcBorders>
                  <w:vAlign w:val="center"/>
                </w:tcPr>
                <w:p w14:paraId="5065123C">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量t/a</w:t>
                  </w:r>
                </w:p>
              </w:tc>
              <w:tc>
                <w:tcPr>
                  <w:tcW w:w="391" w:type="pct"/>
                  <w:tcBorders>
                    <w:tl2br w:val="nil"/>
                    <w:tr2bl w:val="nil"/>
                  </w:tcBorders>
                  <w:vAlign w:val="center"/>
                </w:tcPr>
                <w:p w14:paraId="5074E5C6">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速率kg/h</w:t>
                  </w:r>
                </w:p>
              </w:tc>
              <w:tc>
                <w:tcPr>
                  <w:tcW w:w="423" w:type="pct"/>
                  <w:tcBorders>
                    <w:tl2br w:val="nil"/>
                    <w:tr2bl w:val="nil"/>
                  </w:tcBorders>
                  <w:vAlign w:val="center"/>
                </w:tcPr>
                <w:p w14:paraId="55F713B1">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浓度mg/m</w:t>
                  </w:r>
                  <w:r>
                    <w:rPr>
                      <w:rFonts w:hint="default" w:ascii="Times New Roman" w:hAnsi="Times New Roman" w:cs="Times New Roman"/>
                      <w:b/>
                      <w:bCs/>
                      <w:color w:val="auto"/>
                      <w:vertAlign w:val="superscript"/>
                    </w:rPr>
                    <w:t>3</w:t>
                  </w:r>
                </w:p>
              </w:tc>
              <w:tc>
                <w:tcPr>
                  <w:tcW w:w="470" w:type="pct"/>
                  <w:vMerge w:val="continue"/>
                  <w:tcBorders>
                    <w:tl2br w:val="nil"/>
                    <w:tr2bl w:val="nil"/>
                  </w:tcBorders>
                  <w:vAlign w:val="center"/>
                </w:tcPr>
                <w:p w14:paraId="76C8E053">
                  <w:pPr>
                    <w:pStyle w:val="35"/>
                    <w:bidi w:val="0"/>
                    <w:rPr>
                      <w:rFonts w:hint="default" w:ascii="Times New Roman" w:hAnsi="Times New Roman" w:cs="Times New Roman"/>
                      <w:color w:val="auto"/>
                      <w:lang w:val="en-US" w:eastAsia="zh-CN"/>
                    </w:rPr>
                  </w:pPr>
                </w:p>
              </w:tc>
            </w:tr>
            <w:tr w14:paraId="38C12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4" w:type="pct"/>
                  <w:tcBorders>
                    <w:tl2br w:val="nil"/>
                    <w:tr2bl w:val="nil"/>
                  </w:tcBorders>
                  <w:vAlign w:val="center"/>
                </w:tcPr>
                <w:p w14:paraId="1D511FC9">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抛丸废气</w:t>
                  </w:r>
                </w:p>
              </w:tc>
              <w:tc>
                <w:tcPr>
                  <w:tcW w:w="335" w:type="pct"/>
                  <w:tcBorders>
                    <w:tl2br w:val="nil"/>
                    <w:tr2bl w:val="nil"/>
                  </w:tcBorders>
                  <w:vAlign w:val="center"/>
                </w:tcPr>
                <w:p w14:paraId="43D586ED">
                  <w:pPr>
                    <w:pStyle w:val="35"/>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颗粒物</w:t>
                  </w:r>
                </w:p>
              </w:tc>
              <w:tc>
                <w:tcPr>
                  <w:tcW w:w="479" w:type="pct"/>
                  <w:tcBorders>
                    <w:tl2br w:val="nil"/>
                    <w:tr2bl w:val="nil"/>
                  </w:tcBorders>
                  <w:vAlign w:val="center"/>
                </w:tcPr>
                <w:p w14:paraId="205CA027">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1250</w:t>
                  </w:r>
                </w:p>
              </w:tc>
              <w:tc>
                <w:tcPr>
                  <w:tcW w:w="454" w:type="pct"/>
                  <w:tcBorders>
                    <w:tl2br w:val="nil"/>
                    <w:tr2bl w:val="nil"/>
                  </w:tcBorders>
                  <w:vAlign w:val="center"/>
                </w:tcPr>
                <w:p w14:paraId="407D69F9">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w:t>
                  </w:r>
                </w:p>
              </w:tc>
              <w:tc>
                <w:tcPr>
                  <w:tcW w:w="407" w:type="pct"/>
                  <w:tcBorders>
                    <w:tl2br w:val="nil"/>
                    <w:tr2bl w:val="nil"/>
                  </w:tcBorders>
                  <w:vAlign w:val="center"/>
                </w:tcPr>
                <w:p w14:paraId="768170C4">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98%</w:t>
                  </w:r>
                </w:p>
              </w:tc>
              <w:tc>
                <w:tcPr>
                  <w:tcW w:w="335" w:type="pct"/>
                  <w:tcBorders>
                    <w:tl2br w:val="nil"/>
                    <w:tr2bl w:val="nil"/>
                  </w:tcBorders>
                  <w:vAlign w:val="center"/>
                </w:tcPr>
                <w:p w14:paraId="5FFB99E7">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c>
                <w:tcPr>
                  <w:tcW w:w="407" w:type="pct"/>
                  <w:tcBorders>
                    <w:tl2br w:val="nil"/>
                    <w:tr2bl w:val="nil"/>
                  </w:tcBorders>
                  <w:vAlign w:val="center"/>
                </w:tcPr>
                <w:p w14:paraId="4F213870">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r>
                    <w:rPr>
                      <w:rFonts w:hint="default" w:ascii="Times New Roman" w:hAnsi="Times New Roman" w:cs="Times New Roman"/>
                      <w:color w:val="auto"/>
                      <w:lang w:val="en-US" w:eastAsia="zh-CN"/>
                    </w:rPr>
                    <w:t>000</w:t>
                  </w:r>
                </w:p>
              </w:tc>
              <w:tc>
                <w:tcPr>
                  <w:tcW w:w="511" w:type="pct"/>
                  <w:tcBorders>
                    <w:tl2br w:val="nil"/>
                    <w:tr2bl w:val="nil"/>
                  </w:tcBorders>
                  <w:vAlign w:val="center"/>
                </w:tcPr>
                <w:p w14:paraId="1DAAE30C">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w:t>
                  </w:r>
                </w:p>
              </w:tc>
              <w:tc>
                <w:tcPr>
                  <w:tcW w:w="391" w:type="pct"/>
                  <w:tcBorders>
                    <w:tl2br w:val="nil"/>
                    <w:tr2bl w:val="nil"/>
                  </w:tcBorders>
                  <w:vAlign w:val="center"/>
                </w:tcPr>
                <w:p w14:paraId="7047BDAF">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0.069</w:t>
                  </w:r>
                </w:p>
              </w:tc>
              <w:tc>
                <w:tcPr>
                  <w:tcW w:w="391" w:type="pct"/>
                  <w:tcBorders>
                    <w:tl2br w:val="nil"/>
                    <w:tr2bl w:val="nil"/>
                  </w:tcBorders>
                  <w:vAlign w:val="center"/>
                </w:tcPr>
                <w:p w14:paraId="2439A0FF">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0.055</w:t>
                  </w:r>
                </w:p>
              </w:tc>
              <w:tc>
                <w:tcPr>
                  <w:tcW w:w="423" w:type="pct"/>
                  <w:tcBorders>
                    <w:tl2br w:val="nil"/>
                    <w:tr2bl w:val="nil"/>
                  </w:tcBorders>
                  <w:vAlign w:val="center"/>
                </w:tcPr>
                <w:p w14:paraId="5A630E52">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3.66</w:t>
                  </w:r>
                </w:p>
              </w:tc>
              <w:tc>
                <w:tcPr>
                  <w:tcW w:w="470" w:type="pct"/>
                  <w:tcBorders>
                    <w:tl2br w:val="nil"/>
                    <w:tr2bl w:val="nil"/>
                  </w:tcBorders>
                  <w:vAlign w:val="center"/>
                </w:tcPr>
                <w:p w14:paraId="538F6C27">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w:t>
                  </w:r>
                  <w:r>
                    <w:rPr>
                      <w:rFonts w:hint="eastAsia" w:ascii="Times New Roman" w:hAnsi="Times New Roman" w:cs="Times New Roman"/>
                      <w:color w:val="auto"/>
                      <w:lang w:val="en-US" w:eastAsia="zh-CN"/>
                    </w:rPr>
                    <w:t>2</w:t>
                  </w:r>
                </w:p>
              </w:tc>
            </w:tr>
          </w:tbl>
          <w:p w14:paraId="6D1FE0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2" w:firstLineChars="200"/>
              <w:jc w:val="both"/>
              <w:textAlignment w:val="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（2）投料废气G2</w:t>
            </w:r>
          </w:p>
          <w:p w14:paraId="0A95C7B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0" w:firstLineChars="200"/>
              <w:jc w:val="both"/>
              <w:textAlignment w:val="auto"/>
              <w:rPr>
                <w:rFonts w:hint="default" w:ascii="Times New Roman" w:hAnsi="Times New Roman" w:eastAsia="宋体" w:cs="宋体"/>
                <w:b w:val="0"/>
                <w:bCs w:val="0"/>
                <w:color w:val="FF0000"/>
                <w:sz w:val="24"/>
                <w:szCs w:val="24"/>
                <w:highlight w:val="none"/>
                <w:lang w:val="en-US" w:eastAsia="zh-CN"/>
              </w:rPr>
            </w:pPr>
            <w:r>
              <w:rPr>
                <w:rFonts w:hint="eastAsia" w:ascii="Times New Roman" w:hAnsi="Times New Roman" w:eastAsia="宋体" w:cs="宋体"/>
                <w:b w:val="0"/>
                <w:bCs w:val="0"/>
                <w:color w:val="FF0000"/>
                <w:sz w:val="24"/>
                <w:szCs w:val="24"/>
                <w:highlight w:val="none"/>
                <w:lang w:val="en-US" w:eastAsia="zh-CN"/>
              </w:rPr>
              <w:t>项目塑料粉末开袋和落料过程中产生少量投料废气，塑粉投加的次数较少，主要采用泵送方式，因此投料粉尘产生量较少，厂区内无组织排放，本评价仅进行定量分析。</w:t>
            </w:r>
          </w:p>
          <w:p w14:paraId="514614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2" w:firstLineChars="200"/>
              <w:jc w:val="both"/>
              <w:textAlignment w:val="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（3）喷粉废气G3</w:t>
            </w:r>
          </w:p>
          <w:p w14:paraId="3587663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喷粉工序将工件放置在半密闭的喷塑房内（仅进出件处开口）由人工向工件进行喷塑，喷塑过程中塑粉附着率约为60%，产生喷粉废气，主要污染物为颗粒物。</w:t>
            </w:r>
            <w:r>
              <w:rPr>
                <w:rFonts w:hint="eastAsia" w:ascii="Times New Roman" w:hAnsi="Times New Roman" w:cs="Times New Roman"/>
                <w:color w:val="auto"/>
                <w:sz w:val="24"/>
                <w:szCs w:val="24"/>
                <w:lang w:eastAsia="zh-CN"/>
              </w:rPr>
              <w:t>喷粉工序共设置</w:t>
            </w:r>
            <w:r>
              <w:rPr>
                <w:rFonts w:hint="eastAsia" w:ascii="Times New Roman" w:hAnsi="Times New Roman" w:cs="Times New Roman"/>
                <w:color w:val="auto"/>
                <w:sz w:val="24"/>
                <w:szCs w:val="24"/>
                <w:lang w:val="en-US" w:eastAsia="zh-CN"/>
              </w:rPr>
              <w:t>4把（2用2备）喷枪，根据设备参数，每把喷枪的喷粉能力约为25g/min，根据原辅材料核算，项目粉末涂料用量为5.47t/a，则喷粉工序工作时间为1824h</w:t>
            </w:r>
            <w:r>
              <w:rPr>
                <w:rFonts w:hint="eastAsia" w:ascii="Times New Roman" w:hAnsi="Times New Roman" w:eastAsia="宋体" w:cs="宋体"/>
                <w:color w:val="auto"/>
                <w:sz w:val="24"/>
                <w:szCs w:val="24"/>
                <w:highlight w:val="none"/>
                <w:lang w:val="en-US" w:eastAsia="zh-CN"/>
              </w:rPr>
              <w:t>a。污染物产生源强计算如下表所示。</w:t>
            </w:r>
          </w:p>
          <w:p w14:paraId="57B4DC3E">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表4-</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SEQ 表4- \* ARABIC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项目喷粉废气</w:t>
            </w:r>
            <w:r>
              <w:rPr>
                <w:rFonts w:hint="eastAsia" w:ascii="Times New Roman" w:hAnsi="Times New Roman" w:eastAsia="宋体" w:cs="Times New Roman"/>
                <w:color w:val="auto"/>
                <w:sz w:val="24"/>
                <w:szCs w:val="24"/>
              </w:rPr>
              <w:t>源强计算表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0"/>
              <w:gridCol w:w="770"/>
              <w:gridCol w:w="743"/>
              <w:gridCol w:w="810"/>
              <w:gridCol w:w="810"/>
              <w:gridCol w:w="795"/>
              <w:gridCol w:w="3914"/>
            </w:tblGrid>
            <w:tr w14:paraId="3D3DD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1" w:type="pct"/>
                  <w:tcBorders>
                    <w:tl2br w:val="nil"/>
                    <w:tr2bl w:val="nil"/>
                  </w:tcBorders>
                  <w:vAlign w:val="center"/>
                </w:tcPr>
                <w:p w14:paraId="55363647">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455" w:type="pct"/>
                  <w:tcBorders>
                    <w:tl2br w:val="nil"/>
                    <w:tr2bl w:val="nil"/>
                  </w:tcBorders>
                  <w:vAlign w:val="center"/>
                </w:tcPr>
                <w:p w14:paraId="281952F4">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439" w:type="pct"/>
                  <w:tcBorders>
                    <w:tl2br w:val="nil"/>
                    <w:tr2bl w:val="nil"/>
                  </w:tcBorders>
                  <w:vAlign w:val="center"/>
                </w:tcPr>
                <w:p w14:paraId="6270BF6E">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479" w:type="pct"/>
                  <w:tcBorders>
                    <w:tl2br w:val="nil"/>
                    <w:tr2bl w:val="nil"/>
                  </w:tcBorders>
                  <w:vAlign w:val="center"/>
                </w:tcPr>
                <w:p w14:paraId="46146352">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w:t>
                  </w:r>
                </w:p>
              </w:tc>
              <w:tc>
                <w:tcPr>
                  <w:tcW w:w="479" w:type="pct"/>
                  <w:tcBorders>
                    <w:tl2br w:val="nil"/>
                    <w:tr2bl w:val="nil"/>
                  </w:tcBorders>
                  <w:vAlign w:val="center"/>
                </w:tcPr>
                <w:p w14:paraId="775D00CD">
                  <w:pPr>
                    <w:pStyle w:val="35"/>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耗量</w:t>
                  </w:r>
                  <w:r>
                    <w:rPr>
                      <w:rFonts w:hint="default" w:ascii="Times New Roman" w:hAnsi="Times New Roman" w:eastAsia="宋体" w:cs="Times New Roman"/>
                      <w:b/>
                      <w:bCs/>
                      <w:color w:val="auto"/>
                    </w:rPr>
                    <w:t>t/a</w:t>
                  </w:r>
                </w:p>
              </w:tc>
              <w:tc>
                <w:tcPr>
                  <w:tcW w:w="470" w:type="pct"/>
                  <w:tcBorders>
                    <w:tl2br w:val="nil"/>
                    <w:tr2bl w:val="nil"/>
                  </w:tcBorders>
                  <w:vAlign w:val="center"/>
                </w:tcPr>
                <w:p w14:paraId="4AA7104F">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产生量</w:t>
                  </w:r>
                  <w:r>
                    <w:rPr>
                      <w:rFonts w:hint="default" w:ascii="Times New Roman" w:hAnsi="Times New Roman" w:eastAsia="宋体" w:cs="Times New Roman"/>
                      <w:b/>
                      <w:bCs/>
                      <w:color w:val="auto"/>
                    </w:rPr>
                    <w:br w:type="textWrapping"/>
                  </w:r>
                  <w:r>
                    <w:rPr>
                      <w:rFonts w:hint="default" w:ascii="Times New Roman" w:hAnsi="Times New Roman" w:eastAsia="宋体" w:cs="Times New Roman"/>
                      <w:b/>
                      <w:bCs/>
                      <w:color w:val="auto"/>
                    </w:rPr>
                    <w:t>t/a</w:t>
                  </w:r>
                </w:p>
              </w:tc>
              <w:tc>
                <w:tcPr>
                  <w:tcW w:w="2314" w:type="pct"/>
                  <w:tcBorders>
                    <w:tl2br w:val="nil"/>
                    <w:tr2bl w:val="nil"/>
                  </w:tcBorders>
                  <w:vAlign w:val="center"/>
                </w:tcPr>
                <w:p w14:paraId="5FFB2063">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产污系数来源</w:t>
                  </w:r>
                </w:p>
              </w:tc>
            </w:tr>
            <w:tr w14:paraId="01C8E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1" w:type="pct"/>
                  <w:tcBorders>
                    <w:tl2br w:val="nil"/>
                    <w:tr2bl w:val="nil"/>
                  </w:tcBorders>
                  <w:vAlign w:val="center"/>
                </w:tcPr>
                <w:p w14:paraId="4641B889">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G</w:t>
                  </w:r>
                  <w:r>
                    <w:rPr>
                      <w:rFonts w:hint="default" w:ascii="Times New Roman" w:hAnsi="Times New Roman" w:eastAsia="宋体" w:cs="Times New Roman"/>
                      <w:color w:val="auto"/>
                      <w:lang w:val="en-US" w:eastAsia="zh-CN"/>
                    </w:rPr>
                    <w:t>2</w:t>
                  </w:r>
                </w:p>
              </w:tc>
              <w:tc>
                <w:tcPr>
                  <w:tcW w:w="455" w:type="pct"/>
                  <w:tcBorders>
                    <w:tl2br w:val="nil"/>
                    <w:tr2bl w:val="nil"/>
                  </w:tcBorders>
                  <w:vAlign w:val="center"/>
                </w:tcPr>
                <w:p w14:paraId="6BAD2C35">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喷粉废气</w:t>
                  </w:r>
                </w:p>
              </w:tc>
              <w:tc>
                <w:tcPr>
                  <w:tcW w:w="439" w:type="pct"/>
                  <w:tcBorders>
                    <w:tl2br w:val="nil"/>
                    <w:tr2bl w:val="nil"/>
                  </w:tcBorders>
                  <w:vAlign w:val="center"/>
                </w:tcPr>
                <w:p w14:paraId="0D89D723">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479" w:type="pct"/>
                  <w:tcBorders>
                    <w:tl2br w:val="nil"/>
                    <w:tr2bl w:val="nil"/>
                  </w:tcBorders>
                  <w:vAlign w:val="center"/>
                </w:tcPr>
                <w:p w14:paraId="5797379E">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300kg/t-原料</w:t>
                  </w:r>
                </w:p>
              </w:tc>
              <w:tc>
                <w:tcPr>
                  <w:tcW w:w="479" w:type="pct"/>
                  <w:tcBorders>
                    <w:tl2br w:val="nil"/>
                    <w:tr2bl w:val="nil"/>
                  </w:tcBorders>
                  <w:vAlign w:val="center"/>
                </w:tcPr>
                <w:p w14:paraId="74415CB7">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5.47</w:t>
                  </w:r>
                </w:p>
              </w:tc>
              <w:tc>
                <w:tcPr>
                  <w:tcW w:w="470" w:type="pct"/>
                  <w:tcBorders>
                    <w:tl2br w:val="nil"/>
                    <w:tr2bl w:val="nil"/>
                  </w:tcBorders>
                  <w:vAlign w:val="center"/>
                </w:tcPr>
                <w:p w14:paraId="56BB48FF">
                  <w:pPr>
                    <w:pStyle w:val="35"/>
                    <w:bidi w:val="0"/>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1.641</w:t>
                  </w:r>
                </w:p>
              </w:tc>
              <w:tc>
                <w:tcPr>
                  <w:tcW w:w="2314" w:type="pct"/>
                  <w:tcBorders>
                    <w:tl2br w:val="nil"/>
                    <w:tr2bl w:val="nil"/>
                  </w:tcBorders>
                  <w:vAlign w:val="center"/>
                </w:tcPr>
                <w:p w14:paraId="062B6EE8">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《排放源统计调查产排污核算方法和系数手册》中</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机械行业系数手册</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，涂装喷塑工序颗粒物产生系数为300kg/t-原料</w:t>
                  </w:r>
                </w:p>
              </w:tc>
            </w:tr>
          </w:tbl>
          <w:p w14:paraId="03D26C7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喷粉室是半封闭的、不易积聚粉末的、具有良好机械通风不外逸粉末并设有回收装置的专门用于粉末静电喷涂的室体，底部自带吸口，收集效率可达95%，未收集污染物车间无组织排放。通过设备自带塑粉回收系统，将未附着的塑粉分别收集至喷粉线自带的滤筒除尘器回收，回收率约为80%，由1根21m高排气筒DA003排放，喷粉设置自带风机风量8000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/h，则喷粉废气排放情况如下表：</w:t>
            </w:r>
          </w:p>
          <w:p w14:paraId="48813DB6">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项目喷粉废气排放情况一览</w:t>
            </w:r>
            <w:r>
              <w:rPr>
                <w:rFonts w:hint="eastAsia" w:ascii="Times New Roman" w:hAnsi="Times New Roman" w:eastAsia="宋体" w:cs="Times New Roman"/>
                <w:color w:val="auto"/>
                <w:sz w:val="24"/>
                <w:szCs w:val="24"/>
              </w:rPr>
              <w:t>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5"/>
              <w:gridCol w:w="567"/>
              <w:gridCol w:w="811"/>
              <w:gridCol w:w="768"/>
              <w:gridCol w:w="689"/>
              <w:gridCol w:w="567"/>
              <w:gridCol w:w="689"/>
              <w:gridCol w:w="861"/>
              <w:gridCol w:w="654"/>
              <w:gridCol w:w="659"/>
              <w:gridCol w:w="729"/>
              <w:gridCol w:w="796"/>
            </w:tblGrid>
            <w:tr w14:paraId="2F23D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3" w:type="pct"/>
                  <w:vMerge w:val="restart"/>
                  <w:tcBorders>
                    <w:tl2br w:val="nil"/>
                    <w:tr2bl w:val="nil"/>
                  </w:tcBorders>
                  <w:vAlign w:val="center"/>
                </w:tcPr>
                <w:p w14:paraId="7A77FC92">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335" w:type="pct"/>
                  <w:vMerge w:val="restart"/>
                  <w:tcBorders>
                    <w:tl2br w:val="nil"/>
                    <w:tr2bl w:val="nil"/>
                  </w:tcBorders>
                  <w:vAlign w:val="center"/>
                </w:tcPr>
                <w:p w14:paraId="3B66E019">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479" w:type="pct"/>
                  <w:vMerge w:val="restart"/>
                  <w:tcBorders>
                    <w:tl2br w:val="nil"/>
                    <w:tr2bl w:val="nil"/>
                  </w:tcBorders>
                  <w:vAlign w:val="center"/>
                </w:tcPr>
                <w:p w14:paraId="56E583ED">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排放时间</w:t>
                  </w:r>
                  <w:r>
                    <w:rPr>
                      <w:rFonts w:hint="default" w:ascii="Times New Roman" w:hAnsi="Times New Roman" w:cs="Times New Roman"/>
                      <w:b/>
                      <w:bCs/>
                      <w:color w:val="auto"/>
                    </w:rPr>
                    <w:t>h</w:t>
                  </w:r>
                  <w:r>
                    <w:rPr>
                      <w:rFonts w:hint="default" w:ascii="Times New Roman" w:hAnsi="Times New Roman" w:cs="Times New Roman"/>
                      <w:b/>
                      <w:bCs/>
                      <w:color w:val="auto"/>
                      <w:lang w:val="en-US" w:eastAsia="zh-CN"/>
                    </w:rPr>
                    <w:t>/a</w:t>
                  </w:r>
                </w:p>
              </w:tc>
              <w:tc>
                <w:tcPr>
                  <w:tcW w:w="454" w:type="pct"/>
                  <w:vMerge w:val="restart"/>
                  <w:tcBorders>
                    <w:tl2br w:val="nil"/>
                    <w:tr2bl w:val="nil"/>
                  </w:tcBorders>
                  <w:vAlign w:val="center"/>
                </w:tcPr>
                <w:p w14:paraId="6A5A3520">
                  <w:pPr>
                    <w:pStyle w:val="35"/>
                    <w:bidi w:val="0"/>
                    <w:rPr>
                      <w:rFonts w:hint="default" w:ascii="Times New Roman" w:hAnsi="Times New Roman" w:cs="Times New Roman"/>
                      <w:b/>
                      <w:bCs/>
                      <w:color w:val="auto"/>
                    </w:rPr>
                  </w:pPr>
                  <w:r>
                    <w:rPr>
                      <w:rFonts w:hint="default" w:ascii="Times New Roman" w:hAnsi="Times New Roman" w:cs="Times New Roman"/>
                      <w:b/>
                      <w:bCs/>
                      <w:color w:val="auto"/>
                    </w:rPr>
                    <w:t>产生量t/a</w:t>
                  </w:r>
                </w:p>
              </w:tc>
              <w:tc>
                <w:tcPr>
                  <w:tcW w:w="407" w:type="pct"/>
                  <w:vMerge w:val="restart"/>
                  <w:tcBorders>
                    <w:tl2br w:val="nil"/>
                    <w:tr2bl w:val="nil"/>
                  </w:tcBorders>
                  <w:vAlign w:val="center"/>
                </w:tcPr>
                <w:p w14:paraId="30706B59">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收集效率</w:t>
                  </w:r>
                </w:p>
              </w:tc>
              <w:tc>
                <w:tcPr>
                  <w:tcW w:w="335" w:type="pct"/>
                  <w:vMerge w:val="restart"/>
                  <w:tcBorders>
                    <w:tl2br w:val="nil"/>
                    <w:tr2bl w:val="nil"/>
                  </w:tcBorders>
                  <w:vAlign w:val="center"/>
                </w:tcPr>
                <w:p w14:paraId="10F1D162">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处置效率</w:t>
                  </w:r>
                </w:p>
              </w:tc>
              <w:tc>
                <w:tcPr>
                  <w:tcW w:w="407" w:type="pct"/>
                  <w:vMerge w:val="restart"/>
                  <w:tcBorders>
                    <w:tl2br w:val="nil"/>
                    <w:tr2bl w:val="nil"/>
                  </w:tcBorders>
                  <w:vAlign w:val="center"/>
                </w:tcPr>
                <w:p w14:paraId="1B0798C1">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风量m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/h</w:t>
                  </w:r>
                </w:p>
              </w:tc>
              <w:tc>
                <w:tcPr>
                  <w:tcW w:w="509" w:type="pct"/>
                  <w:vMerge w:val="restart"/>
                  <w:tcBorders>
                    <w:tl2br w:val="nil"/>
                    <w:tr2bl w:val="nil"/>
                  </w:tcBorders>
                  <w:vAlign w:val="center"/>
                </w:tcPr>
                <w:p w14:paraId="4F4C19D4">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无组织排放量</w:t>
                  </w:r>
                </w:p>
              </w:tc>
              <w:tc>
                <w:tcPr>
                  <w:tcW w:w="1207" w:type="pct"/>
                  <w:gridSpan w:val="3"/>
                  <w:tcBorders>
                    <w:tl2br w:val="nil"/>
                    <w:tr2bl w:val="nil"/>
                  </w:tcBorders>
                  <w:vAlign w:val="center"/>
                </w:tcPr>
                <w:p w14:paraId="143674E5">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有组织排放</w:t>
                  </w:r>
                </w:p>
              </w:tc>
              <w:tc>
                <w:tcPr>
                  <w:tcW w:w="470" w:type="pct"/>
                  <w:vMerge w:val="restart"/>
                  <w:tcBorders>
                    <w:tl2br w:val="nil"/>
                    <w:tr2bl w:val="nil"/>
                  </w:tcBorders>
                  <w:vAlign w:val="center"/>
                </w:tcPr>
                <w:p w14:paraId="2F33DD69">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排气筒编号</w:t>
                  </w:r>
                </w:p>
              </w:tc>
            </w:tr>
            <w:tr w14:paraId="3E9D7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8" w:hRule="atLeast"/>
                <w:jc w:val="center"/>
              </w:trPr>
              <w:tc>
                <w:tcPr>
                  <w:tcW w:w="393" w:type="pct"/>
                  <w:vMerge w:val="continue"/>
                  <w:tcBorders>
                    <w:tl2br w:val="nil"/>
                    <w:tr2bl w:val="nil"/>
                  </w:tcBorders>
                  <w:vAlign w:val="center"/>
                </w:tcPr>
                <w:p w14:paraId="027F541E">
                  <w:pPr>
                    <w:pStyle w:val="35"/>
                    <w:bidi w:val="0"/>
                    <w:rPr>
                      <w:rFonts w:hint="default" w:ascii="Times New Roman" w:hAnsi="Times New Roman" w:cs="Times New Roman"/>
                      <w:color w:val="auto"/>
                    </w:rPr>
                  </w:pPr>
                </w:p>
              </w:tc>
              <w:tc>
                <w:tcPr>
                  <w:tcW w:w="335" w:type="pct"/>
                  <w:vMerge w:val="continue"/>
                  <w:tcBorders>
                    <w:tl2br w:val="nil"/>
                    <w:tr2bl w:val="nil"/>
                  </w:tcBorders>
                  <w:vAlign w:val="center"/>
                </w:tcPr>
                <w:p w14:paraId="0A446C7B">
                  <w:pPr>
                    <w:pStyle w:val="35"/>
                    <w:bidi w:val="0"/>
                    <w:rPr>
                      <w:rFonts w:hint="default" w:ascii="Times New Roman" w:hAnsi="Times New Roman" w:cs="Times New Roman"/>
                      <w:color w:val="auto"/>
                    </w:rPr>
                  </w:pPr>
                </w:p>
              </w:tc>
              <w:tc>
                <w:tcPr>
                  <w:tcW w:w="479" w:type="pct"/>
                  <w:vMerge w:val="continue"/>
                  <w:tcBorders>
                    <w:tl2br w:val="nil"/>
                    <w:tr2bl w:val="nil"/>
                  </w:tcBorders>
                  <w:vAlign w:val="center"/>
                </w:tcPr>
                <w:p w14:paraId="1D4489B9">
                  <w:pPr>
                    <w:pStyle w:val="35"/>
                    <w:bidi w:val="0"/>
                    <w:rPr>
                      <w:rFonts w:hint="default" w:ascii="Times New Roman" w:hAnsi="Times New Roman" w:cs="Times New Roman"/>
                      <w:color w:val="auto"/>
                    </w:rPr>
                  </w:pPr>
                </w:p>
              </w:tc>
              <w:tc>
                <w:tcPr>
                  <w:tcW w:w="454" w:type="pct"/>
                  <w:vMerge w:val="continue"/>
                  <w:tcBorders>
                    <w:tl2br w:val="nil"/>
                    <w:tr2bl w:val="nil"/>
                  </w:tcBorders>
                  <w:vAlign w:val="center"/>
                </w:tcPr>
                <w:p w14:paraId="23C7CE28">
                  <w:pPr>
                    <w:pStyle w:val="35"/>
                    <w:bidi w:val="0"/>
                    <w:rPr>
                      <w:rFonts w:hint="default" w:ascii="Times New Roman" w:hAnsi="Times New Roman" w:cs="Times New Roman"/>
                      <w:color w:val="auto"/>
                    </w:rPr>
                  </w:pPr>
                </w:p>
              </w:tc>
              <w:tc>
                <w:tcPr>
                  <w:tcW w:w="407" w:type="pct"/>
                  <w:vMerge w:val="continue"/>
                  <w:tcBorders>
                    <w:tl2br w:val="nil"/>
                    <w:tr2bl w:val="nil"/>
                  </w:tcBorders>
                  <w:vAlign w:val="center"/>
                </w:tcPr>
                <w:p w14:paraId="68FE5EB3">
                  <w:pPr>
                    <w:pStyle w:val="35"/>
                    <w:bidi w:val="0"/>
                    <w:rPr>
                      <w:rFonts w:hint="default" w:ascii="Times New Roman" w:hAnsi="Times New Roman" w:cs="Times New Roman"/>
                      <w:color w:val="auto"/>
                    </w:rPr>
                  </w:pPr>
                </w:p>
              </w:tc>
              <w:tc>
                <w:tcPr>
                  <w:tcW w:w="335" w:type="pct"/>
                  <w:vMerge w:val="continue"/>
                  <w:tcBorders>
                    <w:tl2br w:val="nil"/>
                    <w:tr2bl w:val="nil"/>
                  </w:tcBorders>
                  <w:vAlign w:val="center"/>
                </w:tcPr>
                <w:p w14:paraId="7EF774F1">
                  <w:pPr>
                    <w:pStyle w:val="35"/>
                    <w:bidi w:val="0"/>
                    <w:rPr>
                      <w:rFonts w:hint="default" w:ascii="Times New Roman" w:hAnsi="Times New Roman" w:cs="Times New Roman"/>
                      <w:color w:val="auto"/>
                    </w:rPr>
                  </w:pPr>
                </w:p>
              </w:tc>
              <w:tc>
                <w:tcPr>
                  <w:tcW w:w="407" w:type="pct"/>
                  <w:vMerge w:val="continue"/>
                  <w:tcBorders>
                    <w:tl2br w:val="nil"/>
                    <w:tr2bl w:val="nil"/>
                  </w:tcBorders>
                  <w:vAlign w:val="center"/>
                </w:tcPr>
                <w:p w14:paraId="7DC76025">
                  <w:pPr>
                    <w:pStyle w:val="35"/>
                    <w:bidi w:val="0"/>
                    <w:rPr>
                      <w:rFonts w:hint="default" w:ascii="Times New Roman" w:hAnsi="Times New Roman" w:cs="Times New Roman"/>
                      <w:color w:val="auto"/>
                    </w:rPr>
                  </w:pPr>
                </w:p>
              </w:tc>
              <w:tc>
                <w:tcPr>
                  <w:tcW w:w="509" w:type="pct"/>
                  <w:vMerge w:val="continue"/>
                  <w:tcBorders>
                    <w:tl2br w:val="nil"/>
                    <w:tr2bl w:val="nil"/>
                  </w:tcBorders>
                  <w:vAlign w:val="center"/>
                </w:tcPr>
                <w:p w14:paraId="19331E01">
                  <w:pPr>
                    <w:pStyle w:val="35"/>
                    <w:bidi w:val="0"/>
                    <w:rPr>
                      <w:rFonts w:hint="default" w:ascii="Times New Roman" w:hAnsi="Times New Roman" w:cs="Times New Roman"/>
                      <w:color w:val="auto"/>
                    </w:rPr>
                  </w:pPr>
                </w:p>
              </w:tc>
              <w:tc>
                <w:tcPr>
                  <w:tcW w:w="392" w:type="pct"/>
                  <w:tcBorders>
                    <w:tl2br w:val="nil"/>
                    <w:tr2bl w:val="nil"/>
                  </w:tcBorders>
                  <w:vAlign w:val="center"/>
                </w:tcPr>
                <w:p w14:paraId="55F2A95D">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量t/a</w:t>
                  </w:r>
                </w:p>
              </w:tc>
              <w:tc>
                <w:tcPr>
                  <w:tcW w:w="390" w:type="pct"/>
                  <w:tcBorders>
                    <w:tl2br w:val="nil"/>
                    <w:tr2bl w:val="nil"/>
                  </w:tcBorders>
                  <w:vAlign w:val="center"/>
                </w:tcPr>
                <w:p w14:paraId="7824A1FF">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速率kg/h</w:t>
                  </w:r>
                </w:p>
              </w:tc>
              <w:tc>
                <w:tcPr>
                  <w:tcW w:w="425" w:type="pct"/>
                  <w:tcBorders>
                    <w:tl2br w:val="nil"/>
                    <w:tr2bl w:val="nil"/>
                  </w:tcBorders>
                  <w:vAlign w:val="center"/>
                </w:tcPr>
                <w:p w14:paraId="4F10DEFA">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浓度mg/m</w:t>
                  </w:r>
                  <w:r>
                    <w:rPr>
                      <w:rFonts w:hint="default" w:ascii="Times New Roman" w:hAnsi="Times New Roman" w:cs="Times New Roman"/>
                      <w:b/>
                      <w:bCs/>
                      <w:color w:val="auto"/>
                      <w:vertAlign w:val="superscript"/>
                    </w:rPr>
                    <w:t>3</w:t>
                  </w:r>
                </w:p>
              </w:tc>
              <w:tc>
                <w:tcPr>
                  <w:tcW w:w="470" w:type="pct"/>
                  <w:vMerge w:val="continue"/>
                  <w:tcBorders>
                    <w:tl2br w:val="nil"/>
                    <w:tr2bl w:val="nil"/>
                  </w:tcBorders>
                  <w:vAlign w:val="center"/>
                </w:tcPr>
                <w:p w14:paraId="57FE6732">
                  <w:pPr>
                    <w:pStyle w:val="35"/>
                    <w:bidi w:val="0"/>
                    <w:rPr>
                      <w:rFonts w:hint="default" w:ascii="Times New Roman" w:hAnsi="Times New Roman" w:cs="Times New Roman"/>
                      <w:color w:val="auto"/>
                      <w:lang w:val="en-US" w:eastAsia="zh-CN"/>
                    </w:rPr>
                  </w:pPr>
                </w:p>
              </w:tc>
            </w:tr>
            <w:tr w14:paraId="11746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3" w:type="pct"/>
                  <w:tcBorders>
                    <w:tl2br w:val="nil"/>
                    <w:tr2bl w:val="nil"/>
                  </w:tcBorders>
                  <w:vAlign w:val="center"/>
                </w:tcPr>
                <w:p w14:paraId="7212CA07">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喷粉废气</w:t>
                  </w:r>
                </w:p>
              </w:tc>
              <w:tc>
                <w:tcPr>
                  <w:tcW w:w="335" w:type="pct"/>
                  <w:tcBorders>
                    <w:tl2br w:val="nil"/>
                    <w:tr2bl w:val="nil"/>
                  </w:tcBorders>
                  <w:vAlign w:val="center"/>
                </w:tcPr>
                <w:p w14:paraId="1F79B3D9">
                  <w:pPr>
                    <w:pStyle w:val="35"/>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颗粒物</w:t>
                  </w:r>
                </w:p>
              </w:tc>
              <w:tc>
                <w:tcPr>
                  <w:tcW w:w="479" w:type="pct"/>
                  <w:tcBorders>
                    <w:tl2br w:val="nil"/>
                    <w:tr2bl w:val="nil"/>
                  </w:tcBorders>
                  <w:vAlign w:val="center"/>
                </w:tcPr>
                <w:p w14:paraId="4AEF1093">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1824</w:t>
                  </w:r>
                </w:p>
              </w:tc>
              <w:tc>
                <w:tcPr>
                  <w:tcW w:w="454" w:type="pct"/>
                  <w:tcBorders>
                    <w:tl2br w:val="nil"/>
                    <w:tr2bl w:val="nil"/>
                  </w:tcBorders>
                  <w:vAlign w:val="center"/>
                </w:tcPr>
                <w:p w14:paraId="44BE4A2C">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1.641</w:t>
                  </w:r>
                </w:p>
              </w:tc>
              <w:tc>
                <w:tcPr>
                  <w:tcW w:w="407" w:type="pct"/>
                  <w:tcBorders>
                    <w:tl2br w:val="nil"/>
                    <w:tr2bl w:val="nil"/>
                  </w:tcBorders>
                  <w:vAlign w:val="center"/>
                </w:tcPr>
                <w:p w14:paraId="2B974C8B">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w:t>
                  </w:r>
                </w:p>
              </w:tc>
              <w:tc>
                <w:tcPr>
                  <w:tcW w:w="335" w:type="pct"/>
                  <w:tcBorders>
                    <w:tl2br w:val="nil"/>
                    <w:tr2bl w:val="nil"/>
                  </w:tcBorders>
                  <w:vAlign w:val="center"/>
                </w:tcPr>
                <w:p w14:paraId="3CAE9054">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w:t>
                  </w:r>
                  <w:r>
                    <w:rPr>
                      <w:rFonts w:hint="default" w:ascii="Times New Roman" w:hAnsi="Times New Roman" w:cs="Times New Roman"/>
                      <w:color w:val="auto"/>
                      <w:lang w:val="en-US" w:eastAsia="zh-CN"/>
                    </w:rPr>
                    <w:t>%</w:t>
                  </w:r>
                </w:p>
              </w:tc>
              <w:tc>
                <w:tcPr>
                  <w:tcW w:w="407" w:type="pct"/>
                  <w:tcBorders>
                    <w:tl2br w:val="nil"/>
                    <w:tr2bl w:val="nil"/>
                  </w:tcBorders>
                  <w:vAlign w:val="center"/>
                </w:tcPr>
                <w:p w14:paraId="4581D7D5">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8000</w:t>
                  </w:r>
                </w:p>
              </w:tc>
              <w:tc>
                <w:tcPr>
                  <w:tcW w:w="509" w:type="pct"/>
                  <w:tcBorders>
                    <w:tl2br w:val="nil"/>
                    <w:tr2bl w:val="nil"/>
                  </w:tcBorders>
                  <w:vAlign w:val="center"/>
                </w:tcPr>
                <w:p w14:paraId="72FFB2B4">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0.082</w:t>
                  </w:r>
                </w:p>
              </w:tc>
              <w:tc>
                <w:tcPr>
                  <w:tcW w:w="392" w:type="pct"/>
                  <w:tcBorders>
                    <w:tl2br w:val="nil"/>
                    <w:tr2bl w:val="nil"/>
                  </w:tcBorders>
                  <w:vAlign w:val="center"/>
                </w:tcPr>
                <w:p w14:paraId="74D8AB87">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0.312</w:t>
                  </w:r>
                </w:p>
              </w:tc>
              <w:tc>
                <w:tcPr>
                  <w:tcW w:w="390" w:type="pct"/>
                  <w:tcBorders>
                    <w:tl2br w:val="nil"/>
                    <w:tr2bl w:val="nil"/>
                  </w:tcBorders>
                  <w:vAlign w:val="center"/>
                </w:tcPr>
                <w:p w14:paraId="1A0FC87F">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0.171</w:t>
                  </w:r>
                </w:p>
              </w:tc>
              <w:tc>
                <w:tcPr>
                  <w:tcW w:w="425" w:type="pct"/>
                  <w:tcBorders>
                    <w:tl2br w:val="nil"/>
                    <w:tr2bl w:val="nil"/>
                  </w:tcBorders>
                  <w:vAlign w:val="center"/>
                </w:tcPr>
                <w:p w14:paraId="0470EF77">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21.38</w:t>
                  </w:r>
                </w:p>
              </w:tc>
              <w:tc>
                <w:tcPr>
                  <w:tcW w:w="470" w:type="pct"/>
                  <w:tcBorders>
                    <w:tl2br w:val="nil"/>
                    <w:tr2bl w:val="nil"/>
                  </w:tcBorders>
                  <w:vAlign w:val="center"/>
                </w:tcPr>
                <w:p w14:paraId="11B757A4">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w:t>
                  </w:r>
                  <w:r>
                    <w:rPr>
                      <w:rFonts w:hint="eastAsia" w:ascii="Times New Roman" w:hAnsi="Times New Roman" w:cs="Times New Roman"/>
                      <w:color w:val="auto"/>
                      <w:lang w:val="en-US" w:eastAsia="zh-CN"/>
                    </w:rPr>
                    <w:t>3</w:t>
                  </w:r>
                </w:p>
              </w:tc>
            </w:tr>
          </w:tbl>
          <w:p w14:paraId="49C0487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（4）固化废气G3</w:t>
            </w:r>
          </w:p>
          <w:p w14:paraId="3621BC9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Calibri" w:hAnsi="Calibri" w:eastAsia="宋体" w:cs="Calibri"/>
                <w:color w:val="auto"/>
                <w:sz w:val="24"/>
                <w:szCs w:val="24"/>
                <w:highlight w:val="none"/>
                <w:lang w:val="en-US" w:eastAsia="zh-CN"/>
              </w:rPr>
            </w:pPr>
            <w:r>
              <w:rPr>
                <w:rFonts w:hint="eastAsia" w:ascii="Calibri" w:hAnsi="Calibri" w:eastAsia="宋体" w:cs="Calibri"/>
                <w:color w:val="auto"/>
                <w:sz w:val="24"/>
                <w:szCs w:val="24"/>
                <w:highlight w:val="none"/>
                <w:lang w:val="en-US" w:eastAsia="zh-CN"/>
              </w:rPr>
              <w:t>固化工序将产生固化废气，主要污染物为塑粉加热过程中产生的非甲烷总烃，以及天然气燃烧产生的二氧化硫、氮氧化物、颗粒物。年加</w:t>
            </w:r>
            <w:r>
              <w:rPr>
                <w:rFonts w:hint="default" w:ascii="Times New Roman" w:hAnsi="Times New Roman" w:eastAsia="宋体" w:cs="Times New Roman"/>
                <w:color w:val="auto"/>
                <w:sz w:val="24"/>
                <w:szCs w:val="24"/>
                <w:highlight w:val="none"/>
                <w:lang w:val="en-US" w:eastAsia="zh-CN"/>
              </w:rPr>
              <w:t>工时间为1930h。</w:t>
            </w:r>
          </w:p>
          <w:p w14:paraId="05A1DD0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default" w:ascii="Calibri" w:hAnsi="Calibri" w:eastAsia="宋体" w:cs="Calibri"/>
                <w:color w:val="auto"/>
                <w:sz w:val="24"/>
                <w:szCs w:val="24"/>
                <w:highlight w:val="none"/>
                <w:lang w:val="en-US" w:eastAsia="zh-CN"/>
              </w:rPr>
              <w:t>①</w:t>
            </w:r>
            <w:r>
              <w:rPr>
                <w:rFonts w:hint="eastAsia" w:ascii="Times New Roman" w:hAnsi="Times New Roman" w:eastAsia="宋体" w:cs="宋体"/>
                <w:color w:val="auto"/>
                <w:sz w:val="24"/>
                <w:szCs w:val="24"/>
                <w:highlight w:val="none"/>
                <w:lang w:val="en-US" w:eastAsia="zh-CN"/>
              </w:rPr>
              <w:t>非甲烷总烃</w:t>
            </w:r>
          </w:p>
          <w:p w14:paraId="05C3B4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使用烘道将粉末涂料加热，加热固化烘道温度180℃~220℃，在加热固化过程中，塑粉熔化产生有机废气，未达到塑粉分解温度，废气排放主要以非甲烷总烃计。根据工程分析塑粉用量核算，塑粉综合利用率90.4%，则4.94t塑粉附着在工件进入固化工序。污染物产生源强计算如下表所示。</w:t>
            </w:r>
          </w:p>
          <w:p w14:paraId="5033EF08">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表4-</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SEQ 表4- \* ARABIC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项目喷粉线固化废气非甲烷总烃</w:t>
            </w:r>
            <w:r>
              <w:rPr>
                <w:rFonts w:hint="eastAsia" w:ascii="Times New Roman" w:hAnsi="Times New Roman" w:eastAsia="宋体" w:cs="Times New Roman"/>
                <w:color w:val="auto"/>
                <w:sz w:val="24"/>
                <w:szCs w:val="24"/>
              </w:rPr>
              <w:t>源强计算表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0"/>
              <w:gridCol w:w="613"/>
              <w:gridCol w:w="667"/>
              <w:gridCol w:w="569"/>
              <w:gridCol w:w="691"/>
              <w:gridCol w:w="667"/>
              <w:gridCol w:w="4624"/>
            </w:tblGrid>
            <w:tr w14:paraId="5720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1" w:type="pct"/>
                  <w:tcBorders>
                    <w:left w:val="single" w:color="auto" w:sz="4" w:space="0"/>
                    <w:right w:val="single" w:color="auto" w:sz="4" w:space="0"/>
                  </w:tcBorders>
                  <w:vAlign w:val="center"/>
                </w:tcPr>
                <w:p w14:paraId="3FCAF4C8">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363" w:type="pct"/>
                  <w:tcBorders>
                    <w:left w:val="single" w:color="auto" w:sz="4" w:space="0"/>
                    <w:right w:val="single" w:color="auto" w:sz="4" w:space="0"/>
                  </w:tcBorders>
                  <w:vAlign w:val="center"/>
                </w:tcPr>
                <w:p w14:paraId="3F6DAB04">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395" w:type="pct"/>
                  <w:tcBorders>
                    <w:left w:val="single" w:color="auto" w:sz="4" w:space="0"/>
                    <w:right w:val="single" w:color="auto" w:sz="4" w:space="0"/>
                  </w:tcBorders>
                  <w:vAlign w:val="center"/>
                </w:tcPr>
                <w:p w14:paraId="764605EC">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337" w:type="pct"/>
                  <w:tcBorders>
                    <w:left w:val="single" w:color="auto" w:sz="4" w:space="0"/>
                    <w:right w:val="single" w:color="auto" w:sz="4" w:space="0"/>
                  </w:tcBorders>
                  <w:vAlign w:val="center"/>
                </w:tcPr>
                <w:p w14:paraId="04C9491C">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w:t>
                  </w:r>
                </w:p>
              </w:tc>
              <w:tc>
                <w:tcPr>
                  <w:tcW w:w="409" w:type="pct"/>
                  <w:tcBorders>
                    <w:left w:val="single" w:color="auto" w:sz="4" w:space="0"/>
                    <w:right w:val="single" w:color="auto" w:sz="4" w:space="0"/>
                  </w:tcBorders>
                  <w:vAlign w:val="center"/>
                </w:tcPr>
                <w:p w14:paraId="2BC85743">
                  <w:pPr>
                    <w:pStyle w:val="35"/>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塑粉量</w:t>
                  </w:r>
                  <w:r>
                    <w:rPr>
                      <w:rFonts w:hint="default" w:ascii="Times New Roman" w:hAnsi="Times New Roman" w:eastAsia="宋体" w:cs="Times New Roman"/>
                      <w:b/>
                      <w:bCs/>
                      <w:color w:val="auto"/>
                    </w:rPr>
                    <w:t>t/a</w:t>
                  </w:r>
                </w:p>
              </w:tc>
              <w:tc>
                <w:tcPr>
                  <w:tcW w:w="395" w:type="pct"/>
                  <w:tcBorders>
                    <w:left w:val="single" w:color="auto" w:sz="4" w:space="0"/>
                    <w:right w:val="single" w:color="auto" w:sz="4" w:space="0"/>
                  </w:tcBorders>
                  <w:vAlign w:val="center"/>
                </w:tcPr>
                <w:p w14:paraId="76733B81">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产生量t/a</w:t>
                  </w:r>
                </w:p>
              </w:tc>
              <w:tc>
                <w:tcPr>
                  <w:tcW w:w="2736" w:type="pct"/>
                  <w:tcBorders>
                    <w:left w:val="single" w:color="auto" w:sz="4" w:space="0"/>
                    <w:right w:val="single" w:color="auto" w:sz="4" w:space="0"/>
                  </w:tcBorders>
                  <w:vAlign w:val="center"/>
                </w:tcPr>
                <w:p w14:paraId="4B03084C">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产污系数来源</w:t>
                  </w:r>
                </w:p>
              </w:tc>
            </w:tr>
            <w:tr w14:paraId="1B4E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1" w:type="pct"/>
                  <w:tcBorders>
                    <w:left w:val="single" w:color="auto" w:sz="4" w:space="0"/>
                    <w:right w:val="single" w:color="auto" w:sz="4" w:space="0"/>
                  </w:tcBorders>
                  <w:vAlign w:val="center"/>
                </w:tcPr>
                <w:p w14:paraId="3DA26219">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G3</w:t>
                  </w:r>
                </w:p>
              </w:tc>
              <w:tc>
                <w:tcPr>
                  <w:tcW w:w="363" w:type="pct"/>
                  <w:tcBorders>
                    <w:left w:val="single" w:color="auto" w:sz="4" w:space="0"/>
                    <w:right w:val="single" w:color="auto" w:sz="4" w:space="0"/>
                  </w:tcBorders>
                  <w:vAlign w:val="center"/>
                </w:tcPr>
                <w:p w14:paraId="6347ACEC">
                  <w:pPr>
                    <w:pStyle w:val="3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喷粉线固化</w:t>
                  </w:r>
                  <w:r>
                    <w:rPr>
                      <w:rFonts w:hint="default" w:ascii="Times New Roman" w:hAnsi="Times New Roman" w:eastAsia="宋体" w:cs="Times New Roman"/>
                      <w:color w:val="auto"/>
                      <w:lang w:val="en-US" w:eastAsia="zh-CN"/>
                    </w:rPr>
                    <w:t>废气</w:t>
                  </w:r>
                </w:p>
              </w:tc>
              <w:tc>
                <w:tcPr>
                  <w:tcW w:w="395" w:type="pct"/>
                  <w:tcBorders>
                    <w:left w:val="single" w:color="auto" w:sz="4" w:space="0"/>
                    <w:right w:val="single" w:color="auto" w:sz="4" w:space="0"/>
                  </w:tcBorders>
                  <w:vAlign w:val="center"/>
                </w:tcPr>
                <w:p w14:paraId="724A1753">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非甲烷总烃</w:t>
                  </w:r>
                </w:p>
              </w:tc>
              <w:tc>
                <w:tcPr>
                  <w:tcW w:w="337" w:type="pct"/>
                  <w:tcBorders>
                    <w:left w:val="single" w:color="auto" w:sz="4" w:space="0"/>
                    <w:right w:val="single" w:color="auto" w:sz="4" w:space="0"/>
                  </w:tcBorders>
                  <w:vAlign w:val="center"/>
                </w:tcPr>
                <w:p w14:paraId="0D44E9EA">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塑粉的6‰</w:t>
                  </w:r>
                </w:p>
              </w:tc>
              <w:tc>
                <w:tcPr>
                  <w:tcW w:w="409" w:type="pct"/>
                  <w:tcBorders>
                    <w:left w:val="single" w:color="auto" w:sz="4" w:space="0"/>
                    <w:right w:val="single" w:color="auto" w:sz="4" w:space="0"/>
                  </w:tcBorders>
                  <w:vAlign w:val="center"/>
                </w:tcPr>
                <w:p w14:paraId="23AC8759">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4.94</w:t>
                  </w:r>
                  <w:r>
                    <w:rPr>
                      <w:rFonts w:hint="default" w:ascii="Times New Roman" w:hAnsi="Times New Roman" w:eastAsia="宋体" w:cs="Times New Roman"/>
                      <w:color w:val="auto"/>
                      <w:lang w:val="en-US" w:eastAsia="zh-CN"/>
                    </w:rPr>
                    <w:t>t</w:t>
                  </w:r>
                </w:p>
              </w:tc>
              <w:tc>
                <w:tcPr>
                  <w:tcW w:w="395" w:type="pct"/>
                  <w:tcBorders>
                    <w:left w:val="single" w:color="auto" w:sz="4" w:space="0"/>
                    <w:right w:val="single" w:color="auto" w:sz="4" w:space="0"/>
                  </w:tcBorders>
                  <w:vAlign w:val="center"/>
                </w:tcPr>
                <w:p w14:paraId="70AE84E5">
                  <w:pPr>
                    <w:pStyle w:val="35"/>
                    <w:bidi w:val="0"/>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0.03</w:t>
                  </w:r>
                </w:p>
              </w:tc>
              <w:tc>
                <w:tcPr>
                  <w:tcW w:w="2736" w:type="pct"/>
                  <w:tcBorders>
                    <w:left w:val="single" w:color="auto" w:sz="4" w:space="0"/>
                    <w:right w:val="single" w:color="auto" w:sz="4" w:space="0"/>
                  </w:tcBorders>
                  <w:vAlign w:val="center"/>
                </w:tcPr>
                <w:p w14:paraId="293F9988">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参考《喷塑行业污染物源强估算及治理方法探讨》（中国环境管理干部学院学报，第26卷，第6期，2016年12月），塑粉固化废气非甲烷总烃产生量约占塑粉的3‰－6‰，本环评按6‰计</w:t>
                  </w:r>
                </w:p>
              </w:tc>
            </w:tr>
          </w:tbl>
          <w:p w14:paraId="7BB7793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default" w:ascii="Calibri" w:hAnsi="Calibri" w:eastAsia="宋体" w:cs="Calibri"/>
                <w:color w:val="auto"/>
                <w:sz w:val="24"/>
                <w:szCs w:val="24"/>
                <w:highlight w:val="none"/>
                <w:lang w:val="en-US" w:eastAsia="zh-CN"/>
              </w:rPr>
              <w:t>②</w:t>
            </w:r>
            <w:r>
              <w:rPr>
                <w:rFonts w:hint="eastAsia" w:ascii="Times New Roman" w:hAnsi="Times New Roman" w:eastAsia="宋体" w:cs="宋体"/>
                <w:color w:val="auto"/>
                <w:sz w:val="24"/>
                <w:szCs w:val="24"/>
                <w:highlight w:val="none"/>
                <w:lang w:val="en-US" w:eastAsia="zh-CN"/>
              </w:rPr>
              <w:t>天然气燃烧废气（</w:t>
            </w:r>
            <w:r>
              <w:rPr>
                <w:rFonts w:hint="eastAsia" w:ascii="Calibri" w:hAnsi="Calibri" w:eastAsia="宋体" w:cs="Calibri"/>
                <w:color w:val="auto"/>
                <w:sz w:val="24"/>
                <w:szCs w:val="24"/>
                <w:highlight w:val="none"/>
                <w:lang w:val="en-US" w:eastAsia="zh-CN"/>
              </w:rPr>
              <w:t>二氧化硫、氮氧化物、颗粒物</w:t>
            </w:r>
            <w:r>
              <w:rPr>
                <w:rFonts w:hint="eastAsia" w:ascii="Times New Roman" w:hAnsi="Times New Roman" w:eastAsia="宋体" w:cs="宋体"/>
                <w:color w:val="auto"/>
                <w:sz w:val="24"/>
                <w:szCs w:val="24"/>
                <w:highlight w:val="none"/>
                <w:lang w:val="en-US" w:eastAsia="zh-CN"/>
              </w:rPr>
              <w:t>）</w:t>
            </w:r>
          </w:p>
          <w:p w14:paraId="154CBCF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项目使用天然气作为能源，燃烧机燃烧产生的烟气直接加热，天然气属于清洁能源，燃烧过程中产生污染物颗粒物、二氧化硫、氮氧化物。燃烧机平均耗气量约为60m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/h，天然气耗气量为11.58万m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/a。污染物产生源强计算如下表所示。</w:t>
            </w:r>
          </w:p>
          <w:p w14:paraId="0FA81D7E">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固化工序</w:t>
            </w:r>
            <w:r>
              <w:rPr>
                <w:rFonts w:hint="default" w:ascii="Times New Roman" w:hAnsi="Times New Roman" w:eastAsia="宋体" w:cs="Times New Roman"/>
                <w:color w:val="auto"/>
                <w:sz w:val="24"/>
                <w:szCs w:val="24"/>
                <w:lang w:val="en-US" w:eastAsia="zh-CN"/>
              </w:rPr>
              <w:t>天然气燃烧废气</w:t>
            </w:r>
            <w:r>
              <w:rPr>
                <w:rFonts w:hint="default" w:ascii="Times New Roman" w:hAnsi="Times New Roman" w:eastAsia="宋体" w:cs="Times New Roman"/>
                <w:color w:val="auto"/>
                <w:sz w:val="24"/>
                <w:szCs w:val="24"/>
              </w:rPr>
              <w:t>源强计算表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1"/>
              <w:gridCol w:w="994"/>
              <w:gridCol w:w="1075"/>
              <w:gridCol w:w="1334"/>
              <w:gridCol w:w="971"/>
              <w:gridCol w:w="930"/>
              <w:gridCol w:w="2396"/>
            </w:tblGrid>
            <w:tr w14:paraId="3D17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38" w:type="pct"/>
                  <w:tcBorders>
                    <w:left w:val="single" w:color="auto" w:sz="4" w:space="0"/>
                    <w:right w:val="single" w:color="auto" w:sz="4" w:space="0"/>
                  </w:tcBorders>
                  <w:vAlign w:val="center"/>
                </w:tcPr>
                <w:p w14:paraId="14DAF5F8">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588" w:type="pct"/>
                  <w:tcBorders>
                    <w:left w:val="single" w:color="auto" w:sz="4" w:space="0"/>
                    <w:right w:val="single" w:color="auto" w:sz="4" w:space="0"/>
                  </w:tcBorders>
                  <w:vAlign w:val="center"/>
                </w:tcPr>
                <w:p w14:paraId="0371AF20">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636" w:type="pct"/>
                  <w:tcBorders>
                    <w:left w:val="single" w:color="auto" w:sz="4" w:space="0"/>
                    <w:right w:val="single" w:color="auto" w:sz="4" w:space="0"/>
                  </w:tcBorders>
                  <w:vAlign w:val="center"/>
                </w:tcPr>
                <w:p w14:paraId="51415219">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790" w:type="pct"/>
                  <w:tcBorders>
                    <w:left w:val="single" w:color="auto" w:sz="4" w:space="0"/>
                    <w:right w:val="single" w:color="auto" w:sz="4" w:space="0"/>
                  </w:tcBorders>
                  <w:vAlign w:val="center"/>
                </w:tcPr>
                <w:p w14:paraId="4E314DE7">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w:t>
                  </w:r>
                  <w:r>
                    <w:rPr>
                      <w:rFonts w:hint="default" w:ascii="Times New Roman" w:hAnsi="Times New Roman" w:eastAsia="宋体" w:cs="Times New Roman"/>
                      <w:b/>
                      <w:bCs/>
                      <w:color w:val="auto"/>
                    </w:rPr>
                    <w:br w:type="textWrapping"/>
                  </w:r>
                  <w:r>
                    <w:rPr>
                      <w:rFonts w:hint="default" w:ascii="Times New Roman" w:hAnsi="Times New Roman" w:eastAsia="宋体" w:cs="Times New Roman"/>
                      <w:b/>
                      <w:bCs/>
                      <w:color w:val="auto"/>
                      <w:szCs w:val="32"/>
                    </w:rPr>
                    <w:t>kg/m</w:t>
                  </w:r>
                  <w:r>
                    <w:rPr>
                      <w:rFonts w:hint="default" w:ascii="Times New Roman" w:hAnsi="Times New Roman" w:eastAsia="宋体" w:cs="Times New Roman"/>
                      <w:b/>
                      <w:bCs/>
                      <w:color w:val="auto"/>
                      <w:szCs w:val="32"/>
                      <w:vertAlign w:val="superscript"/>
                    </w:rPr>
                    <w:t>3</w:t>
                  </w:r>
                  <w:r>
                    <w:rPr>
                      <w:rFonts w:hint="default" w:ascii="Times New Roman" w:hAnsi="Times New Roman" w:eastAsia="宋体" w:cs="Times New Roman"/>
                      <w:b/>
                      <w:bCs/>
                      <w:color w:val="auto"/>
                      <w:szCs w:val="32"/>
                    </w:rPr>
                    <w:t>-原料</w:t>
                  </w:r>
                </w:p>
              </w:tc>
              <w:tc>
                <w:tcPr>
                  <w:tcW w:w="575" w:type="pct"/>
                  <w:tcBorders>
                    <w:left w:val="single" w:color="auto" w:sz="4" w:space="0"/>
                    <w:right w:val="single" w:color="auto" w:sz="4" w:space="0"/>
                  </w:tcBorders>
                  <w:vAlign w:val="center"/>
                </w:tcPr>
                <w:p w14:paraId="6F409F8A">
                  <w:pPr>
                    <w:pStyle w:val="35"/>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用气量</w:t>
                  </w:r>
                  <w:r>
                    <w:rPr>
                      <w:rFonts w:hint="default" w:ascii="Times New Roman" w:hAnsi="Times New Roman" w:eastAsia="宋体" w:cs="Times New Roman"/>
                      <w:b/>
                      <w:bCs/>
                      <w:color w:val="auto"/>
                      <w:lang w:val="en-US" w:eastAsia="zh-CN"/>
                    </w:rPr>
                    <w:br w:type="textWrapping"/>
                  </w:r>
                  <w:r>
                    <w:rPr>
                      <w:rFonts w:hint="default" w:ascii="Times New Roman" w:hAnsi="Times New Roman" w:eastAsia="宋体" w:cs="Times New Roman"/>
                      <w:b/>
                      <w:bCs/>
                      <w:color w:val="auto"/>
                      <w:szCs w:val="32"/>
                      <w:highlight w:val="none"/>
                    </w:rPr>
                    <w:t>m</w:t>
                  </w:r>
                  <w:r>
                    <w:rPr>
                      <w:rFonts w:hint="default" w:ascii="Times New Roman" w:hAnsi="Times New Roman" w:eastAsia="宋体" w:cs="Times New Roman"/>
                      <w:b/>
                      <w:bCs/>
                      <w:color w:val="auto"/>
                      <w:szCs w:val="32"/>
                      <w:highlight w:val="none"/>
                      <w:vertAlign w:val="superscript"/>
                    </w:rPr>
                    <w:t>3</w:t>
                  </w:r>
                  <w:r>
                    <w:rPr>
                      <w:rFonts w:hint="default" w:ascii="Times New Roman" w:hAnsi="Times New Roman" w:eastAsia="宋体" w:cs="Times New Roman"/>
                      <w:b/>
                      <w:bCs/>
                      <w:color w:val="auto"/>
                      <w:szCs w:val="32"/>
                      <w:highlight w:val="none"/>
                    </w:rPr>
                    <w:t>/a</w:t>
                  </w:r>
                </w:p>
              </w:tc>
              <w:tc>
                <w:tcPr>
                  <w:tcW w:w="550" w:type="pct"/>
                  <w:tcBorders>
                    <w:left w:val="single" w:color="auto" w:sz="4" w:space="0"/>
                    <w:right w:val="single" w:color="auto" w:sz="4" w:space="0"/>
                  </w:tcBorders>
                  <w:vAlign w:val="center"/>
                </w:tcPr>
                <w:p w14:paraId="47CF755A">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产生量</w:t>
                  </w:r>
                  <w:r>
                    <w:rPr>
                      <w:rFonts w:hint="default" w:ascii="Times New Roman" w:hAnsi="Times New Roman" w:eastAsia="宋体" w:cs="Times New Roman"/>
                      <w:b/>
                      <w:bCs/>
                      <w:color w:val="auto"/>
                    </w:rPr>
                    <w:br w:type="textWrapping"/>
                  </w:r>
                  <w:r>
                    <w:rPr>
                      <w:rFonts w:hint="default" w:ascii="Times New Roman" w:hAnsi="Times New Roman" w:eastAsia="宋体" w:cs="Times New Roman"/>
                      <w:b/>
                      <w:bCs/>
                      <w:color w:val="auto"/>
                    </w:rPr>
                    <w:t>t/a</w:t>
                  </w:r>
                </w:p>
              </w:tc>
              <w:tc>
                <w:tcPr>
                  <w:tcW w:w="1419" w:type="pct"/>
                  <w:tcBorders>
                    <w:left w:val="single" w:color="auto" w:sz="4" w:space="0"/>
                    <w:right w:val="single" w:color="auto" w:sz="4" w:space="0"/>
                  </w:tcBorders>
                  <w:vAlign w:val="center"/>
                </w:tcPr>
                <w:p w14:paraId="1308090D">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产污系数来源</w:t>
                  </w:r>
                </w:p>
              </w:tc>
            </w:tr>
            <w:tr w14:paraId="4D98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35" w:hRule="atLeast"/>
                <w:jc w:val="center"/>
              </w:trPr>
              <w:tc>
                <w:tcPr>
                  <w:tcW w:w="438" w:type="pct"/>
                  <w:vMerge w:val="restart"/>
                  <w:tcBorders>
                    <w:left w:val="single" w:color="auto" w:sz="4" w:space="0"/>
                    <w:right w:val="single" w:color="auto" w:sz="4" w:space="0"/>
                  </w:tcBorders>
                  <w:vAlign w:val="center"/>
                </w:tcPr>
                <w:p w14:paraId="08B1F0D7">
                  <w:pPr>
                    <w:pStyle w:val="35"/>
                    <w:bidi w:val="0"/>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highlight w:val="none"/>
                    </w:rPr>
                    <w:t>G</w:t>
                  </w:r>
                  <w:r>
                    <w:rPr>
                      <w:rFonts w:hint="eastAsia" w:ascii="Times New Roman" w:hAnsi="Times New Roman" w:eastAsia="宋体" w:cs="Times New Roman"/>
                      <w:b w:val="0"/>
                      <w:bCs w:val="0"/>
                      <w:color w:val="auto"/>
                      <w:highlight w:val="none"/>
                      <w:lang w:val="en-US" w:eastAsia="zh-CN"/>
                    </w:rPr>
                    <w:t>3</w:t>
                  </w:r>
                </w:p>
              </w:tc>
              <w:tc>
                <w:tcPr>
                  <w:tcW w:w="588" w:type="pct"/>
                  <w:vMerge w:val="restart"/>
                  <w:tcBorders>
                    <w:left w:val="single" w:color="auto" w:sz="4" w:space="0"/>
                    <w:right w:val="single" w:color="auto" w:sz="4" w:space="0"/>
                  </w:tcBorders>
                  <w:vAlign w:val="center"/>
                </w:tcPr>
                <w:p w14:paraId="33E5803C">
                  <w:pPr>
                    <w:pStyle w:val="35"/>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highlight w:val="none"/>
                    </w:rPr>
                    <w:t>天然气燃烧废气</w:t>
                  </w:r>
                </w:p>
              </w:tc>
              <w:tc>
                <w:tcPr>
                  <w:tcW w:w="636" w:type="pct"/>
                  <w:tcBorders>
                    <w:left w:val="single" w:color="auto" w:sz="4" w:space="0"/>
                    <w:right w:val="single" w:color="auto" w:sz="4" w:space="0"/>
                  </w:tcBorders>
                  <w:vAlign w:val="center"/>
                </w:tcPr>
                <w:p w14:paraId="38259282">
                  <w:pPr>
                    <w:pStyle w:val="35"/>
                    <w:bidi w:val="0"/>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val="en-US" w:eastAsia="zh-CN"/>
                    </w:rPr>
                    <w:t>颗粒物</w:t>
                  </w:r>
                </w:p>
              </w:tc>
              <w:tc>
                <w:tcPr>
                  <w:tcW w:w="790" w:type="pct"/>
                  <w:tcBorders>
                    <w:left w:val="single" w:color="auto" w:sz="4" w:space="0"/>
                    <w:right w:val="single" w:color="auto" w:sz="4" w:space="0"/>
                  </w:tcBorders>
                  <w:vAlign w:val="center"/>
                </w:tcPr>
                <w:p w14:paraId="4DB70612">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szCs w:val="32"/>
                    </w:rPr>
                    <w:t>0.000286</w:t>
                  </w:r>
                </w:p>
              </w:tc>
              <w:tc>
                <w:tcPr>
                  <w:tcW w:w="575" w:type="pct"/>
                  <w:vMerge w:val="restart"/>
                  <w:tcBorders>
                    <w:left w:val="single" w:color="auto" w:sz="4" w:space="0"/>
                    <w:right w:val="single" w:color="auto" w:sz="4" w:space="0"/>
                  </w:tcBorders>
                  <w:vAlign w:val="center"/>
                </w:tcPr>
                <w:p w14:paraId="2B95B735">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highlight w:val="none"/>
                      <w:lang w:val="en-US" w:eastAsia="zh-CN"/>
                    </w:rPr>
                    <w:t>115800</w:t>
                  </w:r>
                </w:p>
              </w:tc>
              <w:tc>
                <w:tcPr>
                  <w:tcW w:w="550" w:type="pct"/>
                  <w:tcBorders>
                    <w:left w:val="single" w:color="auto" w:sz="4" w:space="0"/>
                    <w:right w:val="single" w:color="auto" w:sz="4" w:space="0"/>
                  </w:tcBorders>
                  <w:vAlign w:val="center"/>
                </w:tcPr>
                <w:p w14:paraId="341A4E5E">
                  <w:pPr>
                    <w:pStyle w:val="35"/>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033</w:t>
                  </w:r>
                </w:p>
              </w:tc>
              <w:tc>
                <w:tcPr>
                  <w:tcW w:w="1419" w:type="pct"/>
                  <w:vMerge w:val="restart"/>
                  <w:tcBorders>
                    <w:left w:val="single" w:color="auto" w:sz="4" w:space="0"/>
                    <w:right w:val="single" w:color="auto" w:sz="4" w:space="0"/>
                  </w:tcBorders>
                  <w:vAlign w:val="center"/>
                </w:tcPr>
                <w:p w14:paraId="3403FF78">
                  <w:pPr>
                    <w:pStyle w:val="35"/>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32"/>
                    </w:rPr>
                    <w:t>参照《第二次全国污染源普查排放源统计调查产排污核算方法和系数手册》中“机械行业系数手册”，天然气工业炉窑的产排污系数</w:t>
                  </w:r>
                  <w:r>
                    <w:rPr>
                      <w:rFonts w:hint="default" w:ascii="Times New Roman" w:hAnsi="Times New Roman" w:eastAsia="宋体" w:cs="Times New Roman"/>
                      <w:color w:val="auto"/>
                      <w:szCs w:val="32"/>
                      <w:lang w:eastAsia="zh-CN"/>
                    </w:rPr>
                    <w:t>，</w:t>
                  </w:r>
                  <w:r>
                    <w:rPr>
                      <w:rFonts w:hint="default" w:ascii="Times New Roman" w:hAnsi="Times New Roman" w:eastAsia="宋体" w:cs="Times New Roman"/>
                      <w:color w:val="auto"/>
                      <w:szCs w:val="32"/>
                    </w:rPr>
                    <w:t>颗粒物产生系数为0.000286kg/m</w:t>
                  </w:r>
                  <w:r>
                    <w:rPr>
                      <w:rFonts w:hint="default" w:ascii="Times New Roman" w:hAnsi="Times New Roman" w:eastAsia="宋体" w:cs="Times New Roman"/>
                      <w:color w:val="auto"/>
                      <w:szCs w:val="32"/>
                      <w:vertAlign w:val="superscript"/>
                    </w:rPr>
                    <w:t>3</w:t>
                  </w:r>
                  <w:r>
                    <w:rPr>
                      <w:rFonts w:hint="default" w:ascii="Times New Roman" w:hAnsi="Times New Roman" w:eastAsia="宋体" w:cs="Times New Roman"/>
                      <w:color w:val="auto"/>
                      <w:szCs w:val="32"/>
                    </w:rPr>
                    <w:t>-原料；二氧化硫产生系数为0.000002Skg/m</w:t>
                  </w:r>
                  <w:r>
                    <w:rPr>
                      <w:rFonts w:hint="default" w:ascii="Times New Roman" w:hAnsi="Times New Roman" w:eastAsia="宋体" w:cs="Times New Roman"/>
                      <w:color w:val="auto"/>
                      <w:szCs w:val="32"/>
                      <w:vertAlign w:val="superscript"/>
                    </w:rPr>
                    <w:t>3</w:t>
                  </w:r>
                  <w:r>
                    <w:rPr>
                      <w:rFonts w:hint="default" w:ascii="Times New Roman" w:hAnsi="Times New Roman" w:eastAsia="宋体" w:cs="Times New Roman"/>
                      <w:color w:val="auto"/>
                      <w:szCs w:val="32"/>
                    </w:rPr>
                    <w:t>-原料</w:t>
                  </w:r>
                  <w:r>
                    <w:rPr>
                      <w:rFonts w:hint="default" w:ascii="Times New Roman" w:hAnsi="Times New Roman" w:eastAsia="宋体" w:cs="Times New Roman"/>
                      <w:color w:val="auto"/>
                      <w:szCs w:val="32"/>
                      <w:vertAlign w:val="superscript"/>
                    </w:rPr>
                    <w:t>①</w:t>
                  </w:r>
                  <w:r>
                    <w:rPr>
                      <w:rFonts w:hint="default" w:ascii="Times New Roman" w:hAnsi="Times New Roman" w:eastAsia="宋体" w:cs="Times New Roman"/>
                      <w:color w:val="auto"/>
                      <w:szCs w:val="32"/>
                    </w:rPr>
                    <w:t>；氮氧化物产生系数为0.00187kg/m</w:t>
                  </w:r>
                  <w:r>
                    <w:rPr>
                      <w:rFonts w:hint="default" w:ascii="Times New Roman" w:hAnsi="Times New Roman" w:eastAsia="宋体" w:cs="Times New Roman"/>
                      <w:color w:val="auto"/>
                      <w:szCs w:val="32"/>
                      <w:vertAlign w:val="superscript"/>
                    </w:rPr>
                    <w:t>3</w:t>
                  </w:r>
                  <w:r>
                    <w:rPr>
                      <w:rFonts w:hint="default" w:ascii="Times New Roman" w:hAnsi="Times New Roman" w:eastAsia="宋体" w:cs="Times New Roman"/>
                      <w:color w:val="auto"/>
                      <w:szCs w:val="32"/>
                    </w:rPr>
                    <w:t>-原料</w:t>
                  </w:r>
                </w:p>
              </w:tc>
            </w:tr>
            <w:tr w14:paraId="1A94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93" w:hRule="atLeast"/>
                <w:jc w:val="center"/>
              </w:trPr>
              <w:tc>
                <w:tcPr>
                  <w:tcW w:w="438" w:type="pct"/>
                  <w:vMerge w:val="continue"/>
                  <w:tcBorders>
                    <w:left w:val="single" w:color="auto" w:sz="4" w:space="0"/>
                    <w:right w:val="single" w:color="auto" w:sz="4" w:space="0"/>
                  </w:tcBorders>
                  <w:vAlign w:val="center"/>
                </w:tcPr>
                <w:p w14:paraId="4DCBDB8E">
                  <w:pPr>
                    <w:pStyle w:val="35"/>
                    <w:bidi w:val="0"/>
                    <w:rPr>
                      <w:rFonts w:hint="default" w:ascii="Times New Roman" w:hAnsi="Times New Roman" w:eastAsia="宋体" w:cs="Times New Roman"/>
                      <w:b w:val="0"/>
                      <w:bCs w:val="0"/>
                      <w:color w:val="auto"/>
                      <w:highlight w:val="none"/>
                    </w:rPr>
                  </w:pPr>
                </w:p>
              </w:tc>
              <w:tc>
                <w:tcPr>
                  <w:tcW w:w="588" w:type="pct"/>
                  <w:vMerge w:val="continue"/>
                  <w:tcBorders>
                    <w:left w:val="single" w:color="auto" w:sz="4" w:space="0"/>
                    <w:right w:val="single" w:color="auto" w:sz="4" w:space="0"/>
                  </w:tcBorders>
                  <w:vAlign w:val="center"/>
                </w:tcPr>
                <w:p w14:paraId="4298FF87">
                  <w:pPr>
                    <w:pStyle w:val="35"/>
                    <w:bidi w:val="0"/>
                    <w:rPr>
                      <w:rFonts w:hint="default" w:ascii="Times New Roman" w:hAnsi="Times New Roman" w:eastAsia="宋体" w:cs="Times New Roman"/>
                      <w:b w:val="0"/>
                      <w:bCs w:val="0"/>
                      <w:color w:val="auto"/>
                    </w:rPr>
                  </w:pPr>
                </w:p>
              </w:tc>
              <w:tc>
                <w:tcPr>
                  <w:tcW w:w="636" w:type="pct"/>
                  <w:tcBorders>
                    <w:left w:val="single" w:color="auto" w:sz="4" w:space="0"/>
                    <w:right w:val="single" w:color="auto" w:sz="4" w:space="0"/>
                  </w:tcBorders>
                  <w:vAlign w:val="center"/>
                </w:tcPr>
                <w:p w14:paraId="3A7EDB27">
                  <w:pPr>
                    <w:pStyle w:val="3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二氧化硫</w:t>
                  </w:r>
                </w:p>
              </w:tc>
              <w:tc>
                <w:tcPr>
                  <w:tcW w:w="790" w:type="pct"/>
                  <w:tcBorders>
                    <w:left w:val="single" w:color="auto" w:sz="4" w:space="0"/>
                    <w:right w:val="single" w:color="auto" w:sz="4" w:space="0"/>
                  </w:tcBorders>
                  <w:vAlign w:val="center"/>
                </w:tcPr>
                <w:p w14:paraId="04235DAF">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szCs w:val="32"/>
                    </w:rPr>
                    <w:t>0.0002</w:t>
                  </w:r>
                </w:p>
              </w:tc>
              <w:tc>
                <w:tcPr>
                  <w:tcW w:w="575" w:type="pct"/>
                  <w:vMerge w:val="continue"/>
                  <w:tcBorders>
                    <w:left w:val="single" w:color="auto" w:sz="4" w:space="0"/>
                    <w:right w:val="single" w:color="auto" w:sz="4" w:space="0"/>
                  </w:tcBorders>
                  <w:vAlign w:val="center"/>
                </w:tcPr>
                <w:p w14:paraId="5459569F">
                  <w:pPr>
                    <w:pStyle w:val="35"/>
                    <w:bidi w:val="0"/>
                    <w:rPr>
                      <w:rFonts w:hint="default" w:ascii="Times New Roman" w:hAnsi="Times New Roman" w:eastAsia="宋体" w:cs="Times New Roman"/>
                      <w:color w:val="auto"/>
                    </w:rPr>
                  </w:pPr>
                </w:p>
              </w:tc>
              <w:tc>
                <w:tcPr>
                  <w:tcW w:w="550" w:type="pct"/>
                  <w:tcBorders>
                    <w:left w:val="single" w:color="auto" w:sz="4" w:space="0"/>
                    <w:right w:val="single" w:color="auto" w:sz="4" w:space="0"/>
                  </w:tcBorders>
                  <w:vAlign w:val="center"/>
                </w:tcPr>
                <w:p w14:paraId="2600A44F">
                  <w:pPr>
                    <w:pStyle w:val="35"/>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0.0</w:t>
                  </w:r>
                  <w:r>
                    <w:rPr>
                      <w:rFonts w:hint="eastAsia" w:ascii="Times New Roman" w:hAnsi="Times New Roman" w:eastAsia="宋体" w:cs="Times New Roman"/>
                      <w:color w:val="auto"/>
                      <w:lang w:val="en-US" w:eastAsia="zh-CN"/>
                    </w:rPr>
                    <w:t>23</w:t>
                  </w:r>
                </w:p>
              </w:tc>
              <w:tc>
                <w:tcPr>
                  <w:tcW w:w="1419" w:type="pct"/>
                  <w:vMerge w:val="continue"/>
                  <w:tcBorders>
                    <w:left w:val="single" w:color="auto" w:sz="4" w:space="0"/>
                    <w:right w:val="single" w:color="auto" w:sz="4" w:space="0"/>
                  </w:tcBorders>
                  <w:vAlign w:val="center"/>
                </w:tcPr>
                <w:p w14:paraId="64E096F9">
                  <w:pPr>
                    <w:pStyle w:val="35"/>
                    <w:bidi w:val="0"/>
                    <w:rPr>
                      <w:rFonts w:hint="default" w:ascii="Times New Roman" w:hAnsi="Times New Roman" w:eastAsia="宋体" w:cs="Times New Roman"/>
                      <w:color w:val="auto"/>
                    </w:rPr>
                  </w:pPr>
                </w:p>
              </w:tc>
            </w:tr>
            <w:tr w14:paraId="6752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38" w:type="pct"/>
                  <w:vMerge w:val="continue"/>
                  <w:tcBorders>
                    <w:left w:val="single" w:color="auto" w:sz="4" w:space="0"/>
                    <w:right w:val="single" w:color="auto" w:sz="4" w:space="0"/>
                  </w:tcBorders>
                  <w:vAlign w:val="center"/>
                </w:tcPr>
                <w:p w14:paraId="682C31B5">
                  <w:pPr>
                    <w:pStyle w:val="35"/>
                    <w:bidi w:val="0"/>
                    <w:rPr>
                      <w:rFonts w:hint="default" w:ascii="Times New Roman" w:hAnsi="Times New Roman" w:eastAsia="宋体" w:cs="Times New Roman"/>
                      <w:b w:val="0"/>
                      <w:bCs w:val="0"/>
                      <w:color w:val="auto"/>
                      <w:highlight w:val="none"/>
                    </w:rPr>
                  </w:pPr>
                </w:p>
              </w:tc>
              <w:tc>
                <w:tcPr>
                  <w:tcW w:w="588" w:type="pct"/>
                  <w:vMerge w:val="continue"/>
                  <w:tcBorders>
                    <w:left w:val="single" w:color="auto" w:sz="4" w:space="0"/>
                    <w:right w:val="single" w:color="auto" w:sz="4" w:space="0"/>
                  </w:tcBorders>
                  <w:vAlign w:val="center"/>
                </w:tcPr>
                <w:p w14:paraId="18560F33">
                  <w:pPr>
                    <w:pStyle w:val="35"/>
                    <w:bidi w:val="0"/>
                    <w:rPr>
                      <w:rFonts w:hint="default" w:ascii="Times New Roman" w:hAnsi="Times New Roman" w:eastAsia="宋体" w:cs="Times New Roman"/>
                      <w:b w:val="0"/>
                      <w:bCs w:val="0"/>
                      <w:color w:val="auto"/>
                    </w:rPr>
                  </w:pPr>
                </w:p>
              </w:tc>
              <w:tc>
                <w:tcPr>
                  <w:tcW w:w="636" w:type="pct"/>
                  <w:tcBorders>
                    <w:left w:val="single" w:color="auto" w:sz="4" w:space="0"/>
                    <w:right w:val="single" w:color="auto" w:sz="4" w:space="0"/>
                  </w:tcBorders>
                  <w:vAlign w:val="center"/>
                </w:tcPr>
                <w:p w14:paraId="62479FE3">
                  <w:pPr>
                    <w:pStyle w:val="3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氮氧化物</w:t>
                  </w:r>
                </w:p>
              </w:tc>
              <w:tc>
                <w:tcPr>
                  <w:tcW w:w="790" w:type="pct"/>
                  <w:tcBorders>
                    <w:left w:val="single" w:color="auto" w:sz="4" w:space="0"/>
                    <w:right w:val="single" w:color="auto" w:sz="4" w:space="0"/>
                  </w:tcBorders>
                  <w:vAlign w:val="center"/>
                </w:tcPr>
                <w:p w14:paraId="2560057B">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szCs w:val="32"/>
                    </w:rPr>
                    <w:t>0.00187</w:t>
                  </w:r>
                </w:p>
              </w:tc>
              <w:tc>
                <w:tcPr>
                  <w:tcW w:w="575" w:type="pct"/>
                  <w:vMerge w:val="continue"/>
                  <w:tcBorders>
                    <w:left w:val="single" w:color="auto" w:sz="4" w:space="0"/>
                    <w:right w:val="single" w:color="auto" w:sz="4" w:space="0"/>
                  </w:tcBorders>
                  <w:vAlign w:val="center"/>
                </w:tcPr>
                <w:p w14:paraId="5A2F2CF1">
                  <w:pPr>
                    <w:pStyle w:val="35"/>
                    <w:bidi w:val="0"/>
                    <w:rPr>
                      <w:rFonts w:hint="default" w:ascii="Times New Roman" w:hAnsi="Times New Roman" w:eastAsia="宋体" w:cs="Times New Roman"/>
                      <w:color w:val="auto"/>
                    </w:rPr>
                  </w:pPr>
                </w:p>
              </w:tc>
              <w:tc>
                <w:tcPr>
                  <w:tcW w:w="550" w:type="pct"/>
                  <w:tcBorders>
                    <w:left w:val="single" w:color="auto" w:sz="4" w:space="0"/>
                    <w:right w:val="single" w:color="auto" w:sz="4" w:space="0"/>
                  </w:tcBorders>
                  <w:vAlign w:val="center"/>
                </w:tcPr>
                <w:p w14:paraId="79235C0D">
                  <w:pPr>
                    <w:pStyle w:val="35"/>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217</w:t>
                  </w:r>
                </w:p>
              </w:tc>
              <w:tc>
                <w:tcPr>
                  <w:tcW w:w="1419" w:type="pct"/>
                  <w:vMerge w:val="continue"/>
                  <w:tcBorders>
                    <w:left w:val="single" w:color="auto" w:sz="4" w:space="0"/>
                    <w:right w:val="single" w:color="auto" w:sz="4" w:space="0"/>
                  </w:tcBorders>
                  <w:vAlign w:val="center"/>
                </w:tcPr>
                <w:p w14:paraId="671096F2">
                  <w:pPr>
                    <w:pStyle w:val="35"/>
                    <w:bidi w:val="0"/>
                    <w:rPr>
                      <w:rFonts w:hint="default" w:ascii="Times New Roman" w:hAnsi="Times New Roman" w:eastAsia="宋体" w:cs="Times New Roman"/>
                      <w:color w:val="auto"/>
                    </w:rPr>
                  </w:pPr>
                </w:p>
              </w:tc>
            </w:tr>
            <w:tr w14:paraId="718C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000" w:type="pct"/>
                  <w:gridSpan w:val="7"/>
                  <w:tcBorders>
                    <w:left w:val="single" w:color="auto" w:sz="4" w:space="0"/>
                    <w:right w:val="single" w:color="auto" w:sz="4" w:space="0"/>
                  </w:tcBorders>
                  <w:vAlign w:val="center"/>
                </w:tcPr>
                <w:p w14:paraId="2AF65C51">
                  <w:pPr>
                    <w:pStyle w:val="35"/>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szCs w:val="32"/>
                      <w:lang w:val="en-US" w:eastAsia="zh-CN"/>
                    </w:rPr>
                    <w:t>注</w:t>
                  </w:r>
                  <w:r>
                    <w:rPr>
                      <w:rFonts w:hint="default" w:ascii="Times New Roman" w:hAnsi="Times New Roman" w:eastAsia="宋体" w:cs="Times New Roman"/>
                      <w:color w:val="auto"/>
                      <w:szCs w:val="32"/>
                      <w:vertAlign w:val="superscript"/>
                    </w:rPr>
                    <w:t>①</w:t>
                  </w:r>
                  <w:r>
                    <w:rPr>
                      <w:rFonts w:hint="default" w:ascii="Times New Roman" w:hAnsi="Times New Roman" w:eastAsia="宋体" w:cs="Times New Roman"/>
                      <w:color w:val="auto"/>
                      <w:szCs w:val="32"/>
                      <w:vertAlign w:val="baseline"/>
                      <w:lang w:eastAsia="zh-CN"/>
                    </w:rPr>
                    <w:t>：</w:t>
                  </w:r>
                  <w:r>
                    <w:rPr>
                      <w:rFonts w:hint="default" w:ascii="Times New Roman" w:hAnsi="Times New Roman" w:eastAsia="宋体" w:cs="Times New Roman"/>
                      <w:color w:val="auto"/>
                      <w:szCs w:val="32"/>
                    </w:rPr>
                    <w:t>S为收到基硫分，参照《天然气标准》（GB17820-2018）</w:t>
                  </w:r>
                  <w:r>
                    <w:rPr>
                      <w:rFonts w:hint="default" w:ascii="Times New Roman" w:hAnsi="Times New Roman" w:eastAsia="宋体" w:cs="Times New Roman"/>
                      <w:color w:val="auto"/>
                      <w:szCs w:val="32"/>
                      <w:lang w:eastAsia="zh-CN"/>
                    </w:rPr>
                    <w:t>，</w:t>
                  </w:r>
                  <w:r>
                    <w:rPr>
                      <w:rFonts w:hint="default" w:ascii="Times New Roman" w:hAnsi="Times New Roman" w:eastAsia="宋体" w:cs="Times New Roman"/>
                      <w:color w:val="auto"/>
                      <w:szCs w:val="32"/>
                      <w:lang w:val="en-US" w:eastAsia="zh-CN"/>
                    </w:rPr>
                    <w:t>S</w:t>
                  </w:r>
                  <w:r>
                    <w:rPr>
                      <w:rFonts w:hint="default" w:ascii="Times New Roman" w:hAnsi="Times New Roman" w:eastAsia="宋体" w:cs="Times New Roman"/>
                      <w:color w:val="auto"/>
                      <w:szCs w:val="32"/>
                    </w:rPr>
                    <w:t>取值100，二氧化硫产生系数0.0002kg/m</w:t>
                  </w:r>
                  <w:r>
                    <w:rPr>
                      <w:rFonts w:hint="default" w:ascii="Times New Roman" w:hAnsi="Times New Roman" w:eastAsia="宋体" w:cs="Times New Roman"/>
                      <w:color w:val="auto"/>
                      <w:szCs w:val="32"/>
                      <w:vertAlign w:val="superscript"/>
                    </w:rPr>
                    <w:t>3</w:t>
                  </w:r>
                  <w:r>
                    <w:rPr>
                      <w:rFonts w:hint="default" w:ascii="Times New Roman" w:hAnsi="Times New Roman" w:eastAsia="宋体" w:cs="Times New Roman"/>
                      <w:color w:val="auto"/>
                      <w:szCs w:val="32"/>
                    </w:rPr>
                    <w:t>-原料</w:t>
                  </w:r>
                </w:p>
              </w:tc>
            </w:tr>
          </w:tbl>
          <w:p w14:paraId="33CA18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0" w:firstLineChars="200"/>
              <w:jc w:val="both"/>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项目喷粉线固化废气拟在设置烘道进出口上方设置矩形集气罩收集，集气效率以80%计，未收集污染物车间无组织排放。</w:t>
            </w:r>
          </w:p>
          <w:p w14:paraId="3DB663E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leftChars="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参考《环境工程技术手册 废气处理工程技术手册》（王纯，张殿印主编，化学工业出版社，2012.11），上部伞型罩风量按下式计算：</w:t>
            </w:r>
          </w:p>
          <w:p w14:paraId="2EC8C0FF">
            <w:pPr>
              <w:pStyle w:val="38"/>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Q=1.4*P*H*V</w:t>
            </w:r>
            <w:r>
              <w:rPr>
                <w:rFonts w:hint="default" w:ascii="Times New Roman" w:hAnsi="Times New Roman" w:eastAsia="宋体" w:cs="Times New Roman"/>
                <w:color w:val="auto"/>
                <w:sz w:val="24"/>
                <w:szCs w:val="24"/>
                <w:vertAlign w:val="subscript"/>
              </w:rPr>
              <w:t>X</w:t>
            </w:r>
          </w:p>
          <w:p w14:paraId="368B8000">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式中：Q——排气量，m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w:t>
            </w:r>
          </w:p>
          <w:p w14:paraId="763993B7">
            <w:pPr>
              <w:pStyle w:val="38"/>
              <w:keepNext w:val="0"/>
              <w:keepLines w:val="0"/>
              <w:pageBreakBefore w:val="0"/>
              <w:widowControl/>
              <w:kinsoku/>
              <w:wordWrap/>
              <w:overflowPunct/>
              <w:topLinePunct w:val="0"/>
              <w:autoSpaceDE/>
              <w:autoSpaceDN/>
              <w:bidi w:val="0"/>
              <w:adjustRightInd/>
              <w:snapToGrid/>
              <w:spacing w:line="360" w:lineRule="auto"/>
              <w:ind w:left="630" w:left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P——罩口周长，m；</w:t>
            </w:r>
          </w:p>
          <w:p w14:paraId="0469F634">
            <w:pPr>
              <w:pStyle w:val="38"/>
              <w:keepNext w:val="0"/>
              <w:keepLines w:val="0"/>
              <w:pageBreakBefore w:val="0"/>
              <w:widowControl/>
              <w:kinsoku/>
              <w:wordWrap/>
              <w:overflowPunct/>
              <w:topLinePunct w:val="0"/>
              <w:autoSpaceDE/>
              <w:autoSpaceDN/>
              <w:bidi w:val="0"/>
              <w:adjustRightInd/>
              <w:snapToGrid/>
              <w:spacing w:line="360" w:lineRule="auto"/>
              <w:ind w:left="630" w:left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VX——控制风速，0.25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2.5m/s</w:t>
            </w:r>
          </w:p>
          <w:p w14:paraId="0F26EEC0">
            <w:pPr>
              <w:pStyle w:val="38"/>
              <w:keepNext w:val="0"/>
              <w:keepLines w:val="0"/>
              <w:pageBreakBefore w:val="0"/>
              <w:widowControl/>
              <w:kinsoku/>
              <w:wordWrap/>
              <w:overflowPunct/>
              <w:topLinePunct w:val="0"/>
              <w:autoSpaceDE/>
              <w:autoSpaceDN/>
              <w:bidi w:val="0"/>
              <w:adjustRightInd/>
              <w:snapToGrid/>
              <w:spacing w:line="360" w:lineRule="auto"/>
              <w:ind w:left="630" w:left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H——污染源距罩口距离，m；</w:t>
            </w:r>
          </w:p>
          <w:p w14:paraId="66712F7A">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项目喷粉线固化废气集气风量核算如下：</w:t>
            </w:r>
          </w:p>
          <w:p w14:paraId="55FDBDCA">
            <w:pPr>
              <w:pStyle w:val="39"/>
              <w:keepNext w:val="0"/>
              <w:keepLines w:val="0"/>
              <w:pageBreakBefore w:val="0"/>
              <w:kinsoku/>
              <w:wordWrap/>
              <w:overflowPunct/>
              <w:topLinePunct w:val="0"/>
              <w:autoSpaceDE/>
              <w:autoSpaceDN/>
              <w:bidi w:val="0"/>
              <w:adjustRightInd/>
              <w:snapToGrid/>
              <w:spacing w:beforeLines="0" w:line="36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项目喷粉线固化废气集气风量</w:t>
            </w:r>
            <w:r>
              <w:rPr>
                <w:rFonts w:hint="eastAsia" w:ascii="Times New Roman" w:hAnsi="Times New Roman" w:eastAsia="宋体" w:cs="Times New Roman"/>
                <w:color w:val="auto"/>
                <w:sz w:val="24"/>
                <w:szCs w:val="24"/>
              </w:rPr>
              <w:t>计算表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6"/>
              <w:gridCol w:w="1066"/>
              <w:gridCol w:w="1429"/>
              <w:gridCol w:w="1527"/>
              <w:gridCol w:w="789"/>
              <w:gridCol w:w="919"/>
              <w:gridCol w:w="958"/>
              <w:gridCol w:w="1067"/>
            </w:tblGrid>
            <w:tr w14:paraId="4370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06" w:type="pct"/>
                  <w:tcBorders>
                    <w:left w:val="single" w:color="auto" w:sz="4" w:space="0"/>
                    <w:right w:val="single" w:color="auto" w:sz="4" w:space="0"/>
                  </w:tcBorders>
                  <w:vAlign w:val="center"/>
                </w:tcPr>
                <w:p w14:paraId="6F0F0A68">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631" w:type="pct"/>
                  <w:tcBorders>
                    <w:left w:val="single" w:color="auto" w:sz="4" w:space="0"/>
                    <w:right w:val="single" w:color="auto" w:sz="4" w:space="0"/>
                  </w:tcBorders>
                  <w:vAlign w:val="center"/>
                </w:tcPr>
                <w:p w14:paraId="6E0EEF07">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846" w:type="pct"/>
                  <w:tcBorders>
                    <w:left w:val="single" w:color="auto" w:sz="4" w:space="0"/>
                    <w:right w:val="single" w:color="auto" w:sz="4" w:space="0"/>
                  </w:tcBorders>
                  <w:vAlign w:val="center"/>
                </w:tcPr>
                <w:p w14:paraId="0AA1C4B8">
                  <w:pPr>
                    <w:pStyle w:val="35"/>
                    <w:bidi w:val="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rPr>
                    <w:t>废气收集方式</w:t>
                  </w:r>
                </w:p>
              </w:tc>
              <w:tc>
                <w:tcPr>
                  <w:tcW w:w="904" w:type="pct"/>
                  <w:tcBorders>
                    <w:left w:val="single" w:color="auto" w:sz="4" w:space="0"/>
                    <w:right w:val="single" w:color="auto" w:sz="4" w:space="0"/>
                  </w:tcBorders>
                  <w:vAlign w:val="center"/>
                </w:tcPr>
                <w:p w14:paraId="67D90567">
                  <w:pPr>
                    <w:pStyle w:val="35"/>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集气罩规格</w:t>
                  </w:r>
                </w:p>
              </w:tc>
              <w:tc>
                <w:tcPr>
                  <w:tcW w:w="467" w:type="pct"/>
                  <w:tcBorders>
                    <w:left w:val="single" w:color="auto" w:sz="4" w:space="0"/>
                    <w:right w:val="single" w:color="auto" w:sz="4" w:space="0"/>
                  </w:tcBorders>
                  <w:vAlign w:val="center"/>
                </w:tcPr>
                <w:p w14:paraId="2696AA76">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距离m</w:t>
                  </w:r>
                </w:p>
              </w:tc>
              <w:tc>
                <w:tcPr>
                  <w:tcW w:w="544" w:type="pct"/>
                  <w:tcBorders>
                    <w:left w:val="single" w:color="auto" w:sz="4" w:space="0"/>
                    <w:right w:val="single" w:color="auto" w:sz="4" w:space="0"/>
                  </w:tcBorders>
                  <w:vAlign w:val="center"/>
                </w:tcPr>
                <w:p w14:paraId="1BE0E57E">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控制风速m/s</w:t>
                  </w:r>
                </w:p>
              </w:tc>
              <w:tc>
                <w:tcPr>
                  <w:tcW w:w="567" w:type="pct"/>
                  <w:tcBorders>
                    <w:left w:val="single" w:color="auto" w:sz="4" w:space="0"/>
                    <w:right w:val="single" w:color="auto" w:sz="4" w:space="0"/>
                  </w:tcBorders>
                  <w:vAlign w:val="center"/>
                </w:tcPr>
                <w:p w14:paraId="77E7F165">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计</w:t>
                  </w:r>
                  <w:r>
                    <w:rPr>
                      <w:rFonts w:hint="default" w:ascii="Times New Roman" w:hAnsi="Times New Roman" w:eastAsia="宋体" w:cs="Times New Roman"/>
                      <w:b/>
                      <w:bCs/>
                      <w:color w:val="auto"/>
                      <w:lang w:val="en-US" w:eastAsia="zh-CN"/>
                    </w:rPr>
                    <w:t>得</w:t>
                  </w:r>
                  <w:r>
                    <w:rPr>
                      <w:rFonts w:hint="default" w:ascii="Times New Roman" w:hAnsi="Times New Roman" w:eastAsia="宋体" w:cs="Times New Roman"/>
                      <w:b/>
                      <w:bCs/>
                      <w:color w:val="auto"/>
                    </w:rPr>
                    <w:t>风量m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/h</w:t>
                  </w:r>
                </w:p>
              </w:tc>
              <w:tc>
                <w:tcPr>
                  <w:tcW w:w="631" w:type="pct"/>
                  <w:tcBorders>
                    <w:left w:val="single" w:color="auto" w:sz="4" w:space="0"/>
                    <w:right w:val="single" w:color="auto" w:sz="4" w:space="0"/>
                  </w:tcBorders>
                  <w:vAlign w:val="center"/>
                </w:tcPr>
                <w:p w14:paraId="1DE310F1">
                  <w:pPr>
                    <w:pStyle w:val="35"/>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设计风量m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/h</w:t>
                  </w:r>
                </w:p>
              </w:tc>
            </w:tr>
            <w:tr w14:paraId="13BD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06" w:type="pct"/>
                  <w:tcBorders>
                    <w:left w:val="single" w:color="auto" w:sz="4" w:space="0"/>
                    <w:right w:val="single" w:color="auto" w:sz="4" w:space="0"/>
                  </w:tcBorders>
                  <w:vAlign w:val="center"/>
                </w:tcPr>
                <w:p w14:paraId="17D3B156">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G3</w:t>
                  </w:r>
                </w:p>
              </w:tc>
              <w:tc>
                <w:tcPr>
                  <w:tcW w:w="631" w:type="pct"/>
                  <w:tcBorders>
                    <w:left w:val="single" w:color="auto" w:sz="4" w:space="0"/>
                    <w:right w:val="single" w:color="auto" w:sz="4" w:space="0"/>
                  </w:tcBorders>
                  <w:vAlign w:val="center"/>
                </w:tcPr>
                <w:p w14:paraId="11CA0FA2">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喷粉</w:t>
                  </w:r>
                  <w:r>
                    <w:rPr>
                      <w:rFonts w:hint="default" w:ascii="Times New Roman" w:hAnsi="Times New Roman" w:eastAsia="宋体" w:cs="Times New Roman"/>
                      <w:color w:val="auto"/>
                      <w:lang w:val="en-US" w:eastAsia="zh-CN"/>
                    </w:rPr>
                    <w:t>线固化</w:t>
                  </w:r>
                  <w:r>
                    <w:rPr>
                      <w:rFonts w:hint="default" w:ascii="Times New Roman" w:hAnsi="Times New Roman" w:eastAsia="宋体" w:cs="Times New Roman"/>
                      <w:color w:val="auto"/>
                    </w:rPr>
                    <w:t>废气</w:t>
                  </w:r>
                </w:p>
              </w:tc>
              <w:tc>
                <w:tcPr>
                  <w:tcW w:w="846" w:type="pct"/>
                  <w:tcBorders>
                    <w:left w:val="single" w:color="auto" w:sz="4" w:space="0"/>
                    <w:right w:val="single" w:color="auto" w:sz="4" w:space="0"/>
                  </w:tcBorders>
                  <w:vAlign w:val="center"/>
                </w:tcPr>
                <w:p w14:paraId="5DED8E99">
                  <w:pPr>
                    <w:pStyle w:val="35"/>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顶吸集气罩</w:t>
                  </w:r>
                </w:p>
              </w:tc>
              <w:tc>
                <w:tcPr>
                  <w:tcW w:w="904" w:type="pct"/>
                  <w:tcBorders>
                    <w:left w:val="single" w:color="auto" w:sz="4" w:space="0"/>
                    <w:right w:val="single" w:color="auto" w:sz="4" w:space="0"/>
                  </w:tcBorders>
                  <w:vAlign w:val="center"/>
                </w:tcPr>
                <w:p w14:paraId="501E125A">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长2.5</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宽1m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两个（进、出口）</w:t>
                  </w:r>
                </w:p>
              </w:tc>
              <w:tc>
                <w:tcPr>
                  <w:tcW w:w="467" w:type="pct"/>
                  <w:tcBorders>
                    <w:left w:val="single" w:color="auto" w:sz="4" w:space="0"/>
                    <w:right w:val="single" w:color="auto" w:sz="4" w:space="0"/>
                  </w:tcBorders>
                  <w:vAlign w:val="center"/>
                </w:tcPr>
                <w:p w14:paraId="06325182">
                  <w:pPr>
                    <w:pStyle w:val="3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w:t>
                  </w:r>
                </w:p>
              </w:tc>
              <w:tc>
                <w:tcPr>
                  <w:tcW w:w="544" w:type="pct"/>
                  <w:tcBorders>
                    <w:left w:val="single" w:color="auto" w:sz="4" w:space="0"/>
                    <w:right w:val="single" w:color="auto" w:sz="4" w:space="0"/>
                  </w:tcBorders>
                  <w:vAlign w:val="center"/>
                </w:tcPr>
                <w:p w14:paraId="548F0F52">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567" w:type="pct"/>
                  <w:tcBorders>
                    <w:left w:val="single" w:color="auto" w:sz="4" w:space="0"/>
                    <w:right w:val="single" w:color="auto" w:sz="4" w:space="0"/>
                  </w:tcBorders>
                  <w:vAlign w:val="center"/>
                </w:tcPr>
                <w:p w14:paraId="4E050BDD">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4233.6</w:t>
                  </w:r>
                </w:p>
              </w:tc>
              <w:tc>
                <w:tcPr>
                  <w:tcW w:w="631" w:type="pct"/>
                  <w:tcBorders>
                    <w:left w:val="single" w:color="auto" w:sz="4" w:space="0"/>
                    <w:right w:val="single" w:color="auto" w:sz="4" w:space="0"/>
                  </w:tcBorders>
                  <w:vAlign w:val="center"/>
                </w:tcPr>
                <w:p w14:paraId="3D960A65">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5000</w:t>
                  </w:r>
                </w:p>
              </w:tc>
            </w:tr>
          </w:tbl>
          <w:p w14:paraId="2EF78AA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项目喷粉线固化废气经烘道进出口集气罩收集后一并进入1套“干式过滤+活性炭吸附”装置处置后由1根21m高排气筒DA004排放，参照</w:t>
            </w:r>
            <w:r>
              <w:rPr>
                <w:rFonts w:hint="default" w:ascii="Times New Roman" w:hAnsi="Times New Roman" w:eastAsia="宋体" w:cs="宋体"/>
                <w:color w:val="auto"/>
                <w:sz w:val="24"/>
                <w:szCs w:val="24"/>
                <w:highlight w:val="none"/>
                <w:lang w:val="en-US" w:eastAsia="zh-CN"/>
              </w:rPr>
              <w:t>《排放源统计调查产排污核算方法和系数手册》</w:t>
            </w:r>
            <w:r>
              <w:rPr>
                <w:rFonts w:hint="eastAsia" w:ascii="Times New Roman" w:hAnsi="Times New Roman" w:eastAsia="宋体" w:cs="宋体"/>
                <w:color w:val="auto"/>
                <w:sz w:val="24"/>
                <w:szCs w:val="24"/>
                <w:highlight w:val="none"/>
                <w:lang w:val="en-US" w:eastAsia="zh-CN"/>
              </w:rPr>
              <w:t>，活性炭吸附处置效率以18%计。活性炭对</w:t>
            </w:r>
            <w:r>
              <w:rPr>
                <w:rFonts w:hint="eastAsia" w:ascii="Calibri" w:hAnsi="Calibri" w:eastAsia="宋体" w:cs="Calibri"/>
                <w:color w:val="auto"/>
                <w:sz w:val="24"/>
                <w:szCs w:val="24"/>
                <w:highlight w:val="none"/>
                <w:lang w:val="en-US" w:eastAsia="zh-CN"/>
              </w:rPr>
              <w:t>二氧化硫、氮氧化物、颗粒物（产生量较少）处理效率均按</w:t>
            </w:r>
            <w:r>
              <w:rPr>
                <w:rFonts w:hint="default" w:ascii="Times New Roman" w:hAnsi="Times New Roman" w:eastAsia="宋体" w:cs="Times New Roman"/>
                <w:color w:val="auto"/>
                <w:sz w:val="24"/>
                <w:szCs w:val="24"/>
                <w:highlight w:val="none"/>
                <w:lang w:val="en-US" w:eastAsia="zh-CN"/>
              </w:rPr>
              <w:t>0</w:t>
            </w:r>
            <w:r>
              <w:rPr>
                <w:rFonts w:hint="eastAsia" w:ascii="Calibri" w:hAnsi="Calibri" w:eastAsia="宋体" w:cs="Calibri"/>
                <w:color w:val="auto"/>
                <w:sz w:val="24"/>
                <w:szCs w:val="24"/>
                <w:highlight w:val="none"/>
                <w:lang w:val="en-US" w:eastAsia="zh-CN"/>
              </w:rPr>
              <w:t>计，</w:t>
            </w:r>
            <w:r>
              <w:rPr>
                <w:rFonts w:hint="eastAsia" w:ascii="Times New Roman" w:hAnsi="Times New Roman" w:eastAsia="宋体" w:cs="宋体"/>
                <w:color w:val="auto"/>
                <w:sz w:val="24"/>
                <w:szCs w:val="24"/>
                <w:highlight w:val="none"/>
                <w:lang w:val="en-US" w:eastAsia="zh-CN"/>
              </w:rPr>
              <w:t>则项目喷粉固化废气排放情况如下表：</w:t>
            </w:r>
          </w:p>
          <w:p w14:paraId="2950668F">
            <w:pPr>
              <w:pStyle w:val="39"/>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项目喷粉固化废气排放情况一览</w:t>
            </w:r>
            <w:r>
              <w:rPr>
                <w:rFonts w:hint="eastAsia" w:ascii="Times New Roman" w:hAnsi="Times New Roman" w:eastAsia="宋体" w:cs="Times New Roman"/>
                <w:color w:val="auto"/>
                <w:sz w:val="24"/>
                <w:szCs w:val="24"/>
              </w:rPr>
              <w:t>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1"/>
              <w:gridCol w:w="1158"/>
              <w:gridCol w:w="728"/>
              <w:gridCol w:w="634"/>
              <w:gridCol w:w="546"/>
              <w:gridCol w:w="649"/>
              <w:gridCol w:w="543"/>
              <w:gridCol w:w="816"/>
              <w:gridCol w:w="595"/>
              <w:gridCol w:w="629"/>
              <w:gridCol w:w="740"/>
              <w:gridCol w:w="774"/>
            </w:tblGrid>
            <w:tr w14:paraId="782F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73" w:type="pct"/>
                  <w:vMerge w:val="restart"/>
                  <w:tcBorders>
                    <w:left w:val="single" w:color="auto" w:sz="4" w:space="0"/>
                    <w:right w:val="single" w:color="auto" w:sz="4" w:space="0"/>
                  </w:tcBorders>
                  <w:vAlign w:val="center"/>
                </w:tcPr>
                <w:p w14:paraId="7316C671">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685" w:type="pct"/>
                  <w:vMerge w:val="restart"/>
                  <w:tcBorders>
                    <w:left w:val="single" w:color="auto" w:sz="4" w:space="0"/>
                    <w:right w:val="single" w:color="auto" w:sz="4" w:space="0"/>
                  </w:tcBorders>
                  <w:vAlign w:val="center"/>
                </w:tcPr>
                <w:p w14:paraId="2D764B4A">
                  <w:pPr>
                    <w:pStyle w:val="35"/>
                    <w:bidi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431" w:type="pct"/>
                  <w:vMerge w:val="restart"/>
                  <w:tcBorders>
                    <w:left w:val="single" w:color="auto" w:sz="4" w:space="0"/>
                    <w:right w:val="single" w:color="auto" w:sz="4" w:space="0"/>
                  </w:tcBorders>
                  <w:vAlign w:val="center"/>
                </w:tcPr>
                <w:p w14:paraId="1B9F481A">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排放时间</w:t>
                  </w:r>
                  <w:r>
                    <w:rPr>
                      <w:rFonts w:hint="default" w:ascii="Times New Roman" w:hAnsi="Times New Roman" w:cs="Times New Roman"/>
                      <w:b/>
                      <w:bCs/>
                      <w:color w:val="auto"/>
                    </w:rPr>
                    <w:t>h</w:t>
                  </w:r>
                  <w:r>
                    <w:rPr>
                      <w:rFonts w:hint="default" w:ascii="Times New Roman" w:hAnsi="Times New Roman" w:cs="Times New Roman"/>
                      <w:b/>
                      <w:bCs/>
                      <w:color w:val="auto"/>
                      <w:lang w:val="en-US" w:eastAsia="zh-CN"/>
                    </w:rPr>
                    <w:t>/a</w:t>
                  </w:r>
                </w:p>
              </w:tc>
              <w:tc>
                <w:tcPr>
                  <w:tcW w:w="375" w:type="pct"/>
                  <w:vMerge w:val="restart"/>
                  <w:tcBorders>
                    <w:left w:val="single" w:color="auto" w:sz="4" w:space="0"/>
                    <w:right w:val="single" w:color="auto" w:sz="4" w:space="0"/>
                  </w:tcBorders>
                  <w:vAlign w:val="center"/>
                </w:tcPr>
                <w:p w14:paraId="3A7EEE9F">
                  <w:pPr>
                    <w:pStyle w:val="35"/>
                    <w:bidi w:val="0"/>
                    <w:rPr>
                      <w:rFonts w:hint="default" w:ascii="Times New Roman" w:hAnsi="Times New Roman" w:cs="Times New Roman"/>
                      <w:b/>
                      <w:bCs/>
                      <w:color w:val="auto"/>
                    </w:rPr>
                  </w:pPr>
                  <w:r>
                    <w:rPr>
                      <w:rFonts w:hint="default" w:ascii="Times New Roman" w:hAnsi="Times New Roman" w:cs="Times New Roman"/>
                      <w:b/>
                      <w:bCs/>
                      <w:color w:val="auto"/>
                    </w:rPr>
                    <w:t>产生量t/a</w:t>
                  </w:r>
                </w:p>
              </w:tc>
              <w:tc>
                <w:tcPr>
                  <w:tcW w:w="323" w:type="pct"/>
                  <w:vMerge w:val="restart"/>
                  <w:tcBorders>
                    <w:left w:val="single" w:color="auto" w:sz="4" w:space="0"/>
                    <w:right w:val="single" w:color="auto" w:sz="4" w:space="0"/>
                  </w:tcBorders>
                  <w:vAlign w:val="center"/>
                </w:tcPr>
                <w:p w14:paraId="5E9CC4E6">
                  <w:pPr>
                    <w:pStyle w:val="35"/>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收集效率</w:t>
                  </w:r>
                </w:p>
              </w:tc>
              <w:tc>
                <w:tcPr>
                  <w:tcW w:w="384" w:type="pct"/>
                  <w:vMerge w:val="restart"/>
                  <w:tcBorders>
                    <w:left w:val="single" w:color="auto" w:sz="4" w:space="0"/>
                    <w:right w:val="single" w:color="auto" w:sz="4" w:space="0"/>
                  </w:tcBorders>
                  <w:vAlign w:val="center"/>
                </w:tcPr>
                <w:p w14:paraId="3EDB3D2D">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处置效率</w:t>
                  </w:r>
                </w:p>
              </w:tc>
              <w:tc>
                <w:tcPr>
                  <w:tcW w:w="321" w:type="pct"/>
                  <w:vMerge w:val="restart"/>
                  <w:tcBorders>
                    <w:left w:val="single" w:color="auto" w:sz="4" w:space="0"/>
                    <w:right w:val="single" w:color="auto" w:sz="4" w:space="0"/>
                  </w:tcBorders>
                  <w:vAlign w:val="center"/>
                </w:tcPr>
                <w:p w14:paraId="28DAD1B0">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rPr>
                    <w:t>风量m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/h</w:t>
                  </w:r>
                </w:p>
              </w:tc>
              <w:tc>
                <w:tcPr>
                  <w:tcW w:w="483" w:type="pct"/>
                  <w:vMerge w:val="restart"/>
                  <w:tcBorders>
                    <w:left w:val="single" w:color="auto" w:sz="4" w:space="0"/>
                    <w:right w:val="single" w:color="auto" w:sz="4" w:space="0"/>
                  </w:tcBorders>
                  <w:vAlign w:val="center"/>
                </w:tcPr>
                <w:p w14:paraId="25488843">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无组织排放量</w:t>
                  </w:r>
                  <w:r>
                    <w:rPr>
                      <w:rFonts w:hint="default" w:ascii="Times New Roman" w:hAnsi="Times New Roman" w:cs="Times New Roman"/>
                      <w:b/>
                      <w:bCs/>
                      <w:color w:val="auto"/>
                    </w:rPr>
                    <w:t>t/a</w:t>
                  </w:r>
                </w:p>
              </w:tc>
              <w:tc>
                <w:tcPr>
                  <w:tcW w:w="1163" w:type="pct"/>
                  <w:gridSpan w:val="3"/>
                  <w:tcBorders>
                    <w:left w:val="single" w:color="auto" w:sz="4" w:space="0"/>
                    <w:right w:val="single" w:color="auto" w:sz="4" w:space="0"/>
                  </w:tcBorders>
                  <w:vAlign w:val="center"/>
                </w:tcPr>
                <w:p w14:paraId="6264FF43">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有组织排放</w:t>
                  </w:r>
                </w:p>
              </w:tc>
              <w:tc>
                <w:tcPr>
                  <w:tcW w:w="458" w:type="pct"/>
                  <w:vMerge w:val="restart"/>
                  <w:tcBorders>
                    <w:left w:val="single" w:color="auto" w:sz="4" w:space="0"/>
                    <w:right w:val="single" w:color="auto" w:sz="4" w:space="0"/>
                  </w:tcBorders>
                  <w:vAlign w:val="center"/>
                </w:tcPr>
                <w:p w14:paraId="562F04BF">
                  <w:pPr>
                    <w:pStyle w:val="35"/>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排气筒编号</w:t>
                  </w:r>
                </w:p>
              </w:tc>
            </w:tr>
            <w:tr w14:paraId="09B9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73" w:type="pct"/>
                  <w:vMerge w:val="continue"/>
                  <w:tcBorders>
                    <w:left w:val="single" w:color="auto" w:sz="4" w:space="0"/>
                    <w:right w:val="single" w:color="auto" w:sz="4" w:space="0"/>
                  </w:tcBorders>
                  <w:vAlign w:val="center"/>
                </w:tcPr>
                <w:p w14:paraId="36DDDC88">
                  <w:pPr>
                    <w:pStyle w:val="35"/>
                    <w:bidi w:val="0"/>
                    <w:rPr>
                      <w:rFonts w:hint="default" w:ascii="Times New Roman" w:hAnsi="Times New Roman" w:cs="Times New Roman"/>
                      <w:color w:val="auto"/>
                    </w:rPr>
                  </w:pPr>
                </w:p>
              </w:tc>
              <w:tc>
                <w:tcPr>
                  <w:tcW w:w="685" w:type="pct"/>
                  <w:vMerge w:val="continue"/>
                  <w:tcBorders>
                    <w:left w:val="single" w:color="auto" w:sz="4" w:space="0"/>
                    <w:right w:val="single" w:color="auto" w:sz="4" w:space="0"/>
                  </w:tcBorders>
                  <w:vAlign w:val="center"/>
                </w:tcPr>
                <w:p w14:paraId="45142429">
                  <w:pPr>
                    <w:pStyle w:val="35"/>
                    <w:bidi w:val="0"/>
                    <w:rPr>
                      <w:rFonts w:hint="default" w:ascii="Times New Roman" w:hAnsi="Times New Roman" w:cs="Times New Roman"/>
                      <w:color w:val="auto"/>
                    </w:rPr>
                  </w:pPr>
                </w:p>
              </w:tc>
              <w:tc>
                <w:tcPr>
                  <w:tcW w:w="431" w:type="pct"/>
                  <w:vMerge w:val="continue"/>
                  <w:tcBorders>
                    <w:left w:val="single" w:color="auto" w:sz="4" w:space="0"/>
                    <w:right w:val="single" w:color="auto" w:sz="4" w:space="0"/>
                  </w:tcBorders>
                  <w:vAlign w:val="center"/>
                </w:tcPr>
                <w:p w14:paraId="0193897D">
                  <w:pPr>
                    <w:pStyle w:val="35"/>
                    <w:bidi w:val="0"/>
                    <w:rPr>
                      <w:rFonts w:hint="default" w:ascii="Times New Roman" w:hAnsi="Times New Roman" w:cs="Times New Roman"/>
                      <w:color w:val="auto"/>
                    </w:rPr>
                  </w:pPr>
                </w:p>
              </w:tc>
              <w:tc>
                <w:tcPr>
                  <w:tcW w:w="375" w:type="pct"/>
                  <w:vMerge w:val="continue"/>
                  <w:tcBorders>
                    <w:left w:val="single" w:color="auto" w:sz="4" w:space="0"/>
                    <w:right w:val="single" w:color="auto" w:sz="4" w:space="0"/>
                  </w:tcBorders>
                  <w:vAlign w:val="center"/>
                </w:tcPr>
                <w:p w14:paraId="367D98E8">
                  <w:pPr>
                    <w:pStyle w:val="35"/>
                    <w:bidi w:val="0"/>
                    <w:rPr>
                      <w:rFonts w:hint="default" w:ascii="Times New Roman" w:hAnsi="Times New Roman" w:cs="Times New Roman"/>
                      <w:color w:val="auto"/>
                    </w:rPr>
                  </w:pPr>
                </w:p>
              </w:tc>
              <w:tc>
                <w:tcPr>
                  <w:tcW w:w="323" w:type="pct"/>
                  <w:vMerge w:val="continue"/>
                  <w:tcBorders>
                    <w:left w:val="single" w:color="auto" w:sz="4" w:space="0"/>
                    <w:right w:val="single" w:color="auto" w:sz="4" w:space="0"/>
                  </w:tcBorders>
                  <w:vAlign w:val="center"/>
                </w:tcPr>
                <w:p w14:paraId="215CFB56">
                  <w:pPr>
                    <w:pStyle w:val="35"/>
                    <w:bidi w:val="0"/>
                    <w:rPr>
                      <w:rFonts w:hint="default" w:ascii="Times New Roman" w:hAnsi="Times New Roman" w:cs="Times New Roman"/>
                      <w:color w:val="auto"/>
                    </w:rPr>
                  </w:pPr>
                </w:p>
              </w:tc>
              <w:tc>
                <w:tcPr>
                  <w:tcW w:w="384" w:type="pct"/>
                  <w:vMerge w:val="continue"/>
                  <w:tcBorders>
                    <w:left w:val="single" w:color="auto" w:sz="4" w:space="0"/>
                    <w:right w:val="single" w:color="auto" w:sz="4" w:space="0"/>
                  </w:tcBorders>
                  <w:vAlign w:val="center"/>
                </w:tcPr>
                <w:p w14:paraId="247BF3CC">
                  <w:pPr>
                    <w:pStyle w:val="35"/>
                    <w:bidi w:val="0"/>
                    <w:rPr>
                      <w:rFonts w:hint="default" w:ascii="Times New Roman" w:hAnsi="Times New Roman" w:cs="Times New Roman"/>
                      <w:color w:val="auto"/>
                    </w:rPr>
                  </w:pPr>
                </w:p>
              </w:tc>
              <w:tc>
                <w:tcPr>
                  <w:tcW w:w="321" w:type="pct"/>
                  <w:vMerge w:val="continue"/>
                  <w:tcBorders>
                    <w:left w:val="single" w:color="auto" w:sz="4" w:space="0"/>
                    <w:right w:val="single" w:color="auto" w:sz="4" w:space="0"/>
                  </w:tcBorders>
                  <w:vAlign w:val="center"/>
                </w:tcPr>
                <w:p w14:paraId="4B3B1C58">
                  <w:pPr>
                    <w:pStyle w:val="35"/>
                    <w:bidi w:val="0"/>
                    <w:rPr>
                      <w:rFonts w:hint="default" w:ascii="Times New Roman" w:hAnsi="Times New Roman" w:cs="Times New Roman"/>
                      <w:color w:val="auto"/>
                    </w:rPr>
                  </w:pPr>
                </w:p>
              </w:tc>
              <w:tc>
                <w:tcPr>
                  <w:tcW w:w="483" w:type="pct"/>
                  <w:vMerge w:val="continue"/>
                  <w:tcBorders>
                    <w:left w:val="single" w:color="auto" w:sz="4" w:space="0"/>
                    <w:right w:val="single" w:color="auto" w:sz="4" w:space="0"/>
                  </w:tcBorders>
                  <w:vAlign w:val="center"/>
                </w:tcPr>
                <w:p w14:paraId="47CBF0BB">
                  <w:pPr>
                    <w:pStyle w:val="35"/>
                    <w:bidi w:val="0"/>
                    <w:rPr>
                      <w:rFonts w:hint="default" w:ascii="Times New Roman" w:hAnsi="Times New Roman" w:cs="Times New Roman"/>
                      <w:color w:val="auto"/>
                    </w:rPr>
                  </w:pPr>
                </w:p>
              </w:tc>
              <w:tc>
                <w:tcPr>
                  <w:tcW w:w="352" w:type="pct"/>
                  <w:tcBorders>
                    <w:left w:val="single" w:color="auto" w:sz="4" w:space="0"/>
                    <w:right w:val="single" w:color="auto" w:sz="4" w:space="0"/>
                  </w:tcBorders>
                  <w:vAlign w:val="center"/>
                </w:tcPr>
                <w:p w14:paraId="3A1350A9">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rPr>
                    <w:t>量t/a</w:t>
                  </w:r>
                </w:p>
              </w:tc>
              <w:tc>
                <w:tcPr>
                  <w:tcW w:w="372" w:type="pct"/>
                  <w:tcBorders>
                    <w:left w:val="single" w:color="auto" w:sz="4" w:space="0"/>
                    <w:right w:val="single" w:color="auto" w:sz="4" w:space="0"/>
                  </w:tcBorders>
                  <w:vAlign w:val="center"/>
                </w:tcPr>
                <w:p w14:paraId="10BB67AC">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rPr>
                    <w:t>速率kg/h</w:t>
                  </w:r>
                </w:p>
              </w:tc>
              <w:tc>
                <w:tcPr>
                  <w:tcW w:w="438" w:type="pct"/>
                  <w:tcBorders>
                    <w:left w:val="single" w:color="auto" w:sz="4" w:space="0"/>
                    <w:right w:val="single" w:color="auto" w:sz="4" w:space="0"/>
                  </w:tcBorders>
                  <w:vAlign w:val="center"/>
                </w:tcPr>
                <w:p w14:paraId="46FB2F37">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rPr>
                    <w:t>浓度mg/m</w:t>
                  </w:r>
                  <w:r>
                    <w:rPr>
                      <w:rFonts w:hint="default" w:ascii="Times New Roman" w:hAnsi="Times New Roman" w:cs="Times New Roman"/>
                      <w:b/>
                      <w:bCs/>
                      <w:color w:val="auto"/>
                      <w:vertAlign w:val="superscript"/>
                    </w:rPr>
                    <w:t>3</w:t>
                  </w:r>
                </w:p>
              </w:tc>
              <w:tc>
                <w:tcPr>
                  <w:tcW w:w="458" w:type="pct"/>
                  <w:vMerge w:val="continue"/>
                  <w:tcBorders>
                    <w:left w:val="single" w:color="auto" w:sz="4" w:space="0"/>
                    <w:right w:val="single" w:color="auto" w:sz="4" w:space="0"/>
                  </w:tcBorders>
                  <w:vAlign w:val="center"/>
                </w:tcPr>
                <w:p w14:paraId="170EBC35">
                  <w:pPr>
                    <w:pStyle w:val="35"/>
                    <w:bidi w:val="0"/>
                    <w:rPr>
                      <w:rFonts w:hint="default" w:ascii="Times New Roman" w:hAnsi="Times New Roman" w:cs="Times New Roman"/>
                      <w:b/>
                      <w:bCs/>
                      <w:color w:val="auto"/>
                      <w:lang w:val="en-US" w:eastAsia="zh-CN"/>
                    </w:rPr>
                  </w:pPr>
                </w:p>
              </w:tc>
            </w:tr>
            <w:tr w14:paraId="3868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restart"/>
                  <w:tcBorders>
                    <w:left w:val="single" w:color="auto" w:sz="4" w:space="0"/>
                    <w:right w:val="single" w:color="auto" w:sz="4" w:space="0"/>
                  </w:tcBorders>
                  <w:vAlign w:val="center"/>
                </w:tcPr>
                <w:p w14:paraId="6D6ED948">
                  <w:pPr>
                    <w:pStyle w:val="35"/>
                    <w:bidi w:val="0"/>
                    <w:rPr>
                      <w:rFonts w:hint="default" w:ascii="Times New Roman" w:hAnsi="Times New Roman" w:cs="Times New Roman"/>
                      <w:color w:val="auto"/>
                    </w:rPr>
                  </w:pPr>
                  <w:r>
                    <w:rPr>
                      <w:rFonts w:hint="default" w:ascii="Times New Roman" w:hAnsi="Times New Roman" w:cs="Times New Roman"/>
                      <w:color w:val="auto"/>
                      <w:lang w:val="en-US" w:eastAsia="zh-CN"/>
                    </w:rPr>
                    <w:t>喷粉线固化废气</w:t>
                  </w:r>
                </w:p>
              </w:tc>
              <w:tc>
                <w:tcPr>
                  <w:tcW w:w="685" w:type="pct"/>
                  <w:tcBorders>
                    <w:left w:val="single" w:color="auto" w:sz="4" w:space="0"/>
                    <w:right w:val="single" w:color="auto" w:sz="4" w:space="0"/>
                  </w:tcBorders>
                  <w:vAlign w:val="center"/>
                </w:tcPr>
                <w:p w14:paraId="73284694">
                  <w:pPr>
                    <w:pStyle w:val="35"/>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非甲烷总烃</w:t>
                  </w:r>
                </w:p>
              </w:tc>
              <w:tc>
                <w:tcPr>
                  <w:tcW w:w="431" w:type="pct"/>
                  <w:vMerge w:val="restart"/>
                  <w:tcBorders>
                    <w:left w:val="single" w:color="auto" w:sz="4" w:space="0"/>
                    <w:right w:val="single" w:color="auto" w:sz="4" w:space="0"/>
                  </w:tcBorders>
                  <w:vAlign w:val="center"/>
                </w:tcPr>
                <w:p w14:paraId="3B68116D">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1930</w:t>
                  </w:r>
                </w:p>
              </w:tc>
              <w:tc>
                <w:tcPr>
                  <w:tcW w:w="375" w:type="pct"/>
                  <w:tcBorders>
                    <w:left w:val="single" w:color="auto" w:sz="4" w:space="0"/>
                    <w:right w:val="single" w:color="auto" w:sz="4" w:space="0"/>
                  </w:tcBorders>
                  <w:vAlign w:val="center"/>
                </w:tcPr>
                <w:p w14:paraId="00C62F32">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w:t>
                  </w:r>
                </w:p>
              </w:tc>
              <w:tc>
                <w:tcPr>
                  <w:tcW w:w="323" w:type="pct"/>
                  <w:vMerge w:val="restart"/>
                  <w:tcBorders>
                    <w:left w:val="single" w:color="auto" w:sz="4" w:space="0"/>
                    <w:right w:val="single" w:color="auto" w:sz="4" w:space="0"/>
                  </w:tcBorders>
                  <w:vAlign w:val="center"/>
                </w:tcPr>
                <w:p w14:paraId="10943911">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384" w:type="pct"/>
                  <w:tcBorders>
                    <w:left w:val="single" w:color="auto" w:sz="4" w:space="0"/>
                    <w:right w:val="single" w:color="auto" w:sz="4" w:space="0"/>
                  </w:tcBorders>
                  <w:vAlign w:val="center"/>
                </w:tcPr>
                <w:p w14:paraId="6B00B50A">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w:t>
                  </w:r>
                </w:p>
              </w:tc>
              <w:tc>
                <w:tcPr>
                  <w:tcW w:w="321" w:type="pct"/>
                  <w:vMerge w:val="restart"/>
                  <w:tcBorders>
                    <w:left w:val="single" w:color="auto" w:sz="4" w:space="0"/>
                    <w:right w:val="single" w:color="auto" w:sz="4" w:space="0"/>
                  </w:tcBorders>
                  <w:vAlign w:val="center"/>
                </w:tcPr>
                <w:p w14:paraId="18B81657">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000</w:t>
                  </w:r>
                </w:p>
              </w:tc>
              <w:tc>
                <w:tcPr>
                  <w:tcW w:w="483" w:type="pct"/>
                  <w:tcBorders>
                    <w:left w:val="single" w:color="auto" w:sz="4" w:space="0"/>
                    <w:right w:val="single" w:color="auto" w:sz="4" w:space="0"/>
                  </w:tcBorders>
                  <w:vAlign w:val="center"/>
                </w:tcPr>
                <w:p w14:paraId="298A51ED">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0.006</w:t>
                  </w:r>
                </w:p>
              </w:tc>
              <w:tc>
                <w:tcPr>
                  <w:tcW w:w="352" w:type="pct"/>
                  <w:tcBorders>
                    <w:left w:val="single" w:color="auto" w:sz="4" w:space="0"/>
                    <w:right w:val="single" w:color="auto" w:sz="4" w:space="0"/>
                  </w:tcBorders>
                  <w:vAlign w:val="center"/>
                </w:tcPr>
                <w:p w14:paraId="148E1AD0">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p>
              </w:tc>
              <w:tc>
                <w:tcPr>
                  <w:tcW w:w="372" w:type="pct"/>
                  <w:tcBorders>
                    <w:left w:val="single" w:color="auto" w:sz="4" w:space="0"/>
                    <w:right w:val="single" w:color="auto" w:sz="4" w:space="0"/>
                  </w:tcBorders>
                  <w:vAlign w:val="center"/>
                </w:tcPr>
                <w:p w14:paraId="5196BE98">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1</w:t>
                  </w:r>
                </w:p>
              </w:tc>
              <w:tc>
                <w:tcPr>
                  <w:tcW w:w="438" w:type="pct"/>
                  <w:tcBorders>
                    <w:left w:val="single" w:color="auto" w:sz="4" w:space="0"/>
                    <w:right w:val="single" w:color="auto" w:sz="4" w:space="0"/>
                  </w:tcBorders>
                  <w:vAlign w:val="center"/>
                </w:tcPr>
                <w:p w14:paraId="2D40D1BE">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58" w:type="pct"/>
                  <w:vMerge w:val="restart"/>
                  <w:tcBorders>
                    <w:left w:val="single" w:color="auto" w:sz="4" w:space="0"/>
                    <w:right w:val="single" w:color="auto" w:sz="4" w:space="0"/>
                  </w:tcBorders>
                  <w:vAlign w:val="center"/>
                </w:tcPr>
                <w:p w14:paraId="1244708B">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w:t>
                  </w:r>
                  <w:r>
                    <w:rPr>
                      <w:rFonts w:hint="eastAsia" w:ascii="Times New Roman" w:hAnsi="Times New Roman" w:cs="Times New Roman"/>
                      <w:color w:val="auto"/>
                      <w:lang w:val="en-US" w:eastAsia="zh-CN"/>
                    </w:rPr>
                    <w:t>4</w:t>
                  </w:r>
                </w:p>
              </w:tc>
            </w:tr>
            <w:tr w14:paraId="0A76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6D8697A7">
                  <w:pPr>
                    <w:pStyle w:val="35"/>
                    <w:bidi w:val="0"/>
                    <w:rPr>
                      <w:rFonts w:hint="default" w:ascii="Times New Roman" w:hAnsi="Times New Roman" w:cs="Times New Roman"/>
                      <w:color w:val="auto"/>
                      <w:lang w:val="en-US" w:eastAsia="zh-CN"/>
                    </w:rPr>
                  </w:pPr>
                </w:p>
              </w:tc>
              <w:tc>
                <w:tcPr>
                  <w:tcW w:w="685" w:type="pct"/>
                  <w:tcBorders>
                    <w:left w:val="single" w:color="auto" w:sz="4" w:space="0"/>
                    <w:right w:val="single" w:color="auto" w:sz="4" w:space="0"/>
                  </w:tcBorders>
                  <w:vAlign w:val="center"/>
                </w:tcPr>
                <w:p w14:paraId="0391A812">
                  <w:pPr>
                    <w:pStyle w:val="3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431" w:type="pct"/>
                  <w:vMerge w:val="continue"/>
                  <w:tcBorders>
                    <w:left w:val="single" w:color="auto" w:sz="4" w:space="0"/>
                    <w:right w:val="single" w:color="auto" w:sz="4" w:space="0"/>
                  </w:tcBorders>
                  <w:vAlign w:val="center"/>
                </w:tcPr>
                <w:p w14:paraId="4991F2DC">
                  <w:pPr>
                    <w:pStyle w:val="35"/>
                    <w:bidi w:val="0"/>
                    <w:rPr>
                      <w:rFonts w:hint="eastAsia" w:ascii="Times New Roman" w:hAnsi="Times New Roman" w:cs="Times New Roman"/>
                      <w:color w:val="auto"/>
                      <w:lang w:val="en-US" w:eastAsia="zh-CN"/>
                    </w:rPr>
                  </w:pPr>
                </w:p>
              </w:tc>
              <w:tc>
                <w:tcPr>
                  <w:tcW w:w="375" w:type="pct"/>
                  <w:tcBorders>
                    <w:left w:val="single" w:color="auto" w:sz="4" w:space="0"/>
                    <w:right w:val="single" w:color="auto" w:sz="4" w:space="0"/>
                  </w:tcBorders>
                  <w:vAlign w:val="center"/>
                </w:tcPr>
                <w:p w14:paraId="3B9909DF">
                  <w:pPr>
                    <w:pStyle w:val="35"/>
                    <w:bidi w:val="0"/>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033</w:t>
                  </w:r>
                </w:p>
              </w:tc>
              <w:tc>
                <w:tcPr>
                  <w:tcW w:w="323" w:type="pct"/>
                  <w:vMerge w:val="continue"/>
                  <w:tcBorders>
                    <w:left w:val="single" w:color="auto" w:sz="4" w:space="0"/>
                    <w:right w:val="single" w:color="auto" w:sz="4" w:space="0"/>
                  </w:tcBorders>
                  <w:vAlign w:val="center"/>
                </w:tcPr>
                <w:p w14:paraId="76849328">
                  <w:pPr>
                    <w:pStyle w:val="35"/>
                    <w:bidi w:val="0"/>
                    <w:rPr>
                      <w:rFonts w:hint="default" w:ascii="Times New Roman" w:hAnsi="Times New Roman" w:cs="Times New Roman"/>
                      <w:color w:val="auto"/>
                      <w:lang w:val="en-US" w:eastAsia="zh-CN"/>
                    </w:rPr>
                  </w:pPr>
                </w:p>
              </w:tc>
              <w:tc>
                <w:tcPr>
                  <w:tcW w:w="384" w:type="pct"/>
                  <w:vMerge w:val="restart"/>
                  <w:tcBorders>
                    <w:left w:val="single" w:color="auto" w:sz="4" w:space="0"/>
                    <w:right w:val="single" w:color="auto" w:sz="4" w:space="0"/>
                  </w:tcBorders>
                  <w:vAlign w:val="center"/>
                </w:tcPr>
                <w:p w14:paraId="2CF6B3B7">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321" w:type="pct"/>
                  <w:vMerge w:val="continue"/>
                  <w:tcBorders>
                    <w:left w:val="single" w:color="auto" w:sz="4" w:space="0"/>
                    <w:right w:val="single" w:color="auto" w:sz="4" w:space="0"/>
                  </w:tcBorders>
                  <w:vAlign w:val="center"/>
                </w:tcPr>
                <w:p w14:paraId="2EF84775">
                  <w:pPr>
                    <w:pStyle w:val="35"/>
                    <w:bidi w:val="0"/>
                    <w:rPr>
                      <w:rFonts w:hint="eastAsia" w:ascii="Times New Roman" w:hAnsi="Times New Roman" w:cs="Times New Roman"/>
                      <w:color w:val="auto"/>
                      <w:lang w:val="en-US" w:eastAsia="zh-CN"/>
                    </w:rPr>
                  </w:pPr>
                </w:p>
              </w:tc>
              <w:tc>
                <w:tcPr>
                  <w:tcW w:w="483" w:type="pct"/>
                  <w:tcBorders>
                    <w:left w:val="single" w:color="auto" w:sz="4" w:space="0"/>
                    <w:right w:val="single" w:color="auto" w:sz="4" w:space="0"/>
                  </w:tcBorders>
                  <w:vAlign w:val="center"/>
                </w:tcPr>
                <w:p w14:paraId="1CB11A3F">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0.007</w:t>
                  </w:r>
                </w:p>
              </w:tc>
              <w:tc>
                <w:tcPr>
                  <w:tcW w:w="352" w:type="pct"/>
                  <w:tcBorders>
                    <w:left w:val="single" w:color="auto" w:sz="4" w:space="0"/>
                    <w:right w:val="single" w:color="auto" w:sz="4" w:space="0"/>
                  </w:tcBorders>
                  <w:vAlign w:val="center"/>
                </w:tcPr>
                <w:p w14:paraId="4DA29EEE">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0.026</w:t>
                  </w:r>
                </w:p>
              </w:tc>
              <w:tc>
                <w:tcPr>
                  <w:tcW w:w="372" w:type="pct"/>
                  <w:tcBorders>
                    <w:left w:val="single" w:color="auto" w:sz="4" w:space="0"/>
                    <w:right w:val="single" w:color="auto" w:sz="4" w:space="0"/>
                  </w:tcBorders>
                  <w:vAlign w:val="center"/>
                </w:tcPr>
                <w:p w14:paraId="387F9732">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w:t>
                  </w:r>
                </w:p>
              </w:tc>
              <w:tc>
                <w:tcPr>
                  <w:tcW w:w="438" w:type="pct"/>
                  <w:tcBorders>
                    <w:left w:val="single" w:color="auto" w:sz="4" w:space="0"/>
                    <w:right w:val="single" w:color="auto" w:sz="4" w:space="0"/>
                  </w:tcBorders>
                  <w:vAlign w:val="center"/>
                </w:tcPr>
                <w:p w14:paraId="13D52383">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c>
                <w:tcPr>
                  <w:tcW w:w="458" w:type="pct"/>
                  <w:vMerge w:val="continue"/>
                  <w:tcBorders>
                    <w:left w:val="single" w:color="auto" w:sz="4" w:space="0"/>
                    <w:right w:val="single" w:color="auto" w:sz="4" w:space="0"/>
                  </w:tcBorders>
                  <w:vAlign w:val="center"/>
                </w:tcPr>
                <w:p w14:paraId="72B1946C">
                  <w:pPr>
                    <w:pStyle w:val="35"/>
                    <w:bidi w:val="0"/>
                    <w:rPr>
                      <w:rFonts w:hint="default" w:ascii="Times New Roman" w:hAnsi="Times New Roman" w:cs="Times New Roman"/>
                      <w:color w:val="auto"/>
                      <w:lang w:val="en-US" w:eastAsia="zh-CN"/>
                    </w:rPr>
                  </w:pPr>
                </w:p>
              </w:tc>
            </w:tr>
            <w:tr w14:paraId="289E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6CFFD0FD">
                  <w:pPr>
                    <w:pStyle w:val="35"/>
                    <w:bidi w:val="0"/>
                    <w:rPr>
                      <w:rFonts w:hint="default" w:ascii="Times New Roman" w:hAnsi="Times New Roman" w:cs="Times New Roman"/>
                      <w:color w:val="auto"/>
                      <w:lang w:val="en-US" w:eastAsia="zh-CN"/>
                    </w:rPr>
                  </w:pPr>
                </w:p>
              </w:tc>
              <w:tc>
                <w:tcPr>
                  <w:tcW w:w="685" w:type="pct"/>
                  <w:tcBorders>
                    <w:left w:val="single" w:color="auto" w:sz="4" w:space="0"/>
                    <w:right w:val="single" w:color="auto" w:sz="4" w:space="0"/>
                  </w:tcBorders>
                  <w:vAlign w:val="center"/>
                </w:tcPr>
                <w:p w14:paraId="72F2D3BE">
                  <w:pPr>
                    <w:pStyle w:val="35"/>
                    <w:bidi w:val="0"/>
                    <w:rPr>
                      <w:rFonts w:hint="default" w:ascii="Times New Roman" w:hAnsi="Times New Roman" w:cs="Times New Roman"/>
                      <w:color w:val="auto"/>
                      <w:lang w:val="en-US" w:eastAsia="zh-CN"/>
                    </w:rPr>
                  </w:pPr>
                  <w:r>
                    <w:rPr>
                      <w:rFonts w:hint="eastAsia"/>
                      <w:color w:val="auto"/>
                      <w:lang w:val="en-US" w:eastAsia="zh-CN"/>
                    </w:rPr>
                    <w:t>二氧化硫</w:t>
                  </w:r>
                </w:p>
              </w:tc>
              <w:tc>
                <w:tcPr>
                  <w:tcW w:w="431" w:type="pct"/>
                  <w:vMerge w:val="continue"/>
                  <w:tcBorders>
                    <w:left w:val="single" w:color="auto" w:sz="4" w:space="0"/>
                    <w:right w:val="single" w:color="auto" w:sz="4" w:space="0"/>
                  </w:tcBorders>
                  <w:vAlign w:val="center"/>
                </w:tcPr>
                <w:p w14:paraId="0AEF3860">
                  <w:pPr>
                    <w:pStyle w:val="35"/>
                    <w:bidi w:val="0"/>
                    <w:rPr>
                      <w:rFonts w:hint="eastAsia" w:ascii="Times New Roman" w:hAnsi="Times New Roman" w:cs="Times New Roman"/>
                      <w:color w:val="auto"/>
                      <w:lang w:val="en-US" w:eastAsia="zh-CN"/>
                    </w:rPr>
                  </w:pPr>
                </w:p>
              </w:tc>
              <w:tc>
                <w:tcPr>
                  <w:tcW w:w="375" w:type="pct"/>
                  <w:tcBorders>
                    <w:left w:val="single" w:color="auto" w:sz="4" w:space="0"/>
                    <w:right w:val="single" w:color="auto" w:sz="4" w:space="0"/>
                  </w:tcBorders>
                  <w:vAlign w:val="center"/>
                </w:tcPr>
                <w:p w14:paraId="5A45F8EE">
                  <w:pPr>
                    <w:pStyle w:val="35"/>
                    <w:bidi w:val="0"/>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0.0</w:t>
                  </w:r>
                  <w:r>
                    <w:rPr>
                      <w:rFonts w:hint="eastAsia" w:ascii="Times New Roman" w:hAnsi="Times New Roman" w:eastAsia="宋体" w:cs="Times New Roman"/>
                      <w:color w:val="auto"/>
                      <w:lang w:val="en-US" w:eastAsia="zh-CN"/>
                    </w:rPr>
                    <w:t>23</w:t>
                  </w:r>
                </w:p>
              </w:tc>
              <w:tc>
                <w:tcPr>
                  <w:tcW w:w="323" w:type="pct"/>
                  <w:vMerge w:val="continue"/>
                  <w:tcBorders>
                    <w:left w:val="single" w:color="auto" w:sz="4" w:space="0"/>
                    <w:right w:val="single" w:color="auto" w:sz="4" w:space="0"/>
                  </w:tcBorders>
                  <w:vAlign w:val="center"/>
                </w:tcPr>
                <w:p w14:paraId="6974609A">
                  <w:pPr>
                    <w:pStyle w:val="35"/>
                    <w:bidi w:val="0"/>
                    <w:rPr>
                      <w:rFonts w:hint="default" w:ascii="Times New Roman" w:hAnsi="Times New Roman" w:cs="Times New Roman"/>
                      <w:color w:val="auto"/>
                      <w:lang w:val="en-US" w:eastAsia="zh-CN"/>
                    </w:rPr>
                  </w:pPr>
                </w:p>
              </w:tc>
              <w:tc>
                <w:tcPr>
                  <w:tcW w:w="384" w:type="pct"/>
                  <w:vMerge w:val="continue"/>
                  <w:tcBorders>
                    <w:left w:val="single" w:color="auto" w:sz="4" w:space="0"/>
                    <w:right w:val="single" w:color="auto" w:sz="4" w:space="0"/>
                  </w:tcBorders>
                  <w:vAlign w:val="center"/>
                </w:tcPr>
                <w:p w14:paraId="13748A63">
                  <w:pPr>
                    <w:pStyle w:val="35"/>
                    <w:bidi w:val="0"/>
                    <w:rPr>
                      <w:rFonts w:hint="eastAsia" w:ascii="Times New Roman" w:hAnsi="Times New Roman" w:cs="Times New Roman"/>
                      <w:color w:val="auto"/>
                      <w:lang w:val="en-US" w:eastAsia="zh-CN"/>
                    </w:rPr>
                  </w:pPr>
                </w:p>
              </w:tc>
              <w:tc>
                <w:tcPr>
                  <w:tcW w:w="321" w:type="pct"/>
                  <w:vMerge w:val="continue"/>
                  <w:tcBorders>
                    <w:left w:val="single" w:color="auto" w:sz="4" w:space="0"/>
                    <w:right w:val="single" w:color="auto" w:sz="4" w:space="0"/>
                  </w:tcBorders>
                  <w:vAlign w:val="center"/>
                </w:tcPr>
                <w:p w14:paraId="6DBFBD63">
                  <w:pPr>
                    <w:pStyle w:val="35"/>
                    <w:bidi w:val="0"/>
                    <w:rPr>
                      <w:rFonts w:hint="eastAsia" w:ascii="Times New Roman" w:hAnsi="Times New Roman" w:cs="Times New Roman"/>
                      <w:color w:val="auto"/>
                      <w:lang w:val="en-US" w:eastAsia="zh-CN"/>
                    </w:rPr>
                  </w:pPr>
                </w:p>
              </w:tc>
              <w:tc>
                <w:tcPr>
                  <w:tcW w:w="483" w:type="pct"/>
                  <w:tcBorders>
                    <w:left w:val="single" w:color="auto" w:sz="4" w:space="0"/>
                    <w:right w:val="single" w:color="auto" w:sz="4" w:space="0"/>
                  </w:tcBorders>
                  <w:vAlign w:val="center"/>
                </w:tcPr>
                <w:p w14:paraId="39E81117">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0.005</w:t>
                  </w:r>
                </w:p>
              </w:tc>
              <w:tc>
                <w:tcPr>
                  <w:tcW w:w="352" w:type="pct"/>
                  <w:tcBorders>
                    <w:left w:val="single" w:color="auto" w:sz="4" w:space="0"/>
                    <w:right w:val="single" w:color="auto" w:sz="4" w:space="0"/>
                  </w:tcBorders>
                  <w:vAlign w:val="center"/>
                </w:tcPr>
                <w:p w14:paraId="5AA7B773">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0.018</w:t>
                  </w:r>
                </w:p>
              </w:tc>
              <w:tc>
                <w:tcPr>
                  <w:tcW w:w="372" w:type="pct"/>
                  <w:tcBorders>
                    <w:left w:val="single" w:color="auto" w:sz="4" w:space="0"/>
                    <w:right w:val="single" w:color="auto" w:sz="4" w:space="0"/>
                  </w:tcBorders>
                  <w:vAlign w:val="center"/>
                </w:tcPr>
                <w:p w14:paraId="01378C20">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c>
                <w:tcPr>
                  <w:tcW w:w="438" w:type="pct"/>
                  <w:tcBorders>
                    <w:left w:val="single" w:color="auto" w:sz="4" w:space="0"/>
                    <w:right w:val="single" w:color="auto" w:sz="4" w:space="0"/>
                  </w:tcBorders>
                  <w:vAlign w:val="center"/>
                </w:tcPr>
                <w:p w14:paraId="5FB7BBFE">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58" w:type="pct"/>
                  <w:vMerge w:val="continue"/>
                  <w:tcBorders>
                    <w:left w:val="single" w:color="auto" w:sz="4" w:space="0"/>
                    <w:right w:val="single" w:color="auto" w:sz="4" w:space="0"/>
                  </w:tcBorders>
                  <w:vAlign w:val="center"/>
                </w:tcPr>
                <w:p w14:paraId="6A4FC493">
                  <w:pPr>
                    <w:pStyle w:val="35"/>
                    <w:bidi w:val="0"/>
                    <w:rPr>
                      <w:rFonts w:hint="default" w:ascii="Times New Roman" w:hAnsi="Times New Roman" w:cs="Times New Roman"/>
                      <w:color w:val="auto"/>
                      <w:lang w:val="en-US" w:eastAsia="zh-CN"/>
                    </w:rPr>
                  </w:pPr>
                </w:p>
              </w:tc>
            </w:tr>
            <w:tr w14:paraId="510B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2DF32744">
                  <w:pPr>
                    <w:pStyle w:val="35"/>
                    <w:bidi w:val="0"/>
                    <w:rPr>
                      <w:rFonts w:hint="default" w:ascii="Times New Roman" w:hAnsi="Times New Roman" w:cs="Times New Roman"/>
                      <w:color w:val="auto"/>
                      <w:lang w:val="en-US" w:eastAsia="zh-CN"/>
                    </w:rPr>
                  </w:pPr>
                </w:p>
              </w:tc>
              <w:tc>
                <w:tcPr>
                  <w:tcW w:w="685" w:type="pct"/>
                  <w:tcBorders>
                    <w:left w:val="single" w:color="auto" w:sz="4" w:space="0"/>
                    <w:right w:val="single" w:color="auto" w:sz="4" w:space="0"/>
                  </w:tcBorders>
                  <w:vAlign w:val="center"/>
                </w:tcPr>
                <w:p w14:paraId="0CB44BB9">
                  <w:pPr>
                    <w:pStyle w:val="35"/>
                    <w:bidi w:val="0"/>
                    <w:rPr>
                      <w:rFonts w:hint="default" w:ascii="Times New Roman" w:hAnsi="Times New Roman" w:cs="Times New Roman"/>
                      <w:color w:val="auto"/>
                      <w:lang w:val="en-US" w:eastAsia="zh-CN"/>
                    </w:rPr>
                  </w:pPr>
                  <w:r>
                    <w:rPr>
                      <w:rFonts w:hint="eastAsia"/>
                      <w:color w:val="auto"/>
                      <w:lang w:val="en-US" w:eastAsia="zh-CN"/>
                    </w:rPr>
                    <w:t>氮氧化物</w:t>
                  </w:r>
                </w:p>
              </w:tc>
              <w:tc>
                <w:tcPr>
                  <w:tcW w:w="431" w:type="pct"/>
                  <w:vMerge w:val="continue"/>
                  <w:tcBorders>
                    <w:left w:val="single" w:color="auto" w:sz="4" w:space="0"/>
                    <w:right w:val="single" w:color="auto" w:sz="4" w:space="0"/>
                  </w:tcBorders>
                  <w:vAlign w:val="center"/>
                </w:tcPr>
                <w:p w14:paraId="0474C0AC">
                  <w:pPr>
                    <w:pStyle w:val="35"/>
                    <w:bidi w:val="0"/>
                    <w:rPr>
                      <w:rFonts w:hint="eastAsia" w:ascii="Times New Roman" w:hAnsi="Times New Roman" w:cs="Times New Roman"/>
                      <w:color w:val="auto"/>
                      <w:lang w:val="en-US" w:eastAsia="zh-CN"/>
                    </w:rPr>
                  </w:pPr>
                </w:p>
              </w:tc>
              <w:tc>
                <w:tcPr>
                  <w:tcW w:w="375" w:type="pct"/>
                  <w:tcBorders>
                    <w:left w:val="single" w:color="auto" w:sz="4" w:space="0"/>
                    <w:right w:val="single" w:color="auto" w:sz="4" w:space="0"/>
                  </w:tcBorders>
                  <w:vAlign w:val="center"/>
                </w:tcPr>
                <w:p w14:paraId="2E97A371">
                  <w:pPr>
                    <w:pStyle w:val="35"/>
                    <w:bidi w:val="0"/>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217</w:t>
                  </w:r>
                </w:p>
              </w:tc>
              <w:tc>
                <w:tcPr>
                  <w:tcW w:w="323" w:type="pct"/>
                  <w:vMerge w:val="continue"/>
                  <w:tcBorders>
                    <w:left w:val="single" w:color="auto" w:sz="4" w:space="0"/>
                    <w:right w:val="single" w:color="auto" w:sz="4" w:space="0"/>
                  </w:tcBorders>
                  <w:vAlign w:val="center"/>
                </w:tcPr>
                <w:p w14:paraId="590342C9">
                  <w:pPr>
                    <w:pStyle w:val="35"/>
                    <w:bidi w:val="0"/>
                    <w:rPr>
                      <w:rFonts w:hint="default" w:ascii="Times New Roman" w:hAnsi="Times New Roman" w:cs="Times New Roman"/>
                      <w:color w:val="auto"/>
                      <w:lang w:val="en-US" w:eastAsia="zh-CN"/>
                    </w:rPr>
                  </w:pPr>
                </w:p>
              </w:tc>
              <w:tc>
                <w:tcPr>
                  <w:tcW w:w="384" w:type="pct"/>
                  <w:vMerge w:val="continue"/>
                  <w:tcBorders>
                    <w:left w:val="single" w:color="auto" w:sz="4" w:space="0"/>
                    <w:right w:val="single" w:color="auto" w:sz="4" w:space="0"/>
                  </w:tcBorders>
                  <w:vAlign w:val="center"/>
                </w:tcPr>
                <w:p w14:paraId="3FEB7C09">
                  <w:pPr>
                    <w:pStyle w:val="35"/>
                    <w:bidi w:val="0"/>
                    <w:rPr>
                      <w:rFonts w:hint="eastAsia" w:ascii="Times New Roman" w:hAnsi="Times New Roman" w:cs="Times New Roman"/>
                      <w:color w:val="auto"/>
                      <w:lang w:val="en-US" w:eastAsia="zh-CN"/>
                    </w:rPr>
                  </w:pPr>
                </w:p>
              </w:tc>
              <w:tc>
                <w:tcPr>
                  <w:tcW w:w="321" w:type="pct"/>
                  <w:vMerge w:val="continue"/>
                  <w:tcBorders>
                    <w:left w:val="single" w:color="auto" w:sz="4" w:space="0"/>
                    <w:right w:val="single" w:color="auto" w:sz="4" w:space="0"/>
                  </w:tcBorders>
                  <w:vAlign w:val="center"/>
                </w:tcPr>
                <w:p w14:paraId="1D105CFB">
                  <w:pPr>
                    <w:pStyle w:val="35"/>
                    <w:bidi w:val="0"/>
                    <w:rPr>
                      <w:rFonts w:hint="eastAsia" w:ascii="Times New Roman" w:hAnsi="Times New Roman" w:cs="Times New Roman"/>
                      <w:color w:val="auto"/>
                      <w:lang w:val="en-US" w:eastAsia="zh-CN"/>
                    </w:rPr>
                  </w:pPr>
                </w:p>
              </w:tc>
              <w:tc>
                <w:tcPr>
                  <w:tcW w:w="483" w:type="pct"/>
                  <w:tcBorders>
                    <w:left w:val="single" w:color="auto" w:sz="4" w:space="0"/>
                    <w:right w:val="single" w:color="auto" w:sz="4" w:space="0"/>
                  </w:tcBorders>
                  <w:vAlign w:val="center"/>
                </w:tcPr>
                <w:p w14:paraId="0E2E8C8C">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0.043</w:t>
                  </w:r>
                </w:p>
              </w:tc>
              <w:tc>
                <w:tcPr>
                  <w:tcW w:w="352" w:type="pct"/>
                  <w:tcBorders>
                    <w:left w:val="single" w:color="auto" w:sz="4" w:space="0"/>
                    <w:right w:val="single" w:color="auto" w:sz="4" w:space="0"/>
                  </w:tcBorders>
                  <w:vAlign w:val="center"/>
                </w:tcPr>
                <w:p w14:paraId="010A2CC5">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0.174</w:t>
                  </w:r>
                </w:p>
              </w:tc>
              <w:tc>
                <w:tcPr>
                  <w:tcW w:w="372" w:type="pct"/>
                  <w:tcBorders>
                    <w:left w:val="single" w:color="auto" w:sz="4" w:space="0"/>
                    <w:right w:val="single" w:color="auto" w:sz="4" w:space="0"/>
                  </w:tcBorders>
                  <w:vAlign w:val="center"/>
                </w:tcPr>
                <w:p w14:paraId="0DAF8446">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0.09</w:t>
                  </w:r>
                </w:p>
              </w:tc>
              <w:tc>
                <w:tcPr>
                  <w:tcW w:w="438" w:type="pct"/>
                  <w:tcBorders>
                    <w:left w:val="single" w:color="auto" w:sz="4" w:space="0"/>
                    <w:right w:val="single" w:color="auto" w:sz="4" w:space="0"/>
                  </w:tcBorders>
                  <w:vAlign w:val="center"/>
                </w:tcPr>
                <w:p w14:paraId="46613116">
                  <w:pPr>
                    <w:pStyle w:val="3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458" w:type="pct"/>
                  <w:vMerge w:val="continue"/>
                  <w:tcBorders>
                    <w:left w:val="single" w:color="auto" w:sz="4" w:space="0"/>
                    <w:right w:val="single" w:color="auto" w:sz="4" w:space="0"/>
                  </w:tcBorders>
                  <w:vAlign w:val="center"/>
                </w:tcPr>
                <w:p w14:paraId="2DC393AC">
                  <w:pPr>
                    <w:pStyle w:val="35"/>
                    <w:bidi w:val="0"/>
                    <w:rPr>
                      <w:rFonts w:hint="default" w:ascii="Times New Roman" w:hAnsi="Times New Roman" w:cs="Times New Roman"/>
                      <w:color w:val="auto"/>
                      <w:lang w:val="en-US" w:eastAsia="zh-CN"/>
                    </w:rPr>
                  </w:pPr>
                </w:p>
              </w:tc>
            </w:tr>
          </w:tbl>
          <w:p w14:paraId="2A846E45">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2）污染防治措施可行性分析</w:t>
            </w:r>
          </w:p>
          <w:p w14:paraId="64290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①项目抛丸废气分别经设备自带袋式除尘器处置后通过</w:t>
            </w:r>
            <w:r>
              <w:rPr>
                <w:rFonts w:hint="eastAsia" w:ascii="Times New Roman" w:hAnsi="Times New Roman" w:eastAsia="宋体" w:cs="Times New Roman"/>
                <w:b w:val="0"/>
                <w:bCs w:val="0"/>
                <w:color w:val="auto"/>
                <w:sz w:val="24"/>
                <w:highlight w:val="none"/>
                <w:lang w:val="en-US" w:eastAsia="zh-CN"/>
              </w:rPr>
              <w:t>21</w:t>
            </w:r>
            <w:r>
              <w:rPr>
                <w:rFonts w:hint="default" w:ascii="Times New Roman" w:hAnsi="Times New Roman" w:eastAsia="宋体" w:cs="Times New Roman"/>
                <w:b w:val="0"/>
                <w:bCs w:val="0"/>
                <w:color w:val="auto"/>
                <w:sz w:val="24"/>
                <w:highlight w:val="none"/>
                <w:lang w:val="en-US" w:eastAsia="zh-CN"/>
              </w:rPr>
              <w:t>m高排气筒DA00</w:t>
            </w:r>
            <w:r>
              <w:rPr>
                <w:rFonts w:hint="eastAsia"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排放。根据《排污许可证申请与核发技术规范 铁路、船舶、航空航天和其他运输设备制造业》（HJ 1124—2020）中表A.6表面处理（涂装）排污单位废气污染防治推荐可行技术，袋式除尘是机械抛丸颗粒物处理可行技术，项目抛丸废气处理技术可行。</w:t>
            </w:r>
          </w:p>
          <w:p w14:paraId="69669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w:t>
            </w:r>
            <w:r>
              <w:rPr>
                <w:rFonts w:hint="eastAsia" w:ascii="Times New Roman" w:hAnsi="Times New Roman" w:cs="宋体"/>
                <w:b w:val="0"/>
                <w:bCs w:val="0"/>
                <w:color w:val="auto"/>
                <w:sz w:val="24"/>
                <w:highlight w:val="none"/>
                <w:lang w:val="en-US" w:eastAsia="zh-CN"/>
              </w:rPr>
              <w:t>项目喷粉废气通过风机将未附着的塑粉收集至喷粉线自带的滤筒除尘器回收，处理的废气由1根21m高排气筒DA003排放。</w:t>
            </w:r>
          </w:p>
          <w:p w14:paraId="44FA8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highlight w:val="none"/>
                <w:lang w:val="en-US" w:eastAsia="zh-CN"/>
              </w:rPr>
            </w:pPr>
            <w:r>
              <w:rPr>
                <w:rFonts w:hint="eastAsia" w:ascii="Times New Roman" w:hAnsi="Times New Roman" w:cs="宋体"/>
                <w:b w:val="0"/>
                <w:bCs w:val="0"/>
                <w:color w:val="auto"/>
                <w:sz w:val="24"/>
                <w:highlight w:val="none"/>
                <w:lang w:val="en-US" w:eastAsia="zh-CN"/>
              </w:rPr>
              <w:t>滤筒除尘技术：在系统主风机作用下，含尘气体从除尘器的进风口进入，经过气流均化装置，转而向下进入灰斗。由于流速减缓，加上惯性及粉尘的自重作用，使气体中大颗粒粉尘受惯性作用被分离出来，直接落入灰斗。含尘气体通过灰斗后进入除尘滤筒过滤区，气体穿过滤筒，粉尘被留在滤材外表面。净化后的气体经滤袋口进入净气室，再由出风口排出。项目使用二级滤筒除尘器对喷粉废气进行处理，综合处置效率可达90%，处理技术可行。</w:t>
            </w:r>
          </w:p>
          <w:p w14:paraId="43000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w:t>
            </w:r>
            <w:r>
              <w:rPr>
                <w:rFonts w:hint="eastAsia" w:ascii="Times New Roman" w:hAnsi="Times New Roman" w:cs="宋体"/>
                <w:b w:val="0"/>
                <w:bCs w:val="0"/>
                <w:color w:val="auto"/>
                <w:sz w:val="24"/>
                <w:highlight w:val="none"/>
                <w:lang w:val="en-US" w:eastAsia="zh-CN"/>
              </w:rPr>
              <w:t>项目喷塑固化废气经烘道进出口集气罩收集后一并进入“干式过滤+活性炭吸附”装置处置后由1根21m高排气筒DA004排放。</w:t>
            </w:r>
          </w:p>
          <w:p w14:paraId="0A280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highlight w:val="none"/>
                <w:lang w:val="en-US" w:eastAsia="zh-CN"/>
              </w:rPr>
            </w:pPr>
            <w:r>
              <w:rPr>
                <w:rFonts w:hint="eastAsia" w:ascii="Times New Roman" w:hAnsi="Times New Roman" w:cs="宋体"/>
                <w:b w:val="0"/>
                <w:bCs w:val="0"/>
                <w:color w:val="auto"/>
                <w:sz w:val="24"/>
                <w:highlight w:val="none"/>
                <w:lang w:val="en-US" w:eastAsia="zh-CN"/>
              </w:rPr>
              <w:t>干式过滤：采用过滤棉对废气中的少量颗粒物及水分进行过滤，减少对活性炭的影响。</w:t>
            </w:r>
          </w:p>
          <w:p w14:paraId="23589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color w:val="auto"/>
                <w:sz w:val="24"/>
                <w:highlight w:val="none"/>
                <w:lang w:val="en-US" w:eastAsia="zh-CN"/>
              </w:rPr>
            </w:pPr>
            <w:r>
              <w:rPr>
                <w:rFonts w:hint="eastAsia" w:ascii="Times New Roman" w:hAnsi="Times New Roman" w:cs="宋体"/>
                <w:b w:val="0"/>
                <w:bCs w:val="0"/>
                <w:color w:val="auto"/>
                <w:sz w:val="24"/>
                <w:highlight w:val="none"/>
                <w:lang w:val="en-US" w:eastAsia="zh-CN"/>
              </w:rPr>
              <w:t>活性炭吸附：活性炭是由各种如木材、泥煤、果核、椰壳等原料在高温下炭化后，再用水蒸气或化学药进行活化处理，制成的孔隙十分丰富的吸附剂，其孔径平均为（10~40）×10</w:t>
            </w:r>
            <w:r>
              <w:rPr>
                <w:rFonts w:hint="eastAsia" w:ascii="Times New Roman" w:hAnsi="Times New Roman" w:cs="宋体"/>
                <w:b w:val="0"/>
                <w:bCs w:val="0"/>
                <w:color w:val="auto"/>
                <w:sz w:val="24"/>
                <w:highlight w:val="none"/>
                <w:vertAlign w:val="superscript"/>
                <w:lang w:val="en-US" w:eastAsia="zh-CN"/>
              </w:rPr>
              <w:t>-8</w:t>
            </w:r>
            <w:r>
              <w:rPr>
                <w:rFonts w:hint="eastAsia" w:ascii="Times New Roman" w:hAnsi="Times New Roman" w:cs="宋体"/>
                <w:b w:val="0"/>
                <w:bCs w:val="0"/>
                <w:color w:val="auto"/>
                <w:sz w:val="24"/>
                <w:highlight w:val="none"/>
                <w:lang w:val="en-US" w:eastAsia="zh-CN"/>
              </w:rPr>
              <w:t>cm，比表面积一般在700~1500m</w:t>
            </w:r>
            <w:r>
              <w:rPr>
                <w:rFonts w:hint="eastAsia" w:ascii="Times New Roman" w:hAnsi="Times New Roman" w:cs="宋体"/>
                <w:b w:val="0"/>
                <w:bCs w:val="0"/>
                <w:color w:val="auto"/>
                <w:sz w:val="24"/>
                <w:highlight w:val="none"/>
                <w:vertAlign w:val="superscript"/>
                <w:lang w:val="en-US" w:eastAsia="zh-CN"/>
              </w:rPr>
              <w:t>2</w:t>
            </w:r>
            <w:r>
              <w:rPr>
                <w:rFonts w:hint="eastAsia" w:ascii="Times New Roman" w:hAnsi="Times New Roman" w:cs="宋体"/>
                <w:b w:val="0"/>
                <w:bCs w:val="0"/>
                <w:color w:val="auto"/>
                <w:sz w:val="24"/>
                <w:highlight w:val="none"/>
                <w:lang w:val="en-US" w:eastAsia="zh-CN"/>
              </w:rPr>
              <w:t>/g范围内，其高度发达的孔隙构造，为其提供了大量的表面积，能与废气充分接触，从而赋予了活性炭所特有的吸附性能。活性炭吸附有机废气是目前比较成熟的典型工艺，通过利用高性能活性炭吸附剂本身的表面作用力，将有机废气分子吸附在吸附剂表面，具有良好的吸附去除效果。有机废气用引风机引入预处理单元，达到最适合的温度等条件后通过活性炭罐（箱）吸附处理，将挥发性有机物截留到系统中，最终处理达标后的废气经风机排放。根据《重点行业挥发性有机物综合治理方案》（环大气〔2019〕53号），“低浓度、大风量废气，宜采用沸石转轮吸附、活性炭吸附、减风增浓等浓缩技术，提高VOC</w:t>
            </w:r>
            <w:r>
              <w:rPr>
                <w:rFonts w:hint="eastAsia" w:ascii="Times New Roman" w:hAnsi="Times New Roman" w:cs="宋体"/>
                <w:b w:val="0"/>
                <w:bCs w:val="0"/>
                <w:color w:val="auto"/>
                <w:sz w:val="24"/>
                <w:highlight w:val="none"/>
                <w:vertAlign w:val="subscript"/>
                <w:lang w:val="en-US" w:eastAsia="zh-CN"/>
              </w:rPr>
              <w:t>S</w:t>
            </w:r>
            <w:r>
              <w:rPr>
                <w:rFonts w:hint="eastAsia" w:ascii="Times New Roman" w:hAnsi="Times New Roman" w:cs="宋体"/>
                <w:b w:val="0"/>
                <w:bCs w:val="0"/>
                <w:color w:val="auto"/>
                <w:sz w:val="24"/>
                <w:highlight w:val="none"/>
                <w:lang w:val="en-US" w:eastAsia="zh-CN"/>
              </w:rPr>
              <w:t>浓度后净化处理”。要求项目采用“碘值不低于800mg/g的活性炭”且足量添加、及时更换，做好更换时间及使用量的记录工作。综上，项目有机废气非甲烷总烃采用活性炭吸附处置可行。</w:t>
            </w:r>
          </w:p>
          <w:p w14:paraId="49B2B956">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482" w:firstLineChars="200"/>
              <w:textAlignment w:val="auto"/>
              <w:rPr>
                <w:rFonts w:hint="default"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3）非正常工况</w:t>
            </w:r>
          </w:p>
          <w:p w14:paraId="03E412D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72" w:lineRule="auto"/>
              <w:ind w:left="0" w:right="0" w:firstLine="480" w:firstLineChars="200"/>
              <w:jc w:val="both"/>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营运期发生非正常排放的情况主要考虑为：废气治理设施风机故障，导致治理措施完全失效。项目非正常排放源强详见下表：</w:t>
            </w:r>
          </w:p>
          <w:p w14:paraId="7671B70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  项目非正常工况废气主要污染物排放情况表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80"/>
              <w:gridCol w:w="1113"/>
              <w:gridCol w:w="1201"/>
              <w:gridCol w:w="1584"/>
              <w:gridCol w:w="1095"/>
              <w:gridCol w:w="1095"/>
              <w:gridCol w:w="1085"/>
            </w:tblGrid>
            <w:tr w14:paraId="61F9A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57" w:type="pct"/>
                  <w:tcBorders>
                    <w:tl2br w:val="nil"/>
                    <w:tr2bl w:val="nil"/>
                  </w:tcBorders>
                  <w:vAlign w:val="center"/>
                </w:tcPr>
                <w:p w14:paraId="44771C5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非正常</w:t>
                  </w:r>
                </w:p>
                <w:p w14:paraId="579694F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排放源</w:t>
                  </w:r>
                </w:p>
              </w:tc>
              <w:tc>
                <w:tcPr>
                  <w:tcW w:w="658" w:type="pct"/>
                  <w:tcBorders>
                    <w:tl2br w:val="nil"/>
                    <w:tr2bl w:val="nil"/>
                  </w:tcBorders>
                  <w:vAlign w:val="center"/>
                </w:tcPr>
                <w:p w14:paraId="118C806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污染物</w:t>
                  </w:r>
                </w:p>
              </w:tc>
              <w:tc>
                <w:tcPr>
                  <w:tcW w:w="710" w:type="pct"/>
                  <w:tcBorders>
                    <w:tl2br w:val="nil"/>
                    <w:tr2bl w:val="nil"/>
                  </w:tcBorders>
                  <w:vAlign w:val="center"/>
                </w:tcPr>
                <w:p w14:paraId="3FDC4034">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非正常排放原因</w:t>
                  </w:r>
                </w:p>
              </w:tc>
              <w:tc>
                <w:tcPr>
                  <w:tcW w:w="936" w:type="pct"/>
                  <w:tcBorders>
                    <w:tl2br w:val="nil"/>
                    <w:tr2bl w:val="nil"/>
                  </w:tcBorders>
                  <w:vAlign w:val="center"/>
                </w:tcPr>
                <w:p w14:paraId="3FC10CA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非正常排放速率（</w:t>
                  </w:r>
                  <w:r>
                    <w:rPr>
                      <w:rFonts w:hint="default" w:ascii="Times New Roman" w:hAnsi="Times New Roman" w:eastAsia="宋体"/>
                      <w:b/>
                      <w:bCs/>
                      <w:color w:val="auto"/>
                      <w:sz w:val="21"/>
                      <w:szCs w:val="21"/>
                      <w:highlight w:val="none"/>
                      <w:vertAlign w:val="baseline"/>
                      <w:lang w:val="en-US" w:eastAsia="zh-CN"/>
                    </w:rPr>
                    <w:t>kg/h</w:t>
                  </w:r>
                  <w:r>
                    <w:rPr>
                      <w:rFonts w:hint="eastAsia" w:ascii="Times New Roman" w:hAnsi="Times New Roman" w:eastAsia="宋体"/>
                      <w:b/>
                      <w:bCs/>
                      <w:color w:val="auto"/>
                      <w:sz w:val="21"/>
                      <w:szCs w:val="21"/>
                      <w:highlight w:val="none"/>
                      <w:vertAlign w:val="baseline"/>
                      <w:lang w:val="en-US" w:eastAsia="zh-CN"/>
                    </w:rPr>
                    <w:t>）</w:t>
                  </w:r>
                </w:p>
              </w:tc>
              <w:tc>
                <w:tcPr>
                  <w:tcW w:w="647" w:type="pct"/>
                  <w:tcBorders>
                    <w:tl2br w:val="nil"/>
                    <w:tr2bl w:val="nil"/>
                  </w:tcBorders>
                  <w:vAlign w:val="center"/>
                </w:tcPr>
                <w:p w14:paraId="37A1BEA3">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单次持续时间</w:t>
                  </w:r>
                  <w:r>
                    <w:rPr>
                      <w:rFonts w:hint="default" w:ascii="Times New Roman" w:hAnsi="Times New Roman" w:eastAsia="宋体"/>
                      <w:b/>
                      <w:bCs/>
                      <w:color w:val="auto"/>
                      <w:sz w:val="21"/>
                      <w:szCs w:val="21"/>
                      <w:highlight w:val="none"/>
                      <w:vertAlign w:val="baseline"/>
                      <w:lang w:val="en-US" w:eastAsia="zh-CN"/>
                    </w:rPr>
                    <w:t>/h</w:t>
                  </w:r>
                </w:p>
              </w:tc>
              <w:tc>
                <w:tcPr>
                  <w:tcW w:w="647" w:type="pct"/>
                  <w:tcBorders>
                    <w:tl2br w:val="nil"/>
                    <w:tr2bl w:val="nil"/>
                  </w:tcBorders>
                  <w:vAlign w:val="center"/>
                </w:tcPr>
                <w:p w14:paraId="2550B58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年发生频次/年</w:t>
                  </w:r>
                </w:p>
              </w:tc>
              <w:tc>
                <w:tcPr>
                  <w:tcW w:w="641" w:type="pct"/>
                  <w:tcBorders>
                    <w:tl2br w:val="nil"/>
                    <w:tr2bl w:val="nil"/>
                  </w:tcBorders>
                  <w:vAlign w:val="center"/>
                </w:tcPr>
                <w:p w14:paraId="1B1B1B2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应对措施</w:t>
                  </w:r>
                </w:p>
              </w:tc>
            </w:tr>
            <w:tr w14:paraId="56C4E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757" w:type="pct"/>
                  <w:tcBorders>
                    <w:tl2br w:val="nil"/>
                    <w:tr2bl w:val="nil"/>
                  </w:tcBorders>
                  <w:shd w:val="clear" w:color="auto" w:fill="auto"/>
                  <w:vAlign w:val="center"/>
                </w:tcPr>
                <w:p w14:paraId="5CAB9D62">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抛丸废气</w:t>
                  </w:r>
                </w:p>
              </w:tc>
              <w:tc>
                <w:tcPr>
                  <w:tcW w:w="658" w:type="pct"/>
                  <w:tcBorders>
                    <w:tl2br w:val="nil"/>
                    <w:tr2bl w:val="nil"/>
                  </w:tcBorders>
                  <w:shd w:val="clear" w:color="auto" w:fill="auto"/>
                  <w:vAlign w:val="center"/>
                </w:tcPr>
                <w:p w14:paraId="68BBA65D">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颗粒物</w:t>
                  </w:r>
                </w:p>
              </w:tc>
              <w:tc>
                <w:tcPr>
                  <w:tcW w:w="710" w:type="pct"/>
                  <w:tcBorders>
                    <w:tl2br w:val="nil"/>
                    <w:tr2bl w:val="nil"/>
                  </w:tcBorders>
                  <w:vAlign w:val="center"/>
                </w:tcPr>
                <w:p w14:paraId="6B14BFE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风机故障</w:t>
                  </w:r>
                </w:p>
              </w:tc>
              <w:tc>
                <w:tcPr>
                  <w:tcW w:w="936" w:type="pct"/>
                  <w:tcBorders>
                    <w:tl2br w:val="nil"/>
                    <w:tr2bl w:val="nil"/>
                  </w:tcBorders>
                  <w:vAlign w:val="center"/>
                </w:tcPr>
                <w:p w14:paraId="68BF3069">
                  <w:pPr>
                    <w:pStyle w:val="35"/>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lang w:val="en-US" w:eastAsia="zh-CN"/>
                    </w:rPr>
                    <w:t>0.549</w:t>
                  </w:r>
                </w:p>
              </w:tc>
              <w:tc>
                <w:tcPr>
                  <w:tcW w:w="647" w:type="pct"/>
                  <w:tcBorders>
                    <w:tl2br w:val="nil"/>
                    <w:tr2bl w:val="nil"/>
                  </w:tcBorders>
                  <w:vAlign w:val="center"/>
                </w:tcPr>
                <w:p w14:paraId="0CEAF7E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w:t>
                  </w:r>
                </w:p>
              </w:tc>
              <w:tc>
                <w:tcPr>
                  <w:tcW w:w="647" w:type="pct"/>
                  <w:tcBorders>
                    <w:tl2br w:val="nil"/>
                    <w:tr2bl w:val="nil"/>
                  </w:tcBorders>
                  <w:vAlign w:val="center"/>
                </w:tcPr>
                <w:p w14:paraId="7C4196C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w:t>
                  </w:r>
                </w:p>
              </w:tc>
              <w:tc>
                <w:tcPr>
                  <w:tcW w:w="641" w:type="pct"/>
                  <w:vMerge w:val="restart"/>
                  <w:tcBorders>
                    <w:tl2br w:val="nil"/>
                    <w:tr2bl w:val="nil"/>
                  </w:tcBorders>
                  <w:vAlign w:val="center"/>
                </w:tcPr>
                <w:p w14:paraId="17DC342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b w:val="0"/>
                      <w:bCs/>
                      <w:color w:val="auto"/>
                      <w:sz w:val="21"/>
                      <w:szCs w:val="21"/>
                      <w:highlight w:val="none"/>
                    </w:rPr>
                    <w:t>加强管理，发现后立即停止生产，及时检修维护。</w:t>
                  </w:r>
                </w:p>
              </w:tc>
            </w:tr>
            <w:tr w14:paraId="0781E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0" w:type="auto"/>
                  <w:shd w:val="clear" w:color="auto" w:fill="auto"/>
                  <w:vAlign w:val="center"/>
                </w:tcPr>
                <w:p w14:paraId="0B97B28B">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喷粉废气</w:t>
                  </w:r>
                </w:p>
              </w:tc>
              <w:tc>
                <w:tcPr>
                  <w:tcW w:w="0" w:type="auto"/>
                  <w:shd w:val="clear" w:color="auto" w:fill="auto"/>
                  <w:vAlign w:val="center"/>
                </w:tcPr>
                <w:p w14:paraId="64D40C87">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颗粒物</w:t>
                  </w:r>
                </w:p>
              </w:tc>
              <w:tc>
                <w:tcPr>
                  <w:tcW w:w="0" w:type="auto"/>
                </w:tcPr>
                <w:p w14:paraId="2771AB4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风机故障</w:t>
                  </w:r>
                </w:p>
              </w:tc>
              <w:tc>
                <w:tcPr>
                  <w:tcW w:w="936" w:type="pct"/>
                  <w:vAlign w:val="center"/>
                </w:tcPr>
                <w:p w14:paraId="76A77251">
                  <w:pPr>
                    <w:pStyle w:val="35"/>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0.855</w:t>
                  </w:r>
                </w:p>
              </w:tc>
              <w:tc>
                <w:tcPr>
                  <w:tcW w:w="647" w:type="pct"/>
                  <w:shd w:val="clear" w:color="auto" w:fill="auto"/>
                  <w:vAlign w:val="center"/>
                </w:tcPr>
                <w:p w14:paraId="37C9610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647" w:type="pct"/>
                  <w:shd w:val="clear" w:color="auto" w:fill="auto"/>
                  <w:vAlign w:val="center"/>
                </w:tcPr>
                <w:p w14:paraId="0CE8BAD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641" w:type="pct"/>
                  <w:vMerge w:val="continue"/>
                </w:tcPr>
                <w:p w14:paraId="016464B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p>
              </w:tc>
            </w:tr>
            <w:tr w14:paraId="6B359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0" w:type="auto"/>
                  <w:shd w:val="clear" w:color="auto" w:fill="auto"/>
                  <w:vAlign w:val="center"/>
                </w:tcPr>
                <w:p w14:paraId="5B3A186F">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固化废气</w:t>
                  </w:r>
                </w:p>
              </w:tc>
              <w:tc>
                <w:tcPr>
                  <w:tcW w:w="0" w:type="auto"/>
                  <w:shd w:val="clear" w:color="auto" w:fill="auto"/>
                  <w:vAlign w:val="center"/>
                </w:tcPr>
                <w:p w14:paraId="381C4DEB">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非甲烷总烃</w:t>
                  </w:r>
                </w:p>
              </w:tc>
              <w:tc>
                <w:tcPr>
                  <w:tcW w:w="0" w:type="auto"/>
                </w:tcPr>
                <w:p w14:paraId="23B3150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活性炭失效</w:t>
                  </w:r>
                </w:p>
              </w:tc>
              <w:tc>
                <w:tcPr>
                  <w:tcW w:w="936" w:type="pct"/>
                  <w:vAlign w:val="center"/>
                </w:tcPr>
                <w:p w14:paraId="316E951B">
                  <w:pPr>
                    <w:pStyle w:val="35"/>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lang w:val="en-US" w:eastAsia="zh-CN"/>
                    </w:rPr>
                    <w:t>0.012</w:t>
                  </w:r>
                </w:p>
              </w:tc>
              <w:tc>
                <w:tcPr>
                  <w:tcW w:w="0" w:type="auto"/>
                  <w:shd w:val="clear" w:color="auto" w:fill="auto"/>
                  <w:vAlign w:val="center"/>
                </w:tcPr>
                <w:p w14:paraId="37A6A0B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0" w:type="auto"/>
                  <w:shd w:val="clear" w:color="auto" w:fill="auto"/>
                  <w:vAlign w:val="center"/>
                </w:tcPr>
                <w:p w14:paraId="6F17646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1</w:t>
                  </w:r>
                </w:p>
              </w:tc>
              <w:tc>
                <w:tcPr>
                  <w:tcW w:w="641" w:type="pct"/>
                  <w:vMerge w:val="continue"/>
                </w:tcPr>
                <w:p w14:paraId="03D49FA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p>
              </w:tc>
            </w:tr>
          </w:tbl>
          <w:p w14:paraId="105C33A0">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评价要求项目一旦发生非正常排放，必须立即停产，并对废气处理设施进行及时检修。为杜绝废气非正常排放，确保达标排放，</w:t>
            </w:r>
            <w:r>
              <w:rPr>
                <w:rFonts w:hint="eastAsia" w:ascii="Times New Roman" w:hAnsi="Times New Roman" w:cs="宋体"/>
                <w:color w:val="auto"/>
                <w:sz w:val="24"/>
                <w:szCs w:val="24"/>
                <w:highlight w:val="none"/>
                <w:u w:val="single"/>
                <w:lang w:val="en-US" w:eastAsia="zh-CN"/>
              </w:rPr>
              <w:t>应采取以下措施</w:t>
            </w:r>
            <w:r>
              <w:rPr>
                <w:rFonts w:hint="eastAsia" w:ascii="Times New Roman" w:hAnsi="Times New Roman" w:cs="宋体"/>
                <w:color w:val="auto"/>
                <w:sz w:val="24"/>
                <w:szCs w:val="24"/>
                <w:highlight w:val="none"/>
                <w:lang w:val="en-US" w:eastAsia="zh-CN"/>
              </w:rPr>
              <w:t>：</w:t>
            </w:r>
          </w:p>
          <w:p w14:paraId="03FC6CC8">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①</w:t>
            </w:r>
            <w:r>
              <w:rPr>
                <w:rFonts w:hint="eastAsia" w:ascii="Times New Roman" w:hAnsi="Times New Roman" w:cs="宋体"/>
                <w:color w:val="auto"/>
                <w:sz w:val="24"/>
                <w:szCs w:val="24"/>
                <w:highlight w:val="none"/>
                <w:lang w:val="en-US" w:eastAsia="zh-CN"/>
              </w:rPr>
              <w:t xml:space="preserve"> 安排专人负责环保设备日常维护和管理，固定时间检查、汇报情况，及时发现废气处理设备的隐患，确保废气处理系统正常运行；</w:t>
            </w:r>
          </w:p>
          <w:p w14:paraId="0B19E6B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②</w:t>
            </w:r>
            <w:r>
              <w:rPr>
                <w:rFonts w:hint="eastAsia" w:ascii="Times New Roman" w:hAnsi="Times New Roman" w:cs="宋体"/>
                <w:color w:val="auto"/>
                <w:sz w:val="24"/>
                <w:szCs w:val="24"/>
                <w:highlight w:val="none"/>
                <w:lang w:val="en-US" w:eastAsia="zh-CN"/>
              </w:rPr>
              <w:t xml:space="preserve"> 建立健全的环保管理机构，对环保管理和技术人员进行岗位培训，委托具有专业资质环境检测单位对项目排放各类污染物进行定期检测。</w:t>
            </w:r>
          </w:p>
          <w:p w14:paraId="6F86B174">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4）废气排放环境影响分析</w:t>
            </w:r>
          </w:p>
          <w:p w14:paraId="375A9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宋体"/>
                <w:b w:val="0"/>
                <w:bCs w:val="0"/>
                <w:color w:val="auto"/>
                <w:sz w:val="24"/>
                <w:highlight w:val="none"/>
                <w:lang w:val="en-US" w:eastAsia="zh-CN"/>
              </w:rPr>
            </w:pPr>
            <w:r>
              <w:rPr>
                <w:rFonts w:hint="eastAsia" w:ascii="Times New Roman" w:hAnsi="Times New Roman" w:cs="宋体"/>
                <w:b w:val="0"/>
                <w:bCs w:val="0"/>
                <w:color w:val="auto"/>
                <w:sz w:val="24"/>
                <w:highlight w:val="none"/>
                <w:lang w:val="en-US" w:eastAsia="zh-CN"/>
              </w:rPr>
              <w:t>本项目运营期大气排放达标情况见表4-12。</w:t>
            </w:r>
          </w:p>
          <w:p w14:paraId="65ED336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运营期废气污染物达标排放情况分析表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76"/>
              <w:gridCol w:w="1206"/>
              <w:gridCol w:w="1023"/>
              <w:gridCol w:w="1037"/>
              <w:gridCol w:w="1205"/>
              <w:gridCol w:w="1124"/>
              <w:gridCol w:w="1202"/>
              <w:gridCol w:w="780"/>
            </w:tblGrid>
            <w:tr w14:paraId="6260F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restart"/>
                  <w:tcBorders>
                    <w:tl2br w:val="nil"/>
                    <w:tr2bl w:val="nil"/>
                  </w:tcBorders>
                  <w:vAlign w:val="center"/>
                </w:tcPr>
                <w:p w14:paraId="6D88324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污染源</w:t>
                  </w:r>
                </w:p>
              </w:tc>
              <w:tc>
                <w:tcPr>
                  <w:tcW w:w="713" w:type="pct"/>
                  <w:vMerge w:val="restart"/>
                  <w:tcBorders>
                    <w:tl2br w:val="nil"/>
                    <w:tr2bl w:val="nil"/>
                  </w:tcBorders>
                  <w:vAlign w:val="center"/>
                </w:tcPr>
                <w:p w14:paraId="1073B0B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污染物</w:t>
                  </w:r>
                </w:p>
              </w:tc>
              <w:tc>
                <w:tcPr>
                  <w:tcW w:w="605" w:type="pct"/>
                  <w:vMerge w:val="restart"/>
                  <w:tcBorders>
                    <w:tl2br w:val="nil"/>
                    <w:tr2bl w:val="nil"/>
                  </w:tcBorders>
                  <w:vAlign w:val="center"/>
                </w:tcPr>
                <w:p w14:paraId="6C84447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治理措施</w:t>
                  </w:r>
                </w:p>
              </w:tc>
              <w:tc>
                <w:tcPr>
                  <w:tcW w:w="1326" w:type="pct"/>
                  <w:gridSpan w:val="2"/>
                  <w:tcBorders>
                    <w:tl2br w:val="nil"/>
                    <w:tr2bl w:val="nil"/>
                  </w:tcBorders>
                  <w:vAlign w:val="center"/>
                </w:tcPr>
                <w:p w14:paraId="430D5CC8">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排放情况</w:t>
                  </w:r>
                </w:p>
              </w:tc>
              <w:tc>
                <w:tcPr>
                  <w:tcW w:w="1375" w:type="pct"/>
                  <w:gridSpan w:val="2"/>
                  <w:tcBorders>
                    <w:tl2br w:val="nil"/>
                    <w:tr2bl w:val="nil"/>
                  </w:tcBorders>
                  <w:vAlign w:val="center"/>
                </w:tcPr>
                <w:p w14:paraId="3F90643F">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排放标准</w:t>
                  </w:r>
                </w:p>
              </w:tc>
              <w:tc>
                <w:tcPr>
                  <w:tcW w:w="461" w:type="pct"/>
                  <w:vMerge w:val="restart"/>
                  <w:tcBorders>
                    <w:tl2br w:val="nil"/>
                    <w:tr2bl w:val="nil"/>
                  </w:tcBorders>
                  <w:vAlign w:val="center"/>
                </w:tcPr>
                <w:p w14:paraId="47C5879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jc w:val="center"/>
                    <w:textAlignment w:val="auto"/>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达标</w:t>
                  </w:r>
                </w:p>
                <w:p w14:paraId="07C23EB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分析</w:t>
                  </w:r>
                </w:p>
              </w:tc>
            </w:tr>
            <w:tr w14:paraId="3BA40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3782271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713" w:type="pct"/>
                  <w:vMerge w:val="continue"/>
                  <w:tcBorders>
                    <w:tl2br w:val="nil"/>
                    <w:tr2bl w:val="nil"/>
                  </w:tcBorders>
                  <w:vAlign w:val="center"/>
                </w:tcPr>
                <w:p w14:paraId="32EA37C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605" w:type="pct"/>
                  <w:vMerge w:val="continue"/>
                  <w:tcBorders>
                    <w:tl2br w:val="nil"/>
                    <w:tr2bl w:val="nil"/>
                  </w:tcBorders>
                  <w:vAlign w:val="center"/>
                </w:tcPr>
                <w:p w14:paraId="6E466F2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c>
                <w:tcPr>
                  <w:tcW w:w="613" w:type="pct"/>
                  <w:tcBorders>
                    <w:tl2br w:val="nil"/>
                    <w:tr2bl w:val="nil"/>
                  </w:tcBorders>
                  <w:vAlign w:val="center"/>
                </w:tcPr>
                <w:p w14:paraId="292E7BA8">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速率kg/h</w:t>
                  </w:r>
                </w:p>
              </w:tc>
              <w:tc>
                <w:tcPr>
                  <w:tcW w:w="712" w:type="pct"/>
                  <w:tcBorders>
                    <w:tl2br w:val="nil"/>
                    <w:tr2bl w:val="nil"/>
                  </w:tcBorders>
                  <w:vAlign w:val="center"/>
                </w:tcPr>
                <w:p w14:paraId="09EDF580">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浓度mg/m</w:t>
                  </w:r>
                  <w:r>
                    <w:rPr>
                      <w:rFonts w:hint="eastAsia" w:ascii="Times New Roman" w:hAnsi="Times New Roman" w:eastAsia="宋体"/>
                      <w:b/>
                      <w:bCs/>
                      <w:color w:val="auto"/>
                      <w:sz w:val="21"/>
                      <w:szCs w:val="21"/>
                      <w:highlight w:val="none"/>
                      <w:vertAlign w:val="superscript"/>
                    </w:rPr>
                    <w:t>3</w:t>
                  </w:r>
                </w:p>
              </w:tc>
              <w:tc>
                <w:tcPr>
                  <w:tcW w:w="664" w:type="pct"/>
                  <w:tcBorders>
                    <w:tl2br w:val="nil"/>
                    <w:tr2bl w:val="nil"/>
                  </w:tcBorders>
                  <w:vAlign w:val="center"/>
                </w:tcPr>
                <w:p w14:paraId="5843B0F4">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速率kg/h</w:t>
                  </w:r>
                </w:p>
              </w:tc>
              <w:tc>
                <w:tcPr>
                  <w:tcW w:w="710" w:type="pct"/>
                  <w:tcBorders>
                    <w:tl2br w:val="nil"/>
                    <w:tr2bl w:val="nil"/>
                  </w:tcBorders>
                  <w:vAlign w:val="center"/>
                </w:tcPr>
                <w:p w14:paraId="4D00A118">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rPr>
                    <w:t>浓度mg/m</w:t>
                  </w:r>
                  <w:r>
                    <w:rPr>
                      <w:rFonts w:hint="eastAsia" w:ascii="Times New Roman" w:hAnsi="Times New Roman" w:eastAsia="宋体"/>
                      <w:b/>
                      <w:bCs/>
                      <w:color w:val="auto"/>
                      <w:sz w:val="21"/>
                      <w:szCs w:val="21"/>
                      <w:highlight w:val="none"/>
                      <w:vertAlign w:val="superscript"/>
                    </w:rPr>
                    <w:t>3</w:t>
                  </w:r>
                </w:p>
              </w:tc>
              <w:tc>
                <w:tcPr>
                  <w:tcW w:w="461" w:type="pct"/>
                  <w:vMerge w:val="continue"/>
                  <w:tcBorders>
                    <w:tl2br w:val="nil"/>
                    <w:tr2bl w:val="nil"/>
                  </w:tcBorders>
                  <w:vAlign w:val="center"/>
                </w:tcPr>
                <w:p w14:paraId="4A73934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b/>
                      <w:bCs/>
                      <w:color w:val="auto"/>
                      <w:sz w:val="21"/>
                      <w:szCs w:val="21"/>
                      <w:highlight w:val="none"/>
                      <w:vertAlign w:val="baseline"/>
                      <w:lang w:val="en-US" w:eastAsia="zh-CN"/>
                    </w:rPr>
                  </w:pPr>
                </w:p>
              </w:tc>
            </w:tr>
            <w:tr w14:paraId="0976A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518" w:type="pct"/>
                  <w:tcBorders>
                    <w:tl2br w:val="nil"/>
                    <w:tr2bl w:val="nil"/>
                  </w:tcBorders>
                  <w:vAlign w:val="center"/>
                </w:tcPr>
                <w:p w14:paraId="608DD23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sz w:val="21"/>
                      <w:szCs w:val="21"/>
                      <w:highlight w:val="none"/>
                      <w:u w:val="none"/>
                      <w:vertAlign w:val="baseline"/>
                      <w:lang w:val="en-US" w:eastAsia="zh-CN"/>
                    </w:rPr>
                    <w:t>DA002</w:t>
                  </w:r>
                </w:p>
              </w:tc>
              <w:tc>
                <w:tcPr>
                  <w:tcW w:w="713" w:type="pct"/>
                  <w:tcBorders>
                    <w:tl2br w:val="nil"/>
                    <w:tr2bl w:val="nil"/>
                  </w:tcBorders>
                  <w:vAlign w:val="center"/>
                </w:tcPr>
                <w:p w14:paraId="64F7F9E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颗粒物</w:t>
                  </w:r>
                </w:p>
              </w:tc>
              <w:tc>
                <w:tcPr>
                  <w:tcW w:w="605" w:type="pct"/>
                  <w:tcBorders>
                    <w:tl2br w:val="nil"/>
                    <w:tr2bl w:val="nil"/>
                  </w:tcBorders>
                  <w:vAlign w:val="center"/>
                </w:tcPr>
                <w:p w14:paraId="4141C08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布袋除尘</w:t>
                  </w:r>
                </w:p>
              </w:tc>
              <w:tc>
                <w:tcPr>
                  <w:tcW w:w="613" w:type="pct"/>
                  <w:tcBorders>
                    <w:tl2br w:val="nil"/>
                    <w:tr2bl w:val="nil"/>
                  </w:tcBorders>
                  <w:vAlign w:val="center"/>
                </w:tcPr>
                <w:p w14:paraId="3CCD42AD">
                  <w:pPr>
                    <w:pStyle w:val="35"/>
                    <w:bidi w:val="0"/>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lang w:val="en-US" w:eastAsia="zh-CN"/>
                    </w:rPr>
                    <w:t>0.055</w:t>
                  </w:r>
                </w:p>
              </w:tc>
              <w:tc>
                <w:tcPr>
                  <w:tcW w:w="712" w:type="pct"/>
                  <w:tcBorders>
                    <w:tl2br w:val="nil"/>
                    <w:tr2bl w:val="nil"/>
                  </w:tcBorders>
                  <w:vAlign w:val="center"/>
                </w:tcPr>
                <w:p w14:paraId="1888DF77">
                  <w:pPr>
                    <w:pStyle w:val="35"/>
                    <w:bidi w:val="0"/>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lang w:val="en-US" w:eastAsia="zh-CN"/>
                    </w:rPr>
                    <w:t>3.69</w:t>
                  </w:r>
                </w:p>
              </w:tc>
              <w:tc>
                <w:tcPr>
                  <w:tcW w:w="664" w:type="pct"/>
                  <w:tcBorders>
                    <w:tl2br w:val="nil"/>
                    <w:tr2bl w:val="nil"/>
                  </w:tcBorders>
                  <w:vAlign w:val="center"/>
                </w:tcPr>
                <w:p w14:paraId="71D7AF1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0.915</w:t>
                  </w:r>
                </w:p>
              </w:tc>
              <w:tc>
                <w:tcPr>
                  <w:tcW w:w="710" w:type="pct"/>
                  <w:tcBorders>
                    <w:tl2br w:val="nil"/>
                    <w:tr2bl w:val="nil"/>
                  </w:tcBorders>
                  <w:vAlign w:val="center"/>
                </w:tcPr>
                <w:p w14:paraId="65B96E8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w:t>
                  </w:r>
                </w:p>
              </w:tc>
              <w:tc>
                <w:tcPr>
                  <w:tcW w:w="461" w:type="pct"/>
                  <w:tcBorders>
                    <w:tl2br w:val="nil"/>
                    <w:tr2bl w:val="nil"/>
                  </w:tcBorders>
                  <w:vAlign w:val="center"/>
                </w:tcPr>
                <w:p w14:paraId="39984723">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47D55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tcBorders>
                    <w:tl2br w:val="nil"/>
                    <w:tr2bl w:val="nil"/>
                  </w:tcBorders>
                  <w:vAlign w:val="center"/>
                </w:tcPr>
                <w:p w14:paraId="51EA2F08">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b w:val="0"/>
                      <w:bCs w:val="0"/>
                      <w:i w:val="0"/>
                      <w:iCs w:val="0"/>
                      <w:color w:val="auto"/>
                      <w:sz w:val="21"/>
                      <w:szCs w:val="21"/>
                      <w:highlight w:val="none"/>
                      <w:u w:val="none"/>
                      <w:vertAlign w:val="baseline"/>
                      <w:lang w:val="en-US" w:eastAsia="zh-CN"/>
                    </w:rPr>
                  </w:pPr>
                  <w:r>
                    <w:rPr>
                      <w:rFonts w:hint="eastAsia" w:ascii="Times New Roman" w:hAnsi="Times New Roman" w:eastAsia="宋体" w:cs="宋体"/>
                      <w:b w:val="0"/>
                      <w:bCs w:val="0"/>
                      <w:i w:val="0"/>
                      <w:iCs w:val="0"/>
                      <w:color w:val="auto"/>
                      <w:sz w:val="21"/>
                      <w:szCs w:val="21"/>
                      <w:highlight w:val="none"/>
                      <w:u w:val="none"/>
                      <w:vertAlign w:val="baseline"/>
                      <w:lang w:val="en-US" w:eastAsia="zh-CN"/>
                    </w:rPr>
                    <w:t>DA003</w:t>
                  </w:r>
                </w:p>
              </w:tc>
              <w:tc>
                <w:tcPr>
                  <w:tcW w:w="713" w:type="pct"/>
                  <w:tcBorders>
                    <w:tl2br w:val="nil"/>
                    <w:tr2bl w:val="nil"/>
                  </w:tcBorders>
                  <w:vAlign w:val="center"/>
                </w:tcPr>
                <w:p w14:paraId="5E4F9EC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颗粒物</w:t>
                  </w:r>
                </w:p>
              </w:tc>
              <w:tc>
                <w:tcPr>
                  <w:tcW w:w="605" w:type="pct"/>
                  <w:tcBorders>
                    <w:tl2br w:val="nil"/>
                    <w:tr2bl w:val="nil"/>
                  </w:tcBorders>
                  <w:vAlign w:val="center"/>
                </w:tcPr>
                <w:p w14:paraId="36CFA8B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滤筒除尘</w:t>
                  </w:r>
                </w:p>
              </w:tc>
              <w:tc>
                <w:tcPr>
                  <w:tcW w:w="613" w:type="pct"/>
                  <w:tcBorders>
                    <w:tl2br w:val="nil"/>
                    <w:tr2bl w:val="nil"/>
                  </w:tcBorders>
                  <w:vAlign w:val="center"/>
                </w:tcPr>
                <w:p w14:paraId="7D092008">
                  <w:pPr>
                    <w:pStyle w:val="35"/>
                    <w:bidi w:val="0"/>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lang w:val="en-US" w:eastAsia="zh-CN"/>
                    </w:rPr>
                    <w:t>0.171</w:t>
                  </w:r>
                </w:p>
              </w:tc>
              <w:tc>
                <w:tcPr>
                  <w:tcW w:w="712" w:type="pct"/>
                  <w:tcBorders>
                    <w:tl2br w:val="nil"/>
                    <w:tr2bl w:val="nil"/>
                  </w:tcBorders>
                  <w:vAlign w:val="center"/>
                </w:tcPr>
                <w:p w14:paraId="06DB5558">
                  <w:pPr>
                    <w:pStyle w:val="35"/>
                    <w:bidi w:val="0"/>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lang w:val="en-US" w:eastAsia="zh-CN"/>
                    </w:rPr>
                    <w:t>21.4</w:t>
                  </w:r>
                </w:p>
              </w:tc>
              <w:tc>
                <w:tcPr>
                  <w:tcW w:w="664" w:type="pct"/>
                  <w:tcBorders>
                    <w:tl2br w:val="nil"/>
                    <w:tr2bl w:val="nil"/>
                  </w:tcBorders>
                  <w:vAlign w:val="center"/>
                </w:tcPr>
                <w:p w14:paraId="2036972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0.915</w:t>
                  </w:r>
                </w:p>
              </w:tc>
              <w:tc>
                <w:tcPr>
                  <w:tcW w:w="710" w:type="pct"/>
                  <w:tcBorders>
                    <w:tl2br w:val="nil"/>
                    <w:tr2bl w:val="nil"/>
                  </w:tcBorders>
                  <w:vAlign w:val="center"/>
                </w:tcPr>
                <w:p w14:paraId="3808FB0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w:t>
                  </w:r>
                </w:p>
              </w:tc>
              <w:tc>
                <w:tcPr>
                  <w:tcW w:w="461" w:type="pct"/>
                  <w:tcBorders>
                    <w:tl2br w:val="nil"/>
                    <w:tr2bl w:val="nil"/>
                  </w:tcBorders>
                  <w:vAlign w:val="center"/>
                </w:tcPr>
                <w:p w14:paraId="2F473EF3">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23A1A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restart"/>
                  <w:tcBorders>
                    <w:tl2br w:val="nil"/>
                    <w:tr2bl w:val="nil"/>
                  </w:tcBorders>
                  <w:vAlign w:val="center"/>
                </w:tcPr>
                <w:p w14:paraId="4EBE59E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b w:val="0"/>
                      <w:bCs w:val="0"/>
                      <w:i w:val="0"/>
                      <w:iCs w:val="0"/>
                      <w:color w:val="auto"/>
                      <w:sz w:val="21"/>
                      <w:szCs w:val="21"/>
                      <w:highlight w:val="none"/>
                      <w:u w:val="none"/>
                      <w:vertAlign w:val="baseline"/>
                      <w:lang w:val="en-US" w:eastAsia="zh-CN"/>
                    </w:rPr>
                  </w:pPr>
                  <w:r>
                    <w:rPr>
                      <w:rFonts w:hint="eastAsia" w:ascii="Times New Roman" w:hAnsi="Times New Roman" w:eastAsia="宋体" w:cs="宋体"/>
                      <w:b w:val="0"/>
                      <w:bCs w:val="0"/>
                      <w:i w:val="0"/>
                      <w:iCs w:val="0"/>
                      <w:color w:val="auto"/>
                      <w:sz w:val="21"/>
                      <w:szCs w:val="21"/>
                      <w:highlight w:val="none"/>
                      <w:u w:val="none"/>
                      <w:vertAlign w:val="baseline"/>
                      <w:lang w:val="en-US" w:eastAsia="zh-CN"/>
                    </w:rPr>
                    <w:t>DA004</w:t>
                  </w:r>
                </w:p>
              </w:tc>
              <w:tc>
                <w:tcPr>
                  <w:tcW w:w="713" w:type="pct"/>
                  <w:tcBorders>
                    <w:tl2br w:val="nil"/>
                    <w:tr2bl w:val="nil"/>
                  </w:tcBorders>
                  <w:vAlign w:val="center"/>
                </w:tcPr>
                <w:p w14:paraId="2ECAB5D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非甲烷总烃</w:t>
                  </w:r>
                </w:p>
              </w:tc>
              <w:tc>
                <w:tcPr>
                  <w:tcW w:w="605" w:type="pct"/>
                  <w:vMerge w:val="restart"/>
                  <w:tcBorders>
                    <w:tl2br w:val="nil"/>
                    <w:tr2bl w:val="nil"/>
                  </w:tcBorders>
                  <w:vAlign w:val="center"/>
                </w:tcPr>
                <w:p w14:paraId="739858D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“干式过滤+活性炭”</w:t>
                  </w:r>
                </w:p>
              </w:tc>
              <w:tc>
                <w:tcPr>
                  <w:tcW w:w="613" w:type="pct"/>
                  <w:tcBorders>
                    <w:tl2br w:val="nil"/>
                    <w:tr2bl w:val="nil"/>
                  </w:tcBorders>
                  <w:vAlign w:val="center"/>
                </w:tcPr>
                <w:p w14:paraId="2E2D2D71">
                  <w:pPr>
                    <w:pStyle w:val="35"/>
                    <w:bidi w:val="0"/>
                    <w:rPr>
                      <w:rFonts w:hint="eastAsia" w:ascii="Times New Roman" w:hAnsi="Times New Roman" w:eastAsia="宋体" w:cs="宋体"/>
                      <w:color w:val="auto"/>
                      <w:sz w:val="21"/>
                      <w:szCs w:val="21"/>
                      <w:highlight w:val="none"/>
                      <w:vertAlign w:val="baseline"/>
                      <w:lang w:val="en-US" w:eastAsia="zh-CN"/>
                    </w:rPr>
                  </w:pPr>
                  <w:r>
                    <w:rPr>
                      <w:rFonts w:hint="default" w:ascii="Times New Roman" w:hAnsi="Times New Roman" w:cs="Times New Roman"/>
                      <w:color w:val="auto"/>
                      <w:highlight w:val="none"/>
                      <w:lang w:val="en-US" w:eastAsia="zh-CN"/>
                    </w:rPr>
                    <w:t>0.0</w:t>
                  </w:r>
                  <w:r>
                    <w:rPr>
                      <w:rFonts w:hint="eastAsia" w:ascii="Times New Roman" w:hAnsi="Times New Roman" w:cs="Times New Roman"/>
                      <w:color w:val="auto"/>
                      <w:highlight w:val="none"/>
                      <w:lang w:val="en-US" w:eastAsia="zh-CN"/>
                    </w:rPr>
                    <w:t>1</w:t>
                  </w:r>
                </w:p>
              </w:tc>
              <w:tc>
                <w:tcPr>
                  <w:tcW w:w="712" w:type="pct"/>
                  <w:tcBorders>
                    <w:tl2br w:val="nil"/>
                    <w:tr2bl w:val="nil"/>
                  </w:tcBorders>
                  <w:vAlign w:val="center"/>
                </w:tcPr>
                <w:p w14:paraId="00BBD658">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2</w:t>
                  </w:r>
                </w:p>
              </w:tc>
              <w:tc>
                <w:tcPr>
                  <w:tcW w:w="664" w:type="pct"/>
                  <w:tcBorders>
                    <w:tl2br w:val="nil"/>
                    <w:tr2bl w:val="nil"/>
                  </w:tcBorders>
                  <w:vAlign w:val="center"/>
                </w:tcPr>
                <w:p w14:paraId="7201E15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1.55</w:t>
                  </w:r>
                </w:p>
              </w:tc>
              <w:tc>
                <w:tcPr>
                  <w:tcW w:w="710" w:type="pct"/>
                  <w:tcBorders>
                    <w:tl2br w:val="nil"/>
                    <w:tr2bl w:val="nil"/>
                  </w:tcBorders>
                  <w:vAlign w:val="center"/>
                </w:tcPr>
                <w:p w14:paraId="6070D70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w:t>
                  </w:r>
                </w:p>
              </w:tc>
              <w:tc>
                <w:tcPr>
                  <w:tcW w:w="461" w:type="pct"/>
                  <w:tcBorders>
                    <w:tl2br w:val="nil"/>
                    <w:tr2bl w:val="nil"/>
                  </w:tcBorders>
                  <w:vAlign w:val="center"/>
                </w:tcPr>
                <w:p w14:paraId="1C5F00A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7161A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3CCCA92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b w:val="0"/>
                      <w:bCs w:val="0"/>
                      <w:i w:val="0"/>
                      <w:iCs w:val="0"/>
                      <w:color w:val="auto"/>
                      <w:sz w:val="21"/>
                      <w:szCs w:val="21"/>
                      <w:highlight w:val="none"/>
                      <w:u w:val="none"/>
                      <w:vertAlign w:val="baseline"/>
                      <w:lang w:val="en-US" w:eastAsia="zh-CN"/>
                    </w:rPr>
                  </w:pPr>
                </w:p>
              </w:tc>
              <w:tc>
                <w:tcPr>
                  <w:tcW w:w="713" w:type="pct"/>
                  <w:tcBorders>
                    <w:tl2br w:val="nil"/>
                    <w:tr2bl w:val="nil"/>
                  </w:tcBorders>
                  <w:vAlign w:val="center"/>
                </w:tcPr>
                <w:p w14:paraId="711D251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颗粒物</w:t>
                  </w:r>
                </w:p>
              </w:tc>
              <w:tc>
                <w:tcPr>
                  <w:tcW w:w="605" w:type="pct"/>
                  <w:vMerge w:val="continue"/>
                  <w:tcBorders>
                    <w:tl2br w:val="nil"/>
                    <w:tr2bl w:val="nil"/>
                  </w:tcBorders>
                  <w:vAlign w:val="center"/>
                </w:tcPr>
                <w:p w14:paraId="434BAA6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p>
              </w:tc>
              <w:tc>
                <w:tcPr>
                  <w:tcW w:w="613" w:type="pct"/>
                  <w:tcBorders>
                    <w:tl2br w:val="nil"/>
                    <w:tr2bl w:val="nil"/>
                  </w:tcBorders>
                  <w:vAlign w:val="center"/>
                </w:tcPr>
                <w:p w14:paraId="5381A0BC">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0.014</w:t>
                  </w:r>
                </w:p>
              </w:tc>
              <w:tc>
                <w:tcPr>
                  <w:tcW w:w="712" w:type="pct"/>
                  <w:tcBorders>
                    <w:tl2br w:val="nil"/>
                    <w:tr2bl w:val="nil"/>
                  </w:tcBorders>
                  <w:vAlign w:val="center"/>
                </w:tcPr>
                <w:p w14:paraId="6C8EB27D">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2.8</w:t>
                  </w:r>
                </w:p>
              </w:tc>
              <w:tc>
                <w:tcPr>
                  <w:tcW w:w="664" w:type="pct"/>
                  <w:tcBorders>
                    <w:tl2br w:val="nil"/>
                    <w:tr2bl w:val="nil"/>
                  </w:tcBorders>
                  <w:vAlign w:val="center"/>
                </w:tcPr>
                <w:p w14:paraId="2838215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0.915</w:t>
                  </w:r>
                </w:p>
              </w:tc>
              <w:tc>
                <w:tcPr>
                  <w:tcW w:w="710" w:type="pct"/>
                  <w:tcBorders>
                    <w:tl2br w:val="nil"/>
                    <w:tr2bl w:val="nil"/>
                  </w:tcBorders>
                  <w:vAlign w:val="center"/>
                </w:tcPr>
                <w:p w14:paraId="2DE2B124">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w:t>
                  </w:r>
                </w:p>
              </w:tc>
              <w:tc>
                <w:tcPr>
                  <w:tcW w:w="461" w:type="pct"/>
                  <w:tcBorders>
                    <w:tl2br w:val="nil"/>
                    <w:tr2bl w:val="nil"/>
                  </w:tcBorders>
                  <w:vAlign w:val="center"/>
                </w:tcPr>
                <w:p w14:paraId="373A961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66D42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1CB354F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b w:val="0"/>
                      <w:bCs w:val="0"/>
                      <w:i w:val="0"/>
                      <w:iCs w:val="0"/>
                      <w:color w:val="auto"/>
                      <w:sz w:val="21"/>
                      <w:szCs w:val="21"/>
                      <w:highlight w:val="none"/>
                      <w:u w:val="none"/>
                      <w:vertAlign w:val="baseline"/>
                      <w:lang w:val="en-US" w:eastAsia="zh-CN"/>
                    </w:rPr>
                  </w:pPr>
                </w:p>
              </w:tc>
              <w:tc>
                <w:tcPr>
                  <w:tcW w:w="713" w:type="pct"/>
                  <w:tcBorders>
                    <w:tl2br w:val="nil"/>
                    <w:tr2bl w:val="nil"/>
                  </w:tcBorders>
                  <w:vAlign w:val="center"/>
                </w:tcPr>
                <w:p w14:paraId="4DFF34A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二氧化硫</w:t>
                  </w:r>
                </w:p>
              </w:tc>
              <w:tc>
                <w:tcPr>
                  <w:tcW w:w="605" w:type="pct"/>
                  <w:vMerge w:val="continue"/>
                  <w:tcBorders>
                    <w:tl2br w:val="nil"/>
                    <w:tr2bl w:val="nil"/>
                  </w:tcBorders>
                  <w:vAlign w:val="center"/>
                </w:tcPr>
                <w:p w14:paraId="058AA58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13" w:type="pct"/>
                  <w:tcBorders>
                    <w:tl2br w:val="nil"/>
                    <w:tr2bl w:val="nil"/>
                  </w:tcBorders>
                  <w:vAlign w:val="center"/>
                </w:tcPr>
                <w:p w14:paraId="5DF40C4D">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0.01</w:t>
                  </w:r>
                </w:p>
              </w:tc>
              <w:tc>
                <w:tcPr>
                  <w:tcW w:w="712" w:type="pct"/>
                  <w:tcBorders>
                    <w:tl2br w:val="nil"/>
                    <w:tr2bl w:val="nil"/>
                  </w:tcBorders>
                  <w:vAlign w:val="center"/>
                </w:tcPr>
                <w:p w14:paraId="2CD778F8">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2</w:t>
                  </w:r>
                </w:p>
              </w:tc>
              <w:tc>
                <w:tcPr>
                  <w:tcW w:w="664" w:type="pct"/>
                  <w:tcBorders>
                    <w:tl2br w:val="nil"/>
                    <w:tr2bl w:val="nil"/>
                  </w:tcBorders>
                  <w:vAlign w:val="center"/>
                </w:tcPr>
                <w:p w14:paraId="41CEFD9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0.855</w:t>
                  </w:r>
                </w:p>
              </w:tc>
              <w:tc>
                <w:tcPr>
                  <w:tcW w:w="710" w:type="pct"/>
                  <w:tcBorders>
                    <w:tl2br w:val="nil"/>
                    <w:tr2bl w:val="nil"/>
                  </w:tcBorders>
                  <w:vAlign w:val="center"/>
                </w:tcPr>
                <w:p w14:paraId="74DC4DF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200</w:t>
                  </w:r>
                </w:p>
              </w:tc>
              <w:tc>
                <w:tcPr>
                  <w:tcW w:w="461" w:type="pct"/>
                  <w:tcBorders>
                    <w:tl2br w:val="nil"/>
                    <w:tr2bl w:val="nil"/>
                  </w:tcBorders>
                  <w:vAlign w:val="center"/>
                </w:tcPr>
                <w:p w14:paraId="2385F1A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r w14:paraId="7F64F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3FA72FE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b w:val="0"/>
                      <w:bCs w:val="0"/>
                      <w:i w:val="0"/>
                      <w:iCs w:val="0"/>
                      <w:color w:val="auto"/>
                      <w:sz w:val="21"/>
                      <w:szCs w:val="21"/>
                      <w:highlight w:val="none"/>
                      <w:u w:val="none"/>
                      <w:vertAlign w:val="baseline"/>
                      <w:lang w:val="en-US" w:eastAsia="zh-CN"/>
                    </w:rPr>
                  </w:pPr>
                </w:p>
              </w:tc>
              <w:tc>
                <w:tcPr>
                  <w:tcW w:w="713" w:type="pct"/>
                  <w:tcBorders>
                    <w:tl2br w:val="nil"/>
                    <w:tr2bl w:val="nil"/>
                  </w:tcBorders>
                  <w:vAlign w:val="center"/>
                </w:tcPr>
                <w:p w14:paraId="5B4FB56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氮氧化物</w:t>
                  </w:r>
                </w:p>
              </w:tc>
              <w:tc>
                <w:tcPr>
                  <w:tcW w:w="605" w:type="pct"/>
                  <w:vMerge w:val="continue"/>
                  <w:tcBorders>
                    <w:tl2br w:val="nil"/>
                    <w:tr2bl w:val="nil"/>
                  </w:tcBorders>
                  <w:vAlign w:val="center"/>
                </w:tcPr>
                <w:p w14:paraId="00F737C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13" w:type="pct"/>
                  <w:tcBorders>
                    <w:tl2br w:val="nil"/>
                    <w:tr2bl w:val="nil"/>
                  </w:tcBorders>
                  <w:vAlign w:val="center"/>
                </w:tcPr>
                <w:p w14:paraId="0D8043BA">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0.09</w:t>
                  </w:r>
                </w:p>
              </w:tc>
              <w:tc>
                <w:tcPr>
                  <w:tcW w:w="712" w:type="pct"/>
                  <w:tcBorders>
                    <w:tl2br w:val="nil"/>
                    <w:tr2bl w:val="nil"/>
                  </w:tcBorders>
                  <w:vAlign w:val="center"/>
                </w:tcPr>
                <w:p w14:paraId="1199E53B">
                  <w:pPr>
                    <w:pStyle w:val="35"/>
                    <w:bidi w:val="0"/>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18</w:t>
                  </w:r>
                </w:p>
              </w:tc>
              <w:tc>
                <w:tcPr>
                  <w:tcW w:w="664" w:type="pct"/>
                  <w:tcBorders>
                    <w:tl2br w:val="nil"/>
                    <w:tr2bl w:val="nil"/>
                  </w:tcBorders>
                  <w:vAlign w:val="center"/>
                </w:tcPr>
                <w:p w14:paraId="1FC27661">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0.285</w:t>
                  </w:r>
                </w:p>
              </w:tc>
              <w:tc>
                <w:tcPr>
                  <w:tcW w:w="710" w:type="pct"/>
                  <w:tcBorders>
                    <w:tl2br w:val="nil"/>
                    <w:tr2bl w:val="nil"/>
                  </w:tcBorders>
                  <w:vAlign w:val="center"/>
                </w:tcPr>
                <w:p w14:paraId="7EF463D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200</w:t>
                  </w:r>
                </w:p>
              </w:tc>
              <w:tc>
                <w:tcPr>
                  <w:tcW w:w="461" w:type="pct"/>
                  <w:tcBorders>
                    <w:tl2br w:val="nil"/>
                    <w:tr2bl w:val="nil"/>
                  </w:tcBorders>
                  <w:vAlign w:val="center"/>
                </w:tcPr>
                <w:p w14:paraId="3C8EEC8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达标</w:t>
                  </w:r>
                </w:p>
              </w:tc>
            </w:tr>
          </w:tbl>
          <w:p w14:paraId="7F8BFBA9">
            <w:pPr>
              <w:pStyle w:val="18"/>
              <w:keepNext w:val="0"/>
              <w:keepLines w:val="0"/>
              <w:pageBreakBefore w:val="0"/>
              <w:widowControl/>
              <w:suppressLineNumbers w:val="0"/>
              <w:kinsoku/>
              <w:wordWrap/>
              <w:overflowPunct/>
              <w:topLinePunct w:val="0"/>
              <w:autoSpaceDE/>
              <w:autoSpaceDN/>
              <w:bidi w:val="0"/>
              <w:adjustRightInd/>
              <w:snapToGrid/>
              <w:spacing w:before="17" w:beforeLines="5" w:beforeAutospacing="0" w:after="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项目运营期废气污染物主要为颗粒物，经可行技术措施治理后排放，排放浓度（速率）能够满足相关排放标准。运营期废气排放对环境影响小。</w:t>
            </w:r>
          </w:p>
          <w:p w14:paraId="260AC899">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5）废气排放监测要求</w:t>
            </w:r>
          </w:p>
          <w:p w14:paraId="4C395B8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本项目排放口基本情况见下表：</w:t>
            </w:r>
          </w:p>
          <w:p w14:paraId="5267CC5F">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Autospacing="0" w:line="377"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根据《排污许可证申请与核发技术规范 铁路、船舶、航空航天和其他运输设备制造业》（HJ 1124—2020），“表面处理（涂装）排污单位，参照本标准附录A执行”。故参照《排污单位自行监测技术指南 总则》（HJ819-2017）、《排污单位自行监测技术指南 涂装》（HJ 1086-2020）、《排污许可证申请与核发技术规范 铁路、船舶、航空航天和其他运输设备制造业》（HJ 1124—2020）等文件制定出运营期废气监测计划，详见表4-13。</w:t>
            </w:r>
          </w:p>
          <w:p w14:paraId="131F9A10">
            <w:pPr>
              <w:pStyle w:val="39"/>
              <w:spacing w:before="156"/>
              <w:rPr>
                <w:rFonts w:hint="default" w:ascii="Times New Roman" w:hAnsi="Times New Roman" w:eastAsia="宋体" w:cs="Times New Roman"/>
                <w:color w:val="auto"/>
                <w:sz w:val="24"/>
                <w:szCs w:val="24"/>
              </w:rPr>
            </w:pPr>
            <w:bookmarkStart w:id="14" w:name="_Ref20790"/>
            <w:r>
              <w:rPr>
                <w:rFonts w:hint="default" w:ascii="Times New Roman" w:hAnsi="Times New Roman" w:eastAsia="宋体" w:cs="Times New Roman"/>
                <w:color w:val="auto"/>
                <w:sz w:val="24"/>
                <w:szCs w:val="24"/>
              </w:rPr>
              <w:t>表</w:t>
            </w:r>
            <w:bookmarkEnd w:id="14"/>
            <w:r>
              <w:rPr>
                <w:rFonts w:hint="default" w:ascii="Times New Roman" w:hAnsi="Times New Roman" w:eastAsia="宋体" w:cs="Times New Roman"/>
                <w:color w:val="auto"/>
                <w:sz w:val="24"/>
                <w:szCs w:val="24"/>
                <w:lang w:val="en-US" w:eastAsia="zh-CN"/>
              </w:rPr>
              <w:t>4-1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环境监测计划</w:t>
            </w:r>
          </w:p>
          <w:tbl>
            <w:tblPr>
              <w:tblStyle w:val="23"/>
              <w:tblW w:w="49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5"/>
              <w:gridCol w:w="766"/>
              <w:gridCol w:w="1273"/>
              <w:gridCol w:w="2004"/>
              <w:gridCol w:w="868"/>
              <w:gridCol w:w="2840"/>
            </w:tblGrid>
            <w:tr w14:paraId="314D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28" w:type="pct"/>
                  <w:tcMar>
                    <w:top w:w="0" w:type="dxa"/>
                    <w:left w:w="57" w:type="dxa"/>
                    <w:bottom w:w="0" w:type="dxa"/>
                    <w:right w:w="57" w:type="dxa"/>
                  </w:tcMar>
                  <w:vAlign w:val="center"/>
                </w:tcPr>
                <w:p w14:paraId="6D7DC296">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461" w:type="pct"/>
                  <w:tcMar>
                    <w:top w:w="0" w:type="dxa"/>
                    <w:left w:w="57" w:type="dxa"/>
                    <w:bottom w:w="0" w:type="dxa"/>
                    <w:right w:w="57" w:type="dxa"/>
                  </w:tcMar>
                  <w:vAlign w:val="center"/>
                </w:tcPr>
                <w:p w14:paraId="6E5CE63F">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lang w:val="en-US" w:eastAsia="zh-CN"/>
                    </w:rPr>
                    <w:t>排气筒</w:t>
                  </w:r>
                </w:p>
              </w:tc>
              <w:tc>
                <w:tcPr>
                  <w:tcW w:w="767" w:type="pct"/>
                  <w:tcMar>
                    <w:top w:w="0" w:type="dxa"/>
                    <w:left w:w="57" w:type="dxa"/>
                    <w:bottom w:w="0" w:type="dxa"/>
                    <w:right w:w="57" w:type="dxa"/>
                  </w:tcMar>
                  <w:vAlign w:val="center"/>
                </w:tcPr>
                <w:p w14:paraId="10D761FE">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rPr>
                    <w:t>污染源</w:t>
                  </w:r>
                </w:p>
              </w:tc>
              <w:tc>
                <w:tcPr>
                  <w:tcW w:w="1207" w:type="pct"/>
                  <w:tcMar>
                    <w:top w:w="0" w:type="dxa"/>
                    <w:left w:w="57" w:type="dxa"/>
                    <w:bottom w:w="0" w:type="dxa"/>
                    <w:right w:w="57" w:type="dxa"/>
                  </w:tcMar>
                  <w:vAlign w:val="center"/>
                </w:tcPr>
                <w:p w14:paraId="68461513">
                  <w:pPr>
                    <w:pStyle w:val="35"/>
                    <w:spacing w:before="31"/>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rPr>
                    <w:t>污染物</w:t>
                  </w:r>
                </w:p>
              </w:tc>
              <w:tc>
                <w:tcPr>
                  <w:tcW w:w="523" w:type="pct"/>
                  <w:tcMar>
                    <w:top w:w="0" w:type="dxa"/>
                    <w:left w:w="57" w:type="dxa"/>
                    <w:bottom w:w="0" w:type="dxa"/>
                    <w:right w:w="57" w:type="dxa"/>
                  </w:tcMar>
                  <w:vAlign w:val="center"/>
                </w:tcPr>
                <w:p w14:paraId="1E17B311">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监测频率</w:t>
                  </w:r>
                </w:p>
              </w:tc>
              <w:tc>
                <w:tcPr>
                  <w:tcW w:w="1711" w:type="pct"/>
                  <w:tcMar>
                    <w:top w:w="0" w:type="dxa"/>
                    <w:left w:w="57" w:type="dxa"/>
                    <w:bottom w:w="0" w:type="dxa"/>
                    <w:right w:w="57" w:type="dxa"/>
                  </w:tcMar>
                  <w:vAlign w:val="center"/>
                </w:tcPr>
                <w:p w14:paraId="49B88020">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r>
            <w:tr w14:paraId="4C3B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8" w:type="pct"/>
                  <w:vMerge w:val="restart"/>
                  <w:tcMar>
                    <w:top w:w="0" w:type="dxa"/>
                    <w:left w:w="57" w:type="dxa"/>
                    <w:bottom w:w="0" w:type="dxa"/>
                    <w:right w:w="57" w:type="dxa"/>
                  </w:tcMar>
                  <w:vAlign w:val="center"/>
                </w:tcPr>
                <w:p w14:paraId="169C99FB">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有组织废气</w:t>
                  </w:r>
                </w:p>
              </w:tc>
              <w:tc>
                <w:tcPr>
                  <w:tcW w:w="461" w:type="pct"/>
                  <w:tcMar>
                    <w:top w:w="0" w:type="dxa"/>
                    <w:left w:w="57" w:type="dxa"/>
                    <w:bottom w:w="0" w:type="dxa"/>
                    <w:right w:w="57" w:type="dxa"/>
                  </w:tcMar>
                  <w:vAlign w:val="center"/>
                </w:tcPr>
                <w:p w14:paraId="7395597F">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DA00</w:t>
                  </w:r>
                  <w:r>
                    <w:rPr>
                      <w:rFonts w:hint="default" w:ascii="Times New Roman" w:hAnsi="Times New Roman" w:eastAsia="宋体" w:cs="Times New Roman"/>
                      <w:color w:val="auto"/>
                      <w:lang w:val="en-US" w:eastAsia="zh-CN"/>
                    </w:rPr>
                    <w:t>2</w:t>
                  </w:r>
                </w:p>
              </w:tc>
              <w:tc>
                <w:tcPr>
                  <w:tcW w:w="767" w:type="pct"/>
                  <w:tcMar>
                    <w:top w:w="0" w:type="dxa"/>
                    <w:left w:w="57" w:type="dxa"/>
                    <w:bottom w:w="0" w:type="dxa"/>
                    <w:right w:w="57" w:type="dxa"/>
                  </w:tcMar>
                  <w:vAlign w:val="center"/>
                </w:tcPr>
                <w:p w14:paraId="2808A4AF">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抛丸废气</w:t>
                  </w:r>
                </w:p>
              </w:tc>
              <w:tc>
                <w:tcPr>
                  <w:tcW w:w="1207" w:type="pct"/>
                  <w:tcMar>
                    <w:top w:w="0" w:type="dxa"/>
                    <w:left w:w="57" w:type="dxa"/>
                    <w:bottom w:w="0" w:type="dxa"/>
                    <w:right w:w="57" w:type="dxa"/>
                  </w:tcMar>
                  <w:vAlign w:val="center"/>
                </w:tcPr>
                <w:p w14:paraId="5BF7CC52">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颗粒物</w:t>
                  </w:r>
                </w:p>
              </w:tc>
              <w:tc>
                <w:tcPr>
                  <w:tcW w:w="523" w:type="pct"/>
                  <w:tcMar>
                    <w:top w:w="0" w:type="dxa"/>
                    <w:left w:w="57" w:type="dxa"/>
                    <w:bottom w:w="0" w:type="dxa"/>
                    <w:right w:w="57" w:type="dxa"/>
                  </w:tcMar>
                  <w:vAlign w:val="center"/>
                </w:tcPr>
                <w:p w14:paraId="03F6E52C">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c>
                <w:tcPr>
                  <w:tcW w:w="1711" w:type="pct"/>
                  <w:tcMar>
                    <w:top w:w="0" w:type="dxa"/>
                    <w:left w:w="57" w:type="dxa"/>
                    <w:bottom w:w="0" w:type="dxa"/>
                    <w:right w:w="57" w:type="dxa"/>
                  </w:tcMar>
                  <w:vAlign w:val="center"/>
                </w:tcPr>
                <w:p w14:paraId="4C534300">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《大气污染物综合排放标准》（DB50/418-2016）</w:t>
                  </w:r>
                </w:p>
              </w:tc>
            </w:tr>
            <w:tr w14:paraId="4DD6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8" w:type="pct"/>
                  <w:vMerge w:val="continue"/>
                  <w:tcMar>
                    <w:top w:w="0" w:type="dxa"/>
                    <w:left w:w="57" w:type="dxa"/>
                    <w:bottom w:w="0" w:type="dxa"/>
                    <w:right w:w="57" w:type="dxa"/>
                  </w:tcMar>
                  <w:vAlign w:val="center"/>
                </w:tcPr>
                <w:p w14:paraId="3C38D059">
                  <w:pPr>
                    <w:pStyle w:val="35"/>
                    <w:spacing w:before="31"/>
                    <w:rPr>
                      <w:rFonts w:hint="default" w:ascii="Times New Roman" w:hAnsi="Times New Roman" w:eastAsia="宋体" w:cs="Times New Roman"/>
                      <w:color w:val="auto"/>
                    </w:rPr>
                  </w:pPr>
                </w:p>
              </w:tc>
              <w:tc>
                <w:tcPr>
                  <w:tcW w:w="461" w:type="pct"/>
                  <w:tcMar>
                    <w:top w:w="0" w:type="dxa"/>
                    <w:left w:w="57" w:type="dxa"/>
                    <w:bottom w:w="0" w:type="dxa"/>
                    <w:right w:w="57" w:type="dxa"/>
                  </w:tcMar>
                  <w:vAlign w:val="center"/>
                </w:tcPr>
                <w:p w14:paraId="192DCDFA">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DA003</w:t>
                  </w:r>
                </w:p>
              </w:tc>
              <w:tc>
                <w:tcPr>
                  <w:tcW w:w="767" w:type="pct"/>
                  <w:tcMar>
                    <w:top w:w="0" w:type="dxa"/>
                    <w:left w:w="57" w:type="dxa"/>
                    <w:bottom w:w="0" w:type="dxa"/>
                    <w:right w:w="57" w:type="dxa"/>
                  </w:tcMar>
                  <w:vAlign w:val="center"/>
                </w:tcPr>
                <w:p w14:paraId="0EA95734">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喷粉废气</w:t>
                  </w:r>
                </w:p>
              </w:tc>
              <w:tc>
                <w:tcPr>
                  <w:tcW w:w="1207" w:type="pct"/>
                  <w:tcMar>
                    <w:top w:w="0" w:type="dxa"/>
                    <w:left w:w="57" w:type="dxa"/>
                    <w:bottom w:w="0" w:type="dxa"/>
                    <w:right w:w="57" w:type="dxa"/>
                  </w:tcMar>
                  <w:vAlign w:val="center"/>
                </w:tcPr>
                <w:p w14:paraId="4195081C">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颗粒物</w:t>
                  </w:r>
                </w:p>
              </w:tc>
              <w:tc>
                <w:tcPr>
                  <w:tcW w:w="523" w:type="pct"/>
                  <w:tcMar>
                    <w:top w:w="0" w:type="dxa"/>
                    <w:left w:w="57" w:type="dxa"/>
                    <w:bottom w:w="0" w:type="dxa"/>
                    <w:right w:w="57" w:type="dxa"/>
                  </w:tcMar>
                  <w:vAlign w:val="center"/>
                </w:tcPr>
                <w:p w14:paraId="00CA20D0">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c>
                <w:tcPr>
                  <w:tcW w:w="1711" w:type="pct"/>
                  <w:tcMar>
                    <w:top w:w="0" w:type="dxa"/>
                    <w:left w:w="57" w:type="dxa"/>
                    <w:bottom w:w="0" w:type="dxa"/>
                    <w:right w:w="57" w:type="dxa"/>
                  </w:tcMar>
                  <w:vAlign w:val="center"/>
                </w:tcPr>
                <w:p w14:paraId="5636EAD5">
                  <w:pPr>
                    <w:pStyle w:val="35"/>
                    <w:spacing w:before="3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《大气污染物综合排放标准》（DB50/418-2016）</w:t>
                  </w:r>
                </w:p>
              </w:tc>
            </w:tr>
            <w:tr w14:paraId="2F11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tcMar>
                    <w:top w:w="0" w:type="dxa"/>
                    <w:left w:w="57" w:type="dxa"/>
                    <w:bottom w:w="0" w:type="dxa"/>
                    <w:right w:w="57" w:type="dxa"/>
                  </w:tcMar>
                  <w:vAlign w:val="center"/>
                </w:tcPr>
                <w:p w14:paraId="4AF4C650">
                  <w:pPr>
                    <w:pStyle w:val="35"/>
                    <w:spacing w:before="31"/>
                    <w:rPr>
                      <w:rFonts w:hint="default" w:ascii="Times New Roman" w:hAnsi="Times New Roman" w:eastAsia="宋体" w:cs="Times New Roman"/>
                      <w:color w:val="auto"/>
                    </w:rPr>
                  </w:pPr>
                </w:p>
              </w:tc>
              <w:tc>
                <w:tcPr>
                  <w:tcW w:w="461" w:type="pct"/>
                  <w:vMerge w:val="restart"/>
                  <w:tcMar>
                    <w:top w:w="0" w:type="dxa"/>
                    <w:left w:w="57" w:type="dxa"/>
                    <w:bottom w:w="0" w:type="dxa"/>
                    <w:right w:w="57" w:type="dxa"/>
                  </w:tcMar>
                  <w:vAlign w:val="center"/>
                </w:tcPr>
                <w:p w14:paraId="6A5155BA">
                  <w:pPr>
                    <w:pStyle w:val="35"/>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DA00</w:t>
                  </w:r>
                  <w:r>
                    <w:rPr>
                      <w:rFonts w:hint="default" w:ascii="Times New Roman" w:hAnsi="Times New Roman" w:eastAsia="宋体" w:cs="Times New Roman"/>
                      <w:color w:val="auto"/>
                      <w:lang w:val="en-US" w:eastAsia="zh-CN"/>
                    </w:rPr>
                    <w:t>4</w:t>
                  </w:r>
                </w:p>
              </w:tc>
              <w:tc>
                <w:tcPr>
                  <w:tcW w:w="767" w:type="pct"/>
                  <w:vMerge w:val="restart"/>
                  <w:tcMar>
                    <w:top w:w="0" w:type="dxa"/>
                    <w:left w:w="57" w:type="dxa"/>
                    <w:bottom w:w="0" w:type="dxa"/>
                    <w:right w:w="57" w:type="dxa"/>
                  </w:tcMar>
                  <w:vAlign w:val="center"/>
                </w:tcPr>
                <w:p w14:paraId="45F7B026">
                  <w:pPr>
                    <w:pStyle w:val="35"/>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固化废气</w:t>
                  </w:r>
                </w:p>
              </w:tc>
              <w:tc>
                <w:tcPr>
                  <w:tcW w:w="1207" w:type="pct"/>
                  <w:tcMar>
                    <w:top w:w="0" w:type="dxa"/>
                    <w:left w:w="57" w:type="dxa"/>
                    <w:bottom w:w="0" w:type="dxa"/>
                    <w:right w:w="57" w:type="dxa"/>
                  </w:tcMar>
                  <w:vAlign w:val="center"/>
                </w:tcPr>
                <w:p w14:paraId="3B4F20E6">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非甲烷总烃</w:t>
                  </w:r>
                </w:p>
              </w:tc>
              <w:tc>
                <w:tcPr>
                  <w:tcW w:w="523" w:type="pct"/>
                  <w:tcMar>
                    <w:top w:w="0" w:type="dxa"/>
                    <w:left w:w="57" w:type="dxa"/>
                    <w:bottom w:w="0" w:type="dxa"/>
                    <w:right w:w="57" w:type="dxa"/>
                  </w:tcMar>
                  <w:vAlign w:val="center"/>
                </w:tcPr>
                <w:p w14:paraId="2683610D">
                  <w:pPr>
                    <w:pStyle w:val="35"/>
                    <w:spacing w:before="3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1次/年</w:t>
                  </w:r>
                </w:p>
              </w:tc>
              <w:tc>
                <w:tcPr>
                  <w:tcW w:w="1711" w:type="pct"/>
                  <w:tcMar>
                    <w:top w:w="0" w:type="dxa"/>
                    <w:left w:w="57" w:type="dxa"/>
                    <w:bottom w:w="0" w:type="dxa"/>
                    <w:right w:w="57" w:type="dxa"/>
                  </w:tcMar>
                  <w:vAlign w:val="center"/>
                </w:tcPr>
                <w:p w14:paraId="4B94CC58">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《摩托车及汽车配件制造表面涂装大气污染物排放标准》（DB50/660-2016）</w:t>
                  </w:r>
                </w:p>
              </w:tc>
            </w:tr>
            <w:tr w14:paraId="4713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tcMar>
                    <w:top w:w="0" w:type="dxa"/>
                    <w:left w:w="57" w:type="dxa"/>
                    <w:bottom w:w="0" w:type="dxa"/>
                    <w:right w:w="57" w:type="dxa"/>
                  </w:tcMar>
                  <w:vAlign w:val="center"/>
                </w:tcPr>
                <w:p w14:paraId="31A9D8E1">
                  <w:pPr>
                    <w:pStyle w:val="35"/>
                    <w:spacing w:before="31"/>
                    <w:rPr>
                      <w:rFonts w:hint="default" w:ascii="Times New Roman" w:hAnsi="Times New Roman" w:eastAsia="宋体" w:cs="Times New Roman"/>
                      <w:color w:val="auto"/>
                    </w:rPr>
                  </w:pPr>
                </w:p>
              </w:tc>
              <w:tc>
                <w:tcPr>
                  <w:tcW w:w="461" w:type="pct"/>
                  <w:vMerge w:val="continue"/>
                  <w:tcMar>
                    <w:top w:w="0" w:type="dxa"/>
                    <w:left w:w="57" w:type="dxa"/>
                    <w:bottom w:w="0" w:type="dxa"/>
                    <w:right w:w="57" w:type="dxa"/>
                  </w:tcMar>
                  <w:vAlign w:val="center"/>
                </w:tcPr>
                <w:p w14:paraId="168E6C1F">
                  <w:pPr>
                    <w:pStyle w:val="35"/>
                    <w:spacing w:before="31"/>
                    <w:rPr>
                      <w:rFonts w:hint="default" w:ascii="Times New Roman" w:hAnsi="Times New Roman" w:eastAsia="宋体" w:cs="Times New Roman"/>
                      <w:color w:val="auto"/>
                      <w:kern w:val="2"/>
                      <w:sz w:val="21"/>
                      <w:szCs w:val="21"/>
                      <w:lang w:val="en-US" w:eastAsia="zh-CN" w:bidi="ar-SA"/>
                    </w:rPr>
                  </w:pPr>
                </w:p>
              </w:tc>
              <w:tc>
                <w:tcPr>
                  <w:tcW w:w="767" w:type="pct"/>
                  <w:vMerge w:val="continue"/>
                  <w:tcMar>
                    <w:top w:w="0" w:type="dxa"/>
                    <w:left w:w="57" w:type="dxa"/>
                    <w:bottom w:w="0" w:type="dxa"/>
                    <w:right w:w="57" w:type="dxa"/>
                  </w:tcMar>
                  <w:vAlign w:val="center"/>
                </w:tcPr>
                <w:p w14:paraId="5AA7B199">
                  <w:pPr>
                    <w:pStyle w:val="35"/>
                    <w:spacing w:before="31"/>
                    <w:rPr>
                      <w:rFonts w:hint="default" w:ascii="Times New Roman" w:hAnsi="Times New Roman" w:eastAsia="宋体" w:cs="Times New Roman"/>
                      <w:color w:val="auto"/>
                      <w:kern w:val="2"/>
                      <w:sz w:val="21"/>
                      <w:szCs w:val="21"/>
                      <w:highlight w:val="none"/>
                      <w:lang w:val="en-US" w:eastAsia="zh-CN" w:bidi="ar-SA"/>
                    </w:rPr>
                  </w:pPr>
                </w:p>
              </w:tc>
              <w:tc>
                <w:tcPr>
                  <w:tcW w:w="1207" w:type="pct"/>
                  <w:tcMar>
                    <w:top w:w="0" w:type="dxa"/>
                    <w:left w:w="57" w:type="dxa"/>
                    <w:bottom w:w="0" w:type="dxa"/>
                    <w:right w:w="57" w:type="dxa"/>
                  </w:tcMar>
                  <w:vAlign w:val="center"/>
                </w:tcPr>
                <w:p w14:paraId="0DD6E448">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颗粒物、二氧化硫、氮氧化物</w:t>
                  </w:r>
                </w:p>
              </w:tc>
              <w:tc>
                <w:tcPr>
                  <w:tcW w:w="523" w:type="pct"/>
                  <w:tcMar>
                    <w:top w:w="0" w:type="dxa"/>
                    <w:left w:w="57" w:type="dxa"/>
                    <w:bottom w:w="0" w:type="dxa"/>
                    <w:right w:w="57" w:type="dxa"/>
                  </w:tcMar>
                  <w:vAlign w:val="center"/>
                </w:tcPr>
                <w:p w14:paraId="5BE4958E">
                  <w:pPr>
                    <w:pStyle w:val="35"/>
                    <w:spacing w:before="3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1次/年</w:t>
                  </w:r>
                </w:p>
              </w:tc>
              <w:tc>
                <w:tcPr>
                  <w:tcW w:w="1711" w:type="pct"/>
                  <w:tcMar>
                    <w:top w:w="0" w:type="dxa"/>
                    <w:left w:w="57" w:type="dxa"/>
                    <w:bottom w:w="0" w:type="dxa"/>
                    <w:right w:w="57" w:type="dxa"/>
                  </w:tcMar>
                  <w:vAlign w:val="center"/>
                </w:tcPr>
                <w:p w14:paraId="42BEAFF2">
                  <w:pPr>
                    <w:pStyle w:val="35"/>
                    <w:spacing w:before="3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《大气污染物综合排放标准》（DB50/418-2016）</w:t>
                  </w:r>
                </w:p>
              </w:tc>
            </w:tr>
            <w:tr w14:paraId="420F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restart"/>
                  <w:vAlign w:val="center"/>
                </w:tcPr>
                <w:p w14:paraId="05B9A85A">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无组织废气</w:t>
                  </w:r>
                </w:p>
              </w:tc>
              <w:tc>
                <w:tcPr>
                  <w:tcW w:w="1228" w:type="pct"/>
                  <w:gridSpan w:val="2"/>
                  <w:vAlign w:val="center"/>
                </w:tcPr>
                <w:p w14:paraId="7C262873">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厂房外</w:t>
                  </w:r>
                  <w:r>
                    <w:rPr>
                      <w:rFonts w:hint="default" w:ascii="Times New Roman" w:hAnsi="Times New Roman" w:eastAsia="宋体" w:cs="Times New Roman"/>
                      <w:color w:val="auto"/>
                      <w:vertAlign w:val="superscript"/>
                    </w:rPr>
                    <w:t>①</w:t>
                  </w:r>
                </w:p>
              </w:tc>
              <w:tc>
                <w:tcPr>
                  <w:tcW w:w="1207" w:type="pct"/>
                  <w:vAlign w:val="center"/>
                </w:tcPr>
                <w:p w14:paraId="0C8E083E">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p>
              </w:tc>
              <w:tc>
                <w:tcPr>
                  <w:tcW w:w="523" w:type="pct"/>
                  <w:vAlign w:val="center"/>
                </w:tcPr>
                <w:p w14:paraId="3586436B">
                  <w:pPr>
                    <w:pStyle w:val="35"/>
                    <w:spacing w:before="3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1次/半年</w:t>
                  </w:r>
                  <w:r>
                    <w:rPr>
                      <w:rFonts w:hint="default" w:ascii="Times New Roman" w:hAnsi="Times New Roman" w:eastAsia="宋体" w:cs="Times New Roman"/>
                      <w:color w:val="auto"/>
                      <w:highlight w:val="none"/>
                      <w:vertAlign w:val="superscript"/>
                    </w:rPr>
                    <w:t>②</w:t>
                  </w:r>
                </w:p>
              </w:tc>
              <w:tc>
                <w:tcPr>
                  <w:tcW w:w="1711" w:type="pct"/>
                  <w:vAlign w:val="center"/>
                </w:tcPr>
                <w:p w14:paraId="326D376E">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《挥发性有机物无组织排放控制标准》（GB 37822-2019）</w:t>
                  </w:r>
                </w:p>
              </w:tc>
            </w:tr>
            <w:tr w14:paraId="21C6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vAlign w:val="center"/>
                </w:tcPr>
                <w:p w14:paraId="2128B6C5">
                  <w:pPr>
                    <w:pStyle w:val="35"/>
                    <w:spacing w:before="31"/>
                    <w:rPr>
                      <w:rFonts w:hint="default" w:ascii="Times New Roman" w:hAnsi="Times New Roman" w:eastAsia="宋体" w:cs="Times New Roman"/>
                      <w:color w:val="auto"/>
                    </w:rPr>
                  </w:pPr>
                </w:p>
              </w:tc>
              <w:tc>
                <w:tcPr>
                  <w:tcW w:w="1228" w:type="pct"/>
                  <w:gridSpan w:val="2"/>
                  <w:vMerge w:val="restart"/>
                  <w:vAlign w:val="center"/>
                </w:tcPr>
                <w:p w14:paraId="359EB4A6">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厂界</w:t>
                  </w:r>
                </w:p>
              </w:tc>
              <w:tc>
                <w:tcPr>
                  <w:tcW w:w="1207" w:type="pct"/>
                  <w:vAlign w:val="center"/>
                </w:tcPr>
                <w:p w14:paraId="24154C44">
                  <w:pPr>
                    <w:pStyle w:val="35"/>
                    <w:spacing w:before="31"/>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颗粒物</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二氧化硫、氮氧化物</w:t>
                  </w:r>
                </w:p>
              </w:tc>
              <w:tc>
                <w:tcPr>
                  <w:tcW w:w="523" w:type="pct"/>
                  <w:vAlign w:val="center"/>
                </w:tcPr>
                <w:p w14:paraId="2547C94A">
                  <w:pPr>
                    <w:pStyle w:val="35"/>
                    <w:spacing w:before="3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1次/半年</w:t>
                  </w:r>
                  <w:r>
                    <w:rPr>
                      <w:rFonts w:hint="default" w:ascii="Times New Roman" w:hAnsi="Times New Roman" w:eastAsia="宋体" w:cs="Times New Roman"/>
                      <w:color w:val="auto"/>
                      <w:vertAlign w:val="superscript"/>
                    </w:rPr>
                    <w:t>③</w:t>
                  </w:r>
                </w:p>
              </w:tc>
              <w:tc>
                <w:tcPr>
                  <w:tcW w:w="1711" w:type="pct"/>
                  <w:vAlign w:val="center"/>
                </w:tcPr>
                <w:p w14:paraId="5138EC2C">
                  <w:pPr>
                    <w:pStyle w:val="35"/>
                    <w:spacing w:before="31"/>
                    <w:rPr>
                      <w:color w:val="auto"/>
                    </w:rPr>
                  </w:pPr>
                  <w:r>
                    <w:rPr>
                      <w:rFonts w:hint="default" w:ascii="Times New Roman" w:hAnsi="Times New Roman" w:eastAsia="宋体" w:cs="Times New Roman"/>
                      <w:color w:val="auto"/>
                    </w:rPr>
                    <w:t>《大气污染物综合排放标准》（DB50/418-2016）</w:t>
                  </w:r>
                </w:p>
              </w:tc>
            </w:tr>
            <w:tr w14:paraId="3E3D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vAlign w:val="center"/>
                </w:tcPr>
                <w:p w14:paraId="7D203929">
                  <w:pPr>
                    <w:pStyle w:val="35"/>
                    <w:spacing w:before="31"/>
                    <w:rPr>
                      <w:rFonts w:hint="default" w:ascii="Times New Roman" w:hAnsi="Times New Roman" w:eastAsia="宋体" w:cs="Times New Roman"/>
                      <w:color w:val="auto"/>
                    </w:rPr>
                  </w:pPr>
                </w:p>
              </w:tc>
              <w:tc>
                <w:tcPr>
                  <w:tcW w:w="1228" w:type="pct"/>
                  <w:gridSpan w:val="2"/>
                  <w:vMerge w:val="continue"/>
                  <w:vAlign w:val="center"/>
                </w:tcPr>
                <w:p w14:paraId="287203E6">
                  <w:pPr>
                    <w:pStyle w:val="35"/>
                    <w:spacing w:before="31"/>
                    <w:rPr>
                      <w:rFonts w:hint="default" w:ascii="Times New Roman" w:hAnsi="Times New Roman" w:eastAsia="宋体" w:cs="Times New Roman"/>
                      <w:color w:val="auto"/>
                    </w:rPr>
                  </w:pPr>
                </w:p>
              </w:tc>
              <w:tc>
                <w:tcPr>
                  <w:tcW w:w="1207" w:type="pct"/>
                  <w:vAlign w:val="center"/>
                </w:tcPr>
                <w:p w14:paraId="6D00B5E9">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p>
              </w:tc>
              <w:tc>
                <w:tcPr>
                  <w:tcW w:w="523" w:type="pct"/>
                  <w:vAlign w:val="center"/>
                </w:tcPr>
                <w:p w14:paraId="6DF8690F">
                  <w:pPr>
                    <w:pStyle w:val="35"/>
                    <w:spacing w:before="3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1次/半年</w:t>
                  </w:r>
                  <w:r>
                    <w:rPr>
                      <w:rFonts w:hint="default" w:ascii="Times New Roman" w:hAnsi="Times New Roman" w:eastAsia="宋体" w:cs="Times New Roman"/>
                      <w:color w:val="auto"/>
                      <w:vertAlign w:val="superscript"/>
                    </w:rPr>
                    <w:t>③</w:t>
                  </w:r>
                </w:p>
              </w:tc>
              <w:tc>
                <w:tcPr>
                  <w:tcW w:w="1711" w:type="pct"/>
                  <w:vAlign w:val="center"/>
                </w:tcPr>
                <w:p w14:paraId="0465E443">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《摩托车及汽车配件制造表面涂装大气污染物排放标准》（DB50/660-2016）</w:t>
                  </w:r>
                </w:p>
              </w:tc>
            </w:tr>
            <w:tr w14:paraId="577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6"/>
                  <w:vAlign w:val="center"/>
                </w:tcPr>
                <w:p w14:paraId="3EF4EBEB">
                  <w:pPr>
                    <w:pStyle w:val="35"/>
                    <w:spacing w:before="31"/>
                    <w:jc w:val="both"/>
                    <w:rPr>
                      <w:rFonts w:hint="default" w:ascii="Times New Roman" w:hAnsi="Times New Roman" w:eastAsia="宋体" w:cs="Times New Roman"/>
                      <w:color w:val="auto"/>
                    </w:rPr>
                  </w:pPr>
                  <w:r>
                    <w:rPr>
                      <w:rFonts w:hint="default" w:ascii="Times New Roman" w:hAnsi="Times New Roman" w:eastAsia="宋体" w:cs="Times New Roman"/>
                      <w:color w:val="auto"/>
                      <w:vertAlign w:val="baseline"/>
                      <w:lang w:val="en-US" w:eastAsia="zh-CN"/>
                    </w:rPr>
                    <w:t>注</w:t>
                  </w:r>
                  <w:r>
                    <w:rPr>
                      <w:rFonts w:hint="default" w:ascii="Times New Roman" w:hAnsi="Times New Roman" w:eastAsia="宋体" w:cs="Times New Roman"/>
                      <w:color w:val="auto"/>
                      <w:vertAlign w:val="superscript"/>
                    </w:rPr>
                    <w:t>①</w:t>
                  </w:r>
                  <w:r>
                    <w:rPr>
                      <w:rFonts w:hint="default" w:ascii="Times New Roman" w:hAnsi="Times New Roman" w:eastAsia="宋体" w:cs="Times New Roman"/>
                      <w:color w:val="auto"/>
                      <w:vertAlign w:val="baseline"/>
                      <w:lang w:val="en-US" w:eastAsia="zh-CN"/>
                    </w:rPr>
                    <w:t>：按照</w:t>
                  </w:r>
                  <w:r>
                    <w:rPr>
                      <w:rFonts w:hint="default" w:ascii="Times New Roman" w:hAnsi="Times New Roman" w:eastAsia="宋体" w:cs="Times New Roman"/>
                      <w:color w:val="auto"/>
                    </w:rPr>
                    <w:t>《挥发性有机物无组织排放控制标准》（GB 37822-2019）</w:t>
                  </w:r>
                  <w:r>
                    <w:rPr>
                      <w:rFonts w:hint="default" w:ascii="Times New Roman" w:hAnsi="Times New Roman" w:eastAsia="宋体" w:cs="Times New Roman"/>
                      <w:color w:val="auto"/>
                      <w:lang w:val="en-US" w:eastAsia="zh-CN"/>
                    </w:rPr>
                    <w:t>要求，</w:t>
                  </w:r>
                  <w:r>
                    <w:rPr>
                      <w:rFonts w:hint="default" w:ascii="Times New Roman" w:hAnsi="Times New Roman" w:eastAsia="宋体" w:cs="Times New Roman"/>
                      <w:color w:val="auto"/>
                    </w:rPr>
                    <w:t>对厂区内VOC</w:t>
                  </w:r>
                  <w:r>
                    <w:rPr>
                      <w:rFonts w:hint="default" w:ascii="Times New Roman" w:hAnsi="Times New Roman" w:eastAsia="宋体" w:cs="Times New Roman"/>
                      <w:color w:val="auto"/>
                      <w:vertAlign w:val="subscript"/>
                    </w:rPr>
                    <w:t>S</w:t>
                  </w:r>
                  <w:r>
                    <w:rPr>
                      <w:rFonts w:hint="default" w:ascii="Times New Roman" w:hAnsi="Times New Roman" w:eastAsia="宋体" w:cs="Times New Roman"/>
                      <w:color w:val="auto"/>
                    </w:rPr>
                    <w:t>无组织排放进行监控时，在厂房门窗或通风口、其他开口（孔）等排放口外1m，距离地面1.5m以上位置进行监测。</w:t>
                  </w:r>
                </w:p>
                <w:p w14:paraId="7C5F3E9C">
                  <w:pPr>
                    <w:pStyle w:val="35"/>
                    <w:spacing w:before="31"/>
                    <w:jc w:val="both"/>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注</w:t>
                  </w:r>
                  <w:r>
                    <w:rPr>
                      <w:rFonts w:hint="default" w:ascii="Times New Roman" w:hAnsi="Times New Roman" w:eastAsia="宋体" w:cs="Times New Roman"/>
                      <w:color w:val="auto"/>
                      <w:vertAlign w:val="superscript"/>
                      <w:lang w:val="en-US" w:eastAsia="zh-CN"/>
                    </w:rPr>
                    <w:t>②</w:t>
                  </w:r>
                  <w:r>
                    <w:rPr>
                      <w:rFonts w:hint="default" w:ascii="Times New Roman" w:hAnsi="Times New Roman" w:eastAsia="宋体" w:cs="Times New Roman"/>
                      <w:color w:val="auto"/>
                      <w:lang w:val="en-US" w:eastAsia="zh-CN"/>
                    </w:rPr>
                    <w:t>：参照厂界无组织废气监测频次执行。</w:t>
                  </w:r>
                </w:p>
                <w:p w14:paraId="20485CCF">
                  <w:pPr>
                    <w:pStyle w:val="35"/>
                    <w:spacing w:before="31"/>
                    <w:jc w:val="both"/>
                    <w:rPr>
                      <w:rFonts w:hint="eastAsia"/>
                      <w:color w:val="auto"/>
                      <w:lang w:eastAsia="zh-CN"/>
                    </w:rPr>
                  </w:pPr>
                  <w:r>
                    <w:rPr>
                      <w:rFonts w:hint="default" w:ascii="Times New Roman" w:hAnsi="Times New Roman" w:eastAsia="宋体" w:cs="Times New Roman"/>
                      <w:color w:val="auto"/>
                      <w:lang w:val="en-US" w:eastAsia="zh-CN"/>
                    </w:rPr>
                    <w:t>注</w:t>
                  </w:r>
                  <w:r>
                    <w:rPr>
                      <w:rFonts w:hint="default" w:ascii="Times New Roman" w:hAnsi="Times New Roman" w:eastAsia="宋体" w:cs="Times New Roman"/>
                      <w:color w:val="auto"/>
                      <w:vertAlign w:val="superscript"/>
                    </w:rPr>
                    <w:t>③</w:t>
                  </w:r>
                  <w:r>
                    <w:rPr>
                      <w:rFonts w:hint="default" w:ascii="Times New Roman" w:hAnsi="Times New Roman" w:eastAsia="宋体" w:cs="Times New Roman"/>
                      <w:color w:val="auto"/>
                      <w:lang w:val="en-US" w:eastAsia="zh-CN"/>
                    </w:rPr>
                    <w:t>：参照《排污单位自行监测技术指南 涂装》（HJ 1086-2020）执行半年监测。</w:t>
                  </w:r>
                </w:p>
              </w:tc>
            </w:tr>
          </w:tbl>
          <w:p w14:paraId="1EE904E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vertAlign w:val="superscript"/>
                <w:lang w:val="en-US" w:eastAsia="zh-CN"/>
              </w:rPr>
            </w:pPr>
          </w:p>
          <w:p w14:paraId="115C42C2">
            <w:pPr>
              <w:pStyle w:val="38"/>
              <w:rPr>
                <w:color w:val="auto"/>
              </w:rPr>
            </w:pPr>
          </w:p>
          <w:p w14:paraId="5EC7CC0F">
            <w:pPr>
              <w:pStyle w:val="38"/>
              <w:rPr>
                <w:color w:val="auto"/>
              </w:rPr>
            </w:pPr>
          </w:p>
        </w:tc>
      </w:tr>
    </w:tbl>
    <w:p w14:paraId="723FE849">
      <w:pPr>
        <w:pStyle w:val="20"/>
        <w:rPr>
          <w:rFonts w:hint="eastAsia"/>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2"/>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9"/>
        <w:gridCol w:w="8570"/>
      </w:tblGrid>
      <w:tr w14:paraId="104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33" w:hRule="atLeast"/>
          <w:jc w:val="center"/>
        </w:trPr>
        <w:tc>
          <w:tcPr>
            <w:tcW w:w="322" w:type="pct"/>
            <w:tcMar>
              <w:left w:w="28" w:type="dxa"/>
              <w:right w:w="28" w:type="dxa"/>
            </w:tcMar>
            <w:vAlign w:val="center"/>
          </w:tcPr>
          <w:p w14:paraId="36AC964C">
            <w:pPr>
              <w:pStyle w:val="43"/>
              <w:spacing w:before="93" w:after="93"/>
              <w:rPr>
                <w:rFonts w:cs="宋体"/>
                <w:b/>
                <w:bCs/>
                <w:color w:val="auto"/>
              </w:rPr>
            </w:pPr>
            <w:r>
              <w:rPr>
                <w:rFonts w:hint="eastAsia"/>
                <w:b/>
                <w:bCs/>
                <w:color w:val="auto"/>
              </w:rPr>
              <w:t>运营期环境影响和保护措施</w:t>
            </w:r>
          </w:p>
        </w:tc>
        <w:tc>
          <w:tcPr>
            <w:tcW w:w="4677" w:type="pct"/>
            <w:vAlign w:val="center"/>
          </w:tcPr>
          <w:p w14:paraId="47026804">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2、运营期废水环境影响及环保措施：</w:t>
            </w:r>
          </w:p>
          <w:p w14:paraId="13FA0153">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1）废水产生情况</w:t>
            </w:r>
          </w:p>
          <w:p w14:paraId="2338C88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项目厂区车间地面采用干式清扫，不进行地面冲洗，</w:t>
            </w:r>
            <w:r>
              <w:rPr>
                <w:color w:val="auto"/>
                <w:sz w:val="24"/>
                <w:szCs w:val="28"/>
                <w:highlight w:val="none"/>
              </w:rPr>
              <w:t>项目</w:t>
            </w:r>
            <w:r>
              <w:rPr>
                <w:rFonts w:hint="eastAsia" w:ascii="Times New Roman" w:hAnsi="Times New Roman" w:cs="宋体"/>
                <w:color w:val="auto"/>
                <w:sz w:val="24"/>
                <w:szCs w:val="24"/>
                <w:highlight w:val="none"/>
                <w:lang w:val="en-US" w:eastAsia="zh-CN"/>
              </w:rPr>
              <w:t>运营期</w:t>
            </w:r>
            <w:r>
              <w:rPr>
                <w:rFonts w:hint="eastAsia"/>
                <w:color w:val="auto"/>
                <w:sz w:val="24"/>
                <w:szCs w:val="28"/>
                <w:highlight w:val="none"/>
                <w:lang w:eastAsia="zh-CN"/>
              </w:rPr>
              <w:t>无生产废水产生，</w:t>
            </w:r>
            <w:r>
              <w:rPr>
                <w:rFonts w:hint="eastAsia" w:ascii="Times New Roman" w:hAnsi="Times New Roman" w:cs="宋体"/>
                <w:color w:val="auto"/>
                <w:sz w:val="24"/>
                <w:szCs w:val="24"/>
                <w:highlight w:val="none"/>
                <w:lang w:val="en-US" w:eastAsia="zh-CN"/>
              </w:rPr>
              <w:t>外排污废水主要为生活污水。</w:t>
            </w:r>
          </w:p>
          <w:p w14:paraId="53BBE903">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 xml:space="preserve">① </w:t>
            </w:r>
            <w:r>
              <w:rPr>
                <w:rFonts w:hint="eastAsia" w:ascii="Times New Roman" w:hAnsi="Times New Roman" w:cs="宋体"/>
                <w:color w:val="auto"/>
                <w:sz w:val="24"/>
                <w:szCs w:val="24"/>
                <w:highlight w:val="none"/>
                <w:u w:val="single"/>
                <w:lang w:val="en-US" w:eastAsia="zh-CN"/>
              </w:rPr>
              <w:t>生活污水</w:t>
            </w:r>
            <w:r>
              <w:rPr>
                <w:rFonts w:hint="eastAsia" w:ascii="Times New Roman" w:hAnsi="Times New Roman" w:cs="宋体"/>
                <w:color w:val="auto"/>
                <w:sz w:val="24"/>
                <w:szCs w:val="24"/>
                <w:highlight w:val="none"/>
                <w:lang w:val="en-US" w:eastAsia="zh-CN"/>
              </w:rPr>
              <w:t>：</w:t>
            </w:r>
          </w:p>
          <w:p w14:paraId="1F731088">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项目运营期劳动定员10人，不设住宿。额定用水量按50L/d，产污系数按0.9计，则生活污水产生量约0.45m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/d。其主要污染物为COD、BOD</w:t>
            </w:r>
            <w:r>
              <w:rPr>
                <w:rFonts w:hint="eastAsia" w:ascii="Times New Roman" w:hAnsi="Times New Roman" w:cs="宋体"/>
                <w:color w:val="auto"/>
                <w:sz w:val="24"/>
                <w:szCs w:val="24"/>
                <w:highlight w:val="none"/>
                <w:vertAlign w:val="subscript"/>
                <w:lang w:val="en-US" w:eastAsia="zh-CN"/>
              </w:rPr>
              <w:t>5</w:t>
            </w:r>
            <w:r>
              <w:rPr>
                <w:rFonts w:hint="eastAsia" w:ascii="Times New Roman" w:hAnsi="Times New Roman" w:cs="宋体"/>
                <w:color w:val="auto"/>
                <w:sz w:val="24"/>
                <w:szCs w:val="24"/>
                <w:highlight w:val="none"/>
                <w:lang w:val="en-US" w:eastAsia="zh-CN"/>
              </w:rPr>
              <w:t>、SS、氨氮等，各污染物浓度约550mg/L、350mg/L、450mg/L、50mg/L。</w:t>
            </w:r>
          </w:p>
          <w:p w14:paraId="0415844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项目运营期生活污水依托森迪安防产业园已建成1#生化池预处理达《污水综合排放标准》（GB 8978-1996）三级标准后排入园区市政污水管网，进入西彭污水处理厂深度处理达标后排放，最终汇入长江。</w:t>
            </w:r>
          </w:p>
          <w:p w14:paraId="1810CBD7">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b w:val="0"/>
                <w:bCs w:val="0"/>
                <w:i w:val="0"/>
                <w:iCs w:val="0"/>
                <w:color w:val="auto"/>
                <w:sz w:val="24"/>
                <w:szCs w:val="24"/>
                <w:highlight w:val="none"/>
                <w:u w:val="none"/>
                <w:lang w:val="en-US" w:eastAsia="zh-CN"/>
              </w:rPr>
            </w:pPr>
            <w:r>
              <w:rPr>
                <w:rFonts w:hint="eastAsia" w:ascii="Times New Roman" w:hAnsi="Times New Roman" w:cs="宋体"/>
                <w:b w:val="0"/>
                <w:bCs w:val="0"/>
                <w:i w:val="0"/>
                <w:iCs w:val="0"/>
                <w:color w:val="auto"/>
                <w:sz w:val="24"/>
                <w:szCs w:val="24"/>
                <w:highlight w:val="none"/>
                <w:u w:val="none"/>
                <w:lang w:val="en-US" w:eastAsia="zh-CN"/>
              </w:rPr>
              <w:t>项目废水污染物产生、排放情况见下表：</w:t>
            </w:r>
          </w:p>
          <w:p w14:paraId="1D925C1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  项目废水污染物产生、排放情况汇总表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57"/>
              <w:gridCol w:w="928"/>
              <w:gridCol w:w="1043"/>
              <w:gridCol w:w="1045"/>
              <w:gridCol w:w="1043"/>
              <w:gridCol w:w="1045"/>
              <w:gridCol w:w="1044"/>
              <w:gridCol w:w="1051"/>
            </w:tblGrid>
            <w:tr w14:paraId="2D1E8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2C1B7A0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废水产生量</w:t>
                  </w:r>
                </w:p>
              </w:tc>
              <w:tc>
                <w:tcPr>
                  <w:tcW w:w="549" w:type="pct"/>
                  <w:vMerge w:val="restart"/>
                  <w:tcBorders>
                    <w:tl2br w:val="nil"/>
                    <w:tr2bl w:val="nil"/>
                  </w:tcBorders>
                  <w:vAlign w:val="center"/>
                </w:tcPr>
                <w:p w14:paraId="1937B79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污染物</w:t>
                  </w:r>
                </w:p>
              </w:tc>
              <w:tc>
                <w:tcPr>
                  <w:tcW w:w="1235" w:type="pct"/>
                  <w:gridSpan w:val="2"/>
                  <w:tcBorders>
                    <w:tl2br w:val="nil"/>
                    <w:tr2bl w:val="nil"/>
                  </w:tcBorders>
                  <w:vAlign w:val="center"/>
                </w:tcPr>
                <w:p w14:paraId="5249C056">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产生情况</w:t>
                  </w:r>
                </w:p>
              </w:tc>
              <w:tc>
                <w:tcPr>
                  <w:tcW w:w="1235" w:type="pct"/>
                  <w:gridSpan w:val="2"/>
                  <w:tcBorders>
                    <w:tl2br w:val="nil"/>
                    <w:tr2bl w:val="nil"/>
                  </w:tcBorders>
                  <w:vAlign w:val="center"/>
                </w:tcPr>
                <w:p w14:paraId="45683654">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接管情况</w:t>
                  </w:r>
                </w:p>
              </w:tc>
              <w:tc>
                <w:tcPr>
                  <w:tcW w:w="1237" w:type="pct"/>
                  <w:gridSpan w:val="2"/>
                  <w:tcBorders>
                    <w:tl2br w:val="nil"/>
                    <w:tr2bl w:val="nil"/>
                  </w:tcBorders>
                  <w:vAlign w:val="center"/>
                </w:tcPr>
                <w:p w14:paraId="683F9280">
                  <w:pPr>
                    <w:pStyle w:val="18"/>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排入环境情况</w:t>
                  </w:r>
                </w:p>
              </w:tc>
            </w:tr>
            <w:tr w14:paraId="22577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679F668A">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549" w:type="pct"/>
                  <w:vMerge w:val="continue"/>
                  <w:tcBorders>
                    <w:tl2br w:val="nil"/>
                    <w:tr2bl w:val="nil"/>
                  </w:tcBorders>
                  <w:vAlign w:val="center"/>
                </w:tcPr>
                <w:p w14:paraId="3EBA624B">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617" w:type="pct"/>
                  <w:tcBorders>
                    <w:tl2br w:val="nil"/>
                    <w:tr2bl w:val="nil"/>
                  </w:tcBorders>
                  <w:vAlign w:val="center"/>
                </w:tcPr>
                <w:p w14:paraId="0785C77E">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浓度</w:t>
                  </w:r>
                </w:p>
                <w:p w14:paraId="7330EF4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（mg/L）</w:t>
                  </w:r>
                </w:p>
              </w:tc>
              <w:tc>
                <w:tcPr>
                  <w:tcW w:w="618" w:type="pct"/>
                  <w:tcBorders>
                    <w:tl2br w:val="nil"/>
                    <w:tr2bl w:val="nil"/>
                  </w:tcBorders>
                  <w:vAlign w:val="center"/>
                </w:tcPr>
                <w:p w14:paraId="1C6D7996">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总量</w:t>
                  </w:r>
                </w:p>
                <w:p w14:paraId="0ECF736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（t/a）</w:t>
                  </w:r>
                </w:p>
              </w:tc>
              <w:tc>
                <w:tcPr>
                  <w:tcW w:w="617" w:type="pct"/>
                  <w:tcBorders>
                    <w:tl2br w:val="nil"/>
                    <w:tr2bl w:val="nil"/>
                  </w:tcBorders>
                  <w:vAlign w:val="center"/>
                </w:tcPr>
                <w:p w14:paraId="4075E001">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浓度</w:t>
                  </w:r>
                </w:p>
                <w:p w14:paraId="4E13FC15">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（mg/L）</w:t>
                  </w:r>
                </w:p>
              </w:tc>
              <w:tc>
                <w:tcPr>
                  <w:tcW w:w="618" w:type="pct"/>
                  <w:tcBorders>
                    <w:tl2br w:val="nil"/>
                    <w:tr2bl w:val="nil"/>
                  </w:tcBorders>
                  <w:vAlign w:val="center"/>
                </w:tcPr>
                <w:p w14:paraId="101DF171">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总量</w:t>
                  </w:r>
                </w:p>
                <w:p w14:paraId="4E9ED739">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（t/a）</w:t>
                  </w:r>
                </w:p>
              </w:tc>
              <w:tc>
                <w:tcPr>
                  <w:tcW w:w="617" w:type="pct"/>
                  <w:tcBorders>
                    <w:tl2br w:val="nil"/>
                    <w:tr2bl w:val="nil"/>
                  </w:tcBorders>
                  <w:vAlign w:val="center"/>
                </w:tcPr>
                <w:p w14:paraId="5B2BBC17">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浓度</w:t>
                  </w:r>
                </w:p>
                <w:p w14:paraId="03134C00">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（mg/L）</w:t>
                  </w:r>
                </w:p>
              </w:tc>
              <w:tc>
                <w:tcPr>
                  <w:tcW w:w="620" w:type="pct"/>
                  <w:tcBorders>
                    <w:tl2br w:val="nil"/>
                    <w:tr2bl w:val="nil"/>
                  </w:tcBorders>
                  <w:vAlign w:val="center"/>
                </w:tcPr>
                <w:p w14:paraId="0C84BB98">
                  <w:pPr>
                    <w:keepNext w:val="0"/>
                    <w:keepLines w:val="0"/>
                    <w:pageBreakBefore w:val="0"/>
                    <w:widowControl/>
                    <w:kinsoku/>
                    <w:wordWrap/>
                    <w:overflowPunct/>
                    <w:topLinePunct w:val="0"/>
                    <w:autoSpaceDE/>
                    <w:autoSpaceDN/>
                    <w:bidi w:val="0"/>
                    <w:adjustRightInd/>
                    <w:snapToGrid/>
                    <w:spacing w:before="79" w:beforeLines="25" w:line="300" w:lineRule="auto"/>
                    <w:jc w:val="center"/>
                    <w:textAlignment w:val="auto"/>
                    <w:rPr>
                      <w:rFonts w:hint="eastAsia" w:ascii="Times New Roman" w:hAnsi="Times New Roman" w:eastAsia="宋体" w:cs="宋体"/>
                      <w:b/>
                      <w:bCs/>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总量</w:t>
                  </w:r>
                </w:p>
                <w:p w14:paraId="59173A8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79" w:afterLines="25" w:afterAutospacing="0" w:line="30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b/>
                      <w:bCs/>
                      <w:color w:val="auto"/>
                      <w:sz w:val="21"/>
                      <w:szCs w:val="21"/>
                      <w:highlight w:val="none"/>
                      <w:vertAlign w:val="baseline"/>
                      <w:lang w:val="en-US" w:eastAsia="zh-CN"/>
                    </w:rPr>
                    <w:t>（t/a）</w:t>
                  </w:r>
                </w:p>
              </w:tc>
            </w:tr>
            <w:tr w14:paraId="4944A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306298B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生活污水117m</w:t>
                  </w:r>
                  <w:r>
                    <w:rPr>
                      <w:rFonts w:hint="eastAsia" w:ascii="Times New Roman" w:hAnsi="Times New Roman" w:eastAsia="宋体" w:cs="宋体"/>
                      <w:color w:val="auto"/>
                      <w:sz w:val="21"/>
                      <w:szCs w:val="21"/>
                      <w:highlight w:val="none"/>
                      <w:vertAlign w:val="superscript"/>
                      <w:lang w:val="en-US" w:eastAsia="zh-CN"/>
                    </w:rPr>
                    <w:t>3</w:t>
                  </w:r>
                  <w:r>
                    <w:rPr>
                      <w:rFonts w:hint="eastAsia" w:ascii="Times New Roman" w:hAnsi="Times New Roman" w:eastAsia="宋体" w:cs="宋体"/>
                      <w:color w:val="auto"/>
                      <w:sz w:val="21"/>
                      <w:szCs w:val="21"/>
                      <w:highlight w:val="none"/>
                      <w:vertAlign w:val="baseline"/>
                      <w:lang w:val="en-US" w:eastAsia="zh-CN"/>
                    </w:rPr>
                    <w:t>/a</w:t>
                  </w:r>
                </w:p>
              </w:tc>
              <w:tc>
                <w:tcPr>
                  <w:tcW w:w="549" w:type="pct"/>
                  <w:tcBorders>
                    <w:tl2br w:val="nil"/>
                    <w:tr2bl w:val="nil"/>
                  </w:tcBorders>
                  <w:vAlign w:val="center"/>
                </w:tcPr>
                <w:p w14:paraId="55829F7E">
                  <w:pPr>
                    <w:keepNext w:val="0"/>
                    <w:keepLines w:val="0"/>
                    <w:pageBreakBefore w:val="0"/>
                    <w:widowControl/>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宋体"/>
                      <w:color w:val="auto"/>
                      <w:kern w:val="2"/>
                      <w:sz w:val="21"/>
                      <w:szCs w:val="21"/>
                      <w:highlight w:val="none"/>
                      <w:vertAlign w:val="baseline"/>
                      <w:lang w:val="en-US" w:eastAsia="zh-CN" w:bidi="ar-SA"/>
                    </w:rPr>
                  </w:pPr>
                  <w:r>
                    <w:rPr>
                      <w:rFonts w:hint="eastAsia" w:ascii="Times New Roman" w:hAnsi="Times New Roman" w:eastAsia="宋体" w:cs="宋体"/>
                      <w:color w:val="auto"/>
                      <w:sz w:val="21"/>
                      <w:szCs w:val="21"/>
                      <w:highlight w:val="none"/>
                      <w:vertAlign w:val="baseline"/>
                      <w:lang w:val="en-US" w:eastAsia="zh-CN"/>
                    </w:rPr>
                    <w:t>COD</w:t>
                  </w:r>
                </w:p>
              </w:tc>
              <w:tc>
                <w:tcPr>
                  <w:tcW w:w="617" w:type="pct"/>
                  <w:tcBorders>
                    <w:tl2br w:val="nil"/>
                    <w:tr2bl w:val="nil"/>
                  </w:tcBorders>
                  <w:vAlign w:val="center"/>
                </w:tcPr>
                <w:p w14:paraId="3A1D417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550</w:t>
                  </w:r>
                </w:p>
              </w:tc>
              <w:tc>
                <w:tcPr>
                  <w:tcW w:w="1045" w:type="dxa"/>
                  <w:tcBorders>
                    <w:tl2br w:val="nil"/>
                    <w:tr2bl w:val="nil"/>
                  </w:tcBorders>
                  <w:vAlign w:val="bottom"/>
                </w:tcPr>
                <w:p w14:paraId="4024155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0.644</w:t>
                  </w:r>
                </w:p>
              </w:tc>
              <w:tc>
                <w:tcPr>
                  <w:tcW w:w="617" w:type="pct"/>
                  <w:tcBorders>
                    <w:tl2br w:val="nil"/>
                    <w:tr2bl w:val="nil"/>
                  </w:tcBorders>
                  <w:vAlign w:val="center"/>
                </w:tcPr>
                <w:p w14:paraId="6D4C5EA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500</w:t>
                  </w:r>
                </w:p>
              </w:tc>
              <w:tc>
                <w:tcPr>
                  <w:tcW w:w="1045" w:type="dxa"/>
                  <w:tcBorders>
                    <w:tl2br w:val="nil"/>
                    <w:tr2bl w:val="nil"/>
                  </w:tcBorders>
                  <w:vAlign w:val="bottom"/>
                </w:tcPr>
                <w:p w14:paraId="62419DA1">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0.059</w:t>
                  </w:r>
                </w:p>
              </w:tc>
              <w:tc>
                <w:tcPr>
                  <w:tcW w:w="617" w:type="pct"/>
                  <w:tcBorders>
                    <w:tl2br w:val="nil"/>
                    <w:tr2bl w:val="nil"/>
                  </w:tcBorders>
                  <w:vAlign w:val="center"/>
                </w:tcPr>
                <w:p w14:paraId="5D29C3E9">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100</w:t>
                  </w:r>
                </w:p>
              </w:tc>
              <w:tc>
                <w:tcPr>
                  <w:tcW w:w="620" w:type="pct"/>
                  <w:tcBorders>
                    <w:tl2br w:val="nil"/>
                    <w:tr2bl w:val="nil"/>
                  </w:tcBorders>
                  <w:vAlign w:val="center"/>
                </w:tcPr>
                <w:p w14:paraId="1BA23CB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0.014</w:t>
                  </w:r>
                </w:p>
              </w:tc>
            </w:tr>
            <w:tr w14:paraId="70802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1273DEF0">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549" w:type="pct"/>
                  <w:tcBorders>
                    <w:tl2br w:val="nil"/>
                    <w:tr2bl w:val="nil"/>
                  </w:tcBorders>
                  <w:vAlign w:val="center"/>
                </w:tcPr>
                <w:p w14:paraId="31D33ACD">
                  <w:pPr>
                    <w:keepNext w:val="0"/>
                    <w:keepLines w:val="0"/>
                    <w:pageBreakBefore w:val="0"/>
                    <w:widowControl/>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宋体"/>
                      <w:color w:val="auto"/>
                      <w:kern w:val="2"/>
                      <w:sz w:val="21"/>
                      <w:szCs w:val="21"/>
                      <w:highlight w:val="none"/>
                      <w:vertAlign w:val="baseline"/>
                      <w:lang w:val="en-US" w:eastAsia="zh-CN" w:bidi="ar-SA"/>
                    </w:rPr>
                  </w:pPr>
                  <w:r>
                    <w:rPr>
                      <w:rFonts w:hint="eastAsia" w:ascii="Times New Roman" w:hAnsi="Times New Roman" w:eastAsia="宋体" w:cs="宋体"/>
                      <w:color w:val="auto"/>
                      <w:kern w:val="2"/>
                      <w:sz w:val="21"/>
                      <w:szCs w:val="21"/>
                      <w:highlight w:val="none"/>
                      <w:vertAlign w:val="baseline"/>
                      <w:lang w:val="en-US" w:eastAsia="zh-CN" w:bidi="ar-SA"/>
                    </w:rPr>
                    <w:t>BOD</w:t>
                  </w:r>
                  <w:r>
                    <w:rPr>
                      <w:rFonts w:hint="eastAsia" w:ascii="Times New Roman" w:hAnsi="Times New Roman" w:eastAsia="宋体" w:cs="宋体"/>
                      <w:color w:val="auto"/>
                      <w:kern w:val="2"/>
                      <w:sz w:val="21"/>
                      <w:szCs w:val="21"/>
                      <w:highlight w:val="none"/>
                      <w:vertAlign w:val="subscript"/>
                      <w:lang w:val="en-US" w:eastAsia="zh-CN" w:bidi="ar-SA"/>
                    </w:rPr>
                    <w:t>5</w:t>
                  </w:r>
                </w:p>
              </w:tc>
              <w:tc>
                <w:tcPr>
                  <w:tcW w:w="617" w:type="pct"/>
                  <w:tcBorders>
                    <w:tl2br w:val="nil"/>
                    <w:tr2bl w:val="nil"/>
                  </w:tcBorders>
                  <w:vAlign w:val="center"/>
                </w:tcPr>
                <w:p w14:paraId="0BCF402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350</w:t>
                  </w:r>
                </w:p>
              </w:tc>
              <w:tc>
                <w:tcPr>
                  <w:tcW w:w="1045" w:type="dxa"/>
                  <w:tcBorders>
                    <w:tl2br w:val="nil"/>
                    <w:tr2bl w:val="nil"/>
                  </w:tcBorders>
                  <w:vAlign w:val="bottom"/>
                </w:tcPr>
                <w:p w14:paraId="08B8444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 xml:space="preserve">0.410 </w:t>
                  </w:r>
                </w:p>
              </w:tc>
              <w:tc>
                <w:tcPr>
                  <w:tcW w:w="617" w:type="pct"/>
                  <w:tcBorders>
                    <w:tl2br w:val="nil"/>
                    <w:tr2bl w:val="nil"/>
                  </w:tcBorders>
                  <w:vAlign w:val="center"/>
                </w:tcPr>
                <w:p w14:paraId="27A2933E">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300</w:t>
                  </w:r>
                </w:p>
              </w:tc>
              <w:tc>
                <w:tcPr>
                  <w:tcW w:w="1045" w:type="dxa"/>
                  <w:tcBorders>
                    <w:tl2br w:val="nil"/>
                    <w:tr2bl w:val="nil"/>
                  </w:tcBorders>
                  <w:vAlign w:val="bottom"/>
                </w:tcPr>
                <w:p w14:paraId="7EFB104F">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0.035</w:t>
                  </w:r>
                </w:p>
              </w:tc>
              <w:tc>
                <w:tcPr>
                  <w:tcW w:w="617" w:type="pct"/>
                  <w:tcBorders>
                    <w:tl2br w:val="nil"/>
                    <w:tr2bl w:val="nil"/>
                  </w:tcBorders>
                  <w:vAlign w:val="center"/>
                </w:tcPr>
                <w:p w14:paraId="6602D8C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30</w:t>
                  </w:r>
                </w:p>
              </w:tc>
              <w:tc>
                <w:tcPr>
                  <w:tcW w:w="620" w:type="pct"/>
                  <w:tcBorders>
                    <w:tl2br w:val="nil"/>
                    <w:tr2bl w:val="nil"/>
                  </w:tcBorders>
                  <w:vAlign w:val="center"/>
                </w:tcPr>
                <w:p w14:paraId="545B84B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0.004</w:t>
                  </w:r>
                </w:p>
              </w:tc>
            </w:tr>
            <w:tr w14:paraId="59856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29346F3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549" w:type="pct"/>
                  <w:tcBorders>
                    <w:tl2br w:val="nil"/>
                    <w:tr2bl w:val="nil"/>
                  </w:tcBorders>
                  <w:vAlign w:val="center"/>
                </w:tcPr>
                <w:p w14:paraId="6B7C5F51">
                  <w:pPr>
                    <w:keepNext w:val="0"/>
                    <w:keepLines w:val="0"/>
                    <w:pageBreakBefore w:val="0"/>
                    <w:widowControl/>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宋体"/>
                      <w:color w:val="auto"/>
                      <w:kern w:val="2"/>
                      <w:sz w:val="21"/>
                      <w:szCs w:val="21"/>
                      <w:highlight w:val="none"/>
                      <w:vertAlign w:val="baseline"/>
                      <w:lang w:val="en-US" w:eastAsia="zh-CN" w:bidi="ar-SA"/>
                    </w:rPr>
                  </w:pPr>
                  <w:r>
                    <w:rPr>
                      <w:rFonts w:hint="eastAsia" w:ascii="Times New Roman" w:hAnsi="Times New Roman" w:eastAsia="宋体" w:cs="宋体"/>
                      <w:color w:val="auto"/>
                      <w:sz w:val="21"/>
                      <w:szCs w:val="21"/>
                      <w:highlight w:val="none"/>
                      <w:vertAlign w:val="baseline"/>
                      <w:lang w:val="en-US" w:eastAsia="zh-CN"/>
                    </w:rPr>
                    <w:t>SS</w:t>
                  </w:r>
                </w:p>
              </w:tc>
              <w:tc>
                <w:tcPr>
                  <w:tcW w:w="617" w:type="pct"/>
                  <w:tcBorders>
                    <w:tl2br w:val="nil"/>
                    <w:tr2bl w:val="nil"/>
                  </w:tcBorders>
                  <w:vAlign w:val="center"/>
                </w:tcPr>
                <w:p w14:paraId="10B01745">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450</w:t>
                  </w:r>
                </w:p>
              </w:tc>
              <w:tc>
                <w:tcPr>
                  <w:tcW w:w="1045" w:type="dxa"/>
                  <w:tcBorders>
                    <w:tl2br w:val="nil"/>
                    <w:tr2bl w:val="nil"/>
                  </w:tcBorders>
                  <w:vAlign w:val="bottom"/>
                </w:tcPr>
                <w:p w14:paraId="4B4984D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0.527</w:t>
                  </w:r>
                </w:p>
              </w:tc>
              <w:tc>
                <w:tcPr>
                  <w:tcW w:w="617" w:type="pct"/>
                  <w:tcBorders>
                    <w:tl2br w:val="nil"/>
                    <w:tr2bl w:val="nil"/>
                  </w:tcBorders>
                  <w:vAlign w:val="center"/>
                </w:tcPr>
                <w:p w14:paraId="68A8FB5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400</w:t>
                  </w:r>
                </w:p>
              </w:tc>
              <w:tc>
                <w:tcPr>
                  <w:tcW w:w="1045" w:type="dxa"/>
                  <w:tcBorders>
                    <w:tl2br w:val="nil"/>
                    <w:tr2bl w:val="nil"/>
                  </w:tcBorders>
                  <w:vAlign w:val="bottom"/>
                </w:tcPr>
                <w:p w14:paraId="4684DD9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0.047</w:t>
                  </w:r>
                </w:p>
              </w:tc>
              <w:tc>
                <w:tcPr>
                  <w:tcW w:w="617" w:type="pct"/>
                  <w:tcBorders>
                    <w:tl2br w:val="nil"/>
                    <w:tr2bl w:val="nil"/>
                  </w:tcBorders>
                  <w:vAlign w:val="center"/>
                </w:tcPr>
                <w:p w14:paraId="550EF29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70</w:t>
                  </w:r>
                </w:p>
              </w:tc>
              <w:tc>
                <w:tcPr>
                  <w:tcW w:w="620" w:type="pct"/>
                  <w:tcBorders>
                    <w:tl2br w:val="nil"/>
                    <w:tr2bl w:val="nil"/>
                  </w:tcBorders>
                  <w:vAlign w:val="center"/>
                </w:tcPr>
                <w:p w14:paraId="59CE9D32">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0.009</w:t>
                  </w:r>
                </w:p>
              </w:tc>
            </w:tr>
            <w:tr w14:paraId="3E6CE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6DB25F8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549" w:type="pct"/>
                  <w:tcBorders>
                    <w:tl2br w:val="nil"/>
                    <w:tr2bl w:val="nil"/>
                  </w:tcBorders>
                  <w:vAlign w:val="center"/>
                </w:tcPr>
                <w:p w14:paraId="38E86C0B">
                  <w:pPr>
                    <w:keepNext w:val="0"/>
                    <w:keepLines w:val="0"/>
                    <w:pageBreakBefore w:val="0"/>
                    <w:widowControl/>
                    <w:kinsoku/>
                    <w:wordWrap/>
                    <w:overflowPunct/>
                    <w:topLinePunct w:val="0"/>
                    <w:autoSpaceDE/>
                    <w:autoSpaceDN/>
                    <w:bidi w:val="0"/>
                    <w:adjustRightInd/>
                    <w:snapToGrid/>
                    <w:spacing w:before="79" w:beforeLines="25" w:after="79" w:afterLines="25" w:line="300" w:lineRule="auto"/>
                    <w:jc w:val="center"/>
                    <w:textAlignment w:val="auto"/>
                    <w:rPr>
                      <w:rFonts w:hint="eastAsia" w:ascii="Times New Roman" w:hAnsi="Times New Roman" w:eastAsia="宋体" w:cs="宋体"/>
                      <w:color w:val="auto"/>
                      <w:kern w:val="2"/>
                      <w:sz w:val="21"/>
                      <w:szCs w:val="21"/>
                      <w:highlight w:val="none"/>
                      <w:vertAlign w:val="baseline"/>
                      <w:lang w:val="en-US" w:eastAsia="zh-CN" w:bidi="ar-SA"/>
                    </w:rPr>
                  </w:pPr>
                  <w:r>
                    <w:rPr>
                      <w:rFonts w:hint="eastAsia" w:ascii="Times New Roman" w:hAnsi="Times New Roman" w:eastAsia="宋体" w:cs="宋体"/>
                      <w:color w:val="auto"/>
                      <w:kern w:val="2"/>
                      <w:sz w:val="21"/>
                      <w:szCs w:val="21"/>
                      <w:highlight w:val="none"/>
                      <w:vertAlign w:val="baseline"/>
                      <w:lang w:val="en-US" w:eastAsia="zh-CN" w:bidi="ar-SA"/>
                    </w:rPr>
                    <w:t>氨氮</w:t>
                  </w:r>
                </w:p>
              </w:tc>
              <w:tc>
                <w:tcPr>
                  <w:tcW w:w="617" w:type="pct"/>
                  <w:tcBorders>
                    <w:tl2br w:val="nil"/>
                    <w:tr2bl w:val="nil"/>
                  </w:tcBorders>
                  <w:vAlign w:val="center"/>
                </w:tcPr>
                <w:p w14:paraId="0A669014">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50</w:t>
                  </w:r>
                </w:p>
              </w:tc>
              <w:tc>
                <w:tcPr>
                  <w:tcW w:w="1045" w:type="dxa"/>
                  <w:tcBorders>
                    <w:tl2br w:val="nil"/>
                    <w:tr2bl w:val="nil"/>
                  </w:tcBorders>
                  <w:vAlign w:val="bottom"/>
                </w:tcPr>
                <w:p w14:paraId="1629D656">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0.059</w:t>
                  </w:r>
                </w:p>
              </w:tc>
              <w:tc>
                <w:tcPr>
                  <w:tcW w:w="617" w:type="pct"/>
                  <w:tcBorders>
                    <w:tl2br w:val="nil"/>
                    <w:tr2bl w:val="nil"/>
                  </w:tcBorders>
                  <w:vAlign w:val="center"/>
                </w:tcPr>
                <w:p w14:paraId="1159F2F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45</w:t>
                  </w:r>
                </w:p>
              </w:tc>
              <w:tc>
                <w:tcPr>
                  <w:tcW w:w="1045" w:type="dxa"/>
                  <w:tcBorders>
                    <w:tl2br w:val="nil"/>
                    <w:tr2bl w:val="nil"/>
                  </w:tcBorders>
                  <w:vAlign w:val="bottom"/>
                </w:tcPr>
                <w:p w14:paraId="7D440667">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default" w:ascii="Times New Roman" w:hAnsi="Times New Roman" w:eastAsia="宋体" w:cs="宋体"/>
                      <w:color w:val="auto"/>
                      <w:sz w:val="21"/>
                      <w:szCs w:val="21"/>
                      <w:highlight w:val="none"/>
                      <w:vertAlign w:val="baseline"/>
                      <w:lang w:val="en-US" w:eastAsia="zh-CN"/>
                    </w:rPr>
                    <w:t>0.005</w:t>
                  </w:r>
                </w:p>
              </w:tc>
              <w:tc>
                <w:tcPr>
                  <w:tcW w:w="617" w:type="pct"/>
                  <w:tcBorders>
                    <w:tl2br w:val="nil"/>
                    <w:tr2bl w:val="nil"/>
                  </w:tcBorders>
                  <w:vAlign w:val="center"/>
                </w:tcPr>
                <w:p w14:paraId="0B08DF53">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15</w:t>
                  </w:r>
                </w:p>
              </w:tc>
              <w:tc>
                <w:tcPr>
                  <w:tcW w:w="620" w:type="pct"/>
                  <w:tcBorders>
                    <w:tl2br w:val="nil"/>
                    <w:tr2bl w:val="nil"/>
                  </w:tcBorders>
                  <w:vAlign w:val="center"/>
                </w:tcPr>
                <w:p w14:paraId="2A14AD2D">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0.002</w:t>
                  </w:r>
                </w:p>
              </w:tc>
            </w:tr>
            <w:tr w14:paraId="4A166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8"/>
                  <w:tcBorders>
                    <w:tl2br w:val="nil"/>
                    <w:tr2bl w:val="nil"/>
                  </w:tcBorders>
                  <w:vAlign w:val="center"/>
                </w:tcPr>
                <w:p w14:paraId="446F621C">
                  <w:pPr>
                    <w:pStyle w:val="18"/>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both"/>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b/>
                      <w:bCs/>
                      <w:color w:val="auto"/>
                      <w:sz w:val="21"/>
                      <w:szCs w:val="21"/>
                      <w:highlight w:val="none"/>
                      <w:vertAlign w:val="baseline"/>
                      <w:lang w:val="en-US" w:eastAsia="zh-CN"/>
                    </w:rPr>
                    <w:t>注</w:t>
                  </w:r>
                  <w:r>
                    <w:rPr>
                      <w:rFonts w:hint="eastAsia" w:ascii="Times New Roman" w:hAnsi="Times New Roman" w:eastAsia="宋体" w:cs="宋体"/>
                      <w:color w:val="auto"/>
                      <w:sz w:val="21"/>
                      <w:szCs w:val="21"/>
                      <w:highlight w:val="none"/>
                      <w:vertAlign w:val="baseline"/>
                      <w:lang w:val="en-US" w:eastAsia="zh-CN"/>
                    </w:rPr>
                    <w:t>：项目生活污水中污染物执行《污水综合排放标准》（GB8978-1996）三级标准，COD 500mg/L、BOD</w:t>
                  </w:r>
                  <w:r>
                    <w:rPr>
                      <w:rFonts w:hint="eastAsia" w:ascii="Times New Roman" w:hAnsi="Times New Roman" w:eastAsia="宋体" w:cs="宋体"/>
                      <w:color w:val="auto"/>
                      <w:sz w:val="21"/>
                      <w:szCs w:val="21"/>
                      <w:highlight w:val="none"/>
                      <w:vertAlign w:val="subscript"/>
                      <w:lang w:val="en-US" w:eastAsia="zh-CN"/>
                    </w:rPr>
                    <w:t>5</w:t>
                  </w:r>
                  <w:r>
                    <w:rPr>
                      <w:rFonts w:hint="eastAsia" w:ascii="Times New Roman" w:hAnsi="Times New Roman" w:eastAsia="宋体" w:cs="宋体"/>
                      <w:color w:val="auto"/>
                      <w:sz w:val="21"/>
                      <w:szCs w:val="21"/>
                      <w:highlight w:val="none"/>
                      <w:vertAlign w:val="baseline"/>
                      <w:lang w:val="en-US" w:eastAsia="zh-CN"/>
                    </w:rPr>
                    <w:t>300mg/L、SS400mg/L，氨氮参照执行《污水排入城镇下水道水质标准》（GB/T 31962-2015），限值为45mg/L。</w:t>
                  </w:r>
                </w:p>
              </w:tc>
            </w:tr>
          </w:tbl>
          <w:p w14:paraId="6D105E5B">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2）污染防治措施可行性分析</w:t>
            </w:r>
          </w:p>
          <w:p w14:paraId="6866D240">
            <w:pPr>
              <w:pStyle w:val="18"/>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b/>
                <w:bCs/>
                <w:color w:val="auto"/>
                <w:sz w:val="24"/>
                <w:szCs w:val="24"/>
                <w:highlight w:val="none"/>
                <w:lang w:val="en-US" w:eastAsia="zh-CN"/>
              </w:rPr>
              <w:t xml:space="preserve">① </w:t>
            </w:r>
            <w:r>
              <w:rPr>
                <w:rFonts w:hint="eastAsia" w:ascii="Times New Roman" w:hAnsi="Times New Roman" w:cs="宋体"/>
                <w:b w:val="0"/>
                <w:bCs w:val="0"/>
                <w:color w:val="auto"/>
                <w:sz w:val="24"/>
                <w:szCs w:val="24"/>
                <w:highlight w:val="none"/>
                <w:u w:val="single"/>
                <w:lang w:val="en-US" w:eastAsia="zh-CN"/>
              </w:rPr>
              <w:t>生化池依托可行性</w:t>
            </w:r>
            <w:r>
              <w:rPr>
                <w:rFonts w:hint="eastAsia" w:ascii="Times New Roman" w:hAnsi="Times New Roman" w:cs="宋体"/>
                <w:b w:val="0"/>
                <w:bCs w:val="0"/>
                <w:color w:val="auto"/>
                <w:sz w:val="24"/>
                <w:szCs w:val="24"/>
                <w:highlight w:val="none"/>
                <w:lang w:val="en-US" w:eastAsia="zh-CN"/>
              </w:rPr>
              <w:t>：</w:t>
            </w:r>
          </w:p>
          <w:p w14:paraId="6EC0AFEE">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default"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项目所在森迪安防产业园现有1#生化池处理能力</w:t>
            </w:r>
            <w:r>
              <w:rPr>
                <w:rFonts w:hint="eastAsia" w:ascii="Times New Roman" w:hAnsi="Times New Roman" w:cs="宋体"/>
                <w:b/>
                <w:bCs/>
                <w:color w:val="auto"/>
                <w:sz w:val="24"/>
                <w:szCs w:val="24"/>
                <w:highlight w:val="none"/>
                <w:lang w:val="en-US" w:eastAsia="zh-CN"/>
              </w:rPr>
              <w:t>170</w:t>
            </w:r>
            <w:r>
              <w:rPr>
                <w:rFonts w:hint="eastAsia" w:ascii="Times New Roman" w:hAnsi="Times New Roman" w:cs="宋体"/>
                <w:color w:val="auto"/>
                <w:sz w:val="24"/>
                <w:szCs w:val="24"/>
                <w:highlight w:val="none"/>
                <w:lang w:val="en-US" w:eastAsia="zh-CN"/>
              </w:rPr>
              <w:t>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/d，生化池目前运行正常，已完成环保验收并取得验收批复（详见</w:t>
            </w:r>
            <w:r>
              <w:rPr>
                <w:rFonts w:hint="eastAsia" w:ascii="Times New Roman" w:hAnsi="Times New Roman" w:cs="宋体"/>
                <w:b w:val="0"/>
                <w:bCs w:val="0"/>
                <w:color w:val="auto"/>
                <w:sz w:val="24"/>
                <w:szCs w:val="24"/>
                <w:highlight w:val="none"/>
                <w:u w:val="single"/>
                <w:lang w:val="en-US" w:eastAsia="zh-CN"/>
              </w:rPr>
              <w:t>附件5</w:t>
            </w:r>
            <w:r>
              <w:rPr>
                <w:rFonts w:hint="eastAsia" w:ascii="Times New Roman" w:hAnsi="Times New Roman" w:cs="宋体"/>
                <w:color w:val="auto"/>
                <w:sz w:val="24"/>
                <w:szCs w:val="24"/>
                <w:highlight w:val="none"/>
                <w:lang w:val="en-US" w:eastAsia="zh-CN"/>
              </w:rPr>
              <w:t>）。项目运营期生活污水排放量0.45m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/d；目前森迪安防产业园1#生化池富余处理能力约100 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/d，从处理能力角度可满足本项目生活污水处理需求；项目生活污水水质简单，且与森迪安防产业园生活污水水质基本一致。参考《排污许可证申请与核发技术规范 汽车制造业》（HJ971-2018），生活污水采取治理措施属可行技术，依托可行。</w:t>
            </w:r>
          </w:p>
          <w:p w14:paraId="206A2BF4">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b w:val="0"/>
                <w:bCs w:val="0"/>
                <w:color w:val="auto"/>
                <w:sz w:val="24"/>
                <w:highlight w:val="none"/>
                <w:lang w:val="en-US" w:eastAsia="zh-CN"/>
              </w:rPr>
            </w:pPr>
            <w:r>
              <w:rPr>
                <w:rFonts w:hint="eastAsia" w:ascii="Times New Roman" w:hAnsi="Times New Roman"/>
                <w:b/>
                <w:bCs/>
                <w:color w:val="auto"/>
                <w:sz w:val="24"/>
                <w:highlight w:val="none"/>
                <w:lang w:val="en-US" w:eastAsia="zh-CN"/>
              </w:rPr>
              <w:t xml:space="preserve">② </w:t>
            </w:r>
            <w:r>
              <w:rPr>
                <w:rFonts w:hint="eastAsia" w:ascii="Times New Roman" w:hAnsi="Times New Roman"/>
                <w:b w:val="0"/>
                <w:bCs w:val="0"/>
                <w:color w:val="auto"/>
                <w:sz w:val="24"/>
                <w:highlight w:val="none"/>
                <w:u w:val="single"/>
                <w:lang w:val="en-US" w:eastAsia="zh-CN"/>
              </w:rPr>
              <w:t>西彭工业园区工业污水处理厂可行性</w:t>
            </w:r>
            <w:r>
              <w:rPr>
                <w:rFonts w:hint="eastAsia" w:ascii="Times New Roman" w:hAnsi="Times New Roman"/>
                <w:b w:val="0"/>
                <w:bCs w:val="0"/>
                <w:color w:val="auto"/>
                <w:sz w:val="24"/>
                <w:highlight w:val="none"/>
                <w:lang w:val="en-US" w:eastAsia="zh-CN"/>
              </w:rPr>
              <w:t>：</w:t>
            </w:r>
          </w:p>
          <w:p w14:paraId="0B2C03E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重庆市九龙坡区西彭工业园区工业污水处理厂位于西彭工业园区A64-3/01 地块，占地面积3490m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宋体"/>
                <w:color w:val="auto"/>
                <w:sz w:val="24"/>
                <w:szCs w:val="24"/>
                <w:highlight w:val="none"/>
                <w:lang w:val="en-US" w:eastAsia="zh-CN"/>
              </w:rPr>
              <w:t>，设计处理规模5000 m</w:t>
            </w:r>
            <w:r>
              <w:rPr>
                <w:rFonts w:hint="eastAsia" w:ascii="Times New Roman" w:hAnsi="Times New Roman" w:cs="宋体"/>
                <w:color w:val="auto"/>
                <w:sz w:val="24"/>
                <w:szCs w:val="24"/>
                <w:highlight w:val="none"/>
                <w:vertAlign w:val="superscript"/>
                <w:lang w:val="en-US" w:eastAsia="zh-CN"/>
              </w:rPr>
              <w:t>3</w:t>
            </w:r>
            <w:r>
              <w:rPr>
                <w:rFonts w:hint="eastAsia" w:ascii="Times New Roman" w:hAnsi="Times New Roman" w:cs="宋体"/>
                <w:color w:val="auto"/>
                <w:sz w:val="24"/>
                <w:szCs w:val="24"/>
                <w:highlight w:val="none"/>
                <w:lang w:val="en-US" w:eastAsia="zh-CN"/>
              </w:rPr>
              <w:t>/d。污水处理厂于2014年9月通过验收，目前运行正常。总服务面积约6.87 km</w:t>
            </w:r>
            <w:r>
              <w:rPr>
                <w:rFonts w:hint="eastAsia" w:ascii="Times New Roman" w:hAnsi="Times New Roman" w:cs="宋体"/>
                <w:color w:val="auto"/>
                <w:sz w:val="24"/>
                <w:szCs w:val="24"/>
                <w:highlight w:val="none"/>
                <w:vertAlign w:val="superscript"/>
                <w:lang w:val="en-US" w:eastAsia="zh-CN"/>
              </w:rPr>
              <w:t>2</w:t>
            </w:r>
            <w:r>
              <w:rPr>
                <w:rFonts w:hint="eastAsia" w:ascii="Times New Roman" w:hAnsi="Times New Roman" w:cs="宋体"/>
                <w:color w:val="auto"/>
                <w:sz w:val="24"/>
                <w:szCs w:val="24"/>
                <w:highlight w:val="none"/>
                <w:lang w:val="en-US" w:eastAsia="zh-CN"/>
              </w:rPr>
              <w:t>，包括A标准分区中的工业区及D标准分区，目前A标准分区规划区内铝城大道以西工业区污水管网部分覆盖，沿铝城大道铺设有污水主干管（管径DN500，长约3.84 km），规划区西北侧未开发区域敷设有临时工业污水管（管径DN 300，长约1.15 km），工业区（除西南铝冷连轧铝板带）污废水均通过市政污水管网接入西彭工业园区工业污水处理厂集中处理。D标准分区内沿西彭北路、三环路、铝城大道等已建成的市政道路敷设有污水管网（管径DN 500，长约7.44km）。污水经处理达标准后排入桥头河，最终汇入长江，近期执行《污水综合排放标准》（GB8978-1996）一级标准，远期执行《城镇污水处理厂污染物排放标准》（GB18918-2002）一级A标准（其中COD、NH</w:t>
            </w:r>
            <w:r>
              <w:rPr>
                <w:rFonts w:hint="eastAsia" w:ascii="Times New Roman" w:hAnsi="Times New Roman" w:cs="宋体"/>
                <w:color w:val="auto"/>
                <w:sz w:val="24"/>
                <w:szCs w:val="24"/>
                <w:highlight w:val="none"/>
                <w:vertAlign w:val="subscript"/>
                <w:lang w:val="en-US" w:eastAsia="zh-CN"/>
              </w:rPr>
              <w:t>3</w:t>
            </w:r>
            <w:r>
              <w:rPr>
                <w:rFonts w:hint="eastAsia" w:ascii="Times New Roman" w:hAnsi="Times New Roman" w:cs="宋体"/>
                <w:color w:val="auto"/>
                <w:sz w:val="24"/>
                <w:szCs w:val="24"/>
                <w:highlight w:val="none"/>
                <w:lang w:val="en-US" w:eastAsia="zh-CN"/>
              </w:rPr>
              <w:t>-N执行《地表水环境质量标准》（GB3838-2002）IV类标准）。项目周边片区市政排污干管已建成，能够接入污水处理厂，且项目废水排放量很小，不会对西彭工业园区工业污水处理厂水量、水质造成影响，项目产生的污水排入西彭工业园区工业污水处理厂处理是合理可行的。</w:t>
            </w:r>
          </w:p>
          <w:p w14:paraId="5F1B7B8C">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因此，本项目营运期污水可达标排放，对环境影响小，环境可接受。</w:t>
            </w:r>
          </w:p>
          <w:p w14:paraId="28C1FD80">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3）排放口基本情况</w:t>
            </w:r>
          </w:p>
          <w:p w14:paraId="7B415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本项目运营期无生产废水排放，员工办公生活污水依托</w:t>
            </w:r>
            <w:r>
              <w:rPr>
                <w:rFonts w:hint="eastAsia" w:ascii="Times New Roman" w:hAnsi="Times New Roman" w:cs="宋体"/>
                <w:color w:val="auto"/>
                <w:sz w:val="24"/>
                <w:szCs w:val="24"/>
                <w:highlight w:val="none"/>
                <w:lang w:val="en-US" w:eastAsia="zh-CN"/>
              </w:rPr>
              <w:t>森迪安防产业园</w:t>
            </w:r>
            <w:r>
              <w:rPr>
                <w:rFonts w:hint="eastAsia" w:ascii="Times New Roman" w:hAnsi="Times New Roman" w:eastAsia="宋体"/>
                <w:color w:val="auto"/>
                <w:sz w:val="24"/>
                <w:highlight w:val="none"/>
                <w:lang w:val="en-US" w:eastAsia="zh-CN"/>
              </w:rPr>
              <w:t>现有生化池处理达标后排入市政污水管网，不新增排放口。</w:t>
            </w:r>
          </w:p>
          <w:p w14:paraId="7CF53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s="宋体"/>
                <w:color w:val="auto"/>
                <w:sz w:val="24"/>
                <w:szCs w:val="24"/>
                <w:highlight w:val="none"/>
                <w:lang w:eastAsia="zh-CN"/>
              </w:rPr>
            </w:pPr>
            <w:r>
              <w:rPr>
                <w:rFonts w:hint="default" w:ascii="Times New Roman" w:hAnsi="Times New Roman" w:eastAsia="宋体" w:cs="宋体"/>
                <w:color w:val="auto"/>
                <w:sz w:val="24"/>
                <w:szCs w:val="24"/>
                <w:highlight w:val="none"/>
              </w:rPr>
              <w:t>废水排放口基本情况</w:t>
            </w:r>
            <w:r>
              <w:rPr>
                <w:rFonts w:hint="eastAsia" w:ascii="Times New Roman" w:hAnsi="Times New Roman" w:eastAsia="宋体" w:cs="宋体"/>
                <w:color w:val="auto"/>
                <w:sz w:val="24"/>
                <w:szCs w:val="24"/>
                <w:highlight w:val="none"/>
                <w:lang w:eastAsia="zh-CN"/>
              </w:rPr>
              <w:t>见下</w:t>
            </w:r>
            <w:r>
              <w:rPr>
                <w:rFonts w:hint="default" w:ascii="Times New Roman" w:hAnsi="Times New Roman" w:eastAsia="宋体" w:cs="宋体"/>
                <w:color w:val="auto"/>
                <w:sz w:val="24"/>
                <w:szCs w:val="24"/>
                <w:highlight w:val="none"/>
              </w:rPr>
              <w:t>表</w:t>
            </w:r>
            <w:r>
              <w:rPr>
                <w:rFonts w:hint="eastAsia" w:ascii="Times New Roman" w:hAnsi="Times New Roman" w:eastAsia="宋体" w:cs="宋体"/>
                <w:color w:val="auto"/>
                <w:sz w:val="24"/>
                <w:szCs w:val="24"/>
                <w:highlight w:val="none"/>
                <w:lang w:eastAsia="zh-CN"/>
              </w:rPr>
              <w:t>：</w:t>
            </w:r>
          </w:p>
          <w:p w14:paraId="0DC048A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  项目废水污染物产生、排放情况汇总表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095"/>
              <w:gridCol w:w="1134"/>
              <w:gridCol w:w="1194"/>
              <w:gridCol w:w="1038"/>
              <w:gridCol w:w="1079"/>
              <w:gridCol w:w="1442"/>
              <w:gridCol w:w="1471"/>
            </w:tblGrid>
            <w:tr w14:paraId="37384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648" w:type="pct"/>
                  <w:vMerge w:val="restart"/>
                  <w:tcBorders>
                    <w:tl2br w:val="nil"/>
                    <w:tr2bl w:val="nil"/>
                  </w:tcBorders>
                  <w:shd w:val="clear" w:color="auto" w:fill="auto"/>
                  <w:vAlign w:val="center"/>
                </w:tcPr>
                <w:p w14:paraId="184CBBB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排放口</w:t>
                  </w:r>
                </w:p>
                <w:p w14:paraId="72722B9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编号</w:t>
                  </w:r>
                </w:p>
              </w:tc>
              <w:tc>
                <w:tcPr>
                  <w:tcW w:w="671" w:type="pct"/>
                  <w:vMerge w:val="restart"/>
                  <w:tcBorders>
                    <w:tl2br w:val="nil"/>
                    <w:tr2bl w:val="nil"/>
                  </w:tcBorders>
                  <w:shd w:val="clear" w:color="auto" w:fill="auto"/>
                  <w:vAlign w:val="center"/>
                </w:tcPr>
                <w:p w14:paraId="66FE21F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排放口</w:t>
                  </w:r>
                </w:p>
                <w:p w14:paraId="0C9DF6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名称</w:t>
                  </w:r>
                </w:p>
              </w:tc>
              <w:tc>
                <w:tcPr>
                  <w:tcW w:w="1320" w:type="pct"/>
                  <w:gridSpan w:val="2"/>
                  <w:tcBorders>
                    <w:tl2br w:val="nil"/>
                    <w:tr2bl w:val="nil"/>
                  </w:tcBorders>
                  <w:shd w:val="clear" w:color="auto" w:fill="auto"/>
                  <w:vAlign w:val="center"/>
                </w:tcPr>
                <w:p w14:paraId="76B11A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地理坐标</w:t>
                  </w:r>
                </w:p>
              </w:tc>
              <w:tc>
                <w:tcPr>
                  <w:tcW w:w="638" w:type="pct"/>
                  <w:vMerge w:val="restart"/>
                  <w:tcBorders>
                    <w:tl2br w:val="nil"/>
                    <w:tr2bl w:val="nil"/>
                  </w:tcBorders>
                  <w:shd w:val="clear" w:color="auto" w:fill="auto"/>
                  <w:vAlign w:val="center"/>
                </w:tcPr>
                <w:p w14:paraId="2EDB0B8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排放方式</w:t>
                  </w:r>
                </w:p>
              </w:tc>
              <w:tc>
                <w:tcPr>
                  <w:tcW w:w="853" w:type="pct"/>
                  <w:vMerge w:val="restart"/>
                  <w:tcBorders>
                    <w:tl2br w:val="nil"/>
                    <w:tr2bl w:val="nil"/>
                  </w:tcBorders>
                  <w:shd w:val="clear" w:color="auto" w:fill="auto"/>
                  <w:vAlign w:val="center"/>
                </w:tcPr>
                <w:p w14:paraId="2398C1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排放去向</w:t>
                  </w:r>
                </w:p>
              </w:tc>
              <w:tc>
                <w:tcPr>
                  <w:tcW w:w="868" w:type="pct"/>
                  <w:vMerge w:val="restart"/>
                  <w:tcBorders>
                    <w:tl2br w:val="nil"/>
                    <w:tr2bl w:val="nil"/>
                  </w:tcBorders>
                  <w:shd w:val="clear" w:color="auto" w:fill="auto"/>
                  <w:vAlign w:val="center"/>
                </w:tcPr>
                <w:p w14:paraId="2FA590A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排放规律</w:t>
                  </w:r>
                </w:p>
              </w:tc>
            </w:tr>
            <w:tr w14:paraId="2817B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vMerge w:val="continue"/>
                  <w:tcBorders>
                    <w:tl2br w:val="nil"/>
                    <w:tr2bl w:val="nil"/>
                  </w:tcBorders>
                  <w:shd w:val="clear" w:color="auto" w:fill="auto"/>
                  <w:vAlign w:val="center"/>
                </w:tcPr>
                <w:p w14:paraId="7EE1B01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Times New Roman"/>
                      <w:b/>
                      <w:bCs/>
                      <w:color w:val="auto"/>
                      <w:kern w:val="44"/>
                      <w:sz w:val="21"/>
                      <w:szCs w:val="21"/>
                      <w:highlight w:val="none"/>
                      <w:lang w:val="en-US" w:eastAsia="zh-CN" w:bidi="ar"/>
                    </w:rPr>
                  </w:pPr>
                </w:p>
              </w:tc>
              <w:tc>
                <w:tcPr>
                  <w:tcW w:w="671" w:type="pct"/>
                  <w:vMerge w:val="continue"/>
                  <w:tcBorders>
                    <w:tl2br w:val="nil"/>
                    <w:tr2bl w:val="nil"/>
                  </w:tcBorders>
                  <w:shd w:val="clear" w:color="auto" w:fill="auto"/>
                  <w:vAlign w:val="center"/>
                </w:tcPr>
                <w:p w14:paraId="32D75E3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p>
              </w:tc>
              <w:tc>
                <w:tcPr>
                  <w:tcW w:w="706" w:type="pct"/>
                  <w:tcBorders>
                    <w:tl2br w:val="nil"/>
                    <w:tr2bl w:val="nil"/>
                  </w:tcBorders>
                  <w:shd w:val="clear" w:color="auto" w:fill="auto"/>
                  <w:vAlign w:val="center"/>
                </w:tcPr>
                <w:p w14:paraId="320C5B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经度</w:t>
                  </w:r>
                </w:p>
              </w:tc>
              <w:tc>
                <w:tcPr>
                  <w:tcW w:w="614" w:type="pct"/>
                  <w:tcBorders>
                    <w:tl2br w:val="nil"/>
                    <w:tr2bl w:val="nil"/>
                  </w:tcBorders>
                  <w:shd w:val="clear" w:color="auto" w:fill="auto"/>
                  <w:vAlign w:val="center"/>
                </w:tcPr>
                <w:p w14:paraId="21F0CA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纬度</w:t>
                  </w:r>
                </w:p>
              </w:tc>
              <w:tc>
                <w:tcPr>
                  <w:tcW w:w="638" w:type="pct"/>
                  <w:vMerge w:val="continue"/>
                  <w:tcBorders>
                    <w:tl2br w:val="nil"/>
                    <w:tr2bl w:val="nil"/>
                  </w:tcBorders>
                  <w:shd w:val="clear" w:color="auto" w:fill="auto"/>
                  <w:vAlign w:val="center"/>
                </w:tcPr>
                <w:p w14:paraId="557767E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p>
              </w:tc>
              <w:tc>
                <w:tcPr>
                  <w:tcW w:w="853" w:type="pct"/>
                  <w:vMerge w:val="continue"/>
                  <w:tcBorders>
                    <w:tl2br w:val="nil"/>
                    <w:tr2bl w:val="nil"/>
                  </w:tcBorders>
                  <w:shd w:val="clear" w:color="auto" w:fill="auto"/>
                  <w:vAlign w:val="center"/>
                </w:tcPr>
                <w:p w14:paraId="11DFD76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p>
              </w:tc>
              <w:tc>
                <w:tcPr>
                  <w:tcW w:w="868" w:type="pct"/>
                  <w:vMerge w:val="continue"/>
                  <w:tcBorders>
                    <w:tl2br w:val="nil"/>
                    <w:tr2bl w:val="nil"/>
                  </w:tcBorders>
                  <w:shd w:val="clear" w:color="auto" w:fill="auto"/>
                  <w:vAlign w:val="center"/>
                </w:tcPr>
                <w:p w14:paraId="0878600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b/>
                      <w:bCs/>
                      <w:color w:val="auto"/>
                      <w:kern w:val="44"/>
                      <w:sz w:val="21"/>
                      <w:szCs w:val="21"/>
                      <w:highlight w:val="none"/>
                      <w:lang w:val="en-US" w:eastAsia="zh-CN" w:bidi="ar"/>
                    </w:rPr>
                  </w:pPr>
                </w:p>
              </w:tc>
            </w:tr>
            <w:tr w14:paraId="049DD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tcBorders>
                    <w:tl2br w:val="nil"/>
                    <w:tr2bl w:val="nil"/>
                  </w:tcBorders>
                  <w:shd w:val="clear" w:color="auto" w:fill="auto"/>
                  <w:vAlign w:val="center"/>
                </w:tcPr>
                <w:p w14:paraId="1C2C9CD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DW001</w:t>
                  </w:r>
                </w:p>
              </w:tc>
              <w:tc>
                <w:tcPr>
                  <w:tcW w:w="671" w:type="pct"/>
                  <w:tcBorders>
                    <w:tl2br w:val="nil"/>
                    <w:tr2bl w:val="nil"/>
                  </w:tcBorders>
                  <w:shd w:val="clear" w:color="auto" w:fill="auto"/>
                  <w:vAlign w:val="center"/>
                </w:tcPr>
                <w:p w14:paraId="443322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1#生化池排口</w:t>
                  </w:r>
                </w:p>
              </w:tc>
              <w:tc>
                <w:tcPr>
                  <w:tcW w:w="706" w:type="pct"/>
                  <w:tcBorders>
                    <w:tl2br w:val="nil"/>
                    <w:tr2bl w:val="nil"/>
                  </w:tcBorders>
                  <w:shd w:val="clear" w:color="auto" w:fill="auto"/>
                  <w:vAlign w:val="center"/>
                </w:tcPr>
                <w:p w14:paraId="5ACD6DD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b w:val="0"/>
                      <w:bCs w:val="0"/>
                      <w:color w:val="auto"/>
                      <w:sz w:val="21"/>
                      <w:highlight w:val="none"/>
                      <w:lang w:val="en-US" w:eastAsia="zh-CN"/>
                    </w:rPr>
                  </w:pPr>
                  <w:r>
                    <w:rPr>
                      <w:rFonts w:hint="eastAsia" w:ascii="Times New Roman" w:hAnsi="Times New Roman" w:eastAsia="宋体"/>
                      <w:b w:val="0"/>
                      <w:bCs w:val="0"/>
                      <w:color w:val="auto"/>
                      <w:sz w:val="21"/>
                      <w:highlight w:val="none"/>
                      <w:lang w:val="en-US" w:eastAsia="zh-CN"/>
                    </w:rPr>
                    <w:t>106.7606</w:t>
                  </w:r>
                </w:p>
              </w:tc>
              <w:tc>
                <w:tcPr>
                  <w:tcW w:w="614" w:type="pct"/>
                  <w:tcBorders>
                    <w:tl2br w:val="nil"/>
                    <w:tr2bl w:val="nil"/>
                  </w:tcBorders>
                  <w:shd w:val="clear" w:color="auto" w:fill="auto"/>
                  <w:vAlign w:val="center"/>
                </w:tcPr>
                <w:p w14:paraId="46DFC93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29.4982</w:t>
                  </w:r>
                </w:p>
              </w:tc>
              <w:tc>
                <w:tcPr>
                  <w:tcW w:w="638" w:type="pct"/>
                  <w:tcBorders>
                    <w:tl2br w:val="nil"/>
                    <w:tr2bl w:val="nil"/>
                  </w:tcBorders>
                  <w:shd w:val="clear" w:color="auto" w:fill="auto"/>
                  <w:vAlign w:val="center"/>
                </w:tcPr>
                <w:p w14:paraId="682EC9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间接</w:t>
                  </w:r>
                </w:p>
              </w:tc>
              <w:tc>
                <w:tcPr>
                  <w:tcW w:w="853" w:type="pct"/>
                  <w:tcBorders>
                    <w:tl2br w:val="nil"/>
                    <w:tr2bl w:val="nil"/>
                  </w:tcBorders>
                  <w:shd w:val="clear" w:color="auto" w:fill="auto"/>
                  <w:vAlign w:val="center"/>
                </w:tcPr>
                <w:p w14:paraId="11AA85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西彭工业园区污水处理厂</w:t>
                  </w:r>
                </w:p>
              </w:tc>
              <w:tc>
                <w:tcPr>
                  <w:tcW w:w="868" w:type="pct"/>
                  <w:tcBorders>
                    <w:tl2br w:val="nil"/>
                    <w:tr2bl w:val="nil"/>
                  </w:tcBorders>
                  <w:shd w:val="clear" w:color="auto" w:fill="auto"/>
                  <w:vAlign w:val="center"/>
                </w:tcPr>
                <w:p w14:paraId="2CC5E8B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eastAsia"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val="0"/>
                      <w:bCs w:val="0"/>
                      <w:color w:val="auto"/>
                      <w:kern w:val="44"/>
                      <w:sz w:val="21"/>
                      <w:szCs w:val="21"/>
                      <w:highlight w:val="none"/>
                      <w:lang w:val="en-US" w:eastAsia="zh-CN" w:bidi="ar"/>
                    </w:rPr>
                    <w:t>间断，不稳定</w:t>
                  </w:r>
                </w:p>
              </w:tc>
            </w:tr>
            <w:tr w14:paraId="229BC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000" w:type="pct"/>
                  <w:gridSpan w:val="7"/>
                  <w:tcBorders>
                    <w:tl2br w:val="nil"/>
                    <w:tr2bl w:val="nil"/>
                  </w:tcBorders>
                  <w:shd w:val="clear" w:color="auto" w:fill="auto"/>
                  <w:vAlign w:val="center"/>
                </w:tcPr>
                <w:p w14:paraId="4D97E0F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auto"/>
                    <w:ind w:right="0"/>
                    <w:jc w:val="both"/>
                    <w:textAlignment w:val="auto"/>
                    <w:rPr>
                      <w:rFonts w:hint="eastAsia" w:ascii="Times New Roman" w:hAnsi="Times New Roman" w:eastAsia="宋体" w:cs="Times New Roman"/>
                      <w:b w:val="0"/>
                      <w:bCs w:val="0"/>
                      <w:color w:val="auto"/>
                      <w:kern w:val="44"/>
                      <w:sz w:val="21"/>
                      <w:szCs w:val="21"/>
                      <w:highlight w:val="none"/>
                      <w:lang w:val="en-US" w:eastAsia="zh-CN" w:bidi="ar"/>
                    </w:rPr>
                  </w:pPr>
                  <w:r>
                    <w:rPr>
                      <w:rFonts w:hint="eastAsia" w:ascii="Times New Roman" w:hAnsi="Times New Roman" w:eastAsia="宋体" w:cs="Times New Roman"/>
                      <w:b/>
                      <w:bCs/>
                      <w:color w:val="auto"/>
                      <w:kern w:val="44"/>
                      <w:sz w:val="21"/>
                      <w:szCs w:val="21"/>
                      <w:highlight w:val="none"/>
                      <w:lang w:val="en-US" w:eastAsia="zh-CN" w:bidi="ar"/>
                    </w:rPr>
                    <w:t>注</w:t>
                  </w:r>
                  <w:r>
                    <w:rPr>
                      <w:rFonts w:hint="eastAsia" w:ascii="Times New Roman" w:hAnsi="Times New Roman" w:eastAsia="宋体" w:cs="Times New Roman"/>
                      <w:b w:val="0"/>
                      <w:bCs w:val="0"/>
                      <w:color w:val="auto"/>
                      <w:kern w:val="44"/>
                      <w:sz w:val="21"/>
                      <w:szCs w:val="21"/>
                      <w:highlight w:val="none"/>
                      <w:lang w:val="en-US" w:eastAsia="zh-CN" w:bidi="ar"/>
                    </w:rPr>
                    <w:t>：项目依托森迪安防产业园1#生化池及排放口。</w:t>
                  </w:r>
                </w:p>
              </w:tc>
            </w:tr>
          </w:tbl>
          <w:p w14:paraId="01F24EFF">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4）地表水环境影响分析</w:t>
            </w:r>
          </w:p>
          <w:p w14:paraId="4421D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项目营运期无生产废水外排，员工办公生活污水依托</w:t>
            </w:r>
            <w:r>
              <w:rPr>
                <w:rFonts w:hint="eastAsia" w:ascii="Times New Roman" w:hAnsi="Times New Roman" w:cs="宋体"/>
                <w:color w:val="auto"/>
                <w:sz w:val="24"/>
                <w:szCs w:val="24"/>
                <w:highlight w:val="none"/>
                <w:lang w:val="en-US" w:eastAsia="zh-CN"/>
              </w:rPr>
              <w:t>森迪安防产业园</w:t>
            </w:r>
            <w:r>
              <w:rPr>
                <w:rFonts w:hint="eastAsia" w:ascii="Times New Roman" w:hAnsi="Times New Roman" w:eastAsia="宋体"/>
                <w:color w:val="auto"/>
                <w:sz w:val="24"/>
                <w:highlight w:val="none"/>
                <w:lang w:val="en-US" w:eastAsia="zh-CN"/>
              </w:rPr>
              <w:t>现有1#生化池预处理达《污水综合排放标准》（GB 8978-1996）三级标准后，接入园区市政污水管网，进入西彭园区污水处理厂深度处理近期达《污水综合排放标准》（GB 8978-1996）中的一级标准后</w:t>
            </w:r>
            <w:r>
              <w:rPr>
                <w:rFonts w:hint="eastAsia" w:ascii="Times New Roman" w:hAnsi="Times New Roman" w:cs="宋体"/>
                <w:color w:val="auto"/>
                <w:sz w:val="24"/>
                <w:szCs w:val="24"/>
                <w:highlight w:val="none"/>
                <w:lang w:val="en-US" w:eastAsia="zh-CN"/>
              </w:rPr>
              <w:t>排入桥头河</w:t>
            </w:r>
            <w:r>
              <w:rPr>
                <w:rFonts w:hint="eastAsia" w:ascii="Times New Roman" w:hAnsi="Times New Roman" w:eastAsia="宋体"/>
                <w:color w:val="auto"/>
                <w:sz w:val="24"/>
                <w:highlight w:val="none"/>
                <w:lang w:val="en-US" w:eastAsia="zh-CN"/>
              </w:rPr>
              <w:t>，最终汇入长江。</w:t>
            </w:r>
          </w:p>
          <w:p w14:paraId="44F66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本项目在采取上述废水处理措施后，</w:t>
            </w:r>
            <w:r>
              <w:rPr>
                <w:rFonts w:hint="eastAsia" w:ascii="Times New Roman" w:hAnsi="Times New Roman" w:cs="宋体"/>
                <w:color w:val="auto"/>
                <w:sz w:val="24"/>
                <w:szCs w:val="24"/>
                <w:highlight w:val="none"/>
                <w:lang w:val="en-US" w:eastAsia="zh-CN"/>
              </w:rPr>
              <w:t>可实现达标排放</w:t>
            </w:r>
            <w:r>
              <w:rPr>
                <w:rFonts w:hint="eastAsia" w:ascii="Times New Roman" w:hAnsi="Times New Roman" w:eastAsia="宋体"/>
                <w:color w:val="auto"/>
                <w:sz w:val="24"/>
                <w:highlight w:val="none"/>
                <w:lang w:val="en-US" w:eastAsia="zh-CN"/>
              </w:rPr>
              <w:t>，能达到环境和生产要求</w:t>
            </w:r>
            <w:r>
              <w:rPr>
                <w:rFonts w:hint="eastAsia" w:ascii="Times New Roman" w:hAnsi="Times New Roman" w:cs="宋体"/>
                <w:color w:val="auto"/>
                <w:sz w:val="24"/>
                <w:szCs w:val="24"/>
                <w:highlight w:val="none"/>
                <w:lang w:val="en-US" w:eastAsia="zh-CN"/>
              </w:rPr>
              <w:t>，</w:t>
            </w:r>
            <w:r>
              <w:rPr>
                <w:rFonts w:hint="eastAsia" w:ascii="Times New Roman" w:hAnsi="Times New Roman" w:eastAsia="宋体"/>
                <w:color w:val="auto"/>
                <w:sz w:val="24"/>
                <w:highlight w:val="none"/>
                <w:lang w:val="en-US" w:eastAsia="zh-CN"/>
              </w:rPr>
              <w:t>项目建设对所在区域地表水环境影响很小。</w:t>
            </w:r>
          </w:p>
          <w:p w14:paraId="2B565BC1">
            <w:pPr>
              <w:keepNext w:val="0"/>
              <w:keepLines w:val="0"/>
              <w:pageBreakBefore w:val="0"/>
              <w:widowControl w:val="0"/>
              <w:kinsoku/>
              <w:wordWrap/>
              <w:overflowPunct/>
              <w:topLinePunct w:val="0"/>
              <w:autoSpaceDE/>
              <w:autoSpaceDN/>
              <w:bidi w:val="0"/>
              <w:adjustRightInd/>
              <w:snapToGrid/>
              <w:spacing w:before="32" w:beforeLines="10" w:after="32" w:afterLines="10" w:line="372" w:lineRule="auto"/>
              <w:ind w:firstLine="482" w:firstLineChars="200"/>
              <w:textAlignment w:val="auto"/>
              <w:rPr>
                <w:rFonts w:hint="eastAsia" w:ascii="Times New Roman" w:hAnsi="Times New Roman"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val="en-US" w:eastAsia="zh-CN"/>
              </w:rPr>
              <w:t>5）废水监测计划</w:t>
            </w:r>
          </w:p>
          <w:p w14:paraId="1AD66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本项目运营期无生产废水排放，生活污水依托</w:t>
            </w:r>
            <w:r>
              <w:rPr>
                <w:rFonts w:hint="eastAsia" w:ascii="Times New Roman" w:hAnsi="Times New Roman" w:cs="宋体"/>
                <w:color w:val="auto"/>
                <w:sz w:val="24"/>
                <w:szCs w:val="24"/>
                <w:highlight w:val="none"/>
                <w:lang w:val="en-US" w:eastAsia="zh-CN"/>
              </w:rPr>
              <w:t>森迪安防产业园</w:t>
            </w:r>
            <w:r>
              <w:rPr>
                <w:rFonts w:hint="eastAsia" w:ascii="Times New Roman" w:hAnsi="Times New Roman" w:eastAsia="宋体"/>
                <w:color w:val="auto"/>
                <w:sz w:val="24"/>
                <w:highlight w:val="none"/>
                <w:lang w:val="en-US" w:eastAsia="zh-CN"/>
              </w:rPr>
              <w:t>现有生化池进行处理，不新增排放口，参照</w:t>
            </w:r>
            <w:r>
              <w:rPr>
                <w:rFonts w:hint="eastAsia" w:ascii="Times New Roman" w:hAnsi="Times New Roman"/>
                <w:color w:val="auto"/>
                <w:sz w:val="24"/>
                <w:highlight w:val="none"/>
                <w:lang w:val="en-US" w:eastAsia="zh-CN"/>
              </w:rPr>
              <w:t>《排污单位自行监测技术指南 总则》（HJ 819-2017）</w:t>
            </w:r>
            <w:r>
              <w:rPr>
                <w:rFonts w:hint="eastAsia" w:ascii="Times New Roman" w:hAnsi="Times New Roman" w:eastAsia="宋体"/>
                <w:color w:val="auto"/>
                <w:sz w:val="24"/>
                <w:highlight w:val="none"/>
                <w:lang w:val="en-US" w:eastAsia="zh-CN"/>
              </w:rPr>
              <w:t>等相关文件，确定项目运营期废水排放监测计划具体如下表：</w:t>
            </w:r>
          </w:p>
          <w:p w14:paraId="0B4DCF6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表4-1</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 xml:space="preserve">  项目废水污染物产生、排放情况汇总表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99"/>
              <w:gridCol w:w="1244"/>
              <w:gridCol w:w="1941"/>
              <w:gridCol w:w="2108"/>
              <w:gridCol w:w="2061"/>
            </w:tblGrid>
            <w:tr w14:paraId="152C8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50" w:type="pct"/>
                  <w:tcBorders>
                    <w:tl2br w:val="nil"/>
                    <w:tr2bl w:val="nil"/>
                  </w:tcBorders>
                  <w:vAlign w:val="center"/>
                </w:tcPr>
                <w:p w14:paraId="2307E29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监测项目</w:t>
                  </w:r>
                </w:p>
              </w:tc>
              <w:tc>
                <w:tcPr>
                  <w:tcW w:w="736" w:type="pct"/>
                  <w:tcBorders>
                    <w:tl2br w:val="nil"/>
                    <w:tr2bl w:val="nil"/>
                  </w:tcBorders>
                  <w:vAlign w:val="center"/>
                </w:tcPr>
                <w:p w14:paraId="30BF688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监测点位</w:t>
                  </w:r>
                </w:p>
              </w:tc>
              <w:tc>
                <w:tcPr>
                  <w:tcW w:w="1148" w:type="pct"/>
                  <w:tcBorders>
                    <w:tl2br w:val="nil"/>
                    <w:tr2bl w:val="nil"/>
                  </w:tcBorders>
                  <w:vAlign w:val="center"/>
                </w:tcPr>
                <w:p w14:paraId="572FB22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监测指标</w:t>
                  </w:r>
                </w:p>
              </w:tc>
              <w:tc>
                <w:tcPr>
                  <w:tcW w:w="1247" w:type="pct"/>
                  <w:tcBorders>
                    <w:tl2br w:val="nil"/>
                    <w:tr2bl w:val="nil"/>
                  </w:tcBorders>
                  <w:vAlign w:val="center"/>
                </w:tcPr>
                <w:p w14:paraId="4261D9C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监测频次</w:t>
                  </w:r>
                </w:p>
              </w:tc>
              <w:tc>
                <w:tcPr>
                  <w:tcW w:w="1217" w:type="pct"/>
                  <w:tcBorders>
                    <w:tl2br w:val="nil"/>
                    <w:tr2bl w:val="nil"/>
                  </w:tcBorders>
                  <w:vAlign w:val="center"/>
                </w:tcPr>
                <w:p w14:paraId="0BEA3E9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执行标准</w:t>
                  </w:r>
                </w:p>
              </w:tc>
            </w:tr>
            <w:tr w14:paraId="6342C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50" w:type="pct"/>
                  <w:tcBorders>
                    <w:tl2br w:val="nil"/>
                    <w:tr2bl w:val="nil"/>
                  </w:tcBorders>
                  <w:vAlign w:val="center"/>
                </w:tcPr>
                <w:p w14:paraId="0C21113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kern w:val="0"/>
                      <w:sz w:val="21"/>
                      <w:szCs w:val="21"/>
                      <w:highlight w:val="none"/>
                      <w:lang w:val="en-US" w:eastAsia="zh-CN" w:bidi="ar"/>
                    </w:rPr>
                    <w:t>生活污水</w:t>
                  </w:r>
                </w:p>
              </w:tc>
              <w:tc>
                <w:tcPr>
                  <w:tcW w:w="736" w:type="pct"/>
                  <w:tcBorders>
                    <w:tl2br w:val="nil"/>
                    <w:tr2bl w:val="nil"/>
                  </w:tcBorders>
                  <w:vAlign w:val="center"/>
                </w:tcPr>
                <w:p w14:paraId="0AFD135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kern w:val="0"/>
                      <w:sz w:val="21"/>
                      <w:szCs w:val="21"/>
                      <w:highlight w:val="none"/>
                      <w:lang w:val="en-US" w:eastAsia="zh-CN" w:bidi="ar"/>
                    </w:rPr>
                    <w:t>依托生化池排口</w:t>
                  </w:r>
                </w:p>
              </w:tc>
              <w:tc>
                <w:tcPr>
                  <w:tcW w:w="1148" w:type="pct"/>
                  <w:tcBorders>
                    <w:tl2br w:val="nil"/>
                    <w:tr2bl w:val="nil"/>
                  </w:tcBorders>
                  <w:vAlign w:val="center"/>
                </w:tcPr>
                <w:p w14:paraId="644EFF0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pH</w:t>
                  </w: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COD</w:t>
                  </w: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eastAsia" w:ascii="Times New Roman" w:hAnsi="Times New Roman"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SS</w:t>
                  </w:r>
                  <w:r>
                    <w:rPr>
                      <w:rFonts w:hint="eastAsia" w:ascii="Times New Roman" w:hAnsi="Times New Roman" w:eastAsia="宋体" w:cs="宋体"/>
                      <w:color w:val="auto"/>
                      <w:kern w:val="0"/>
                      <w:sz w:val="21"/>
                      <w:szCs w:val="21"/>
                      <w:highlight w:val="none"/>
                      <w:lang w:val="en-US" w:eastAsia="zh-CN" w:bidi="ar"/>
                    </w:rPr>
                    <w:t>、氨氮</w:t>
                  </w:r>
                </w:p>
              </w:tc>
              <w:tc>
                <w:tcPr>
                  <w:tcW w:w="1247" w:type="pct"/>
                  <w:tcBorders>
                    <w:tl2br w:val="nil"/>
                    <w:tr2bl w:val="nil"/>
                  </w:tcBorders>
                  <w:vAlign w:val="center"/>
                </w:tcPr>
                <w:p w14:paraId="7B49E87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验收监测</w:t>
                  </w: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次，以后由</w:t>
                  </w:r>
                  <w:r>
                    <w:rPr>
                      <w:rFonts w:hint="eastAsia" w:ascii="Times New Roman" w:hAnsi="Times New Roman" w:eastAsia="宋体" w:cs="Times New Roman"/>
                      <w:color w:val="auto"/>
                      <w:kern w:val="0"/>
                      <w:sz w:val="21"/>
                      <w:szCs w:val="21"/>
                      <w:highlight w:val="none"/>
                      <w:lang w:val="en-US" w:eastAsia="zh-CN" w:bidi="ar"/>
                    </w:rPr>
                    <w:t>森迪安防产业园</w:t>
                  </w:r>
                  <w:r>
                    <w:rPr>
                      <w:rFonts w:hint="default" w:ascii="Times New Roman" w:hAnsi="Times New Roman" w:eastAsia="宋体" w:cs="Times New Roman"/>
                      <w:color w:val="auto"/>
                      <w:kern w:val="0"/>
                      <w:sz w:val="21"/>
                      <w:szCs w:val="21"/>
                      <w:highlight w:val="none"/>
                      <w:lang w:val="en-US" w:eastAsia="zh-CN" w:bidi="ar"/>
                    </w:rPr>
                    <w:t>负责监测，1次/年</w:t>
                  </w:r>
                </w:p>
              </w:tc>
              <w:tc>
                <w:tcPr>
                  <w:tcW w:w="1217" w:type="pct"/>
                  <w:tcBorders>
                    <w:tl2br w:val="nil"/>
                    <w:tr2bl w:val="nil"/>
                  </w:tcBorders>
                  <w:vAlign w:val="center"/>
                </w:tcPr>
                <w:p w14:paraId="3A3D99F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kern w:val="0"/>
                      <w:sz w:val="21"/>
                      <w:szCs w:val="21"/>
                      <w:highlight w:val="none"/>
                      <w:lang w:val="en-US" w:eastAsia="zh-CN" w:bidi="ar"/>
                    </w:rPr>
                    <w:t>《污水综合排放标准》（</w:t>
                  </w:r>
                  <w:r>
                    <w:rPr>
                      <w:rFonts w:hint="default" w:ascii="Times New Roman" w:hAnsi="Times New Roman" w:eastAsia="宋体" w:cs="Times New Roman"/>
                      <w:color w:val="auto"/>
                      <w:kern w:val="0"/>
                      <w:sz w:val="21"/>
                      <w:szCs w:val="21"/>
                      <w:highlight w:val="none"/>
                      <w:lang w:val="en-US" w:eastAsia="zh-CN" w:bidi="ar"/>
                    </w:rPr>
                    <w:t>GB</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8978-1996</w:t>
                  </w:r>
                  <w:r>
                    <w:rPr>
                      <w:rFonts w:hint="eastAsia" w:ascii="Times New Roman" w:hAnsi="Times New Roman" w:eastAsia="宋体" w:cs="宋体"/>
                      <w:color w:val="auto"/>
                      <w:kern w:val="0"/>
                      <w:sz w:val="21"/>
                      <w:szCs w:val="21"/>
                      <w:highlight w:val="none"/>
                      <w:lang w:val="en-US" w:eastAsia="zh-CN" w:bidi="ar"/>
                    </w:rPr>
                    <w:t>）三级标准</w:t>
                  </w:r>
                </w:p>
              </w:tc>
            </w:tr>
            <w:tr w14:paraId="11C2A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3D3FDC0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both"/>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注</w:t>
                  </w:r>
                  <w:r>
                    <w:rPr>
                      <w:rFonts w:hint="eastAsia" w:ascii="Times New Roman" w:hAnsi="Times New Roman" w:eastAsia="宋体" w:cs="宋体"/>
                      <w:color w:val="auto"/>
                      <w:kern w:val="0"/>
                      <w:sz w:val="21"/>
                      <w:szCs w:val="21"/>
                      <w:highlight w:val="none"/>
                      <w:lang w:val="en-US" w:eastAsia="zh-CN" w:bidi="ar"/>
                    </w:rPr>
                    <w:t>：项目生活污水依托森迪安防产业园现有1#生化池进行处理，竣工验收时监测一次，以后纳入森迪安防产业园监测计划进行监测。</w:t>
                  </w:r>
                </w:p>
              </w:tc>
            </w:tr>
          </w:tbl>
          <w:p w14:paraId="0C7DF0F4">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jc w:val="both"/>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3、运营期噪声环境影响及环保措施：</w:t>
            </w:r>
          </w:p>
          <w:p w14:paraId="3968632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噪声污染源源强</w:t>
            </w:r>
          </w:p>
          <w:p w14:paraId="24497271">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项目噪声污染源源强及相关参数见表</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eastAsia="zh-CN"/>
              </w:rPr>
              <w:t>、表4-</w:t>
            </w:r>
            <w:r>
              <w:rPr>
                <w:rFonts w:hint="eastAsia"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w:t>
            </w:r>
          </w:p>
          <w:p w14:paraId="22B31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表 </w:t>
            </w:r>
            <w:r>
              <w:rPr>
                <w:rFonts w:hint="default" w:ascii="Times New Roman" w:hAnsi="Times New Roman" w:cs="Times New Roman"/>
                <w:b w:val="0"/>
                <w:bCs w:val="0"/>
                <w:color w:val="auto"/>
                <w:sz w:val="24"/>
                <w:szCs w:val="24"/>
                <w:highlight w:val="none"/>
                <w:lang w:val="en-US" w:eastAsia="zh-CN"/>
              </w:rPr>
              <w:t>4.</w:t>
            </w:r>
            <w:r>
              <w:rPr>
                <w:rFonts w:hint="eastAsia" w:ascii="Times New Roman" w:hAnsi="Times New Roman" w:cs="Times New Roman"/>
                <w:b w:val="0"/>
                <w:bCs w:val="0"/>
                <w:color w:val="auto"/>
                <w:sz w:val="24"/>
                <w:szCs w:val="24"/>
                <w:highlight w:val="none"/>
                <w:lang w:val="en-US" w:eastAsia="zh-CN"/>
              </w:rPr>
              <w:t>17</w:t>
            </w:r>
            <w:r>
              <w:rPr>
                <w:rFonts w:hint="default" w:ascii="Times New Roman" w:hAnsi="Times New Roman" w:cs="Times New Roman"/>
                <w:b w:val="0"/>
                <w:bCs w:val="0"/>
                <w:color w:val="auto"/>
                <w:sz w:val="24"/>
                <w:szCs w:val="24"/>
                <w:highlight w:val="none"/>
                <w:lang w:eastAsia="zh-CN"/>
              </w:rPr>
              <w:tab/>
            </w:r>
            <w:r>
              <w:rPr>
                <w:rFonts w:hint="default" w:ascii="Times New Roman" w:hAnsi="Times New Roman" w:cs="Times New Roman"/>
                <w:b w:val="0"/>
                <w:bCs w:val="0"/>
                <w:color w:val="auto"/>
                <w:sz w:val="24"/>
                <w:szCs w:val="24"/>
                <w:highlight w:val="none"/>
                <w:lang w:eastAsia="zh-CN"/>
              </w:rPr>
              <w:t>工业企业噪声源强调查清单（室外声源）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16"/>
              <w:gridCol w:w="754"/>
              <w:gridCol w:w="638"/>
              <w:gridCol w:w="648"/>
              <w:gridCol w:w="1347"/>
              <w:gridCol w:w="2109"/>
              <w:gridCol w:w="1143"/>
            </w:tblGrid>
            <w:tr w14:paraId="00FB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81" w:type="dxa"/>
                  <w:vMerge w:val="restart"/>
                  <w:vAlign w:val="center"/>
                </w:tcPr>
                <w:p w14:paraId="787325A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1016" w:type="dxa"/>
                  <w:vMerge w:val="restart"/>
                  <w:vAlign w:val="center"/>
                </w:tcPr>
                <w:p w14:paraId="3297835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声源名称</w:t>
                  </w:r>
                </w:p>
              </w:tc>
              <w:tc>
                <w:tcPr>
                  <w:tcW w:w="2040" w:type="dxa"/>
                  <w:gridSpan w:val="3"/>
                  <w:vAlign w:val="center"/>
                </w:tcPr>
                <w:p w14:paraId="488663A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空间相对位置/m</w:t>
                  </w:r>
                </w:p>
              </w:tc>
              <w:tc>
                <w:tcPr>
                  <w:tcW w:w="1347" w:type="dxa"/>
                  <w:vMerge w:val="restart"/>
                  <w:vAlign w:val="center"/>
                </w:tcPr>
                <w:p w14:paraId="68CB341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声源源强</w:t>
                  </w:r>
                  <w:r>
                    <w:rPr>
                      <w:rFonts w:hint="default" w:ascii="Times New Roman" w:hAnsi="Times New Roman" w:eastAsia="宋体" w:cs="Times New Roman"/>
                      <w:b w:val="0"/>
                      <w:bCs/>
                      <w:color w:val="auto"/>
                      <w:sz w:val="21"/>
                      <w:szCs w:val="21"/>
                      <w:highlight w:val="none"/>
                    </w:rPr>
                    <w:t>/dB(A)</w:t>
                  </w:r>
                </w:p>
              </w:tc>
              <w:tc>
                <w:tcPr>
                  <w:tcW w:w="2109" w:type="dxa"/>
                  <w:vMerge w:val="restart"/>
                  <w:vAlign w:val="center"/>
                </w:tcPr>
                <w:p w14:paraId="069DD27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声源控制措施</w:t>
                  </w:r>
                </w:p>
              </w:tc>
              <w:tc>
                <w:tcPr>
                  <w:tcW w:w="1143" w:type="dxa"/>
                  <w:vMerge w:val="restart"/>
                  <w:vAlign w:val="center"/>
                </w:tcPr>
                <w:p w14:paraId="45E8D94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运行时段</w:t>
                  </w:r>
                </w:p>
              </w:tc>
            </w:tr>
            <w:tr w14:paraId="00DE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81" w:type="dxa"/>
                  <w:vMerge w:val="continue"/>
                  <w:shd w:val="clear" w:color="auto" w:fill="FFFFFF"/>
                  <w:vAlign w:val="center"/>
                </w:tcPr>
                <w:p w14:paraId="5816BF1E">
                  <w:pPr>
                    <w:jc w:val="center"/>
                    <w:rPr>
                      <w:rFonts w:hint="default" w:ascii="Times New Roman" w:hAnsi="Times New Roman" w:eastAsia="宋体" w:cs="Times New Roman"/>
                      <w:color w:val="auto"/>
                      <w:sz w:val="21"/>
                      <w:szCs w:val="21"/>
                      <w:highlight w:val="none"/>
                    </w:rPr>
                  </w:pPr>
                </w:p>
              </w:tc>
              <w:tc>
                <w:tcPr>
                  <w:tcW w:w="1016" w:type="dxa"/>
                  <w:vMerge w:val="continue"/>
                  <w:shd w:val="clear" w:color="auto" w:fill="FFFFFF"/>
                  <w:vAlign w:val="center"/>
                </w:tcPr>
                <w:p w14:paraId="41E1FE32">
                  <w:pPr>
                    <w:jc w:val="center"/>
                    <w:rPr>
                      <w:rFonts w:hint="default" w:ascii="Times New Roman" w:hAnsi="Times New Roman" w:eastAsia="宋体" w:cs="Times New Roman"/>
                      <w:color w:val="auto"/>
                      <w:sz w:val="21"/>
                      <w:szCs w:val="21"/>
                      <w:highlight w:val="none"/>
                    </w:rPr>
                  </w:pPr>
                </w:p>
              </w:tc>
              <w:tc>
                <w:tcPr>
                  <w:tcW w:w="754" w:type="dxa"/>
                  <w:shd w:val="clear" w:color="auto" w:fill="FFFFFF"/>
                  <w:vAlign w:val="center"/>
                </w:tcPr>
                <w:p w14:paraId="22A75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638" w:type="dxa"/>
                  <w:shd w:val="clear" w:color="auto" w:fill="FFFFFF"/>
                  <w:vAlign w:val="center"/>
                </w:tcPr>
                <w:p w14:paraId="687AAA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648" w:type="dxa"/>
                  <w:shd w:val="clear" w:color="auto" w:fill="FFFFFF"/>
                  <w:vAlign w:val="center"/>
                </w:tcPr>
                <w:p w14:paraId="0A5E69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347" w:type="dxa"/>
                  <w:vMerge w:val="continue"/>
                  <w:shd w:val="clear" w:color="auto" w:fill="FFFFFF"/>
                  <w:vAlign w:val="center"/>
                </w:tcPr>
                <w:p w14:paraId="4FAB1FD5">
                  <w:pPr>
                    <w:jc w:val="center"/>
                    <w:rPr>
                      <w:rFonts w:hint="default" w:ascii="Times New Roman" w:hAnsi="Times New Roman" w:eastAsia="宋体" w:cs="Times New Roman"/>
                      <w:color w:val="auto"/>
                      <w:sz w:val="21"/>
                      <w:szCs w:val="21"/>
                      <w:highlight w:val="none"/>
                    </w:rPr>
                  </w:pPr>
                </w:p>
              </w:tc>
              <w:tc>
                <w:tcPr>
                  <w:tcW w:w="2109" w:type="dxa"/>
                  <w:vMerge w:val="continue"/>
                  <w:shd w:val="clear" w:color="auto" w:fill="FFFFFF"/>
                  <w:vAlign w:val="center"/>
                </w:tcPr>
                <w:p w14:paraId="616ED3E0">
                  <w:pPr>
                    <w:jc w:val="center"/>
                    <w:rPr>
                      <w:rFonts w:hint="default" w:ascii="Times New Roman" w:hAnsi="Times New Roman" w:eastAsia="宋体" w:cs="Times New Roman"/>
                      <w:color w:val="auto"/>
                      <w:sz w:val="21"/>
                      <w:szCs w:val="21"/>
                      <w:highlight w:val="none"/>
                    </w:rPr>
                  </w:pPr>
                </w:p>
              </w:tc>
              <w:tc>
                <w:tcPr>
                  <w:tcW w:w="1143" w:type="dxa"/>
                  <w:vMerge w:val="continue"/>
                  <w:shd w:val="clear" w:color="auto" w:fill="FFFFFF"/>
                  <w:vAlign w:val="center"/>
                </w:tcPr>
                <w:p w14:paraId="51D1A604">
                  <w:pPr>
                    <w:jc w:val="center"/>
                    <w:rPr>
                      <w:rFonts w:hint="default" w:ascii="Times New Roman" w:hAnsi="Times New Roman" w:eastAsia="宋体" w:cs="Times New Roman"/>
                      <w:color w:val="auto"/>
                      <w:sz w:val="21"/>
                      <w:szCs w:val="21"/>
                      <w:highlight w:val="none"/>
                    </w:rPr>
                  </w:pPr>
                </w:p>
              </w:tc>
            </w:tr>
            <w:tr w14:paraId="2AC9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3" w:hRule="exact"/>
                <w:jc w:val="center"/>
              </w:trPr>
              <w:tc>
                <w:tcPr>
                  <w:tcW w:w="681" w:type="dxa"/>
                  <w:shd w:val="clear" w:color="auto" w:fill="FFFFFF"/>
                  <w:vAlign w:val="center"/>
                </w:tcPr>
                <w:p w14:paraId="669315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16" w:type="dxa"/>
                  <w:shd w:val="clear" w:color="auto" w:fill="FFFFFF"/>
                  <w:vAlign w:val="center"/>
                </w:tcPr>
                <w:p w14:paraId="1C4F19C9">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固化废气风机</w:t>
                  </w:r>
                </w:p>
              </w:tc>
              <w:tc>
                <w:tcPr>
                  <w:tcW w:w="754" w:type="dxa"/>
                  <w:shd w:val="clear" w:color="auto" w:fill="FFFFFF"/>
                  <w:vAlign w:val="center"/>
                </w:tcPr>
                <w:p w14:paraId="7487797E">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sz w:val="21"/>
                      <w:szCs w:val="21"/>
                    </w:rPr>
                    <w:t>-54.1</w:t>
                  </w:r>
                </w:p>
              </w:tc>
              <w:tc>
                <w:tcPr>
                  <w:tcW w:w="638" w:type="dxa"/>
                  <w:shd w:val="clear" w:color="auto" w:fill="FFFFFF"/>
                  <w:vAlign w:val="center"/>
                </w:tcPr>
                <w:p w14:paraId="40A84BF1">
                  <w:pP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sz w:val="21"/>
                      <w:szCs w:val="21"/>
                    </w:rPr>
                    <w:t>3.4</w:t>
                  </w:r>
                </w:p>
              </w:tc>
              <w:tc>
                <w:tcPr>
                  <w:tcW w:w="648" w:type="dxa"/>
                  <w:shd w:val="clear" w:color="auto" w:fill="FFFFFF"/>
                  <w:vAlign w:val="center"/>
                </w:tcPr>
                <w:p w14:paraId="32CF96D8">
                  <w:pP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sz w:val="21"/>
                      <w:szCs w:val="21"/>
                    </w:rPr>
                    <w:t>1.2</w:t>
                  </w:r>
                </w:p>
              </w:tc>
              <w:tc>
                <w:tcPr>
                  <w:tcW w:w="1347" w:type="dxa"/>
                  <w:shd w:val="clear" w:color="auto" w:fill="FFFFFF"/>
                  <w:vAlign w:val="center"/>
                </w:tcPr>
                <w:p w14:paraId="3AE2426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2109" w:type="dxa"/>
                  <w:shd w:val="clear" w:color="auto" w:fill="FFFFFF"/>
                  <w:vAlign w:val="center"/>
                </w:tcPr>
                <w:p w14:paraId="7B7682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选用低噪声设备，基础减振</w:t>
                  </w:r>
                </w:p>
              </w:tc>
              <w:tc>
                <w:tcPr>
                  <w:tcW w:w="1143" w:type="dxa"/>
                  <w:shd w:val="clear" w:color="auto" w:fill="FFFFFF"/>
                  <w:vAlign w:val="center"/>
                </w:tcPr>
                <w:p w14:paraId="2088893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bl>
          <w:p w14:paraId="60DFC9AD">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200"/>
              <w:textAlignment w:val="auto"/>
              <w:rPr>
                <w:color w:val="auto"/>
              </w:rPr>
            </w:pPr>
            <w:r>
              <w:rPr>
                <w:rFonts w:hint="default" w:ascii="Times New Roman" w:hAnsi="Times New Roman" w:cs="Times New Roman"/>
                <w:color w:val="auto"/>
                <w:sz w:val="18"/>
                <w:szCs w:val="18"/>
                <w:highlight w:val="none"/>
                <w:lang w:val="en-US" w:eastAsia="zh-CN"/>
              </w:rPr>
              <w:t>表中坐标以厂界中心（</w:t>
            </w:r>
            <w:bookmarkStart w:id="15" w:name="PO_6"/>
            <w:r>
              <w:rPr>
                <w:rFonts w:hint="default" w:ascii="Times New Roman" w:hAnsi="Times New Roman" w:cs="Times New Roman" w:eastAsiaTheme="minorEastAsia"/>
                <w:b w:val="0"/>
                <w:bCs/>
                <w:sz w:val="21"/>
                <w:szCs w:val="21"/>
                <w:lang w:val="en-US" w:eastAsia="zh-CN"/>
              </w:rPr>
              <w:t>106.318382,29.324661</w:t>
            </w:r>
            <w:bookmarkEnd w:id="15"/>
            <w:r>
              <w:rPr>
                <w:rFonts w:hint="default" w:ascii="Times New Roman" w:hAnsi="Times New Roman" w:cs="Times New Roman"/>
                <w:color w:val="auto"/>
                <w:sz w:val="18"/>
                <w:szCs w:val="18"/>
                <w:highlight w:val="none"/>
                <w:lang w:val="en-US" w:eastAsia="zh-CN"/>
              </w:rPr>
              <w:t>）为坐标原点，正东向为X轴正方向，正北向为Y轴正方向。</w:t>
            </w:r>
          </w:p>
        </w:tc>
      </w:tr>
    </w:tbl>
    <w:p w14:paraId="61E19A05">
      <w:pPr>
        <w:pStyle w:val="20"/>
        <w:rPr>
          <w:rFonts w:hint="eastAsia"/>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4055F72">
      <w:pPr>
        <w:jc w:val="center"/>
        <w:rPr>
          <w:b/>
          <w:color w:val="auto"/>
          <w:kern w:val="0"/>
          <w:szCs w:val="21"/>
          <w:highlight w:val="none"/>
        </w:rPr>
      </w:pPr>
    </w:p>
    <w:p w14:paraId="65A2FF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kern w:val="0"/>
          <w:sz w:val="24"/>
          <w:szCs w:val="24"/>
          <w:highlight w:val="none"/>
        </w:rPr>
      </w:pPr>
      <w:r>
        <w:rPr>
          <w:rFonts w:hint="default" w:ascii="Times New Roman" w:hAnsi="Times New Roman" w:eastAsia="宋体" w:cs="Times New Roman"/>
          <w:b w:val="0"/>
          <w:bCs/>
          <w:color w:val="FF0000"/>
          <w:kern w:val="0"/>
          <w:sz w:val="24"/>
          <w:szCs w:val="24"/>
          <w:highlight w:val="none"/>
        </w:rPr>
        <w:t>表</w:t>
      </w:r>
      <w:r>
        <w:rPr>
          <w:rFonts w:hint="default" w:ascii="Times New Roman" w:hAnsi="Times New Roman" w:eastAsia="宋体" w:cs="Times New Roman"/>
          <w:b w:val="0"/>
          <w:bCs/>
          <w:color w:val="FF0000"/>
          <w:kern w:val="0"/>
          <w:sz w:val="24"/>
          <w:szCs w:val="24"/>
          <w:highlight w:val="none"/>
          <w:lang w:val="en-US" w:eastAsia="zh-CN"/>
        </w:rPr>
        <w:t>4-</w:t>
      </w:r>
      <w:r>
        <w:rPr>
          <w:rFonts w:hint="eastAsia" w:ascii="Times New Roman" w:hAnsi="Times New Roman" w:eastAsia="宋体" w:cs="Times New Roman"/>
          <w:b w:val="0"/>
          <w:bCs/>
          <w:color w:val="FF0000"/>
          <w:kern w:val="0"/>
          <w:sz w:val="24"/>
          <w:szCs w:val="24"/>
          <w:highlight w:val="none"/>
          <w:lang w:val="en-US" w:eastAsia="zh-CN"/>
        </w:rPr>
        <w:t>18</w:t>
      </w:r>
      <w:r>
        <w:rPr>
          <w:rFonts w:hint="default" w:ascii="Times New Roman" w:hAnsi="Times New Roman" w:eastAsia="宋体" w:cs="Times New Roman"/>
          <w:b w:val="0"/>
          <w:bCs/>
          <w:color w:val="FF0000"/>
          <w:kern w:val="0"/>
          <w:sz w:val="24"/>
          <w:szCs w:val="24"/>
          <w:highlight w:val="none"/>
        </w:rPr>
        <w:t>主要噪声源强调查清单（室内声源）单位：dB（A）</w:t>
      </w:r>
    </w:p>
    <w:tbl>
      <w:tblPr>
        <w:tblStyle w:val="22"/>
        <w:tblW w:w="13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398"/>
        <w:gridCol w:w="847"/>
        <w:gridCol w:w="712"/>
        <w:gridCol w:w="578"/>
        <w:gridCol w:w="500"/>
        <w:gridCol w:w="520"/>
        <w:gridCol w:w="480"/>
        <w:gridCol w:w="500"/>
        <w:gridCol w:w="500"/>
        <w:gridCol w:w="500"/>
        <w:gridCol w:w="500"/>
        <w:gridCol w:w="500"/>
        <w:gridCol w:w="500"/>
        <w:gridCol w:w="585"/>
        <w:gridCol w:w="570"/>
        <w:gridCol w:w="343"/>
        <w:gridCol w:w="546"/>
        <w:gridCol w:w="546"/>
        <w:gridCol w:w="546"/>
        <w:gridCol w:w="546"/>
        <w:gridCol w:w="546"/>
        <w:gridCol w:w="546"/>
        <w:gridCol w:w="546"/>
        <w:gridCol w:w="546"/>
        <w:gridCol w:w="550"/>
      </w:tblGrid>
      <w:tr w14:paraId="3DE7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48" w:type="dxa"/>
            <w:vMerge w:val="restart"/>
            <w:vAlign w:val="center"/>
          </w:tcPr>
          <w:p w14:paraId="71EEEC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bookmarkStart w:id="16" w:name="PT_6"/>
            <w:r>
              <w:rPr>
                <w:rFonts w:hint="default" w:ascii="Times New Roman" w:hAnsi="Times New Roman" w:eastAsia="宋体" w:cs="Times New Roman"/>
                <w:b w:val="0"/>
                <w:bCs/>
                <w:color w:val="FF0000"/>
                <w:sz w:val="18"/>
                <w:szCs w:val="18"/>
                <w:highlight w:val="none"/>
              </w:rPr>
              <w:t>序号</w:t>
            </w:r>
          </w:p>
        </w:tc>
        <w:tc>
          <w:tcPr>
            <w:tcW w:w="398" w:type="dxa"/>
            <w:vMerge w:val="restart"/>
            <w:vAlign w:val="center"/>
          </w:tcPr>
          <w:p w14:paraId="2CEC43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建筑物名称</w:t>
            </w:r>
          </w:p>
        </w:tc>
        <w:tc>
          <w:tcPr>
            <w:tcW w:w="847" w:type="dxa"/>
            <w:vMerge w:val="restart"/>
            <w:vAlign w:val="center"/>
          </w:tcPr>
          <w:p w14:paraId="1843A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声源名称</w:t>
            </w:r>
          </w:p>
        </w:tc>
        <w:tc>
          <w:tcPr>
            <w:tcW w:w="712" w:type="dxa"/>
            <w:vAlign w:val="center"/>
          </w:tcPr>
          <w:p w14:paraId="231CE0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声源源强</w:t>
            </w:r>
          </w:p>
        </w:tc>
        <w:tc>
          <w:tcPr>
            <w:tcW w:w="578" w:type="dxa"/>
            <w:vMerge w:val="restart"/>
            <w:vAlign w:val="center"/>
          </w:tcPr>
          <w:p w14:paraId="31CE9D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声源控制措施</w:t>
            </w:r>
          </w:p>
        </w:tc>
        <w:tc>
          <w:tcPr>
            <w:tcW w:w="1500" w:type="dxa"/>
            <w:gridSpan w:val="3"/>
            <w:vAlign w:val="center"/>
          </w:tcPr>
          <w:p w14:paraId="073765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空间相对位置/m</w:t>
            </w:r>
          </w:p>
        </w:tc>
        <w:tc>
          <w:tcPr>
            <w:tcW w:w="2000" w:type="dxa"/>
            <w:gridSpan w:val="4"/>
            <w:vAlign w:val="center"/>
          </w:tcPr>
          <w:p w14:paraId="5E2EA0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距室内边界距离/m</w:t>
            </w:r>
          </w:p>
        </w:tc>
        <w:tc>
          <w:tcPr>
            <w:tcW w:w="2155" w:type="dxa"/>
            <w:gridSpan w:val="4"/>
            <w:vAlign w:val="center"/>
          </w:tcPr>
          <w:p w14:paraId="37A3FF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室内边界声级/dB(A)</w:t>
            </w:r>
          </w:p>
        </w:tc>
        <w:tc>
          <w:tcPr>
            <w:tcW w:w="343" w:type="dxa"/>
            <w:vMerge w:val="restart"/>
            <w:vAlign w:val="center"/>
          </w:tcPr>
          <w:p w14:paraId="30B5D7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运行时段</w:t>
            </w:r>
          </w:p>
        </w:tc>
        <w:tc>
          <w:tcPr>
            <w:tcW w:w="1638" w:type="dxa"/>
            <w:gridSpan w:val="3"/>
            <w:vAlign w:val="center"/>
          </w:tcPr>
          <w:p w14:paraId="5E8B57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建筑物插入损失 / dB(A)</w:t>
            </w:r>
            <w:bookmarkStart w:id="17" w:name="PT_10"/>
            <w:bookmarkEnd w:id="17"/>
          </w:p>
        </w:tc>
        <w:tc>
          <w:tcPr>
            <w:tcW w:w="3280" w:type="dxa"/>
            <w:gridSpan w:val="6"/>
            <w:vAlign w:val="center"/>
          </w:tcPr>
          <w:p w14:paraId="6A4D6F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建筑物外噪声声压级/dB(A)</w:t>
            </w:r>
          </w:p>
        </w:tc>
      </w:tr>
      <w:tr w14:paraId="2759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vMerge w:val="continue"/>
            <w:shd w:val="clear" w:color="auto" w:fill="FFFFFF"/>
            <w:tcMar>
              <w:top w:w="0" w:type="dxa"/>
              <w:left w:w="0" w:type="dxa"/>
              <w:bottom w:w="0" w:type="dxa"/>
              <w:right w:w="0" w:type="dxa"/>
            </w:tcMar>
            <w:vAlign w:val="center"/>
          </w:tcPr>
          <w:p w14:paraId="13C118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398" w:type="dxa"/>
            <w:vMerge w:val="continue"/>
            <w:shd w:val="clear" w:color="auto" w:fill="FFFFFF"/>
            <w:tcMar>
              <w:top w:w="0" w:type="dxa"/>
              <w:left w:w="0" w:type="dxa"/>
              <w:bottom w:w="0" w:type="dxa"/>
              <w:right w:w="0" w:type="dxa"/>
            </w:tcMar>
            <w:vAlign w:val="center"/>
          </w:tcPr>
          <w:p w14:paraId="7665BF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vMerge w:val="continue"/>
            <w:shd w:val="clear" w:color="auto" w:fill="FFFFFF"/>
            <w:tcMar>
              <w:top w:w="0" w:type="dxa"/>
              <w:left w:w="0" w:type="dxa"/>
              <w:bottom w:w="0" w:type="dxa"/>
              <w:right w:w="0" w:type="dxa"/>
            </w:tcMar>
            <w:vAlign w:val="center"/>
          </w:tcPr>
          <w:p w14:paraId="52511A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712" w:type="dxa"/>
            <w:shd w:val="clear" w:color="auto" w:fill="FFFFFF"/>
            <w:tcMar>
              <w:top w:w="0" w:type="dxa"/>
              <w:left w:w="0" w:type="dxa"/>
              <w:bottom w:w="0" w:type="dxa"/>
              <w:right w:w="0" w:type="dxa"/>
            </w:tcMar>
            <w:vAlign w:val="center"/>
          </w:tcPr>
          <w:p w14:paraId="266287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声功率级/dB(A)</w:t>
            </w:r>
          </w:p>
        </w:tc>
        <w:tc>
          <w:tcPr>
            <w:tcW w:w="578" w:type="dxa"/>
            <w:vMerge w:val="continue"/>
            <w:shd w:val="clear" w:color="auto" w:fill="FFFFFF"/>
            <w:tcMar>
              <w:top w:w="0" w:type="dxa"/>
              <w:left w:w="0" w:type="dxa"/>
              <w:bottom w:w="0" w:type="dxa"/>
              <w:right w:w="0" w:type="dxa"/>
            </w:tcMar>
            <w:vAlign w:val="center"/>
          </w:tcPr>
          <w:p w14:paraId="6FCB96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500" w:type="dxa"/>
            <w:shd w:val="clear" w:color="auto" w:fill="FFFFFF"/>
            <w:tcMar>
              <w:top w:w="0" w:type="dxa"/>
              <w:left w:w="0" w:type="dxa"/>
              <w:bottom w:w="0" w:type="dxa"/>
              <w:right w:w="0" w:type="dxa"/>
            </w:tcMar>
            <w:vAlign w:val="center"/>
          </w:tcPr>
          <w:p w14:paraId="224911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X</w:t>
            </w:r>
          </w:p>
        </w:tc>
        <w:tc>
          <w:tcPr>
            <w:tcW w:w="520" w:type="dxa"/>
            <w:shd w:val="clear" w:color="auto" w:fill="FFFFFF"/>
            <w:tcMar>
              <w:top w:w="0" w:type="dxa"/>
              <w:left w:w="0" w:type="dxa"/>
              <w:bottom w:w="0" w:type="dxa"/>
              <w:right w:w="0" w:type="dxa"/>
            </w:tcMar>
            <w:vAlign w:val="center"/>
          </w:tcPr>
          <w:p w14:paraId="7EF40D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Y</w:t>
            </w:r>
          </w:p>
        </w:tc>
        <w:tc>
          <w:tcPr>
            <w:tcW w:w="480" w:type="dxa"/>
            <w:shd w:val="clear" w:color="auto" w:fill="FFFFFF"/>
            <w:tcMar>
              <w:top w:w="0" w:type="dxa"/>
              <w:left w:w="0" w:type="dxa"/>
              <w:bottom w:w="0" w:type="dxa"/>
              <w:right w:w="0" w:type="dxa"/>
            </w:tcMar>
            <w:vAlign w:val="center"/>
          </w:tcPr>
          <w:p w14:paraId="182E35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Z</w:t>
            </w:r>
          </w:p>
        </w:tc>
        <w:tc>
          <w:tcPr>
            <w:tcW w:w="500" w:type="dxa"/>
            <w:shd w:val="clear" w:color="auto" w:fill="FFFFFF"/>
            <w:tcMar>
              <w:top w:w="0" w:type="dxa"/>
              <w:left w:w="0" w:type="dxa"/>
              <w:bottom w:w="0" w:type="dxa"/>
              <w:right w:w="0" w:type="dxa"/>
            </w:tcMar>
            <w:vAlign w:val="center"/>
          </w:tcPr>
          <w:p w14:paraId="0235A9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东</w:t>
            </w:r>
          </w:p>
        </w:tc>
        <w:tc>
          <w:tcPr>
            <w:tcW w:w="500" w:type="dxa"/>
            <w:shd w:val="clear" w:color="auto" w:fill="FFFFFF"/>
            <w:tcMar>
              <w:top w:w="0" w:type="dxa"/>
              <w:left w:w="0" w:type="dxa"/>
              <w:bottom w:w="0" w:type="dxa"/>
              <w:right w:w="0" w:type="dxa"/>
            </w:tcMar>
            <w:vAlign w:val="center"/>
          </w:tcPr>
          <w:p w14:paraId="16989F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南</w:t>
            </w:r>
          </w:p>
        </w:tc>
        <w:tc>
          <w:tcPr>
            <w:tcW w:w="500" w:type="dxa"/>
            <w:shd w:val="clear" w:color="auto" w:fill="FFFFFF"/>
            <w:tcMar>
              <w:top w:w="0" w:type="dxa"/>
              <w:left w:w="0" w:type="dxa"/>
              <w:bottom w:w="0" w:type="dxa"/>
              <w:right w:w="0" w:type="dxa"/>
            </w:tcMar>
            <w:vAlign w:val="center"/>
          </w:tcPr>
          <w:p w14:paraId="7E0C18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西</w:t>
            </w:r>
          </w:p>
        </w:tc>
        <w:tc>
          <w:tcPr>
            <w:tcW w:w="500" w:type="dxa"/>
            <w:shd w:val="clear" w:color="auto" w:fill="FFFFFF"/>
            <w:tcMar>
              <w:top w:w="0" w:type="dxa"/>
              <w:left w:w="0" w:type="dxa"/>
              <w:bottom w:w="0" w:type="dxa"/>
              <w:right w:w="0" w:type="dxa"/>
            </w:tcMar>
            <w:vAlign w:val="center"/>
          </w:tcPr>
          <w:p w14:paraId="5FBB96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北</w:t>
            </w:r>
          </w:p>
        </w:tc>
        <w:tc>
          <w:tcPr>
            <w:tcW w:w="500" w:type="dxa"/>
            <w:shd w:val="clear" w:color="auto" w:fill="FFFFFF"/>
            <w:tcMar>
              <w:top w:w="0" w:type="dxa"/>
              <w:left w:w="0" w:type="dxa"/>
              <w:bottom w:w="0" w:type="dxa"/>
              <w:right w:w="0" w:type="dxa"/>
            </w:tcMar>
            <w:vAlign w:val="center"/>
          </w:tcPr>
          <w:p w14:paraId="3601B1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东</w:t>
            </w:r>
          </w:p>
        </w:tc>
        <w:tc>
          <w:tcPr>
            <w:tcW w:w="500" w:type="dxa"/>
            <w:shd w:val="clear" w:color="auto" w:fill="FFFFFF"/>
            <w:tcMar>
              <w:top w:w="0" w:type="dxa"/>
              <w:left w:w="0" w:type="dxa"/>
              <w:bottom w:w="0" w:type="dxa"/>
              <w:right w:w="0" w:type="dxa"/>
            </w:tcMar>
            <w:vAlign w:val="center"/>
          </w:tcPr>
          <w:p w14:paraId="7E2325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南</w:t>
            </w:r>
          </w:p>
        </w:tc>
        <w:tc>
          <w:tcPr>
            <w:tcW w:w="585" w:type="dxa"/>
            <w:shd w:val="clear" w:color="auto" w:fill="FFFFFF"/>
            <w:tcMar>
              <w:top w:w="0" w:type="dxa"/>
              <w:left w:w="0" w:type="dxa"/>
              <w:bottom w:w="0" w:type="dxa"/>
              <w:right w:w="0" w:type="dxa"/>
            </w:tcMar>
            <w:vAlign w:val="center"/>
          </w:tcPr>
          <w:p w14:paraId="3EC4F6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西</w:t>
            </w:r>
          </w:p>
        </w:tc>
        <w:tc>
          <w:tcPr>
            <w:tcW w:w="570" w:type="dxa"/>
            <w:shd w:val="clear" w:color="auto" w:fill="FFFFFF"/>
            <w:tcMar>
              <w:top w:w="0" w:type="dxa"/>
              <w:left w:w="0" w:type="dxa"/>
              <w:bottom w:w="0" w:type="dxa"/>
              <w:right w:w="0" w:type="dxa"/>
            </w:tcMar>
            <w:vAlign w:val="center"/>
          </w:tcPr>
          <w:p w14:paraId="04A0F2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北</w:t>
            </w:r>
          </w:p>
        </w:tc>
        <w:tc>
          <w:tcPr>
            <w:tcW w:w="343" w:type="dxa"/>
            <w:vMerge w:val="continue"/>
            <w:shd w:val="clear" w:color="auto" w:fill="FFFFFF"/>
            <w:tcMar>
              <w:top w:w="0" w:type="dxa"/>
              <w:left w:w="0" w:type="dxa"/>
              <w:bottom w:w="0" w:type="dxa"/>
              <w:right w:w="0" w:type="dxa"/>
            </w:tcMar>
            <w:vAlign w:val="center"/>
          </w:tcPr>
          <w:p w14:paraId="603A43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546" w:type="dxa"/>
            <w:shd w:val="clear" w:color="auto" w:fill="FFFFFF"/>
            <w:tcMar>
              <w:top w:w="0" w:type="dxa"/>
              <w:left w:w="0" w:type="dxa"/>
              <w:bottom w:w="0" w:type="dxa"/>
              <w:right w:w="0" w:type="dxa"/>
            </w:tcMar>
            <w:vAlign w:val="center"/>
          </w:tcPr>
          <w:p w14:paraId="1D804A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东</w:t>
            </w:r>
          </w:p>
        </w:tc>
        <w:tc>
          <w:tcPr>
            <w:tcW w:w="546" w:type="dxa"/>
            <w:shd w:val="clear" w:color="auto" w:fill="FFFFFF"/>
            <w:tcMar>
              <w:top w:w="0" w:type="dxa"/>
              <w:left w:w="0" w:type="dxa"/>
              <w:bottom w:w="0" w:type="dxa"/>
              <w:right w:w="0" w:type="dxa"/>
            </w:tcMar>
            <w:vAlign w:val="center"/>
          </w:tcPr>
          <w:p w14:paraId="2FBCCB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南</w:t>
            </w:r>
          </w:p>
        </w:tc>
        <w:tc>
          <w:tcPr>
            <w:tcW w:w="546" w:type="dxa"/>
            <w:shd w:val="clear" w:color="auto" w:fill="FFFFFF"/>
            <w:tcMar>
              <w:top w:w="0" w:type="dxa"/>
              <w:left w:w="0" w:type="dxa"/>
              <w:bottom w:w="0" w:type="dxa"/>
              <w:right w:w="0" w:type="dxa"/>
            </w:tcMar>
            <w:vAlign w:val="center"/>
          </w:tcPr>
          <w:p w14:paraId="35A6E2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西</w:t>
            </w:r>
          </w:p>
        </w:tc>
        <w:tc>
          <w:tcPr>
            <w:tcW w:w="546" w:type="dxa"/>
            <w:shd w:val="clear" w:color="auto" w:fill="FFFFFF"/>
            <w:tcMar>
              <w:top w:w="0" w:type="dxa"/>
              <w:left w:w="0" w:type="dxa"/>
              <w:bottom w:w="0" w:type="dxa"/>
              <w:right w:w="0" w:type="dxa"/>
            </w:tcMar>
            <w:vAlign w:val="center"/>
          </w:tcPr>
          <w:p w14:paraId="1DED10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北</w:t>
            </w:r>
          </w:p>
        </w:tc>
        <w:tc>
          <w:tcPr>
            <w:tcW w:w="546" w:type="dxa"/>
            <w:shd w:val="clear" w:color="auto" w:fill="FFFFFF"/>
            <w:tcMar>
              <w:top w:w="0" w:type="dxa"/>
              <w:left w:w="0" w:type="dxa"/>
              <w:bottom w:w="0" w:type="dxa"/>
              <w:right w:w="0" w:type="dxa"/>
            </w:tcMar>
            <w:vAlign w:val="center"/>
          </w:tcPr>
          <w:p w14:paraId="5C4CAA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东</w:t>
            </w:r>
          </w:p>
        </w:tc>
        <w:tc>
          <w:tcPr>
            <w:tcW w:w="546" w:type="dxa"/>
            <w:shd w:val="clear" w:color="auto" w:fill="FFFFFF"/>
            <w:tcMar>
              <w:top w:w="0" w:type="dxa"/>
              <w:left w:w="0" w:type="dxa"/>
              <w:bottom w:w="0" w:type="dxa"/>
              <w:right w:w="0" w:type="dxa"/>
            </w:tcMar>
            <w:vAlign w:val="center"/>
          </w:tcPr>
          <w:p w14:paraId="5CE604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南</w:t>
            </w:r>
          </w:p>
        </w:tc>
        <w:tc>
          <w:tcPr>
            <w:tcW w:w="546" w:type="dxa"/>
            <w:shd w:val="clear" w:color="auto" w:fill="FFFFFF"/>
            <w:tcMar>
              <w:top w:w="0" w:type="dxa"/>
              <w:left w:w="0" w:type="dxa"/>
              <w:bottom w:w="0" w:type="dxa"/>
              <w:right w:w="0" w:type="dxa"/>
            </w:tcMar>
            <w:vAlign w:val="center"/>
          </w:tcPr>
          <w:p w14:paraId="35AE68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西</w:t>
            </w:r>
          </w:p>
        </w:tc>
        <w:tc>
          <w:tcPr>
            <w:tcW w:w="546" w:type="dxa"/>
            <w:shd w:val="clear" w:color="auto" w:fill="FFFFFF"/>
            <w:tcMar>
              <w:top w:w="0" w:type="dxa"/>
              <w:left w:w="0" w:type="dxa"/>
              <w:bottom w:w="0" w:type="dxa"/>
              <w:right w:w="0" w:type="dxa"/>
            </w:tcMar>
            <w:vAlign w:val="center"/>
          </w:tcPr>
          <w:p w14:paraId="6E36FB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北</w:t>
            </w:r>
          </w:p>
        </w:tc>
        <w:tc>
          <w:tcPr>
            <w:tcW w:w="550" w:type="dxa"/>
            <w:shd w:val="clear" w:color="auto" w:fill="FFFFFF"/>
            <w:tcMar>
              <w:top w:w="0" w:type="dxa"/>
              <w:left w:w="0" w:type="dxa"/>
              <w:bottom w:w="0" w:type="dxa"/>
              <w:right w:w="0" w:type="dxa"/>
            </w:tcMar>
            <w:vAlign w:val="center"/>
          </w:tcPr>
          <w:p w14:paraId="445DCF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建筑物外距离</w:t>
            </w:r>
          </w:p>
        </w:tc>
      </w:tr>
      <w:tr w14:paraId="7016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6495E4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1</w:t>
            </w:r>
          </w:p>
        </w:tc>
        <w:tc>
          <w:tcPr>
            <w:tcW w:w="398" w:type="dxa"/>
            <w:vMerge w:val="restart"/>
            <w:shd w:val="clear" w:color="auto" w:fill="FFFFFF"/>
            <w:tcMar>
              <w:top w:w="0" w:type="dxa"/>
              <w:left w:w="0" w:type="dxa"/>
              <w:bottom w:w="0" w:type="dxa"/>
              <w:right w:w="0" w:type="dxa"/>
            </w:tcMar>
            <w:vAlign w:val="center"/>
          </w:tcPr>
          <w:p w14:paraId="75032C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b w:val="0"/>
                <w:bCs/>
                <w:color w:val="FF0000"/>
                <w:sz w:val="18"/>
                <w:szCs w:val="18"/>
                <w:highlight w:val="none"/>
                <w:lang w:val="en-US" w:eastAsia="zh-CN"/>
              </w:rPr>
              <w:t>10#厂房</w:t>
            </w:r>
          </w:p>
        </w:tc>
        <w:tc>
          <w:tcPr>
            <w:tcW w:w="847" w:type="dxa"/>
            <w:shd w:val="clear" w:color="auto" w:fill="FFFFFF"/>
            <w:tcMar>
              <w:top w:w="0" w:type="dxa"/>
              <w:left w:w="0" w:type="dxa"/>
              <w:bottom w:w="0" w:type="dxa"/>
              <w:right w:w="0" w:type="dxa"/>
            </w:tcMar>
            <w:vAlign w:val="center"/>
          </w:tcPr>
          <w:p w14:paraId="14AC35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抛丸机</w:t>
            </w:r>
          </w:p>
        </w:tc>
        <w:tc>
          <w:tcPr>
            <w:tcW w:w="712" w:type="dxa"/>
            <w:shd w:val="clear" w:color="auto" w:fill="FFFFFF"/>
            <w:tcMar>
              <w:top w:w="0" w:type="dxa"/>
              <w:left w:w="0" w:type="dxa"/>
              <w:bottom w:w="0" w:type="dxa"/>
              <w:right w:w="0" w:type="dxa"/>
            </w:tcMar>
            <w:vAlign w:val="center"/>
          </w:tcPr>
          <w:p w14:paraId="63CBAB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85</w:t>
            </w:r>
          </w:p>
        </w:tc>
        <w:tc>
          <w:tcPr>
            <w:tcW w:w="578" w:type="dxa"/>
            <w:vMerge w:val="restart"/>
            <w:shd w:val="clear" w:color="auto" w:fill="FFFFFF"/>
            <w:tcMar>
              <w:top w:w="0" w:type="dxa"/>
              <w:left w:w="0" w:type="dxa"/>
              <w:bottom w:w="0" w:type="dxa"/>
              <w:right w:w="0" w:type="dxa"/>
            </w:tcMar>
            <w:vAlign w:val="center"/>
          </w:tcPr>
          <w:p w14:paraId="62274B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rPr>
            </w:pPr>
            <w:r>
              <w:rPr>
                <w:rFonts w:hint="default" w:ascii="Times New Roman" w:hAnsi="Times New Roman" w:eastAsia="宋体" w:cs="Times New Roman"/>
                <w:color w:val="FF0000"/>
                <w:sz w:val="18"/>
                <w:szCs w:val="18"/>
              </w:rPr>
              <w:t>基础减振，采取建筑隔声、减振等</w:t>
            </w:r>
            <w:r>
              <w:rPr>
                <w:rFonts w:hint="default" w:ascii="Times New Roman" w:hAnsi="Times New Roman" w:eastAsia="宋体" w:cs="Times New Roman"/>
                <w:color w:val="FF0000"/>
                <w:sz w:val="18"/>
                <w:szCs w:val="18"/>
                <w:lang w:eastAsia="zh-CN"/>
              </w:rPr>
              <w:t>措施</w:t>
            </w:r>
          </w:p>
        </w:tc>
        <w:tc>
          <w:tcPr>
            <w:tcW w:w="500" w:type="dxa"/>
            <w:shd w:val="clear" w:color="auto" w:fill="FFFFFF"/>
            <w:tcMar>
              <w:top w:w="0" w:type="dxa"/>
              <w:left w:w="0" w:type="dxa"/>
              <w:bottom w:w="0" w:type="dxa"/>
              <w:right w:w="0" w:type="dxa"/>
            </w:tcMar>
            <w:vAlign w:val="center"/>
          </w:tcPr>
          <w:p w14:paraId="6DF623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-32.5</w:t>
            </w:r>
          </w:p>
        </w:tc>
        <w:tc>
          <w:tcPr>
            <w:tcW w:w="520" w:type="dxa"/>
            <w:shd w:val="clear" w:color="auto" w:fill="FFFFFF"/>
            <w:tcMar>
              <w:top w:w="0" w:type="dxa"/>
              <w:left w:w="0" w:type="dxa"/>
              <w:bottom w:w="0" w:type="dxa"/>
              <w:right w:w="0" w:type="dxa"/>
            </w:tcMar>
            <w:vAlign w:val="center"/>
          </w:tcPr>
          <w:p w14:paraId="7B3DB0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-7</w:t>
            </w:r>
          </w:p>
        </w:tc>
        <w:tc>
          <w:tcPr>
            <w:tcW w:w="480" w:type="dxa"/>
            <w:shd w:val="clear" w:color="auto" w:fill="FFFFFF"/>
            <w:tcMar>
              <w:top w:w="0" w:type="dxa"/>
              <w:left w:w="0" w:type="dxa"/>
              <w:bottom w:w="0" w:type="dxa"/>
              <w:right w:w="0" w:type="dxa"/>
            </w:tcMar>
            <w:vAlign w:val="center"/>
          </w:tcPr>
          <w:p w14:paraId="62566A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1.5</w:t>
            </w:r>
          </w:p>
        </w:tc>
        <w:tc>
          <w:tcPr>
            <w:tcW w:w="500" w:type="dxa"/>
            <w:shd w:val="clear" w:color="auto" w:fill="FFFFFF"/>
            <w:tcMar>
              <w:top w:w="0" w:type="dxa"/>
              <w:left w:w="0" w:type="dxa"/>
              <w:bottom w:w="0" w:type="dxa"/>
              <w:right w:w="0" w:type="dxa"/>
            </w:tcMar>
            <w:vAlign w:val="center"/>
          </w:tcPr>
          <w:p w14:paraId="64CDD0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w:t>
            </w:r>
          </w:p>
        </w:tc>
        <w:tc>
          <w:tcPr>
            <w:tcW w:w="500" w:type="dxa"/>
            <w:shd w:val="clear" w:color="auto" w:fill="FFFFFF"/>
            <w:tcMar>
              <w:top w:w="0" w:type="dxa"/>
              <w:left w:w="0" w:type="dxa"/>
              <w:bottom w:w="0" w:type="dxa"/>
              <w:right w:w="0" w:type="dxa"/>
            </w:tcMar>
            <w:vAlign w:val="center"/>
          </w:tcPr>
          <w:p w14:paraId="2E6341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12.7</w:t>
            </w:r>
          </w:p>
        </w:tc>
        <w:tc>
          <w:tcPr>
            <w:tcW w:w="500" w:type="dxa"/>
            <w:shd w:val="clear" w:color="auto" w:fill="FFFFFF"/>
            <w:tcMar>
              <w:top w:w="0" w:type="dxa"/>
              <w:left w:w="0" w:type="dxa"/>
              <w:bottom w:w="0" w:type="dxa"/>
              <w:right w:w="0" w:type="dxa"/>
            </w:tcMar>
            <w:vAlign w:val="center"/>
          </w:tcPr>
          <w:p w14:paraId="1B061E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50.6</w:t>
            </w:r>
          </w:p>
        </w:tc>
        <w:tc>
          <w:tcPr>
            <w:tcW w:w="500" w:type="dxa"/>
            <w:shd w:val="clear" w:color="auto" w:fill="FFFFFF"/>
            <w:tcMar>
              <w:top w:w="0" w:type="dxa"/>
              <w:left w:w="0" w:type="dxa"/>
              <w:bottom w:w="0" w:type="dxa"/>
              <w:right w:w="0" w:type="dxa"/>
            </w:tcMar>
            <w:vAlign w:val="center"/>
          </w:tcPr>
          <w:p w14:paraId="23AFB1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7.0</w:t>
            </w:r>
          </w:p>
        </w:tc>
        <w:tc>
          <w:tcPr>
            <w:tcW w:w="500" w:type="dxa"/>
            <w:shd w:val="clear" w:color="auto" w:fill="FFFFFF"/>
            <w:tcMar>
              <w:top w:w="0" w:type="dxa"/>
              <w:left w:w="0" w:type="dxa"/>
              <w:bottom w:w="0" w:type="dxa"/>
              <w:right w:w="0" w:type="dxa"/>
            </w:tcMar>
            <w:vAlign w:val="center"/>
          </w:tcPr>
          <w:p w14:paraId="0AAEC2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68.3</w:t>
            </w:r>
          </w:p>
        </w:tc>
        <w:tc>
          <w:tcPr>
            <w:tcW w:w="500" w:type="dxa"/>
            <w:shd w:val="clear" w:color="auto" w:fill="FFFFFF"/>
            <w:tcMar>
              <w:top w:w="0" w:type="dxa"/>
              <w:left w:w="0" w:type="dxa"/>
              <w:bottom w:w="0" w:type="dxa"/>
              <w:right w:w="0" w:type="dxa"/>
            </w:tcMar>
            <w:vAlign w:val="center"/>
          </w:tcPr>
          <w:p w14:paraId="30C7C9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68.0</w:t>
            </w:r>
          </w:p>
        </w:tc>
        <w:tc>
          <w:tcPr>
            <w:tcW w:w="585" w:type="dxa"/>
            <w:shd w:val="clear" w:color="auto" w:fill="FFFFFF"/>
            <w:tcMar>
              <w:top w:w="0" w:type="dxa"/>
              <w:left w:w="0" w:type="dxa"/>
              <w:bottom w:w="0" w:type="dxa"/>
              <w:right w:w="0" w:type="dxa"/>
            </w:tcMar>
            <w:vAlign w:val="center"/>
          </w:tcPr>
          <w:p w14:paraId="021206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67.9</w:t>
            </w:r>
          </w:p>
        </w:tc>
        <w:tc>
          <w:tcPr>
            <w:tcW w:w="570" w:type="dxa"/>
            <w:shd w:val="clear" w:color="auto" w:fill="FFFFFF"/>
            <w:tcMar>
              <w:top w:w="0" w:type="dxa"/>
              <w:left w:w="0" w:type="dxa"/>
              <w:bottom w:w="0" w:type="dxa"/>
              <w:right w:w="0" w:type="dxa"/>
            </w:tcMar>
            <w:vAlign w:val="center"/>
          </w:tcPr>
          <w:p w14:paraId="38DABE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68.2</w:t>
            </w:r>
          </w:p>
        </w:tc>
        <w:tc>
          <w:tcPr>
            <w:tcW w:w="343" w:type="dxa"/>
            <w:vMerge w:val="restart"/>
            <w:shd w:val="clear" w:color="auto" w:fill="FFFFFF"/>
            <w:tcMar>
              <w:top w:w="0" w:type="dxa"/>
              <w:left w:w="0" w:type="dxa"/>
              <w:bottom w:w="0" w:type="dxa"/>
              <w:right w:w="0" w:type="dxa"/>
            </w:tcMar>
            <w:vAlign w:val="center"/>
          </w:tcPr>
          <w:p w14:paraId="514438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b w:val="0"/>
                <w:bCs/>
                <w:color w:val="FF0000"/>
                <w:sz w:val="18"/>
                <w:szCs w:val="18"/>
                <w:highlight w:val="none"/>
                <w:lang w:val="en-US" w:eastAsia="zh-CN"/>
              </w:rPr>
              <w:t>6:00~22:00</w:t>
            </w:r>
          </w:p>
        </w:tc>
        <w:tc>
          <w:tcPr>
            <w:tcW w:w="546" w:type="dxa"/>
            <w:shd w:val="clear" w:color="auto" w:fill="FFFFFF"/>
            <w:tcMar>
              <w:top w:w="0" w:type="dxa"/>
              <w:left w:w="0" w:type="dxa"/>
              <w:bottom w:w="0" w:type="dxa"/>
              <w:right w:w="0" w:type="dxa"/>
            </w:tcMar>
            <w:vAlign w:val="center"/>
          </w:tcPr>
          <w:p w14:paraId="588793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152152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69A92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3470BB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0DE5F0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42.3</w:t>
            </w:r>
          </w:p>
        </w:tc>
        <w:tc>
          <w:tcPr>
            <w:tcW w:w="546" w:type="dxa"/>
            <w:shd w:val="clear" w:color="auto" w:fill="FFFFFF"/>
            <w:tcMar>
              <w:top w:w="0" w:type="dxa"/>
              <w:left w:w="0" w:type="dxa"/>
              <w:bottom w:w="0" w:type="dxa"/>
              <w:right w:w="0" w:type="dxa"/>
            </w:tcMar>
            <w:vAlign w:val="center"/>
          </w:tcPr>
          <w:p w14:paraId="780E5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42.0</w:t>
            </w:r>
          </w:p>
        </w:tc>
        <w:tc>
          <w:tcPr>
            <w:tcW w:w="546" w:type="dxa"/>
            <w:shd w:val="clear" w:color="auto" w:fill="FFFFFF"/>
            <w:tcMar>
              <w:top w:w="0" w:type="dxa"/>
              <w:left w:w="0" w:type="dxa"/>
              <w:bottom w:w="0" w:type="dxa"/>
              <w:right w:w="0" w:type="dxa"/>
            </w:tcMar>
            <w:vAlign w:val="center"/>
          </w:tcPr>
          <w:p w14:paraId="7FCA23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41.9</w:t>
            </w:r>
          </w:p>
        </w:tc>
        <w:tc>
          <w:tcPr>
            <w:tcW w:w="546" w:type="dxa"/>
            <w:shd w:val="clear" w:color="auto" w:fill="FFFFFF"/>
            <w:tcMar>
              <w:top w:w="0" w:type="dxa"/>
              <w:left w:w="0" w:type="dxa"/>
              <w:bottom w:w="0" w:type="dxa"/>
              <w:right w:w="0" w:type="dxa"/>
            </w:tcMar>
            <w:vAlign w:val="center"/>
          </w:tcPr>
          <w:p w14:paraId="0B39E9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42.2</w:t>
            </w:r>
          </w:p>
        </w:tc>
        <w:tc>
          <w:tcPr>
            <w:tcW w:w="550" w:type="dxa"/>
            <w:shd w:val="clear" w:color="auto" w:fill="FFFFFF"/>
            <w:tcMar>
              <w:top w:w="0" w:type="dxa"/>
              <w:left w:w="0" w:type="dxa"/>
              <w:bottom w:w="0" w:type="dxa"/>
              <w:right w:w="0" w:type="dxa"/>
            </w:tcMar>
            <w:vAlign w:val="center"/>
          </w:tcPr>
          <w:p w14:paraId="5B32D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1A7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4FC23A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r>
              <w:rPr>
                <w:rFonts w:hint="default" w:ascii="Times New Roman" w:hAnsi="Times New Roman" w:eastAsia="宋体" w:cs="Times New Roman"/>
                <w:b w:val="0"/>
                <w:bCs/>
                <w:color w:val="FF0000"/>
                <w:sz w:val="18"/>
                <w:szCs w:val="18"/>
                <w:highlight w:val="none"/>
              </w:rPr>
              <w:t>2</w:t>
            </w:r>
          </w:p>
        </w:tc>
        <w:tc>
          <w:tcPr>
            <w:tcW w:w="398" w:type="dxa"/>
            <w:vMerge w:val="continue"/>
            <w:shd w:val="clear" w:color="auto" w:fill="FFFFFF"/>
            <w:tcMar>
              <w:top w:w="0" w:type="dxa"/>
              <w:left w:w="0" w:type="dxa"/>
              <w:bottom w:w="0" w:type="dxa"/>
              <w:right w:w="0" w:type="dxa"/>
            </w:tcMar>
            <w:vAlign w:val="center"/>
          </w:tcPr>
          <w:p w14:paraId="3D667F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shd w:val="clear" w:color="auto" w:fill="FFFFFF"/>
            <w:tcMar>
              <w:top w:w="0" w:type="dxa"/>
              <w:left w:w="0" w:type="dxa"/>
              <w:bottom w:w="0" w:type="dxa"/>
              <w:right w:w="0" w:type="dxa"/>
            </w:tcMar>
            <w:vAlign w:val="center"/>
          </w:tcPr>
          <w:p w14:paraId="421D8F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抛丸机</w:t>
            </w:r>
          </w:p>
        </w:tc>
        <w:tc>
          <w:tcPr>
            <w:tcW w:w="712" w:type="dxa"/>
            <w:shd w:val="clear" w:color="auto" w:fill="FFFFFF"/>
            <w:tcMar>
              <w:top w:w="0" w:type="dxa"/>
              <w:left w:w="0" w:type="dxa"/>
              <w:bottom w:w="0" w:type="dxa"/>
              <w:right w:w="0" w:type="dxa"/>
            </w:tcMar>
            <w:vAlign w:val="center"/>
          </w:tcPr>
          <w:p w14:paraId="162759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85</w:t>
            </w:r>
          </w:p>
        </w:tc>
        <w:tc>
          <w:tcPr>
            <w:tcW w:w="578" w:type="dxa"/>
            <w:vMerge w:val="continue"/>
            <w:shd w:val="clear" w:color="auto" w:fill="FFFFFF"/>
            <w:tcMar>
              <w:top w:w="0" w:type="dxa"/>
              <w:left w:w="0" w:type="dxa"/>
              <w:bottom w:w="0" w:type="dxa"/>
              <w:right w:w="0" w:type="dxa"/>
            </w:tcMar>
            <w:vAlign w:val="center"/>
          </w:tcPr>
          <w:p w14:paraId="54A1E6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rPr>
            </w:pPr>
          </w:p>
        </w:tc>
        <w:tc>
          <w:tcPr>
            <w:tcW w:w="500" w:type="dxa"/>
            <w:shd w:val="clear" w:color="auto" w:fill="FFFFFF"/>
            <w:tcMar>
              <w:top w:w="0" w:type="dxa"/>
              <w:left w:w="0" w:type="dxa"/>
              <w:bottom w:w="0" w:type="dxa"/>
              <w:right w:w="0" w:type="dxa"/>
            </w:tcMar>
            <w:vAlign w:val="center"/>
          </w:tcPr>
          <w:p w14:paraId="337D0D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-33.3</w:t>
            </w:r>
          </w:p>
        </w:tc>
        <w:tc>
          <w:tcPr>
            <w:tcW w:w="520" w:type="dxa"/>
            <w:shd w:val="clear" w:color="auto" w:fill="FFFFFF"/>
            <w:tcMar>
              <w:top w:w="0" w:type="dxa"/>
              <w:left w:w="0" w:type="dxa"/>
              <w:bottom w:w="0" w:type="dxa"/>
              <w:right w:w="0" w:type="dxa"/>
            </w:tcMar>
            <w:vAlign w:val="center"/>
          </w:tcPr>
          <w:p w14:paraId="43E5EF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-13.8</w:t>
            </w:r>
          </w:p>
        </w:tc>
        <w:tc>
          <w:tcPr>
            <w:tcW w:w="480" w:type="dxa"/>
            <w:shd w:val="clear" w:color="auto" w:fill="FFFFFF"/>
            <w:tcMar>
              <w:top w:w="0" w:type="dxa"/>
              <w:left w:w="0" w:type="dxa"/>
              <w:bottom w:w="0" w:type="dxa"/>
              <w:right w:w="0" w:type="dxa"/>
            </w:tcMar>
            <w:vAlign w:val="center"/>
          </w:tcPr>
          <w:p w14:paraId="74AD3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1.5</w:t>
            </w:r>
          </w:p>
        </w:tc>
        <w:tc>
          <w:tcPr>
            <w:tcW w:w="500" w:type="dxa"/>
            <w:shd w:val="clear" w:color="auto" w:fill="FFFFFF"/>
            <w:tcMar>
              <w:top w:w="0" w:type="dxa"/>
              <w:left w:w="0" w:type="dxa"/>
              <w:bottom w:w="0" w:type="dxa"/>
              <w:right w:w="0" w:type="dxa"/>
            </w:tcMar>
            <w:vAlign w:val="center"/>
          </w:tcPr>
          <w:p w14:paraId="431EC5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6.5</w:t>
            </w:r>
          </w:p>
        </w:tc>
        <w:tc>
          <w:tcPr>
            <w:tcW w:w="500" w:type="dxa"/>
            <w:shd w:val="clear" w:color="auto" w:fill="FFFFFF"/>
            <w:tcMar>
              <w:top w:w="0" w:type="dxa"/>
              <w:left w:w="0" w:type="dxa"/>
              <w:bottom w:w="0" w:type="dxa"/>
              <w:right w:w="0" w:type="dxa"/>
            </w:tcMar>
            <w:vAlign w:val="center"/>
          </w:tcPr>
          <w:p w14:paraId="3A9B11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w:t>
            </w:r>
          </w:p>
        </w:tc>
        <w:tc>
          <w:tcPr>
            <w:tcW w:w="500" w:type="dxa"/>
            <w:shd w:val="clear" w:color="auto" w:fill="FFFFFF"/>
            <w:tcMar>
              <w:top w:w="0" w:type="dxa"/>
              <w:left w:w="0" w:type="dxa"/>
              <w:bottom w:w="0" w:type="dxa"/>
              <w:right w:w="0" w:type="dxa"/>
            </w:tcMar>
            <w:vAlign w:val="center"/>
          </w:tcPr>
          <w:p w14:paraId="66C14B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50.5</w:t>
            </w:r>
          </w:p>
        </w:tc>
        <w:tc>
          <w:tcPr>
            <w:tcW w:w="500" w:type="dxa"/>
            <w:shd w:val="clear" w:color="auto" w:fill="FFFFFF"/>
            <w:tcMar>
              <w:top w:w="0" w:type="dxa"/>
              <w:left w:w="0" w:type="dxa"/>
              <w:bottom w:w="0" w:type="dxa"/>
              <w:right w:w="0" w:type="dxa"/>
            </w:tcMar>
            <w:vAlign w:val="center"/>
          </w:tcPr>
          <w:p w14:paraId="3BD070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13.8</w:t>
            </w:r>
          </w:p>
        </w:tc>
        <w:tc>
          <w:tcPr>
            <w:tcW w:w="500" w:type="dxa"/>
            <w:shd w:val="clear" w:color="auto" w:fill="FFFFFF"/>
            <w:tcMar>
              <w:top w:w="0" w:type="dxa"/>
              <w:left w:w="0" w:type="dxa"/>
              <w:bottom w:w="0" w:type="dxa"/>
              <w:right w:w="0" w:type="dxa"/>
            </w:tcMar>
            <w:vAlign w:val="center"/>
          </w:tcPr>
          <w:p w14:paraId="2E2CED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68.3</w:t>
            </w:r>
          </w:p>
        </w:tc>
        <w:tc>
          <w:tcPr>
            <w:tcW w:w="500" w:type="dxa"/>
            <w:shd w:val="clear" w:color="auto" w:fill="FFFFFF"/>
            <w:tcMar>
              <w:top w:w="0" w:type="dxa"/>
              <w:left w:w="0" w:type="dxa"/>
              <w:bottom w:w="0" w:type="dxa"/>
              <w:right w:w="0" w:type="dxa"/>
            </w:tcMar>
            <w:vAlign w:val="center"/>
          </w:tcPr>
          <w:p w14:paraId="777EA9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68.4</w:t>
            </w:r>
          </w:p>
        </w:tc>
        <w:tc>
          <w:tcPr>
            <w:tcW w:w="585" w:type="dxa"/>
            <w:shd w:val="clear" w:color="auto" w:fill="FFFFFF"/>
            <w:tcMar>
              <w:top w:w="0" w:type="dxa"/>
              <w:left w:w="0" w:type="dxa"/>
              <w:bottom w:w="0" w:type="dxa"/>
              <w:right w:w="0" w:type="dxa"/>
            </w:tcMar>
            <w:vAlign w:val="center"/>
          </w:tcPr>
          <w:p w14:paraId="73B623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67.9</w:t>
            </w:r>
          </w:p>
        </w:tc>
        <w:tc>
          <w:tcPr>
            <w:tcW w:w="570" w:type="dxa"/>
            <w:shd w:val="clear" w:color="auto" w:fill="FFFFFF"/>
            <w:tcMar>
              <w:top w:w="0" w:type="dxa"/>
              <w:left w:w="0" w:type="dxa"/>
              <w:bottom w:w="0" w:type="dxa"/>
              <w:right w:w="0" w:type="dxa"/>
            </w:tcMar>
            <w:vAlign w:val="center"/>
          </w:tcPr>
          <w:p w14:paraId="14ABBD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68.0</w:t>
            </w:r>
          </w:p>
        </w:tc>
        <w:tc>
          <w:tcPr>
            <w:tcW w:w="343" w:type="dxa"/>
            <w:vMerge w:val="continue"/>
            <w:shd w:val="clear" w:color="auto" w:fill="FFFFFF"/>
            <w:tcMar>
              <w:top w:w="0" w:type="dxa"/>
              <w:left w:w="0" w:type="dxa"/>
              <w:bottom w:w="0" w:type="dxa"/>
              <w:right w:w="0" w:type="dxa"/>
            </w:tcMar>
            <w:vAlign w:val="center"/>
          </w:tcPr>
          <w:p w14:paraId="5CF17F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p>
        </w:tc>
        <w:tc>
          <w:tcPr>
            <w:tcW w:w="546" w:type="dxa"/>
            <w:shd w:val="clear" w:color="auto" w:fill="FFFFFF"/>
            <w:tcMar>
              <w:top w:w="0" w:type="dxa"/>
              <w:left w:w="0" w:type="dxa"/>
              <w:bottom w:w="0" w:type="dxa"/>
              <w:right w:w="0" w:type="dxa"/>
            </w:tcMar>
            <w:vAlign w:val="center"/>
          </w:tcPr>
          <w:p w14:paraId="07CD1B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1B3970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61E6C9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2246AA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3C280A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42.3</w:t>
            </w:r>
          </w:p>
        </w:tc>
        <w:tc>
          <w:tcPr>
            <w:tcW w:w="546" w:type="dxa"/>
            <w:shd w:val="clear" w:color="auto" w:fill="FFFFFF"/>
            <w:tcMar>
              <w:top w:w="0" w:type="dxa"/>
              <w:left w:w="0" w:type="dxa"/>
              <w:bottom w:w="0" w:type="dxa"/>
              <w:right w:w="0" w:type="dxa"/>
            </w:tcMar>
            <w:vAlign w:val="center"/>
          </w:tcPr>
          <w:p w14:paraId="298785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42.4</w:t>
            </w:r>
          </w:p>
        </w:tc>
        <w:tc>
          <w:tcPr>
            <w:tcW w:w="546" w:type="dxa"/>
            <w:shd w:val="clear" w:color="auto" w:fill="FFFFFF"/>
            <w:tcMar>
              <w:top w:w="0" w:type="dxa"/>
              <w:left w:w="0" w:type="dxa"/>
              <w:bottom w:w="0" w:type="dxa"/>
              <w:right w:w="0" w:type="dxa"/>
            </w:tcMar>
            <w:vAlign w:val="center"/>
          </w:tcPr>
          <w:p w14:paraId="082DAF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41.9</w:t>
            </w:r>
          </w:p>
        </w:tc>
        <w:tc>
          <w:tcPr>
            <w:tcW w:w="546" w:type="dxa"/>
            <w:shd w:val="clear" w:color="auto" w:fill="FFFFFF"/>
            <w:tcMar>
              <w:top w:w="0" w:type="dxa"/>
              <w:left w:w="0" w:type="dxa"/>
              <w:bottom w:w="0" w:type="dxa"/>
              <w:right w:w="0" w:type="dxa"/>
            </w:tcMar>
            <w:vAlign w:val="center"/>
          </w:tcPr>
          <w:p w14:paraId="7E9CB0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42.0</w:t>
            </w:r>
          </w:p>
        </w:tc>
        <w:tc>
          <w:tcPr>
            <w:tcW w:w="550" w:type="dxa"/>
            <w:shd w:val="clear" w:color="auto" w:fill="FFFFFF"/>
            <w:tcMar>
              <w:top w:w="0" w:type="dxa"/>
              <w:left w:w="0" w:type="dxa"/>
              <w:bottom w:w="0" w:type="dxa"/>
              <w:right w:w="0" w:type="dxa"/>
            </w:tcMar>
            <w:vAlign w:val="center"/>
          </w:tcPr>
          <w:p w14:paraId="103322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6E8F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253769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eastAsia="zh-CN"/>
              </w:rPr>
            </w:pPr>
            <w:r>
              <w:rPr>
                <w:rFonts w:hint="default" w:ascii="Times New Roman" w:hAnsi="Times New Roman" w:eastAsia="宋体" w:cs="Times New Roman"/>
                <w:b w:val="0"/>
                <w:bCs/>
                <w:color w:val="FF0000"/>
                <w:sz w:val="18"/>
                <w:szCs w:val="18"/>
                <w:highlight w:val="none"/>
                <w:lang w:val="en-US" w:eastAsia="zh-CN"/>
              </w:rPr>
              <w:t>3</w:t>
            </w:r>
          </w:p>
        </w:tc>
        <w:tc>
          <w:tcPr>
            <w:tcW w:w="398" w:type="dxa"/>
            <w:vMerge w:val="continue"/>
            <w:shd w:val="clear" w:color="auto" w:fill="FFFFFF"/>
            <w:tcMar>
              <w:top w:w="0" w:type="dxa"/>
              <w:left w:w="0" w:type="dxa"/>
              <w:bottom w:w="0" w:type="dxa"/>
              <w:right w:w="0" w:type="dxa"/>
            </w:tcMar>
            <w:vAlign w:val="center"/>
          </w:tcPr>
          <w:p w14:paraId="683834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shd w:val="clear" w:color="auto" w:fill="FFFFFF"/>
            <w:tcMar>
              <w:top w:w="0" w:type="dxa"/>
              <w:left w:w="0" w:type="dxa"/>
              <w:bottom w:w="0" w:type="dxa"/>
              <w:right w:w="0" w:type="dxa"/>
            </w:tcMar>
            <w:vAlign w:val="center"/>
          </w:tcPr>
          <w:p w14:paraId="45729D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喷枪</w:t>
            </w:r>
          </w:p>
        </w:tc>
        <w:tc>
          <w:tcPr>
            <w:tcW w:w="712" w:type="dxa"/>
            <w:shd w:val="clear" w:color="auto" w:fill="FFFFFF"/>
            <w:tcMar>
              <w:top w:w="0" w:type="dxa"/>
              <w:left w:w="0" w:type="dxa"/>
              <w:bottom w:w="0" w:type="dxa"/>
              <w:right w:w="0" w:type="dxa"/>
            </w:tcMar>
            <w:vAlign w:val="center"/>
          </w:tcPr>
          <w:p w14:paraId="217317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75</w:t>
            </w:r>
          </w:p>
        </w:tc>
        <w:tc>
          <w:tcPr>
            <w:tcW w:w="578" w:type="dxa"/>
            <w:vMerge w:val="continue"/>
            <w:shd w:val="clear" w:color="auto" w:fill="FFFFFF"/>
            <w:tcMar>
              <w:top w:w="0" w:type="dxa"/>
              <w:left w:w="0" w:type="dxa"/>
              <w:bottom w:w="0" w:type="dxa"/>
              <w:right w:w="0" w:type="dxa"/>
            </w:tcMar>
            <w:vAlign w:val="center"/>
          </w:tcPr>
          <w:p w14:paraId="3C7260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rPr>
            </w:pPr>
          </w:p>
        </w:tc>
        <w:tc>
          <w:tcPr>
            <w:tcW w:w="500" w:type="dxa"/>
            <w:shd w:val="clear" w:color="auto" w:fill="FFFFFF"/>
            <w:tcMar>
              <w:top w:w="0" w:type="dxa"/>
              <w:left w:w="0" w:type="dxa"/>
              <w:bottom w:w="0" w:type="dxa"/>
              <w:right w:w="0" w:type="dxa"/>
            </w:tcMar>
            <w:vAlign w:val="center"/>
          </w:tcPr>
          <w:p w14:paraId="408AEA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-42.2</w:t>
            </w:r>
          </w:p>
        </w:tc>
        <w:tc>
          <w:tcPr>
            <w:tcW w:w="520" w:type="dxa"/>
            <w:shd w:val="clear" w:color="auto" w:fill="FFFFFF"/>
            <w:tcMar>
              <w:top w:w="0" w:type="dxa"/>
              <w:left w:w="0" w:type="dxa"/>
              <w:bottom w:w="0" w:type="dxa"/>
              <w:right w:w="0" w:type="dxa"/>
            </w:tcMar>
            <w:vAlign w:val="center"/>
          </w:tcPr>
          <w:p w14:paraId="119DF9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-3.4</w:t>
            </w:r>
          </w:p>
        </w:tc>
        <w:tc>
          <w:tcPr>
            <w:tcW w:w="480" w:type="dxa"/>
            <w:shd w:val="clear" w:color="auto" w:fill="FFFFFF"/>
            <w:tcMar>
              <w:top w:w="0" w:type="dxa"/>
              <w:left w:w="0" w:type="dxa"/>
              <w:bottom w:w="0" w:type="dxa"/>
              <w:right w:w="0" w:type="dxa"/>
            </w:tcMar>
            <w:vAlign w:val="center"/>
          </w:tcPr>
          <w:p w14:paraId="005B34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w:t>
            </w:r>
          </w:p>
        </w:tc>
        <w:tc>
          <w:tcPr>
            <w:tcW w:w="500" w:type="dxa"/>
            <w:shd w:val="clear" w:color="auto" w:fill="FFFFFF"/>
            <w:tcMar>
              <w:top w:w="0" w:type="dxa"/>
              <w:left w:w="0" w:type="dxa"/>
              <w:bottom w:w="0" w:type="dxa"/>
              <w:right w:w="0" w:type="dxa"/>
            </w:tcMar>
            <w:vAlign w:val="center"/>
          </w:tcPr>
          <w:p w14:paraId="401B05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16.1</w:t>
            </w:r>
          </w:p>
        </w:tc>
        <w:tc>
          <w:tcPr>
            <w:tcW w:w="500" w:type="dxa"/>
            <w:shd w:val="clear" w:color="auto" w:fill="FFFFFF"/>
            <w:tcMar>
              <w:top w:w="0" w:type="dxa"/>
              <w:left w:w="0" w:type="dxa"/>
              <w:bottom w:w="0" w:type="dxa"/>
              <w:right w:w="0" w:type="dxa"/>
            </w:tcMar>
            <w:vAlign w:val="center"/>
          </w:tcPr>
          <w:p w14:paraId="326E8C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15.2</w:t>
            </w:r>
          </w:p>
        </w:tc>
        <w:tc>
          <w:tcPr>
            <w:tcW w:w="500" w:type="dxa"/>
            <w:shd w:val="clear" w:color="auto" w:fill="FFFFFF"/>
            <w:tcMar>
              <w:top w:w="0" w:type="dxa"/>
              <w:left w:w="0" w:type="dxa"/>
              <w:bottom w:w="0" w:type="dxa"/>
              <w:right w:w="0" w:type="dxa"/>
            </w:tcMar>
            <w:vAlign w:val="center"/>
          </w:tcPr>
          <w:p w14:paraId="286F80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40.6</w:t>
            </w:r>
          </w:p>
        </w:tc>
        <w:tc>
          <w:tcPr>
            <w:tcW w:w="500" w:type="dxa"/>
            <w:shd w:val="clear" w:color="auto" w:fill="FFFFFF"/>
            <w:tcMar>
              <w:top w:w="0" w:type="dxa"/>
              <w:left w:w="0" w:type="dxa"/>
              <w:bottom w:w="0" w:type="dxa"/>
              <w:right w:w="0" w:type="dxa"/>
            </w:tcMar>
            <w:vAlign w:val="center"/>
          </w:tcPr>
          <w:p w14:paraId="4ABE36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4.6</w:t>
            </w:r>
          </w:p>
        </w:tc>
        <w:tc>
          <w:tcPr>
            <w:tcW w:w="500" w:type="dxa"/>
            <w:shd w:val="clear" w:color="auto" w:fill="FFFFFF"/>
            <w:tcMar>
              <w:top w:w="0" w:type="dxa"/>
              <w:left w:w="0" w:type="dxa"/>
              <w:bottom w:w="0" w:type="dxa"/>
              <w:right w:w="0" w:type="dxa"/>
            </w:tcMar>
            <w:vAlign w:val="center"/>
          </w:tcPr>
          <w:p w14:paraId="5EE6B7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00" w:type="dxa"/>
            <w:shd w:val="clear" w:color="auto" w:fill="FFFFFF"/>
            <w:tcMar>
              <w:top w:w="0" w:type="dxa"/>
              <w:left w:w="0" w:type="dxa"/>
              <w:bottom w:w="0" w:type="dxa"/>
              <w:right w:w="0" w:type="dxa"/>
            </w:tcMar>
            <w:vAlign w:val="center"/>
          </w:tcPr>
          <w:p w14:paraId="262F74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58.0</w:t>
            </w:r>
          </w:p>
        </w:tc>
        <w:tc>
          <w:tcPr>
            <w:tcW w:w="585" w:type="dxa"/>
            <w:shd w:val="clear" w:color="auto" w:fill="FFFFFF"/>
            <w:tcMar>
              <w:top w:w="0" w:type="dxa"/>
              <w:left w:w="0" w:type="dxa"/>
              <w:bottom w:w="0" w:type="dxa"/>
              <w:right w:w="0" w:type="dxa"/>
            </w:tcMar>
            <w:vAlign w:val="center"/>
          </w:tcPr>
          <w:p w14:paraId="10C45F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70" w:type="dxa"/>
            <w:shd w:val="clear" w:color="auto" w:fill="FFFFFF"/>
            <w:tcMar>
              <w:top w:w="0" w:type="dxa"/>
              <w:left w:w="0" w:type="dxa"/>
              <w:bottom w:w="0" w:type="dxa"/>
              <w:right w:w="0" w:type="dxa"/>
            </w:tcMar>
            <w:vAlign w:val="center"/>
          </w:tcPr>
          <w:p w14:paraId="1A2A4E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58.7</w:t>
            </w:r>
          </w:p>
        </w:tc>
        <w:tc>
          <w:tcPr>
            <w:tcW w:w="343" w:type="dxa"/>
            <w:vMerge w:val="continue"/>
            <w:shd w:val="clear" w:color="auto" w:fill="FFFFFF"/>
            <w:tcMar>
              <w:top w:w="0" w:type="dxa"/>
              <w:left w:w="0" w:type="dxa"/>
              <w:bottom w:w="0" w:type="dxa"/>
              <w:right w:w="0" w:type="dxa"/>
            </w:tcMar>
            <w:vAlign w:val="center"/>
          </w:tcPr>
          <w:p w14:paraId="6008A2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p>
        </w:tc>
        <w:tc>
          <w:tcPr>
            <w:tcW w:w="546" w:type="dxa"/>
            <w:shd w:val="clear" w:color="auto" w:fill="FFFFFF"/>
            <w:tcMar>
              <w:top w:w="0" w:type="dxa"/>
              <w:left w:w="0" w:type="dxa"/>
              <w:bottom w:w="0" w:type="dxa"/>
              <w:right w:w="0" w:type="dxa"/>
            </w:tcMar>
            <w:vAlign w:val="center"/>
          </w:tcPr>
          <w:p w14:paraId="52950C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36E0EF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40EF3E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206EAB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B119A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17D629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32.0</w:t>
            </w:r>
          </w:p>
        </w:tc>
        <w:tc>
          <w:tcPr>
            <w:tcW w:w="546" w:type="dxa"/>
            <w:shd w:val="clear" w:color="auto" w:fill="FFFFFF"/>
            <w:tcMar>
              <w:top w:w="0" w:type="dxa"/>
              <w:left w:w="0" w:type="dxa"/>
              <w:bottom w:w="0" w:type="dxa"/>
              <w:right w:w="0" w:type="dxa"/>
            </w:tcMar>
            <w:vAlign w:val="center"/>
          </w:tcPr>
          <w:p w14:paraId="2800DC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1DBDCC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32.7</w:t>
            </w:r>
          </w:p>
        </w:tc>
        <w:tc>
          <w:tcPr>
            <w:tcW w:w="550" w:type="dxa"/>
            <w:shd w:val="clear" w:color="auto" w:fill="FFFFFF"/>
            <w:tcMar>
              <w:top w:w="0" w:type="dxa"/>
              <w:left w:w="0" w:type="dxa"/>
              <w:bottom w:w="0" w:type="dxa"/>
              <w:right w:w="0" w:type="dxa"/>
            </w:tcMar>
            <w:vAlign w:val="center"/>
          </w:tcPr>
          <w:p w14:paraId="3DDE2C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5218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204E58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b w:val="0"/>
                <w:bCs/>
                <w:color w:val="FF0000"/>
                <w:sz w:val="18"/>
                <w:szCs w:val="18"/>
                <w:highlight w:val="none"/>
                <w:lang w:val="en-US" w:eastAsia="zh-CN"/>
              </w:rPr>
              <w:t>4</w:t>
            </w:r>
          </w:p>
        </w:tc>
        <w:tc>
          <w:tcPr>
            <w:tcW w:w="398" w:type="dxa"/>
            <w:vMerge w:val="continue"/>
            <w:shd w:val="clear" w:color="auto" w:fill="FFFFFF"/>
            <w:tcMar>
              <w:top w:w="0" w:type="dxa"/>
              <w:left w:w="0" w:type="dxa"/>
              <w:bottom w:w="0" w:type="dxa"/>
              <w:right w:w="0" w:type="dxa"/>
            </w:tcMar>
            <w:vAlign w:val="center"/>
          </w:tcPr>
          <w:p w14:paraId="0C2533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shd w:val="clear" w:color="auto" w:fill="FFFFFF"/>
            <w:tcMar>
              <w:top w:w="0" w:type="dxa"/>
              <w:left w:w="0" w:type="dxa"/>
              <w:bottom w:w="0" w:type="dxa"/>
              <w:right w:w="0" w:type="dxa"/>
            </w:tcMar>
            <w:vAlign w:val="center"/>
          </w:tcPr>
          <w:p w14:paraId="13D529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喷枪</w:t>
            </w:r>
          </w:p>
        </w:tc>
        <w:tc>
          <w:tcPr>
            <w:tcW w:w="712" w:type="dxa"/>
            <w:shd w:val="clear" w:color="auto" w:fill="FFFFFF"/>
            <w:tcMar>
              <w:top w:w="0" w:type="dxa"/>
              <w:left w:w="0" w:type="dxa"/>
              <w:bottom w:w="0" w:type="dxa"/>
              <w:right w:w="0" w:type="dxa"/>
            </w:tcMar>
            <w:vAlign w:val="center"/>
          </w:tcPr>
          <w:p w14:paraId="2E0F55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75</w:t>
            </w:r>
          </w:p>
        </w:tc>
        <w:tc>
          <w:tcPr>
            <w:tcW w:w="578" w:type="dxa"/>
            <w:vMerge w:val="continue"/>
            <w:shd w:val="clear" w:color="auto" w:fill="FFFFFF"/>
            <w:tcMar>
              <w:top w:w="0" w:type="dxa"/>
              <w:left w:w="0" w:type="dxa"/>
              <w:bottom w:w="0" w:type="dxa"/>
              <w:right w:w="0" w:type="dxa"/>
            </w:tcMar>
            <w:vAlign w:val="center"/>
          </w:tcPr>
          <w:p w14:paraId="08F2AE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rPr>
            </w:pPr>
          </w:p>
        </w:tc>
        <w:tc>
          <w:tcPr>
            <w:tcW w:w="500" w:type="dxa"/>
            <w:shd w:val="clear" w:color="auto" w:fill="FFFFFF"/>
            <w:tcMar>
              <w:top w:w="0" w:type="dxa"/>
              <w:left w:w="0" w:type="dxa"/>
              <w:bottom w:w="0" w:type="dxa"/>
              <w:right w:w="0" w:type="dxa"/>
            </w:tcMar>
            <w:vAlign w:val="center"/>
          </w:tcPr>
          <w:p w14:paraId="48FE2D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-43.2</w:t>
            </w:r>
          </w:p>
        </w:tc>
        <w:tc>
          <w:tcPr>
            <w:tcW w:w="520" w:type="dxa"/>
            <w:shd w:val="clear" w:color="auto" w:fill="FFFFFF"/>
            <w:tcMar>
              <w:top w:w="0" w:type="dxa"/>
              <w:left w:w="0" w:type="dxa"/>
              <w:bottom w:w="0" w:type="dxa"/>
              <w:right w:w="0" w:type="dxa"/>
            </w:tcMar>
            <w:vAlign w:val="center"/>
          </w:tcPr>
          <w:p w14:paraId="777FBC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-8.6</w:t>
            </w:r>
          </w:p>
        </w:tc>
        <w:tc>
          <w:tcPr>
            <w:tcW w:w="480" w:type="dxa"/>
            <w:shd w:val="clear" w:color="auto" w:fill="FFFFFF"/>
            <w:tcMar>
              <w:top w:w="0" w:type="dxa"/>
              <w:left w:w="0" w:type="dxa"/>
              <w:bottom w:w="0" w:type="dxa"/>
              <w:right w:w="0" w:type="dxa"/>
            </w:tcMar>
            <w:vAlign w:val="center"/>
          </w:tcPr>
          <w:p w14:paraId="70F38C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w:t>
            </w:r>
          </w:p>
        </w:tc>
        <w:tc>
          <w:tcPr>
            <w:tcW w:w="500" w:type="dxa"/>
            <w:shd w:val="clear" w:color="auto" w:fill="FFFFFF"/>
            <w:tcMar>
              <w:top w:w="0" w:type="dxa"/>
              <w:left w:w="0" w:type="dxa"/>
              <w:bottom w:w="0" w:type="dxa"/>
              <w:right w:w="0" w:type="dxa"/>
            </w:tcMar>
            <w:vAlign w:val="center"/>
          </w:tcPr>
          <w:p w14:paraId="3D950B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16.7</w:t>
            </w:r>
          </w:p>
        </w:tc>
        <w:tc>
          <w:tcPr>
            <w:tcW w:w="500" w:type="dxa"/>
            <w:shd w:val="clear" w:color="auto" w:fill="FFFFFF"/>
            <w:tcMar>
              <w:top w:w="0" w:type="dxa"/>
              <w:left w:w="0" w:type="dxa"/>
              <w:bottom w:w="0" w:type="dxa"/>
              <w:right w:w="0" w:type="dxa"/>
            </w:tcMar>
            <w:vAlign w:val="center"/>
          </w:tcPr>
          <w:p w14:paraId="3F58A6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10.0</w:t>
            </w:r>
          </w:p>
        </w:tc>
        <w:tc>
          <w:tcPr>
            <w:tcW w:w="500" w:type="dxa"/>
            <w:shd w:val="clear" w:color="auto" w:fill="FFFFFF"/>
            <w:tcMar>
              <w:top w:w="0" w:type="dxa"/>
              <w:left w:w="0" w:type="dxa"/>
              <w:bottom w:w="0" w:type="dxa"/>
              <w:right w:w="0" w:type="dxa"/>
            </w:tcMar>
            <w:vAlign w:val="center"/>
          </w:tcPr>
          <w:p w14:paraId="407D24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40.1</w:t>
            </w:r>
          </w:p>
        </w:tc>
        <w:tc>
          <w:tcPr>
            <w:tcW w:w="500" w:type="dxa"/>
            <w:shd w:val="clear" w:color="auto" w:fill="FFFFFF"/>
            <w:tcMar>
              <w:top w:w="0" w:type="dxa"/>
              <w:left w:w="0" w:type="dxa"/>
              <w:bottom w:w="0" w:type="dxa"/>
              <w:right w:w="0" w:type="dxa"/>
            </w:tcMar>
            <w:vAlign w:val="center"/>
          </w:tcPr>
          <w:p w14:paraId="333929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9.8</w:t>
            </w:r>
          </w:p>
        </w:tc>
        <w:tc>
          <w:tcPr>
            <w:tcW w:w="500" w:type="dxa"/>
            <w:shd w:val="clear" w:color="auto" w:fill="FFFFFF"/>
            <w:tcMar>
              <w:top w:w="0" w:type="dxa"/>
              <w:left w:w="0" w:type="dxa"/>
              <w:bottom w:w="0" w:type="dxa"/>
              <w:right w:w="0" w:type="dxa"/>
            </w:tcMar>
            <w:vAlign w:val="center"/>
          </w:tcPr>
          <w:p w14:paraId="3FB684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00" w:type="dxa"/>
            <w:shd w:val="clear" w:color="auto" w:fill="FFFFFF"/>
            <w:tcMar>
              <w:top w:w="0" w:type="dxa"/>
              <w:left w:w="0" w:type="dxa"/>
              <w:bottom w:w="0" w:type="dxa"/>
              <w:right w:w="0" w:type="dxa"/>
            </w:tcMar>
            <w:vAlign w:val="center"/>
          </w:tcPr>
          <w:p w14:paraId="3977B7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58.1</w:t>
            </w:r>
          </w:p>
        </w:tc>
        <w:tc>
          <w:tcPr>
            <w:tcW w:w="585" w:type="dxa"/>
            <w:shd w:val="clear" w:color="auto" w:fill="FFFFFF"/>
            <w:tcMar>
              <w:top w:w="0" w:type="dxa"/>
              <w:left w:w="0" w:type="dxa"/>
              <w:bottom w:w="0" w:type="dxa"/>
              <w:right w:w="0" w:type="dxa"/>
            </w:tcMar>
            <w:vAlign w:val="center"/>
          </w:tcPr>
          <w:p w14:paraId="52ACF2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70" w:type="dxa"/>
            <w:shd w:val="clear" w:color="auto" w:fill="FFFFFF"/>
            <w:tcMar>
              <w:top w:w="0" w:type="dxa"/>
              <w:left w:w="0" w:type="dxa"/>
              <w:bottom w:w="0" w:type="dxa"/>
              <w:right w:w="0" w:type="dxa"/>
            </w:tcMar>
            <w:vAlign w:val="center"/>
          </w:tcPr>
          <w:p w14:paraId="45593C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58.1</w:t>
            </w:r>
          </w:p>
        </w:tc>
        <w:tc>
          <w:tcPr>
            <w:tcW w:w="343" w:type="dxa"/>
            <w:vMerge w:val="continue"/>
            <w:shd w:val="clear" w:color="auto" w:fill="FFFFFF"/>
            <w:tcMar>
              <w:top w:w="0" w:type="dxa"/>
              <w:left w:w="0" w:type="dxa"/>
              <w:bottom w:w="0" w:type="dxa"/>
              <w:right w:w="0" w:type="dxa"/>
            </w:tcMar>
            <w:vAlign w:val="center"/>
          </w:tcPr>
          <w:p w14:paraId="7E693E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p>
        </w:tc>
        <w:tc>
          <w:tcPr>
            <w:tcW w:w="546" w:type="dxa"/>
            <w:shd w:val="clear" w:color="auto" w:fill="FFFFFF"/>
            <w:tcMar>
              <w:top w:w="0" w:type="dxa"/>
              <w:left w:w="0" w:type="dxa"/>
              <w:bottom w:w="0" w:type="dxa"/>
              <w:right w:w="0" w:type="dxa"/>
            </w:tcMar>
            <w:vAlign w:val="center"/>
          </w:tcPr>
          <w:p w14:paraId="375C39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1FC83B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70A7B3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E1FDA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643495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74102E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32.1</w:t>
            </w:r>
          </w:p>
        </w:tc>
        <w:tc>
          <w:tcPr>
            <w:tcW w:w="546" w:type="dxa"/>
            <w:shd w:val="clear" w:color="auto" w:fill="FFFFFF"/>
            <w:tcMar>
              <w:top w:w="0" w:type="dxa"/>
              <w:left w:w="0" w:type="dxa"/>
              <w:bottom w:w="0" w:type="dxa"/>
              <w:right w:w="0" w:type="dxa"/>
            </w:tcMar>
            <w:vAlign w:val="center"/>
          </w:tcPr>
          <w:p w14:paraId="25BCA6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116E0C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32.1</w:t>
            </w:r>
          </w:p>
        </w:tc>
        <w:tc>
          <w:tcPr>
            <w:tcW w:w="550" w:type="dxa"/>
            <w:shd w:val="clear" w:color="auto" w:fill="FFFFFF"/>
            <w:tcMar>
              <w:top w:w="0" w:type="dxa"/>
              <w:left w:w="0" w:type="dxa"/>
              <w:bottom w:w="0" w:type="dxa"/>
              <w:right w:w="0" w:type="dxa"/>
            </w:tcMar>
            <w:vAlign w:val="center"/>
          </w:tcPr>
          <w:p w14:paraId="654B29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30F6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194CE6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kern w:val="2"/>
                <w:sz w:val="18"/>
                <w:szCs w:val="18"/>
                <w:highlight w:val="none"/>
                <w:lang w:val="en-US" w:eastAsia="zh-CN" w:bidi="ar-SA"/>
              </w:rPr>
            </w:pPr>
            <w:r>
              <w:rPr>
                <w:rFonts w:hint="default" w:ascii="Times New Roman" w:hAnsi="Times New Roman" w:eastAsia="宋体" w:cs="Times New Roman"/>
                <w:b w:val="0"/>
                <w:bCs/>
                <w:color w:val="FF0000"/>
                <w:sz w:val="18"/>
                <w:szCs w:val="18"/>
                <w:highlight w:val="none"/>
              </w:rPr>
              <w:t>5</w:t>
            </w:r>
          </w:p>
        </w:tc>
        <w:tc>
          <w:tcPr>
            <w:tcW w:w="398" w:type="dxa"/>
            <w:vMerge w:val="continue"/>
            <w:shd w:val="clear" w:color="auto" w:fill="FFFFFF"/>
            <w:tcMar>
              <w:top w:w="0" w:type="dxa"/>
              <w:left w:w="0" w:type="dxa"/>
              <w:bottom w:w="0" w:type="dxa"/>
              <w:right w:w="0" w:type="dxa"/>
            </w:tcMar>
            <w:vAlign w:val="center"/>
          </w:tcPr>
          <w:p w14:paraId="17E873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shd w:val="clear" w:color="auto" w:fill="FFFFFF"/>
            <w:tcMar>
              <w:top w:w="0" w:type="dxa"/>
              <w:left w:w="0" w:type="dxa"/>
              <w:bottom w:w="0" w:type="dxa"/>
              <w:right w:w="0" w:type="dxa"/>
            </w:tcMar>
            <w:vAlign w:val="center"/>
          </w:tcPr>
          <w:p w14:paraId="6F9D28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燃烧机</w:t>
            </w:r>
          </w:p>
        </w:tc>
        <w:tc>
          <w:tcPr>
            <w:tcW w:w="712" w:type="dxa"/>
            <w:shd w:val="clear" w:color="auto" w:fill="FFFFFF"/>
            <w:tcMar>
              <w:top w:w="0" w:type="dxa"/>
              <w:left w:w="0" w:type="dxa"/>
              <w:bottom w:w="0" w:type="dxa"/>
              <w:right w:w="0" w:type="dxa"/>
            </w:tcMar>
            <w:vAlign w:val="center"/>
          </w:tcPr>
          <w:p w14:paraId="1D12FC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79</w:t>
            </w:r>
          </w:p>
        </w:tc>
        <w:tc>
          <w:tcPr>
            <w:tcW w:w="578" w:type="dxa"/>
            <w:vMerge w:val="continue"/>
            <w:shd w:val="clear" w:color="auto" w:fill="FFFFFF"/>
            <w:tcMar>
              <w:top w:w="0" w:type="dxa"/>
              <w:left w:w="0" w:type="dxa"/>
              <w:bottom w:w="0" w:type="dxa"/>
              <w:right w:w="0" w:type="dxa"/>
            </w:tcMar>
            <w:vAlign w:val="center"/>
          </w:tcPr>
          <w:p w14:paraId="5050B7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rPr>
            </w:pPr>
          </w:p>
        </w:tc>
        <w:tc>
          <w:tcPr>
            <w:tcW w:w="500" w:type="dxa"/>
            <w:shd w:val="clear" w:color="auto" w:fill="FFFFFF"/>
            <w:tcMar>
              <w:top w:w="0" w:type="dxa"/>
              <w:left w:w="0" w:type="dxa"/>
              <w:bottom w:w="0" w:type="dxa"/>
              <w:right w:w="0" w:type="dxa"/>
            </w:tcMar>
            <w:vAlign w:val="center"/>
          </w:tcPr>
          <w:p w14:paraId="5B10C5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-58.3</w:t>
            </w:r>
          </w:p>
        </w:tc>
        <w:tc>
          <w:tcPr>
            <w:tcW w:w="520" w:type="dxa"/>
            <w:shd w:val="clear" w:color="auto" w:fill="FFFFFF"/>
            <w:tcMar>
              <w:top w:w="0" w:type="dxa"/>
              <w:left w:w="0" w:type="dxa"/>
              <w:bottom w:w="0" w:type="dxa"/>
              <w:right w:w="0" w:type="dxa"/>
            </w:tcMar>
            <w:vAlign w:val="center"/>
          </w:tcPr>
          <w:p w14:paraId="5D206D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-5.5</w:t>
            </w:r>
          </w:p>
        </w:tc>
        <w:tc>
          <w:tcPr>
            <w:tcW w:w="480" w:type="dxa"/>
            <w:shd w:val="clear" w:color="auto" w:fill="FFFFFF"/>
            <w:tcMar>
              <w:top w:w="0" w:type="dxa"/>
              <w:left w:w="0" w:type="dxa"/>
              <w:bottom w:w="0" w:type="dxa"/>
              <w:right w:w="0" w:type="dxa"/>
            </w:tcMar>
            <w:vAlign w:val="center"/>
          </w:tcPr>
          <w:p w14:paraId="760B26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1.2</w:t>
            </w:r>
          </w:p>
        </w:tc>
        <w:tc>
          <w:tcPr>
            <w:tcW w:w="500" w:type="dxa"/>
            <w:shd w:val="clear" w:color="auto" w:fill="FFFFFF"/>
            <w:tcMar>
              <w:top w:w="0" w:type="dxa"/>
              <w:left w:w="0" w:type="dxa"/>
              <w:bottom w:w="0" w:type="dxa"/>
              <w:right w:w="0" w:type="dxa"/>
            </w:tcMar>
            <w:vAlign w:val="center"/>
          </w:tcPr>
          <w:p w14:paraId="59AF2C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32.0</w:t>
            </w:r>
          </w:p>
        </w:tc>
        <w:tc>
          <w:tcPr>
            <w:tcW w:w="500" w:type="dxa"/>
            <w:shd w:val="clear" w:color="auto" w:fill="FFFFFF"/>
            <w:tcMar>
              <w:top w:w="0" w:type="dxa"/>
              <w:left w:w="0" w:type="dxa"/>
              <w:bottom w:w="0" w:type="dxa"/>
              <w:right w:w="0" w:type="dxa"/>
            </w:tcMar>
            <w:vAlign w:val="center"/>
          </w:tcPr>
          <w:p w14:paraId="71E6D3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11.5</w:t>
            </w:r>
          </w:p>
        </w:tc>
        <w:tc>
          <w:tcPr>
            <w:tcW w:w="500" w:type="dxa"/>
            <w:shd w:val="clear" w:color="auto" w:fill="FFFFFF"/>
            <w:tcMar>
              <w:top w:w="0" w:type="dxa"/>
              <w:left w:w="0" w:type="dxa"/>
              <w:bottom w:w="0" w:type="dxa"/>
              <w:right w:w="0" w:type="dxa"/>
            </w:tcMar>
            <w:vAlign w:val="center"/>
          </w:tcPr>
          <w:p w14:paraId="58F5A5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24.8</w:t>
            </w:r>
          </w:p>
        </w:tc>
        <w:tc>
          <w:tcPr>
            <w:tcW w:w="500" w:type="dxa"/>
            <w:shd w:val="clear" w:color="auto" w:fill="FFFFFF"/>
            <w:tcMar>
              <w:top w:w="0" w:type="dxa"/>
              <w:left w:w="0" w:type="dxa"/>
              <w:bottom w:w="0" w:type="dxa"/>
              <w:right w:w="0" w:type="dxa"/>
            </w:tcMar>
            <w:vAlign w:val="center"/>
          </w:tcPr>
          <w:p w14:paraId="767F8E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8.6</w:t>
            </w:r>
          </w:p>
        </w:tc>
        <w:tc>
          <w:tcPr>
            <w:tcW w:w="500" w:type="dxa"/>
            <w:shd w:val="clear" w:color="auto" w:fill="FFFFFF"/>
            <w:tcMar>
              <w:top w:w="0" w:type="dxa"/>
              <w:left w:w="0" w:type="dxa"/>
              <w:bottom w:w="0" w:type="dxa"/>
              <w:right w:w="0" w:type="dxa"/>
            </w:tcMar>
            <w:vAlign w:val="center"/>
          </w:tcPr>
          <w:p w14:paraId="18D9DB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61.9</w:t>
            </w:r>
          </w:p>
        </w:tc>
        <w:tc>
          <w:tcPr>
            <w:tcW w:w="500" w:type="dxa"/>
            <w:shd w:val="clear" w:color="auto" w:fill="FFFFFF"/>
            <w:tcMar>
              <w:top w:w="0" w:type="dxa"/>
              <w:left w:w="0" w:type="dxa"/>
              <w:bottom w:w="0" w:type="dxa"/>
              <w:right w:w="0" w:type="dxa"/>
            </w:tcMar>
            <w:vAlign w:val="center"/>
          </w:tcPr>
          <w:p w14:paraId="7FF2E7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62.0</w:t>
            </w:r>
          </w:p>
        </w:tc>
        <w:tc>
          <w:tcPr>
            <w:tcW w:w="585" w:type="dxa"/>
            <w:shd w:val="clear" w:color="auto" w:fill="FFFFFF"/>
            <w:tcMar>
              <w:top w:w="0" w:type="dxa"/>
              <w:left w:w="0" w:type="dxa"/>
              <w:bottom w:w="0" w:type="dxa"/>
              <w:right w:w="0" w:type="dxa"/>
            </w:tcMar>
            <w:vAlign w:val="center"/>
          </w:tcPr>
          <w:p w14:paraId="525138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61.9</w:t>
            </w:r>
          </w:p>
        </w:tc>
        <w:tc>
          <w:tcPr>
            <w:tcW w:w="570" w:type="dxa"/>
            <w:shd w:val="clear" w:color="auto" w:fill="FFFFFF"/>
            <w:tcMar>
              <w:top w:w="0" w:type="dxa"/>
              <w:left w:w="0" w:type="dxa"/>
              <w:bottom w:w="0" w:type="dxa"/>
              <w:right w:w="0" w:type="dxa"/>
            </w:tcMar>
            <w:vAlign w:val="center"/>
          </w:tcPr>
          <w:p w14:paraId="5A5E64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62.1</w:t>
            </w:r>
          </w:p>
        </w:tc>
        <w:tc>
          <w:tcPr>
            <w:tcW w:w="343" w:type="dxa"/>
            <w:vMerge w:val="continue"/>
            <w:shd w:val="clear" w:color="auto" w:fill="FFFFFF"/>
            <w:tcMar>
              <w:top w:w="0" w:type="dxa"/>
              <w:left w:w="0" w:type="dxa"/>
              <w:bottom w:w="0" w:type="dxa"/>
              <w:right w:w="0" w:type="dxa"/>
            </w:tcMar>
            <w:vAlign w:val="center"/>
          </w:tcPr>
          <w:p w14:paraId="7CA0E6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p>
        </w:tc>
        <w:tc>
          <w:tcPr>
            <w:tcW w:w="546" w:type="dxa"/>
            <w:shd w:val="clear" w:color="auto" w:fill="FFFFFF"/>
            <w:tcMar>
              <w:top w:w="0" w:type="dxa"/>
              <w:left w:w="0" w:type="dxa"/>
              <w:bottom w:w="0" w:type="dxa"/>
              <w:right w:w="0" w:type="dxa"/>
            </w:tcMar>
            <w:vAlign w:val="center"/>
          </w:tcPr>
          <w:p w14:paraId="486B1A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269477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0EFB4E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41D0D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4E4656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35.9</w:t>
            </w:r>
          </w:p>
        </w:tc>
        <w:tc>
          <w:tcPr>
            <w:tcW w:w="546" w:type="dxa"/>
            <w:shd w:val="clear" w:color="auto" w:fill="FFFFFF"/>
            <w:tcMar>
              <w:top w:w="0" w:type="dxa"/>
              <w:left w:w="0" w:type="dxa"/>
              <w:bottom w:w="0" w:type="dxa"/>
              <w:right w:w="0" w:type="dxa"/>
            </w:tcMar>
            <w:vAlign w:val="center"/>
          </w:tcPr>
          <w:p w14:paraId="544B5E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36.0</w:t>
            </w:r>
          </w:p>
        </w:tc>
        <w:tc>
          <w:tcPr>
            <w:tcW w:w="546" w:type="dxa"/>
            <w:shd w:val="clear" w:color="auto" w:fill="FFFFFF"/>
            <w:tcMar>
              <w:top w:w="0" w:type="dxa"/>
              <w:left w:w="0" w:type="dxa"/>
              <w:bottom w:w="0" w:type="dxa"/>
              <w:right w:w="0" w:type="dxa"/>
            </w:tcMar>
            <w:vAlign w:val="center"/>
          </w:tcPr>
          <w:p w14:paraId="212DAF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35.9</w:t>
            </w:r>
          </w:p>
        </w:tc>
        <w:tc>
          <w:tcPr>
            <w:tcW w:w="546" w:type="dxa"/>
            <w:shd w:val="clear" w:color="auto" w:fill="FFFFFF"/>
            <w:tcMar>
              <w:top w:w="0" w:type="dxa"/>
              <w:left w:w="0" w:type="dxa"/>
              <w:bottom w:w="0" w:type="dxa"/>
              <w:right w:w="0" w:type="dxa"/>
            </w:tcMar>
            <w:vAlign w:val="center"/>
          </w:tcPr>
          <w:p w14:paraId="085286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36.1</w:t>
            </w:r>
          </w:p>
        </w:tc>
        <w:tc>
          <w:tcPr>
            <w:tcW w:w="550" w:type="dxa"/>
            <w:shd w:val="clear" w:color="auto" w:fill="FFFFFF"/>
            <w:tcMar>
              <w:top w:w="0" w:type="dxa"/>
              <w:left w:w="0" w:type="dxa"/>
              <w:bottom w:w="0" w:type="dxa"/>
              <w:right w:w="0" w:type="dxa"/>
            </w:tcMar>
            <w:vAlign w:val="center"/>
          </w:tcPr>
          <w:p w14:paraId="062437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3C90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4F772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kern w:val="2"/>
                <w:sz w:val="18"/>
                <w:szCs w:val="18"/>
                <w:highlight w:val="none"/>
                <w:lang w:val="en-US" w:eastAsia="zh-CN" w:bidi="ar-SA"/>
              </w:rPr>
            </w:pPr>
            <w:r>
              <w:rPr>
                <w:rFonts w:hint="default" w:ascii="Times New Roman" w:hAnsi="Times New Roman" w:eastAsia="宋体" w:cs="Times New Roman"/>
                <w:b w:val="0"/>
                <w:bCs/>
                <w:color w:val="FF0000"/>
                <w:kern w:val="2"/>
                <w:sz w:val="18"/>
                <w:szCs w:val="18"/>
                <w:highlight w:val="none"/>
                <w:lang w:val="en-US" w:eastAsia="zh-CN" w:bidi="ar-SA"/>
              </w:rPr>
              <w:t>6</w:t>
            </w:r>
          </w:p>
        </w:tc>
        <w:tc>
          <w:tcPr>
            <w:tcW w:w="398" w:type="dxa"/>
            <w:vMerge w:val="continue"/>
            <w:shd w:val="clear" w:color="auto" w:fill="FFFFFF"/>
            <w:tcMar>
              <w:top w:w="0" w:type="dxa"/>
              <w:left w:w="0" w:type="dxa"/>
              <w:bottom w:w="0" w:type="dxa"/>
              <w:right w:w="0" w:type="dxa"/>
            </w:tcMar>
            <w:vAlign w:val="center"/>
          </w:tcPr>
          <w:p w14:paraId="38E432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rPr>
            </w:pPr>
          </w:p>
        </w:tc>
        <w:tc>
          <w:tcPr>
            <w:tcW w:w="847" w:type="dxa"/>
            <w:shd w:val="clear" w:color="auto" w:fill="FFFFFF"/>
            <w:tcMar>
              <w:top w:w="0" w:type="dxa"/>
              <w:left w:w="0" w:type="dxa"/>
              <w:bottom w:w="0" w:type="dxa"/>
              <w:right w:w="0" w:type="dxa"/>
            </w:tcMar>
            <w:vAlign w:val="center"/>
          </w:tcPr>
          <w:p w14:paraId="6C6BDE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空压机</w:t>
            </w:r>
          </w:p>
        </w:tc>
        <w:tc>
          <w:tcPr>
            <w:tcW w:w="712" w:type="dxa"/>
            <w:shd w:val="clear" w:color="auto" w:fill="FFFFFF"/>
            <w:tcMar>
              <w:top w:w="0" w:type="dxa"/>
              <w:left w:w="0" w:type="dxa"/>
              <w:bottom w:w="0" w:type="dxa"/>
              <w:right w:w="0" w:type="dxa"/>
            </w:tcMar>
            <w:vAlign w:val="center"/>
          </w:tcPr>
          <w:p w14:paraId="413ECF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r>
              <w:rPr>
                <w:rFonts w:hint="default" w:ascii="Times New Roman" w:hAnsi="Times New Roman" w:eastAsia="宋体" w:cs="Times New Roman"/>
                <w:color w:val="FF0000"/>
                <w:sz w:val="18"/>
                <w:szCs w:val="18"/>
              </w:rPr>
              <w:t>80</w:t>
            </w:r>
          </w:p>
        </w:tc>
        <w:tc>
          <w:tcPr>
            <w:tcW w:w="578" w:type="dxa"/>
            <w:vMerge w:val="continue"/>
            <w:shd w:val="clear" w:color="auto" w:fill="FFFFFF"/>
            <w:tcMar>
              <w:top w:w="0" w:type="dxa"/>
              <w:left w:w="0" w:type="dxa"/>
              <w:bottom w:w="0" w:type="dxa"/>
              <w:right w:w="0" w:type="dxa"/>
            </w:tcMar>
            <w:vAlign w:val="center"/>
          </w:tcPr>
          <w:p w14:paraId="565098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00" w:type="dxa"/>
            <w:shd w:val="clear" w:color="auto" w:fill="FFFFFF"/>
            <w:tcMar>
              <w:top w:w="0" w:type="dxa"/>
              <w:left w:w="0" w:type="dxa"/>
              <w:bottom w:w="0" w:type="dxa"/>
              <w:right w:w="0" w:type="dxa"/>
            </w:tcMar>
            <w:vAlign w:val="center"/>
          </w:tcPr>
          <w:p w14:paraId="7AA1A5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-49.5</w:t>
            </w:r>
          </w:p>
        </w:tc>
        <w:tc>
          <w:tcPr>
            <w:tcW w:w="520" w:type="dxa"/>
            <w:shd w:val="clear" w:color="auto" w:fill="FFFFFF"/>
            <w:tcMar>
              <w:top w:w="0" w:type="dxa"/>
              <w:left w:w="0" w:type="dxa"/>
              <w:bottom w:w="0" w:type="dxa"/>
              <w:right w:w="0" w:type="dxa"/>
            </w:tcMar>
            <w:vAlign w:val="center"/>
          </w:tcPr>
          <w:p w14:paraId="2BF1A9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-3.4</w:t>
            </w:r>
          </w:p>
        </w:tc>
        <w:tc>
          <w:tcPr>
            <w:tcW w:w="480" w:type="dxa"/>
            <w:shd w:val="clear" w:color="auto" w:fill="FFFFFF"/>
            <w:tcMar>
              <w:top w:w="0" w:type="dxa"/>
              <w:left w:w="0" w:type="dxa"/>
              <w:bottom w:w="0" w:type="dxa"/>
              <w:right w:w="0" w:type="dxa"/>
            </w:tcMar>
            <w:vAlign w:val="center"/>
          </w:tcPr>
          <w:p w14:paraId="59308B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1.2</w:t>
            </w:r>
          </w:p>
        </w:tc>
        <w:tc>
          <w:tcPr>
            <w:tcW w:w="500" w:type="dxa"/>
            <w:shd w:val="clear" w:color="auto" w:fill="FFFFFF"/>
            <w:tcMar>
              <w:top w:w="0" w:type="dxa"/>
              <w:left w:w="0" w:type="dxa"/>
              <w:bottom w:w="0" w:type="dxa"/>
              <w:right w:w="0" w:type="dxa"/>
            </w:tcMar>
            <w:vAlign w:val="center"/>
          </w:tcPr>
          <w:p w14:paraId="13C099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23.4</w:t>
            </w:r>
          </w:p>
        </w:tc>
        <w:tc>
          <w:tcPr>
            <w:tcW w:w="500" w:type="dxa"/>
            <w:shd w:val="clear" w:color="auto" w:fill="FFFFFF"/>
            <w:tcMar>
              <w:top w:w="0" w:type="dxa"/>
              <w:left w:w="0" w:type="dxa"/>
              <w:bottom w:w="0" w:type="dxa"/>
              <w:right w:w="0" w:type="dxa"/>
            </w:tcMar>
            <w:vAlign w:val="center"/>
          </w:tcPr>
          <w:p w14:paraId="172E56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14.5</w:t>
            </w:r>
          </w:p>
        </w:tc>
        <w:tc>
          <w:tcPr>
            <w:tcW w:w="500" w:type="dxa"/>
            <w:shd w:val="clear" w:color="auto" w:fill="FFFFFF"/>
            <w:tcMar>
              <w:top w:w="0" w:type="dxa"/>
              <w:left w:w="0" w:type="dxa"/>
              <w:bottom w:w="0" w:type="dxa"/>
              <w:right w:w="0" w:type="dxa"/>
            </w:tcMar>
            <w:vAlign w:val="center"/>
          </w:tcPr>
          <w:p w14:paraId="27B54E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33.3</w:t>
            </w:r>
          </w:p>
        </w:tc>
        <w:tc>
          <w:tcPr>
            <w:tcW w:w="500" w:type="dxa"/>
            <w:shd w:val="clear" w:color="auto" w:fill="FFFFFF"/>
            <w:tcMar>
              <w:top w:w="0" w:type="dxa"/>
              <w:left w:w="0" w:type="dxa"/>
              <w:bottom w:w="0" w:type="dxa"/>
              <w:right w:w="0" w:type="dxa"/>
            </w:tcMar>
            <w:vAlign w:val="center"/>
          </w:tcPr>
          <w:p w14:paraId="4BAD24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5.4</w:t>
            </w:r>
          </w:p>
        </w:tc>
        <w:tc>
          <w:tcPr>
            <w:tcW w:w="500" w:type="dxa"/>
            <w:shd w:val="clear" w:color="auto" w:fill="FFFFFF"/>
            <w:tcMar>
              <w:top w:w="0" w:type="dxa"/>
              <w:left w:w="0" w:type="dxa"/>
              <w:bottom w:w="0" w:type="dxa"/>
              <w:right w:w="0" w:type="dxa"/>
            </w:tcMar>
            <w:vAlign w:val="center"/>
          </w:tcPr>
          <w:p w14:paraId="1ACC9E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62.9</w:t>
            </w:r>
          </w:p>
        </w:tc>
        <w:tc>
          <w:tcPr>
            <w:tcW w:w="500" w:type="dxa"/>
            <w:shd w:val="clear" w:color="auto" w:fill="FFFFFF"/>
            <w:tcMar>
              <w:top w:w="0" w:type="dxa"/>
              <w:left w:w="0" w:type="dxa"/>
              <w:bottom w:w="0" w:type="dxa"/>
              <w:right w:w="0" w:type="dxa"/>
            </w:tcMar>
            <w:vAlign w:val="center"/>
          </w:tcPr>
          <w:p w14:paraId="2D9ACB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63.0</w:t>
            </w:r>
          </w:p>
        </w:tc>
        <w:tc>
          <w:tcPr>
            <w:tcW w:w="585" w:type="dxa"/>
            <w:shd w:val="clear" w:color="auto" w:fill="FFFFFF"/>
            <w:tcMar>
              <w:top w:w="0" w:type="dxa"/>
              <w:left w:w="0" w:type="dxa"/>
              <w:bottom w:w="0" w:type="dxa"/>
              <w:right w:w="0" w:type="dxa"/>
            </w:tcMar>
            <w:vAlign w:val="center"/>
          </w:tcPr>
          <w:p w14:paraId="7CA879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62.9</w:t>
            </w:r>
          </w:p>
        </w:tc>
        <w:tc>
          <w:tcPr>
            <w:tcW w:w="570" w:type="dxa"/>
            <w:shd w:val="clear" w:color="auto" w:fill="FFFFFF"/>
            <w:tcMar>
              <w:top w:w="0" w:type="dxa"/>
              <w:left w:w="0" w:type="dxa"/>
              <w:bottom w:w="0" w:type="dxa"/>
              <w:right w:w="0" w:type="dxa"/>
            </w:tcMar>
            <w:vAlign w:val="center"/>
          </w:tcPr>
          <w:p w14:paraId="12FB2C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63.5</w:t>
            </w:r>
          </w:p>
        </w:tc>
        <w:tc>
          <w:tcPr>
            <w:tcW w:w="343" w:type="dxa"/>
            <w:vMerge w:val="continue"/>
            <w:shd w:val="clear" w:color="auto" w:fill="FFFFFF"/>
            <w:tcMar>
              <w:top w:w="0" w:type="dxa"/>
              <w:left w:w="0" w:type="dxa"/>
              <w:bottom w:w="0" w:type="dxa"/>
              <w:right w:w="0" w:type="dxa"/>
            </w:tcMar>
            <w:vAlign w:val="center"/>
          </w:tcPr>
          <w:p w14:paraId="6EFF2E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FF0000"/>
                <w:sz w:val="18"/>
                <w:szCs w:val="18"/>
                <w:highlight w:val="none"/>
                <w:lang w:val="en-US" w:eastAsia="zh-CN"/>
              </w:rPr>
            </w:pPr>
          </w:p>
        </w:tc>
        <w:tc>
          <w:tcPr>
            <w:tcW w:w="546" w:type="dxa"/>
            <w:shd w:val="clear" w:color="auto" w:fill="FFFFFF"/>
            <w:tcMar>
              <w:top w:w="0" w:type="dxa"/>
              <w:left w:w="0" w:type="dxa"/>
              <w:bottom w:w="0" w:type="dxa"/>
              <w:right w:w="0" w:type="dxa"/>
            </w:tcMar>
            <w:vAlign w:val="center"/>
          </w:tcPr>
          <w:p w14:paraId="54D77B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7AF371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038549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E2393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74CE6F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36.9</w:t>
            </w:r>
          </w:p>
        </w:tc>
        <w:tc>
          <w:tcPr>
            <w:tcW w:w="546" w:type="dxa"/>
            <w:shd w:val="clear" w:color="auto" w:fill="FFFFFF"/>
            <w:tcMar>
              <w:top w:w="0" w:type="dxa"/>
              <w:left w:w="0" w:type="dxa"/>
              <w:bottom w:w="0" w:type="dxa"/>
              <w:right w:w="0" w:type="dxa"/>
            </w:tcMar>
            <w:vAlign w:val="center"/>
          </w:tcPr>
          <w:p w14:paraId="7B67F9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37.0</w:t>
            </w:r>
          </w:p>
        </w:tc>
        <w:tc>
          <w:tcPr>
            <w:tcW w:w="546" w:type="dxa"/>
            <w:shd w:val="clear" w:color="auto" w:fill="FFFFFF"/>
            <w:tcMar>
              <w:top w:w="0" w:type="dxa"/>
              <w:left w:w="0" w:type="dxa"/>
              <w:bottom w:w="0" w:type="dxa"/>
              <w:right w:w="0" w:type="dxa"/>
            </w:tcMar>
            <w:vAlign w:val="center"/>
          </w:tcPr>
          <w:p w14:paraId="28D499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36.9</w:t>
            </w:r>
          </w:p>
        </w:tc>
        <w:tc>
          <w:tcPr>
            <w:tcW w:w="546" w:type="dxa"/>
            <w:shd w:val="clear" w:color="auto" w:fill="FFFFFF"/>
            <w:tcMar>
              <w:top w:w="0" w:type="dxa"/>
              <w:left w:w="0" w:type="dxa"/>
              <w:bottom w:w="0" w:type="dxa"/>
              <w:right w:w="0" w:type="dxa"/>
            </w:tcMar>
            <w:vAlign w:val="center"/>
          </w:tcPr>
          <w:p w14:paraId="3FE579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37.5</w:t>
            </w:r>
          </w:p>
        </w:tc>
        <w:tc>
          <w:tcPr>
            <w:tcW w:w="550" w:type="dxa"/>
            <w:shd w:val="clear" w:color="auto" w:fill="FFFFFF"/>
            <w:tcMar>
              <w:top w:w="0" w:type="dxa"/>
              <w:left w:w="0" w:type="dxa"/>
              <w:bottom w:w="0" w:type="dxa"/>
              <w:right w:w="0" w:type="dxa"/>
            </w:tcMar>
            <w:vAlign w:val="center"/>
          </w:tcPr>
          <w:p w14:paraId="204E2E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5345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6926FB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7</w:t>
            </w:r>
          </w:p>
        </w:tc>
        <w:tc>
          <w:tcPr>
            <w:tcW w:w="398" w:type="dxa"/>
            <w:vMerge w:val="continue"/>
            <w:shd w:val="clear" w:color="auto" w:fill="FFFFFF"/>
            <w:tcMar>
              <w:top w:w="0" w:type="dxa"/>
              <w:left w:w="0" w:type="dxa"/>
              <w:bottom w:w="0" w:type="dxa"/>
              <w:right w:w="0" w:type="dxa"/>
            </w:tcMar>
            <w:vAlign w:val="center"/>
          </w:tcPr>
          <w:p w14:paraId="62E20A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847" w:type="dxa"/>
            <w:shd w:val="clear" w:color="auto" w:fill="FFFFFF"/>
            <w:tcMar>
              <w:top w:w="0" w:type="dxa"/>
              <w:left w:w="0" w:type="dxa"/>
              <w:bottom w:w="0" w:type="dxa"/>
              <w:right w:w="0" w:type="dxa"/>
            </w:tcMar>
            <w:vAlign w:val="center"/>
          </w:tcPr>
          <w:p w14:paraId="25413B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抛丸风机</w:t>
            </w:r>
          </w:p>
        </w:tc>
        <w:tc>
          <w:tcPr>
            <w:tcW w:w="712" w:type="dxa"/>
            <w:shd w:val="clear" w:color="auto" w:fill="FFFFFF"/>
            <w:tcMar>
              <w:top w:w="0" w:type="dxa"/>
              <w:left w:w="0" w:type="dxa"/>
              <w:bottom w:w="0" w:type="dxa"/>
              <w:right w:w="0" w:type="dxa"/>
            </w:tcMar>
            <w:vAlign w:val="center"/>
          </w:tcPr>
          <w:p w14:paraId="5F1131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80</w:t>
            </w:r>
          </w:p>
        </w:tc>
        <w:tc>
          <w:tcPr>
            <w:tcW w:w="578" w:type="dxa"/>
            <w:vMerge w:val="continue"/>
            <w:shd w:val="clear" w:color="auto" w:fill="FFFFFF"/>
            <w:tcMar>
              <w:top w:w="0" w:type="dxa"/>
              <w:left w:w="0" w:type="dxa"/>
              <w:bottom w:w="0" w:type="dxa"/>
              <w:right w:w="0" w:type="dxa"/>
            </w:tcMar>
            <w:vAlign w:val="center"/>
          </w:tcPr>
          <w:p w14:paraId="762E26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00" w:type="dxa"/>
            <w:shd w:val="clear" w:color="auto" w:fill="FFFFFF"/>
            <w:tcMar>
              <w:top w:w="0" w:type="dxa"/>
              <w:left w:w="0" w:type="dxa"/>
              <w:bottom w:w="0" w:type="dxa"/>
              <w:right w:w="0" w:type="dxa"/>
            </w:tcMar>
            <w:vAlign w:val="center"/>
          </w:tcPr>
          <w:p w14:paraId="64A470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-29.7</w:t>
            </w:r>
          </w:p>
        </w:tc>
        <w:tc>
          <w:tcPr>
            <w:tcW w:w="520" w:type="dxa"/>
            <w:shd w:val="clear" w:color="auto" w:fill="FFFFFF"/>
            <w:tcMar>
              <w:top w:w="0" w:type="dxa"/>
              <w:left w:w="0" w:type="dxa"/>
              <w:bottom w:w="0" w:type="dxa"/>
              <w:right w:w="0" w:type="dxa"/>
            </w:tcMar>
            <w:vAlign w:val="center"/>
          </w:tcPr>
          <w:p w14:paraId="53740C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-10.7</w:t>
            </w:r>
          </w:p>
        </w:tc>
        <w:tc>
          <w:tcPr>
            <w:tcW w:w="480" w:type="dxa"/>
            <w:shd w:val="clear" w:color="auto" w:fill="FFFFFF"/>
            <w:tcMar>
              <w:top w:w="0" w:type="dxa"/>
              <w:left w:w="0" w:type="dxa"/>
              <w:bottom w:w="0" w:type="dxa"/>
              <w:right w:w="0" w:type="dxa"/>
            </w:tcMar>
            <w:vAlign w:val="center"/>
          </w:tcPr>
          <w:p w14:paraId="1D408F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0.5</w:t>
            </w:r>
          </w:p>
        </w:tc>
        <w:tc>
          <w:tcPr>
            <w:tcW w:w="500" w:type="dxa"/>
            <w:shd w:val="clear" w:color="auto" w:fill="FFFFFF"/>
            <w:tcMar>
              <w:top w:w="0" w:type="dxa"/>
              <w:left w:w="0" w:type="dxa"/>
              <w:bottom w:w="0" w:type="dxa"/>
              <w:right w:w="0" w:type="dxa"/>
            </w:tcMar>
            <w:vAlign w:val="center"/>
          </w:tcPr>
          <w:p w14:paraId="1A91B0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w:t>
            </w:r>
          </w:p>
        </w:tc>
        <w:tc>
          <w:tcPr>
            <w:tcW w:w="500" w:type="dxa"/>
            <w:shd w:val="clear" w:color="auto" w:fill="FFFFFF"/>
            <w:tcMar>
              <w:top w:w="0" w:type="dxa"/>
              <w:left w:w="0" w:type="dxa"/>
              <w:bottom w:w="0" w:type="dxa"/>
              <w:right w:w="0" w:type="dxa"/>
            </w:tcMar>
            <w:vAlign w:val="center"/>
          </w:tcPr>
          <w:p w14:paraId="105D4E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9.3</w:t>
            </w:r>
          </w:p>
        </w:tc>
        <w:tc>
          <w:tcPr>
            <w:tcW w:w="500" w:type="dxa"/>
            <w:shd w:val="clear" w:color="auto" w:fill="FFFFFF"/>
            <w:tcMar>
              <w:top w:w="0" w:type="dxa"/>
              <w:left w:w="0" w:type="dxa"/>
              <w:bottom w:w="0" w:type="dxa"/>
              <w:right w:w="0" w:type="dxa"/>
            </w:tcMar>
            <w:vAlign w:val="center"/>
          </w:tcPr>
          <w:p w14:paraId="23ECA1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53.8</w:t>
            </w:r>
          </w:p>
        </w:tc>
        <w:tc>
          <w:tcPr>
            <w:tcW w:w="500" w:type="dxa"/>
            <w:shd w:val="clear" w:color="auto" w:fill="FFFFFF"/>
            <w:tcMar>
              <w:top w:w="0" w:type="dxa"/>
              <w:left w:w="0" w:type="dxa"/>
              <w:bottom w:w="0" w:type="dxa"/>
              <w:right w:w="0" w:type="dxa"/>
            </w:tcMar>
            <w:vAlign w:val="center"/>
          </w:tcPr>
          <w:p w14:paraId="485BA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10.3</w:t>
            </w:r>
          </w:p>
        </w:tc>
        <w:tc>
          <w:tcPr>
            <w:tcW w:w="500" w:type="dxa"/>
            <w:shd w:val="clear" w:color="auto" w:fill="FFFFFF"/>
            <w:tcMar>
              <w:top w:w="0" w:type="dxa"/>
              <w:left w:w="0" w:type="dxa"/>
              <w:bottom w:w="0" w:type="dxa"/>
              <w:right w:w="0" w:type="dxa"/>
            </w:tcMar>
            <w:vAlign w:val="center"/>
          </w:tcPr>
          <w:p w14:paraId="766E8E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64.4</w:t>
            </w:r>
          </w:p>
        </w:tc>
        <w:tc>
          <w:tcPr>
            <w:tcW w:w="500" w:type="dxa"/>
            <w:shd w:val="clear" w:color="auto" w:fill="FFFFFF"/>
            <w:tcMar>
              <w:top w:w="0" w:type="dxa"/>
              <w:left w:w="0" w:type="dxa"/>
              <w:bottom w:w="0" w:type="dxa"/>
              <w:right w:w="0" w:type="dxa"/>
            </w:tcMar>
            <w:vAlign w:val="center"/>
          </w:tcPr>
          <w:p w14:paraId="32F39A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63.1</w:t>
            </w:r>
          </w:p>
        </w:tc>
        <w:tc>
          <w:tcPr>
            <w:tcW w:w="585" w:type="dxa"/>
            <w:shd w:val="clear" w:color="auto" w:fill="FFFFFF"/>
            <w:tcMar>
              <w:top w:w="0" w:type="dxa"/>
              <w:left w:w="0" w:type="dxa"/>
              <w:bottom w:w="0" w:type="dxa"/>
              <w:right w:w="0" w:type="dxa"/>
            </w:tcMar>
            <w:vAlign w:val="center"/>
          </w:tcPr>
          <w:p w14:paraId="7CC1BE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62.9</w:t>
            </w:r>
          </w:p>
        </w:tc>
        <w:tc>
          <w:tcPr>
            <w:tcW w:w="570" w:type="dxa"/>
            <w:shd w:val="clear" w:color="auto" w:fill="FFFFFF"/>
            <w:tcMar>
              <w:top w:w="0" w:type="dxa"/>
              <w:left w:w="0" w:type="dxa"/>
              <w:bottom w:w="0" w:type="dxa"/>
              <w:right w:w="0" w:type="dxa"/>
            </w:tcMar>
            <w:vAlign w:val="center"/>
          </w:tcPr>
          <w:p w14:paraId="40735A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63.0</w:t>
            </w:r>
          </w:p>
        </w:tc>
        <w:tc>
          <w:tcPr>
            <w:tcW w:w="343" w:type="dxa"/>
            <w:vMerge w:val="continue"/>
            <w:shd w:val="clear" w:color="auto" w:fill="FFFFFF"/>
            <w:tcMar>
              <w:top w:w="0" w:type="dxa"/>
              <w:left w:w="0" w:type="dxa"/>
              <w:bottom w:w="0" w:type="dxa"/>
              <w:right w:w="0" w:type="dxa"/>
            </w:tcMar>
            <w:vAlign w:val="center"/>
          </w:tcPr>
          <w:p w14:paraId="097EF9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46" w:type="dxa"/>
            <w:shd w:val="clear" w:color="auto" w:fill="FFFFFF"/>
            <w:tcMar>
              <w:top w:w="0" w:type="dxa"/>
              <w:left w:w="0" w:type="dxa"/>
              <w:bottom w:w="0" w:type="dxa"/>
              <w:right w:w="0" w:type="dxa"/>
            </w:tcMar>
            <w:vAlign w:val="center"/>
          </w:tcPr>
          <w:p w14:paraId="54B987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1361D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06FC8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3C98DD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00A449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38.4</w:t>
            </w:r>
          </w:p>
        </w:tc>
        <w:tc>
          <w:tcPr>
            <w:tcW w:w="546" w:type="dxa"/>
            <w:shd w:val="clear" w:color="auto" w:fill="FFFFFF"/>
            <w:tcMar>
              <w:top w:w="0" w:type="dxa"/>
              <w:left w:w="0" w:type="dxa"/>
              <w:bottom w:w="0" w:type="dxa"/>
              <w:right w:w="0" w:type="dxa"/>
            </w:tcMar>
            <w:vAlign w:val="center"/>
          </w:tcPr>
          <w:p w14:paraId="090D94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37.1</w:t>
            </w:r>
          </w:p>
        </w:tc>
        <w:tc>
          <w:tcPr>
            <w:tcW w:w="546" w:type="dxa"/>
            <w:shd w:val="clear" w:color="auto" w:fill="FFFFFF"/>
            <w:tcMar>
              <w:top w:w="0" w:type="dxa"/>
              <w:left w:w="0" w:type="dxa"/>
              <w:bottom w:w="0" w:type="dxa"/>
              <w:right w:w="0" w:type="dxa"/>
            </w:tcMar>
            <w:vAlign w:val="center"/>
          </w:tcPr>
          <w:p w14:paraId="6B02DA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36.9</w:t>
            </w:r>
          </w:p>
        </w:tc>
        <w:tc>
          <w:tcPr>
            <w:tcW w:w="546" w:type="dxa"/>
            <w:shd w:val="clear" w:color="auto" w:fill="FFFFFF"/>
            <w:tcMar>
              <w:top w:w="0" w:type="dxa"/>
              <w:left w:w="0" w:type="dxa"/>
              <w:bottom w:w="0" w:type="dxa"/>
              <w:right w:w="0" w:type="dxa"/>
            </w:tcMar>
            <w:vAlign w:val="center"/>
          </w:tcPr>
          <w:p w14:paraId="611E28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37.0</w:t>
            </w:r>
          </w:p>
        </w:tc>
        <w:tc>
          <w:tcPr>
            <w:tcW w:w="550" w:type="dxa"/>
            <w:shd w:val="clear" w:color="auto" w:fill="FFFFFF"/>
            <w:tcMar>
              <w:top w:w="0" w:type="dxa"/>
              <w:left w:w="0" w:type="dxa"/>
              <w:bottom w:w="0" w:type="dxa"/>
              <w:right w:w="0" w:type="dxa"/>
            </w:tcMar>
            <w:vAlign w:val="center"/>
          </w:tcPr>
          <w:p w14:paraId="2AAC33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3603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0EBB81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8</w:t>
            </w:r>
          </w:p>
        </w:tc>
        <w:tc>
          <w:tcPr>
            <w:tcW w:w="398" w:type="dxa"/>
            <w:vMerge w:val="continue"/>
            <w:shd w:val="clear" w:color="auto" w:fill="FFFFFF"/>
            <w:tcMar>
              <w:top w:w="0" w:type="dxa"/>
              <w:left w:w="0" w:type="dxa"/>
              <w:bottom w:w="0" w:type="dxa"/>
              <w:right w:w="0" w:type="dxa"/>
            </w:tcMar>
            <w:vAlign w:val="center"/>
          </w:tcPr>
          <w:p w14:paraId="6C0AFF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847" w:type="dxa"/>
            <w:shd w:val="clear" w:color="auto" w:fill="FFFFFF"/>
            <w:tcMar>
              <w:top w:w="0" w:type="dxa"/>
              <w:left w:w="0" w:type="dxa"/>
              <w:bottom w:w="0" w:type="dxa"/>
              <w:right w:w="0" w:type="dxa"/>
            </w:tcMar>
            <w:vAlign w:val="center"/>
          </w:tcPr>
          <w:p w14:paraId="7A382A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喷粉风机</w:t>
            </w:r>
          </w:p>
        </w:tc>
        <w:tc>
          <w:tcPr>
            <w:tcW w:w="712" w:type="dxa"/>
            <w:shd w:val="clear" w:color="auto" w:fill="FFFFFF"/>
            <w:tcMar>
              <w:top w:w="0" w:type="dxa"/>
              <w:left w:w="0" w:type="dxa"/>
              <w:bottom w:w="0" w:type="dxa"/>
              <w:right w:w="0" w:type="dxa"/>
            </w:tcMar>
            <w:vAlign w:val="center"/>
          </w:tcPr>
          <w:p w14:paraId="53D9A6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80</w:t>
            </w:r>
          </w:p>
        </w:tc>
        <w:tc>
          <w:tcPr>
            <w:tcW w:w="578" w:type="dxa"/>
            <w:vMerge w:val="continue"/>
            <w:shd w:val="clear" w:color="auto" w:fill="FFFFFF"/>
            <w:tcMar>
              <w:top w:w="0" w:type="dxa"/>
              <w:left w:w="0" w:type="dxa"/>
              <w:bottom w:w="0" w:type="dxa"/>
              <w:right w:w="0" w:type="dxa"/>
            </w:tcMar>
            <w:vAlign w:val="center"/>
          </w:tcPr>
          <w:p w14:paraId="6AD88A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00" w:type="dxa"/>
            <w:shd w:val="clear" w:color="auto" w:fill="FFFFFF"/>
            <w:tcMar>
              <w:top w:w="0" w:type="dxa"/>
              <w:left w:w="0" w:type="dxa"/>
              <w:bottom w:w="0" w:type="dxa"/>
              <w:right w:w="0" w:type="dxa"/>
            </w:tcMar>
            <w:vAlign w:val="center"/>
          </w:tcPr>
          <w:p w14:paraId="4FFB68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-42.2</w:t>
            </w:r>
          </w:p>
        </w:tc>
        <w:tc>
          <w:tcPr>
            <w:tcW w:w="520" w:type="dxa"/>
            <w:shd w:val="clear" w:color="auto" w:fill="FFFFFF"/>
            <w:tcMar>
              <w:top w:w="0" w:type="dxa"/>
              <w:left w:w="0" w:type="dxa"/>
              <w:bottom w:w="0" w:type="dxa"/>
              <w:right w:w="0" w:type="dxa"/>
            </w:tcMar>
            <w:vAlign w:val="center"/>
          </w:tcPr>
          <w:p w14:paraId="480666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-5.5</w:t>
            </w:r>
          </w:p>
        </w:tc>
        <w:tc>
          <w:tcPr>
            <w:tcW w:w="480" w:type="dxa"/>
            <w:shd w:val="clear" w:color="auto" w:fill="FFFFFF"/>
            <w:tcMar>
              <w:top w:w="0" w:type="dxa"/>
              <w:left w:w="0" w:type="dxa"/>
              <w:bottom w:w="0" w:type="dxa"/>
              <w:right w:w="0" w:type="dxa"/>
            </w:tcMar>
            <w:vAlign w:val="center"/>
          </w:tcPr>
          <w:p w14:paraId="21A48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0.8</w:t>
            </w:r>
          </w:p>
        </w:tc>
        <w:tc>
          <w:tcPr>
            <w:tcW w:w="500" w:type="dxa"/>
            <w:shd w:val="clear" w:color="auto" w:fill="FFFFFF"/>
            <w:tcMar>
              <w:top w:w="0" w:type="dxa"/>
              <w:left w:w="0" w:type="dxa"/>
              <w:bottom w:w="0" w:type="dxa"/>
              <w:right w:w="0" w:type="dxa"/>
            </w:tcMar>
            <w:vAlign w:val="center"/>
          </w:tcPr>
          <w:p w14:paraId="3FB63C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16.0</w:t>
            </w:r>
          </w:p>
        </w:tc>
        <w:tc>
          <w:tcPr>
            <w:tcW w:w="500" w:type="dxa"/>
            <w:shd w:val="clear" w:color="auto" w:fill="FFFFFF"/>
            <w:tcMar>
              <w:top w:w="0" w:type="dxa"/>
              <w:left w:w="0" w:type="dxa"/>
              <w:bottom w:w="0" w:type="dxa"/>
              <w:right w:w="0" w:type="dxa"/>
            </w:tcMar>
            <w:vAlign w:val="center"/>
          </w:tcPr>
          <w:p w14:paraId="48D4DE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13.2</w:t>
            </w:r>
          </w:p>
        </w:tc>
        <w:tc>
          <w:tcPr>
            <w:tcW w:w="500" w:type="dxa"/>
            <w:shd w:val="clear" w:color="auto" w:fill="FFFFFF"/>
            <w:tcMar>
              <w:top w:w="0" w:type="dxa"/>
              <w:left w:w="0" w:type="dxa"/>
              <w:bottom w:w="0" w:type="dxa"/>
              <w:right w:w="0" w:type="dxa"/>
            </w:tcMar>
            <w:vAlign w:val="center"/>
          </w:tcPr>
          <w:p w14:paraId="08E09A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40.8</w:t>
            </w:r>
          </w:p>
        </w:tc>
        <w:tc>
          <w:tcPr>
            <w:tcW w:w="500" w:type="dxa"/>
            <w:shd w:val="clear" w:color="auto" w:fill="FFFFFF"/>
            <w:tcMar>
              <w:top w:w="0" w:type="dxa"/>
              <w:left w:w="0" w:type="dxa"/>
              <w:bottom w:w="0" w:type="dxa"/>
              <w:right w:w="0" w:type="dxa"/>
            </w:tcMar>
            <w:vAlign w:val="center"/>
          </w:tcPr>
          <w:p w14:paraId="3B6841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6.6</w:t>
            </w:r>
          </w:p>
        </w:tc>
        <w:tc>
          <w:tcPr>
            <w:tcW w:w="500" w:type="dxa"/>
            <w:shd w:val="clear" w:color="auto" w:fill="FFFFFF"/>
            <w:tcMar>
              <w:top w:w="0" w:type="dxa"/>
              <w:left w:w="0" w:type="dxa"/>
              <w:bottom w:w="0" w:type="dxa"/>
              <w:right w:w="0" w:type="dxa"/>
            </w:tcMar>
            <w:vAlign w:val="center"/>
          </w:tcPr>
          <w:p w14:paraId="65D004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63.0</w:t>
            </w:r>
          </w:p>
        </w:tc>
        <w:tc>
          <w:tcPr>
            <w:tcW w:w="500" w:type="dxa"/>
            <w:shd w:val="clear" w:color="auto" w:fill="FFFFFF"/>
            <w:tcMar>
              <w:top w:w="0" w:type="dxa"/>
              <w:left w:w="0" w:type="dxa"/>
              <w:bottom w:w="0" w:type="dxa"/>
              <w:right w:w="0" w:type="dxa"/>
            </w:tcMar>
            <w:vAlign w:val="center"/>
          </w:tcPr>
          <w:p w14:paraId="4F6A52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63.0</w:t>
            </w:r>
          </w:p>
        </w:tc>
        <w:tc>
          <w:tcPr>
            <w:tcW w:w="585" w:type="dxa"/>
            <w:shd w:val="clear" w:color="auto" w:fill="FFFFFF"/>
            <w:tcMar>
              <w:top w:w="0" w:type="dxa"/>
              <w:left w:w="0" w:type="dxa"/>
              <w:bottom w:w="0" w:type="dxa"/>
              <w:right w:w="0" w:type="dxa"/>
            </w:tcMar>
            <w:vAlign w:val="center"/>
          </w:tcPr>
          <w:p w14:paraId="209239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62.9</w:t>
            </w:r>
          </w:p>
        </w:tc>
        <w:tc>
          <w:tcPr>
            <w:tcW w:w="570" w:type="dxa"/>
            <w:shd w:val="clear" w:color="auto" w:fill="FFFFFF"/>
            <w:tcMar>
              <w:top w:w="0" w:type="dxa"/>
              <w:left w:w="0" w:type="dxa"/>
              <w:bottom w:w="0" w:type="dxa"/>
              <w:right w:w="0" w:type="dxa"/>
            </w:tcMar>
            <w:vAlign w:val="center"/>
          </w:tcPr>
          <w:p w14:paraId="706F11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63.3</w:t>
            </w:r>
          </w:p>
        </w:tc>
        <w:tc>
          <w:tcPr>
            <w:tcW w:w="343" w:type="dxa"/>
            <w:vMerge w:val="continue"/>
            <w:shd w:val="clear" w:color="auto" w:fill="FFFFFF"/>
            <w:tcMar>
              <w:top w:w="0" w:type="dxa"/>
              <w:left w:w="0" w:type="dxa"/>
              <w:bottom w:w="0" w:type="dxa"/>
              <w:right w:w="0" w:type="dxa"/>
            </w:tcMar>
            <w:vAlign w:val="center"/>
          </w:tcPr>
          <w:p w14:paraId="4C0FDC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46" w:type="dxa"/>
            <w:shd w:val="clear" w:color="auto" w:fill="FFFFFF"/>
            <w:tcMar>
              <w:top w:w="0" w:type="dxa"/>
              <w:left w:w="0" w:type="dxa"/>
              <w:bottom w:w="0" w:type="dxa"/>
              <w:right w:w="0" w:type="dxa"/>
            </w:tcMar>
            <w:vAlign w:val="center"/>
          </w:tcPr>
          <w:p w14:paraId="7966F2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60A071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3FC58F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25A3E1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68B1F6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37.0</w:t>
            </w:r>
          </w:p>
        </w:tc>
        <w:tc>
          <w:tcPr>
            <w:tcW w:w="546" w:type="dxa"/>
            <w:shd w:val="clear" w:color="auto" w:fill="FFFFFF"/>
            <w:tcMar>
              <w:top w:w="0" w:type="dxa"/>
              <w:left w:w="0" w:type="dxa"/>
              <w:bottom w:w="0" w:type="dxa"/>
              <w:right w:w="0" w:type="dxa"/>
            </w:tcMar>
            <w:vAlign w:val="center"/>
          </w:tcPr>
          <w:p w14:paraId="6A7BE2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37.0</w:t>
            </w:r>
          </w:p>
        </w:tc>
        <w:tc>
          <w:tcPr>
            <w:tcW w:w="546" w:type="dxa"/>
            <w:shd w:val="clear" w:color="auto" w:fill="FFFFFF"/>
            <w:tcMar>
              <w:top w:w="0" w:type="dxa"/>
              <w:left w:w="0" w:type="dxa"/>
              <w:bottom w:w="0" w:type="dxa"/>
              <w:right w:w="0" w:type="dxa"/>
            </w:tcMar>
            <w:vAlign w:val="center"/>
          </w:tcPr>
          <w:p w14:paraId="70DEA7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36.9</w:t>
            </w:r>
          </w:p>
        </w:tc>
        <w:tc>
          <w:tcPr>
            <w:tcW w:w="546" w:type="dxa"/>
            <w:shd w:val="clear" w:color="auto" w:fill="FFFFFF"/>
            <w:tcMar>
              <w:top w:w="0" w:type="dxa"/>
              <w:left w:w="0" w:type="dxa"/>
              <w:bottom w:w="0" w:type="dxa"/>
              <w:right w:w="0" w:type="dxa"/>
            </w:tcMar>
            <w:vAlign w:val="center"/>
          </w:tcPr>
          <w:p w14:paraId="429E6F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37.3</w:t>
            </w:r>
          </w:p>
        </w:tc>
        <w:tc>
          <w:tcPr>
            <w:tcW w:w="550" w:type="dxa"/>
            <w:shd w:val="clear" w:color="auto" w:fill="FFFFFF"/>
            <w:tcMar>
              <w:top w:w="0" w:type="dxa"/>
              <w:left w:w="0" w:type="dxa"/>
              <w:bottom w:w="0" w:type="dxa"/>
              <w:right w:w="0" w:type="dxa"/>
            </w:tcMar>
            <w:vAlign w:val="center"/>
          </w:tcPr>
          <w:p w14:paraId="2DAB83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tr w14:paraId="5EA5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7D0CB2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9</w:t>
            </w:r>
          </w:p>
        </w:tc>
        <w:tc>
          <w:tcPr>
            <w:tcW w:w="398" w:type="dxa"/>
            <w:vMerge w:val="continue"/>
            <w:shd w:val="clear" w:color="auto" w:fill="FFFFFF"/>
            <w:tcMar>
              <w:top w:w="0" w:type="dxa"/>
              <w:left w:w="0" w:type="dxa"/>
              <w:bottom w:w="0" w:type="dxa"/>
              <w:right w:w="0" w:type="dxa"/>
            </w:tcMar>
            <w:vAlign w:val="center"/>
          </w:tcPr>
          <w:p w14:paraId="53F12F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847" w:type="dxa"/>
            <w:shd w:val="clear" w:color="auto" w:fill="FFFFFF"/>
            <w:tcMar>
              <w:top w:w="0" w:type="dxa"/>
              <w:left w:w="0" w:type="dxa"/>
              <w:bottom w:w="0" w:type="dxa"/>
              <w:right w:w="0" w:type="dxa"/>
            </w:tcMar>
            <w:vAlign w:val="center"/>
          </w:tcPr>
          <w:p w14:paraId="343AE3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燃烧机风机</w:t>
            </w:r>
          </w:p>
        </w:tc>
        <w:tc>
          <w:tcPr>
            <w:tcW w:w="712" w:type="dxa"/>
            <w:shd w:val="clear" w:color="auto" w:fill="FFFFFF"/>
            <w:tcMar>
              <w:top w:w="0" w:type="dxa"/>
              <w:left w:w="0" w:type="dxa"/>
              <w:bottom w:w="0" w:type="dxa"/>
              <w:right w:w="0" w:type="dxa"/>
            </w:tcMar>
            <w:vAlign w:val="center"/>
          </w:tcPr>
          <w:p w14:paraId="0D17F1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75</w:t>
            </w:r>
          </w:p>
        </w:tc>
        <w:tc>
          <w:tcPr>
            <w:tcW w:w="578" w:type="dxa"/>
            <w:vMerge w:val="continue"/>
            <w:shd w:val="clear" w:color="auto" w:fill="FFFFFF"/>
            <w:tcMar>
              <w:top w:w="0" w:type="dxa"/>
              <w:left w:w="0" w:type="dxa"/>
              <w:bottom w:w="0" w:type="dxa"/>
              <w:right w:w="0" w:type="dxa"/>
            </w:tcMar>
            <w:vAlign w:val="center"/>
          </w:tcPr>
          <w:p w14:paraId="0CF212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00" w:type="dxa"/>
            <w:shd w:val="clear" w:color="auto" w:fill="FFFFFF"/>
            <w:tcMar>
              <w:top w:w="0" w:type="dxa"/>
              <w:left w:w="0" w:type="dxa"/>
              <w:bottom w:w="0" w:type="dxa"/>
              <w:right w:w="0" w:type="dxa"/>
            </w:tcMar>
            <w:vAlign w:val="center"/>
          </w:tcPr>
          <w:p w14:paraId="6D7651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-69.2</w:t>
            </w:r>
          </w:p>
        </w:tc>
        <w:tc>
          <w:tcPr>
            <w:tcW w:w="520" w:type="dxa"/>
            <w:shd w:val="clear" w:color="auto" w:fill="FFFFFF"/>
            <w:tcMar>
              <w:top w:w="0" w:type="dxa"/>
              <w:left w:w="0" w:type="dxa"/>
              <w:bottom w:w="0" w:type="dxa"/>
              <w:right w:w="0" w:type="dxa"/>
            </w:tcMar>
            <w:vAlign w:val="center"/>
          </w:tcPr>
          <w:p w14:paraId="7ED156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0.3</w:t>
            </w:r>
          </w:p>
        </w:tc>
        <w:tc>
          <w:tcPr>
            <w:tcW w:w="480" w:type="dxa"/>
            <w:shd w:val="clear" w:color="auto" w:fill="FFFFFF"/>
            <w:tcMar>
              <w:top w:w="0" w:type="dxa"/>
              <w:left w:w="0" w:type="dxa"/>
              <w:bottom w:w="0" w:type="dxa"/>
              <w:right w:w="0" w:type="dxa"/>
            </w:tcMar>
            <w:vAlign w:val="center"/>
          </w:tcPr>
          <w:p w14:paraId="643FEC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w:t>
            </w:r>
          </w:p>
        </w:tc>
        <w:tc>
          <w:tcPr>
            <w:tcW w:w="500" w:type="dxa"/>
            <w:shd w:val="clear" w:color="auto" w:fill="FFFFFF"/>
            <w:tcMar>
              <w:top w:w="0" w:type="dxa"/>
              <w:left w:w="0" w:type="dxa"/>
              <w:bottom w:w="0" w:type="dxa"/>
              <w:right w:w="0" w:type="dxa"/>
            </w:tcMar>
            <w:vAlign w:val="center"/>
          </w:tcPr>
          <w:p w14:paraId="70DFD2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43.3</w:t>
            </w:r>
          </w:p>
        </w:tc>
        <w:tc>
          <w:tcPr>
            <w:tcW w:w="500" w:type="dxa"/>
            <w:shd w:val="clear" w:color="auto" w:fill="FFFFFF"/>
            <w:tcMar>
              <w:top w:w="0" w:type="dxa"/>
              <w:left w:w="0" w:type="dxa"/>
              <w:bottom w:w="0" w:type="dxa"/>
              <w:right w:w="0" w:type="dxa"/>
            </w:tcMar>
            <w:vAlign w:val="center"/>
          </w:tcPr>
          <w:p w14:paraId="35166D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16.1</w:t>
            </w:r>
          </w:p>
        </w:tc>
        <w:tc>
          <w:tcPr>
            <w:tcW w:w="500" w:type="dxa"/>
            <w:shd w:val="clear" w:color="auto" w:fill="FFFFFF"/>
            <w:tcMar>
              <w:top w:w="0" w:type="dxa"/>
              <w:left w:w="0" w:type="dxa"/>
              <w:bottom w:w="0" w:type="dxa"/>
              <w:right w:w="0" w:type="dxa"/>
            </w:tcMar>
            <w:vAlign w:val="center"/>
          </w:tcPr>
          <w:p w14:paraId="0DDAEF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13.3</w:t>
            </w:r>
          </w:p>
        </w:tc>
        <w:tc>
          <w:tcPr>
            <w:tcW w:w="500" w:type="dxa"/>
            <w:shd w:val="clear" w:color="auto" w:fill="FFFFFF"/>
            <w:tcMar>
              <w:top w:w="0" w:type="dxa"/>
              <w:left w:w="0" w:type="dxa"/>
              <w:bottom w:w="0" w:type="dxa"/>
              <w:right w:w="0" w:type="dxa"/>
            </w:tcMar>
            <w:vAlign w:val="center"/>
          </w:tcPr>
          <w:p w14:paraId="6DC70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4.1</w:t>
            </w:r>
          </w:p>
        </w:tc>
        <w:tc>
          <w:tcPr>
            <w:tcW w:w="500" w:type="dxa"/>
            <w:shd w:val="clear" w:color="auto" w:fill="FFFFFF"/>
            <w:tcMar>
              <w:top w:w="0" w:type="dxa"/>
              <w:left w:w="0" w:type="dxa"/>
              <w:bottom w:w="0" w:type="dxa"/>
              <w:right w:w="0" w:type="dxa"/>
            </w:tcMar>
            <w:vAlign w:val="center"/>
          </w:tcPr>
          <w:p w14:paraId="524E7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00" w:type="dxa"/>
            <w:shd w:val="clear" w:color="auto" w:fill="FFFFFF"/>
            <w:tcMar>
              <w:top w:w="0" w:type="dxa"/>
              <w:left w:w="0" w:type="dxa"/>
              <w:bottom w:w="0" w:type="dxa"/>
              <w:right w:w="0" w:type="dxa"/>
            </w:tcMar>
            <w:vAlign w:val="center"/>
          </w:tcPr>
          <w:p w14:paraId="322125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57.9</w:t>
            </w:r>
          </w:p>
        </w:tc>
        <w:tc>
          <w:tcPr>
            <w:tcW w:w="585" w:type="dxa"/>
            <w:shd w:val="clear" w:color="auto" w:fill="FFFFFF"/>
            <w:tcMar>
              <w:top w:w="0" w:type="dxa"/>
              <w:left w:w="0" w:type="dxa"/>
              <w:bottom w:w="0" w:type="dxa"/>
              <w:right w:w="0" w:type="dxa"/>
            </w:tcMar>
            <w:vAlign w:val="center"/>
          </w:tcPr>
          <w:p w14:paraId="7A19F8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58.0</w:t>
            </w:r>
          </w:p>
        </w:tc>
        <w:tc>
          <w:tcPr>
            <w:tcW w:w="570" w:type="dxa"/>
            <w:shd w:val="clear" w:color="auto" w:fill="FFFFFF"/>
            <w:tcMar>
              <w:top w:w="0" w:type="dxa"/>
              <w:left w:w="0" w:type="dxa"/>
              <w:bottom w:w="0" w:type="dxa"/>
              <w:right w:w="0" w:type="dxa"/>
            </w:tcMar>
            <w:vAlign w:val="center"/>
          </w:tcPr>
          <w:p w14:paraId="7F2C77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58.8</w:t>
            </w:r>
          </w:p>
        </w:tc>
        <w:tc>
          <w:tcPr>
            <w:tcW w:w="343" w:type="dxa"/>
            <w:vMerge w:val="continue"/>
            <w:shd w:val="clear" w:color="auto" w:fill="FFFFFF"/>
            <w:tcMar>
              <w:top w:w="0" w:type="dxa"/>
              <w:left w:w="0" w:type="dxa"/>
              <w:bottom w:w="0" w:type="dxa"/>
              <w:right w:w="0" w:type="dxa"/>
            </w:tcMar>
            <w:vAlign w:val="center"/>
          </w:tcPr>
          <w:p w14:paraId="3E8795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p>
        </w:tc>
        <w:tc>
          <w:tcPr>
            <w:tcW w:w="546" w:type="dxa"/>
            <w:shd w:val="clear" w:color="auto" w:fill="FFFFFF"/>
            <w:tcMar>
              <w:top w:w="0" w:type="dxa"/>
              <w:left w:w="0" w:type="dxa"/>
              <w:bottom w:w="0" w:type="dxa"/>
              <w:right w:w="0" w:type="dxa"/>
            </w:tcMar>
            <w:vAlign w:val="center"/>
          </w:tcPr>
          <w:p w14:paraId="58290F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76EF6E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11834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1B65FC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26.0</w:t>
            </w:r>
          </w:p>
        </w:tc>
        <w:tc>
          <w:tcPr>
            <w:tcW w:w="546" w:type="dxa"/>
            <w:shd w:val="clear" w:color="auto" w:fill="FFFFFF"/>
            <w:tcMar>
              <w:top w:w="0" w:type="dxa"/>
              <w:left w:w="0" w:type="dxa"/>
              <w:bottom w:w="0" w:type="dxa"/>
              <w:right w:w="0" w:type="dxa"/>
            </w:tcMar>
            <w:vAlign w:val="center"/>
          </w:tcPr>
          <w:p w14:paraId="51B36E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2EBB74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31.9</w:t>
            </w:r>
          </w:p>
        </w:tc>
        <w:tc>
          <w:tcPr>
            <w:tcW w:w="546" w:type="dxa"/>
            <w:shd w:val="clear" w:color="auto" w:fill="FFFFFF"/>
            <w:tcMar>
              <w:top w:w="0" w:type="dxa"/>
              <w:left w:w="0" w:type="dxa"/>
              <w:bottom w:w="0" w:type="dxa"/>
              <w:right w:w="0" w:type="dxa"/>
            </w:tcMar>
            <w:vAlign w:val="center"/>
          </w:tcPr>
          <w:p w14:paraId="54DB35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32.0</w:t>
            </w:r>
          </w:p>
        </w:tc>
        <w:tc>
          <w:tcPr>
            <w:tcW w:w="546" w:type="dxa"/>
            <w:shd w:val="clear" w:color="auto" w:fill="FFFFFF"/>
            <w:tcMar>
              <w:top w:w="0" w:type="dxa"/>
              <w:left w:w="0" w:type="dxa"/>
              <w:bottom w:w="0" w:type="dxa"/>
              <w:right w:w="0" w:type="dxa"/>
            </w:tcMar>
            <w:vAlign w:val="center"/>
          </w:tcPr>
          <w:p w14:paraId="5CB94D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32.8</w:t>
            </w:r>
          </w:p>
        </w:tc>
        <w:tc>
          <w:tcPr>
            <w:tcW w:w="550" w:type="dxa"/>
            <w:shd w:val="clear" w:color="auto" w:fill="FFFFFF"/>
            <w:tcMar>
              <w:top w:w="0" w:type="dxa"/>
              <w:left w:w="0" w:type="dxa"/>
              <w:bottom w:w="0" w:type="dxa"/>
              <w:right w:w="0" w:type="dxa"/>
            </w:tcMar>
            <w:vAlign w:val="center"/>
          </w:tcPr>
          <w:p w14:paraId="224606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w:t>
            </w:r>
          </w:p>
        </w:tc>
      </w:tr>
      <w:bookmarkEnd w:id="16"/>
    </w:tbl>
    <w:p w14:paraId="0245DC4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表中坐标以厂界中心（</w:t>
      </w:r>
      <w:bookmarkStart w:id="18" w:name="PO_7"/>
      <w:r>
        <w:rPr>
          <w:rFonts w:hint="default" w:ascii="Times New Roman" w:hAnsi="Times New Roman" w:cs="Times New Roman" w:eastAsiaTheme="minorEastAsia"/>
          <w:b w:val="0"/>
          <w:bCs/>
          <w:sz w:val="21"/>
          <w:szCs w:val="21"/>
          <w:lang w:val="en-US" w:eastAsia="zh-CN"/>
        </w:rPr>
        <w:t>106.318382,29.324661</w:t>
      </w:r>
      <w:bookmarkEnd w:id="18"/>
      <w:r>
        <w:rPr>
          <w:rFonts w:hint="default"/>
          <w:lang w:val="en-US" w:eastAsia="zh-CN"/>
        </w:rPr>
        <w:t>）为坐标原点，正东向为X轴正方向，正北向为Y轴正方向。</w:t>
      </w:r>
    </w:p>
    <w:p w14:paraId="3D11A1BC">
      <w:pPr>
        <w:pStyle w:val="20"/>
        <w:jc w:val="center"/>
        <w:rPr>
          <w:rFonts w:hint="default"/>
          <w:lang w:val="en-US" w:eastAsia="zh-CN"/>
        </w:rPr>
      </w:pPr>
    </w:p>
    <w:p w14:paraId="5DE04112">
      <w:pPr>
        <w:pStyle w:val="20"/>
        <w:rPr>
          <w:rFonts w:hint="default"/>
          <w:lang w:val="en-US" w:eastAsia="zh-CN"/>
        </w:rPr>
      </w:pPr>
    </w:p>
    <w:p w14:paraId="7F04BB8E">
      <w:pPr>
        <w:pStyle w:val="20"/>
        <w:rPr>
          <w:rFonts w:hint="default"/>
          <w:lang w:val="en-US" w:eastAsia="zh-CN"/>
        </w:rPr>
        <w:sectPr>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22"/>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9"/>
        <w:gridCol w:w="8570"/>
      </w:tblGrid>
      <w:tr w14:paraId="3DF1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849" w:hRule="atLeast"/>
          <w:jc w:val="center"/>
        </w:trPr>
        <w:tc>
          <w:tcPr>
            <w:tcW w:w="322" w:type="pct"/>
            <w:tcMar>
              <w:left w:w="28" w:type="dxa"/>
              <w:right w:w="28" w:type="dxa"/>
            </w:tcMar>
            <w:vAlign w:val="center"/>
          </w:tcPr>
          <w:p w14:paraId="1BE35578">
            <w:pPr>
              <w:pStyle w:val="43"/>
              <w:spacing w:before="93" w:after="93"/>
              <w:rPr>
                <w:rFonts w:cs="宋体"/>
                <w:b/>
                <w:bCs/>
                <w:color w:val="auto"/>
              </w:rPr>
            </w:pPr>
            <w:r>
              <w:rPr>
                <w:rFonts w:hint="eastAsia"/>
                <w:b/>
                <w:bCs/>
                <w:color w:val="auto"/>
              </w:rPr>
              <w:t>运营期环境影响和保护措施</w:t>
            </w:r>
          </w:p>
        </w:tc>
        <w:tc>
          <w:tcPr>
            <w:tcW w:w="4677" w:type="pct"/>
            <w:vAlign w:val="center"/>
          </w:tcPr>
          <w:p w14:paraId="3A088FF2">
            <w:pPr>
              <w:pStyle w:val="38"/>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2）厂界达标情况分析</w:t>
            </w:r>
          </w:p>
          <w:p w14:paraId="6F287155">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声环境》（HJ2.4－2021）中推荐的以下公式，对项目厂界噪声达标情况进行分析。预测模式如下：</w:t>
            </w:r>
          </w:p>
          <w:p w14:paraId="4F26D716">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①声源位于室内声源靠近围护结构处产生的倍频带声压级或A声级：</w:t>
            </w:r>
          </w:p>
          <w:p w14:paraId="71051B28">
            <w:pPr>
              <w:pStyle w:val="38"/>
              <w:ind w:firstLine="0" w:firstLineChars="0"/>
              <w:jc w:val="center"/>
              <w:rPr>
                <w:color w:val="auto"/>
              </w:rPr>
            </w:pPr>
            <w:r>
              <w:rPr>
                <w:color w:val="auto"/>
                <w:sz w:val="21"/>
              </w:rPr>
              <w:drawing>
                <wp:inline distT="0" distB="0" distL="114300" distR="114300">
                  <wp:extent cx="2263775" cy="584835"/>
                  <wp:effectExtent l="0" t="0" r="317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cstate="print"/>
                          <a:stretch>
                            <a:fillRect/>
                          </a:stretch>
                        </pic:blipFill>
                        <pic:spPr>
                          <a:xfrm>
                            <a:off x="0" y="0"/>
                            <a:ext cx="2263775" cy="584835"/>
                          </a:xfrm>
                          <a:prstGeom prst="rect">
                            <a:avLst/>
                          </a:prstGeom>
                          <a:noFill/>
                          <a:ln>
                            <a:noFill/>
                          </a:ln>
                        </pic:spPr>
                      </pic:pic>
                    </a:graphicData>
                  </a:graphic>
                </wp:inline>
              </w:drawing>
            </w:r>
          </w:p>
          <w:p w14:paraId="4A3C69D1">
            <w:pPr>
              <w:pStyle w:val="38"/>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14:paraId="6608ABF7">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——点声源声功率级（A计权或倍频带），dB；</w:t>
            </w:r>
          </w:p>
          <w:p w14:paraId="55F5C121">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Q——指向性因数；通常对无指向性声源，当声源放在房间中心时，Q=1；当放在一面墙的中心时，Q=2；当放在两面墙夹角处时，Q=4；当放在三面墙夹角处时，Q=8。</w:t>
            </w:r>
          </w:p>
          <w:p w14:paraId="73A26C6E">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R——房间常数；R=Sα/（1-α），S为房间内表面面积，m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；α为平均吸声系数；</w:t>
            </w:r>
          </w:p>
          <w:p w14:paraId="4D576693">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r——声源到靠近围护结构某点处的距离，m。</w:t>
            </w:r>
          </w:p>
          <w:p w14:paraId="6E28F453">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②所有室内声源在围护结构处产生的i倍频带叠加声压级：</w:t>
            </w:r>
          </w:p>
          <w:p w14:paraId="2B4AC764">
            <w:pPr>
              <w:pStyle w:val="38"/>
              <w:ind w:firstLine="0" w:firstLineChars="0"/>
              <w:jc w:val="center"/>
              <w:rPr>
                <w:rFonts w:ascii="宋体"/>
                <w:color w:val="auto"/>
              </w:rPr>
            </w:pPr>
            <w:r>
              <w:rPr>
                <w:color w:val="auto"/>
              </w:rPr>
              <w:drawing>
                <wp:inline distT="0" distB="0" distL="114300" distR="114300">
                  <wp:extent cx="1773555" cy="558800"/>
                  <wp:effectExtent l="0" t="0" r="17145"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cstate="print"/>
                          <a:stretch>
                            <a:fillRect/>
                          </a:stretch>
                        </pic:blipFill>
                        <pic:spPr>
                          <a:xfrm>
                            <a:off x="0" y="0"/>
                            <a:ext cx="1773555" cy="558800"/>
                          </a:xfrm>
                          <a:prstGeom prst="rect">
                            <a:avLst/>
                          </a:prstGeom>
                          <a:noFill/>
                          <a:ln>
                            <a:noFill/>
                          </a:ln>
                        </pic:spPr>
                      </pic:pic>
                    </a:graphicData>
                  </a:graphic>
                </wp:inline>
              </w:drawing>
            </w:r>
          </w:p>
          <w:p w14:paraId="55B479B3">
            <w:pPr>
              <w:pStyle w:val="38"/>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pli</w:t>
            </w:r>
            <w:r>
              <w:rPr>
                <w:rFonts w:hint="default" w:ascii="Times New Roman" w:hAnsi="Times New Roman" w:cs="Times New Roman"/>
                <w:color w:val="auto"/>
                <w:sz w:val="24"/>
                <w:szCs w:val="24"/>
              </w:rPr>
              <w:t>（T）——靠近围护结构处室内N个声源i倍频带的叠加声压级，dB；</w:t>
            </w:r>
          </w:p>
          <w:p w14:paraId="1B0AB4FB">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plij</w:t>
            </w:r>
            <w:r>
              <w:rPr>
                <w:rFonts w:hint="default" w:ascii="Times New Roman" w:hAnsi="Times New Roman" w:cs="Times New Roman"/>
                <w:color w:val="auto"/>
                <w:sz w:val="24"/>
                <w:szCs w:val="24"/>
              </w:rPr>
              <w:t>——室内j声源i倍频带的声压级，dB；</w:t>
            </w:r>
          </w:p>
          <w:p w14:paraId="2E80968B">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N——室内声源总数。</w:t>
            </w:r>
          </w:p>
          <w:p w14:paraId="22113331">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③靠近室外围护结构处的声压级：</w:t>
            </w:r>
          </w:p>
          <w:p w14:paraId="13F80188">
            <w:pPr>
              <w:pStyle w:val="38"/>
              <w:ind w:firstLine="0" w:firstLineChars="0"/>
              <w:jc w:val="center"/>
              <w:rPr>
                <w:rFonts w:ascii="宋体"/>
                <w:color w:val="auto"/>
              </w:rPr>
            </w:pPr>
            <w:r>
              <w:rPr>
                <w:color w:val="auto"/>
              </w:rPr>
              <w:drawing>
                <wp:inline distT="0" distB="0" distL="114300" distR="114300">
                  <wp:extent cx="2295525" cy="346075"/>
                  <wp:effectExtent l="0" t="0" r="952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cstate="print"/>
                          <a:stretch>
                            <a:fillRect/>
                          </a:stretch>
                        </pic:blipFill>
                        <pic:spPr>
                          <a:xfrm>
                            <a:off x="0" y="0"/>
                            <a:ext cx="2295525" cy="346075"/>
                          </a:xfrm>
                          <a:prstGeom prst="rect">
                            <a:avLst/>
                          </a:prstGeom>
                          <a:noFill/>
                          <a:ln>
                            <a:noFill/>
                          </a:ln>
                        </pic:spPr>
                      </pic:pic>
                    </a:graphicData>
                  </a:graphic>
                </wp:inline>
              </w:drawing>
            </w:r>
          </w:p>
          <w:p w14:paraId="31D8B970">
            <w:pPr>
              <w:pStyle w:val="38"/>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p2i</w:t>
            </w:r>
            <w:r>
              <w:rPr>
                <w:rFonts w:hint="default" w:ascii="Times New Roman" w:hAnsi="Times New Roman" w:cs="Times New Roman"/>
                <w:color w:val="auto"/>
                <w:sz w:val="24"/>
                <w:szCs w:val="24"/>
              </w:rPr>
              <w:t>（T）——靠近围护结构处室外N个声源i倍频带的叠加声压级，dB；</w:t>
            </w:r>
          </w:p>
          <w:p w14:paraId="53AB9D60">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p1i</w:t>
            </w:r>
            <w:r>
              <w:rPr>
                <w:rFonts w:hint="default" w:ascii="Times New Roman" w:hAnsi="Times New Roman" w:cs="Times New Roman"/>
                <w:color w:val="auto"/>
                <w:sz w:val="24"/>
                <w:szCs w:val="24"/>
              </w:rPr>
              <w:t>（T）——靠近围护结构处室内N个声源i倍频带的叠加声压级，dB；</w:t>
            </w:r>
          </w:p>
          <w:p w14:paraId="52156995">
            <w:pPr>
              <w:pStyle w:val="38"/>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TLi——围护结构i倍频带的隔声量，dB。</w:t>
            </w:r>
          </w:p>
          <w:p w14:paraId="7BFF8549">
            <w:pPr>
              <w:pStyle w:val="38"/>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④将室外声源的声压级和透过面积换算成等效的室外声源，计算出中心位置位于透声面积（S）处的等效声源的倍频带声功率级。</w:t>
            </w:r>
          </w:p>
          <w:p w14:paraId="720BCD3C">
            <w:pPr>
              <w:pStyle w:val="38"/>
              <w:jc w:val="center"/>
              <w:rPr>
                <w:rFonts w:ascii="宋体" w:hAnsi="宋体"/>
                <w:color w:val="auto"/>
              </w:rPr>
            </w:pPr>
            <w:r>
              <w:rPr>
                <w:color w:val="auto"/>
              </w:rPr>
              <w:drawing>
                <wp:inline distT="0" distB="0" distL="114300" distR="114300">
                  <wp:extent cx="2140585" cy="375920"/>
                  <wp:effectExtent l="0" t="0" r="1206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cstate="print"/>
                          <a:stretch>
                            <a:fillRect/>
                          </a:stretch>
                        </pic:blipFill>
                        <pic:spPr>
                          <a:xfrm>
                            <a:off x="0" y="0"/>
                            <a:ext cx="2140585" cy="375920"/>
                          </a:xfrm>
                          <a:prstGeom prst="rect">
                            <a:avLst/>
                          </a:prstGeom>
                          <a:noFill/>
                          <a:ln>
                            <a:noFill/>
                          </a:ln>
                        </pic:spPr>
                      </pic:pic>
                    </a:graphicData>
                  </a:graphic>
                </wp:inline>
              </w:drawing>
            </w:r>
          </w:p>
          <w:p w14:paraId="37D257E6">
            <w:pPr>
              <w:pStyle w:val="38"/>
              <w:keepNext w:val="0"/>
              <w:keepLines w:val="0"/>
              <w:pageBreakBefore w:val="0"/>
              <w:widowControl/>
              <w:kinsoku/>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——中心位置位于透声面积（S）处的等效声源的倍频带声功率级，dB；</w:t>
            </w:r>
          </w:p>
          <w:p w14:paraId="167B5FE1">
            <w:pPr>
              <w:pStyle w:val="38"/>
              <w:keepNext w:val="0"/>
              <w:keepLines w:val="0"/>
              <w:pageBreakBefore w:val="0"/>
              <w:widowControl/>
              <w:kinsoku/>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w:t>
            </w:r>
            <w:r>
              <w:rPr>
                <w:rFonts w:hint="default" w:ascii="Times New Roman" w:hAnsi="Times New Roman" w:cs="Times New Roman"/>
                <w:color w:val="auto"/>
                <w:sz w:val="24"/>
                <w:szCs w:val="24"/>
              </w:rPr>
              <w:t>（T）——靠近围护结构处室外声源的声压级，dB；</w:t>
            </w:r>
          </w:p>
          <w:p w14:paraId="640F2D66">
            <w:pPr>
              <w:pStyle w:val="38"/>
              <w:keepNext w:val="0"/>
              <w:keepLines w:val="0"/>
              <w:pageBreakBefore w:val="0"/>
              <w:widowControl/>
              <w:kinsoku/>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S——透声面积，m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，以厂房侧面积计。</w:t>
            </w:r>
          </w:p>
          <w:p w14:paraId="0D6E2A49">
            <w:pPr>
              <w:pStyle w:val="38"/>
              <w:keepNext w:val="0"/>
              <w:keepLines w:val="0"/>
              <w:pageBreakBefore w:val="0"/>
              <w:widowControl/>
              <w:kinsoku/>
              <w:wordWrap w:val="0"/>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⑤按室外声源预测方法计算厂界A声级。</w:t>
            </w:r>
          </w:p>
          <w:p w14:paraId="5AA19E45">
            <w:pPr>
              <w:pStyle w:val="38"/>
              <w:keepNext w:val="0"/>
              <w:keepLines w:val="0"/>
              <w:pageBreakBefore w:val="0"/>
              <w:widowControl/>
              <w:kinsoku/>
              <w:wordWrap w:val="0"/>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声环境》（HJ2.4-2021）“B.1.4 如预测点在靠近声源处，但不能满足点声源条件时，需按线声源或面声源模型计算。”项目等效到厂房室外的噪声源采用面声源几何发散衰减模式进行厂界噪声预测。</w:t>
            </w:r>
          </w:p>
          <w:p w14:paraId="6BA192A1">
            <w:pPr>
              <w:pStyle w:val="38"/>
              <w:keepNext w:val="0"/>
              <w:keepLines w:val="0"/>
              <w:pageBreakBefore w:val="0"/>
              <w:widowControl/>
              <w:kinsoku/>
              <w:wordWrap w:val="0"/>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面声源的几何发散衰减：当预测点和面声源中心距离r处于以下条件时，可按下述方法近似计算：r＜a/π时，几乎不衰减（Adiv≈0）；当a/π＜r＜b/π，距离加倍衰减3dB左右，类似线声源衰减特性[Adiv≈10lg(r/r0)）]；当r＞b/π时，距离加倍衰减趋近于6dB，类似点声源衰减特性[Adiv≈20lg(r/r0)）]，其中面声源的b＞a。</w:t>
            </w:r>
          </w:p>
          <w:p w14:paraId="283022E3">
            <w:pPr>
              <w:pStyle w:val="38"/>
              <w:ind w:firstLine="0" w:firstLineChars="0"/>
              <w:jc w:val="center"/>
              <w:rPr>
                <w:color w:val="auto"/>
              </w:rPr>
            </w:pPr>
            <w:r>
              <w:rPr>
                <w:color w:val="auto"/>
              </w:rPr>
              <w:drawing>
                <wp:inline distT="0" distB="0" distL="114300" distR="114300">
                  <wp:extent cx="3221990" cy="1796415"/>
                  <wp:effectExtent l="0" t="0" r="1651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5" cstate="print"/>
                          <a:stretch>
                            <a:fillRect/>
                          </a:stretch>
                        </pic:blipFill>
                        <pic:spPr>
                          <a:xfrm>
                            <a:off x="0" y="0"/>
                            <a:ext cx="3221990" cy="1796415"/>
                          </a:xfrm>
                          <a:prstGeom prst="rect">
                            <a:avLst/>
                          </a:prstGeom>
                          <a:noFill/>
                          <a:ln>
                            <a:noFill/>
                          </a:ln>
                        </pic:spPr>
                      </pic:pic>
                    </a:graphicData>
                  </a:graphic>
                </wp:inline>
              </w:drawing>
            </w:r>
          </w:p>
          <w:p w14:paraId="476432A6">
            <w:pPr>
              <w:pStyle w:val="40"/>
              <w:keepNext w:val="0"/>
              <w:keepLines w:val="0"/>
              <w:pageBreakBefore w:val="0"/>
              <w:kinsoku/>
              <w:wordWrap/>
              <w:overflowPunct/>
              <w:topLinePunct w:val="0"/>
              <w:autoSpaceDE/>
              <w:autoSpaceDN/>
              <w:bidi w:val="0"/>
              <w:adjustRightInd/>
              <w:snapToGrid/>
              <w:spacing w:afterLines="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图4-1 长方形面声源中心轴线上的衰减特性</w:t>
            </w:r>
          </w:p>
          <w:p w14:paraId="1E0A0E95">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⑥噪声贡献值计算：</w:t>
            </w:r>
          </w:p>
          <w:p w14:paraId="2ECE7CE4">
            <w:pPr>
              <w:pStyle w:val="38"/>
              <w:ind w:firstLine="0" w:firstLineChars="0"/>
              <w:jc w:val="center"/>
              <w:rPr>
                <w:rFonts w:ascii="宋体" w:hAnsi="宋体"/>
                <w:color w:val="auto"/>
              </w:rPr>
            </w:pPr>
            <w:r>
              <w:rPr>
                <w:rFonts w:ascii="宋体" w:hAnsi="宋体"/>
                <w:color w:val="auto"/>
              </w:rPr>
              <w:drawing>
                <wp:inline distT="0" distB="0" distL="114300" distR="114300">
                  <wp:extent cx="3274060" cy="662305"/>
                  <wp:effectExtent l="0" t="0" r="2540"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6" cstate="print"/>
                          <a:stretch>
                            <a:fillRect/>
                          </a:stretch>
                        </pic:blipFill>
                        <pic:spPr>
                          <a:xfrm>
                            <a:off x="0" y="0"/>
                            <a:ext cx="3274060" cy="662305"/>
                          </a:xfrm>
                          <a:prstGeom prst="rect">
                            <a:avLst/>
                          </a:prstGeom>
                          <a:noFill/>
                          <a:ln>
                            <a:noFill/>
                          </a:ln>
                        </pic:spPr>
                      </pic:pic>
                    </a:graphicData>
                  </a:graphic>
                </wp:inline>
              </w:drawing>
            </w:r>
          </w:p>
          <w:p w14:paraId="06382A9D">
            <w:pPr>
              <w:pStyle w:val="38"/>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式中：Leqg——建设项目声源在预测点产生的噪声贡献值，dB；</w:t>
            </w:r>
          </w:p>
          <w:p w14:paraId="3C8734FE">
            <w:pPr>
              <w:pStyle w:val="38"/>
              <w:keepNext w:val="0"/>
              <w:keepLines w:val="0"/>
              <w:pageBreakBefore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T——用于计算等效声级的时间，s；</w:t>
            </w:r>
          </w:p>
          <w:p w14:paraId="626B9FA7">
            <w:pPr>
              <w:pStyle w:val="38"/>
              <w:keepNext w:val="0"/>
              <w:keepLines w:val="0"/>
              <w:pageBreakBefore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N——室外声源个数；</w:t>
            </w:r>
          </w:p>
          <w:p w14:paraId="3DBC7009">
            <w:pPr>
              <w:pStyle w:val="38"/>
              <w:keepNext w:val="0"/>
              <w:keepLines w:val="0"/>
              <w:pageBreakBefore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ti——在T时间内i声源工作时间，s；</w:t>
            </w:r>
          </w:p>
          <w:p w14:paraId="7FA4BF42">
            <w:pPr>
              <w:pStyle w:val="38"/>
              <w:keepNext w:val="0"/>
              <w:keepLines w:val="0"/>
              <w:pageBreakBefore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M——等效室外声源个数；</w:t>
            </w:r>
          </w:p>
          <w:p w14:paraId="78F41146">
            <w:pPr>
              <w:pStyle w:val="38"/>
              <w:keepNext w:val="0"/>
              <w:keepLines w:val="0"/>
              <w:pageBreakBefore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tj——在T时间内j声源工作时间，s。</w:t>
            </w:r>
          </w:p>
          <w:p w14:paraId="1E0B045A">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根据本项目建设完成后噪声源有关参数及减噪措施，利用噪声预测模式计算出厂界噪声预测值。</w:t>
            </w:r>
            <w:r>
              <w:rPr>
                <w:rFonts w:hint="default" w:ascii="Times New Roman" w:hAnsi="Times New Roman" w:eastAsia="宋体" w:cs="Times New Roman"/>
                <w:color w:val="auto"/>
                <w:sz w:val="24"/>
                <w:szCs w:val="24"/>
                <w:highlight w:val="none"/>
              </w:rPr>
              <w:t>项目所在厂界周围50m范围内</w:t>
            </w:r>
            <w:r>
              <w:rPr>
                <w:rFonts w:hint="eastAsia" w:ascii="Times New Roman" w:hAnsi="Times New Roman" w:eastAsia="宋体" w:cs="Times New Roman"/>
                <w:color w:val="auto"/>
                <w:sz w:val="24"/>
                <w:szCs w:val="24"/>
                <w:highlight w:val="none"/>
                <w:lang w:eastAsia="zh-CN"/>
              </w:rPr>
              <w:t>有</w:t>
            </w:r>
            <w:r>
              <w:rPr>
                <w:rFonts w:hint="eastAsia" w:ascii="Times New Roman" w:hAnsi="Times New Roman" w:eastAsia="宋体" w:cs="Times New Roman"/>
                <w:color w:val="auto"/>
                <w:sz w:val="24"/>
                <w:szCs w:val="24"/>
                <w:highlight w:val="none"/>
                <w:lang w:val="en-US" w:eastAsia="zh-CN"/>
              </w:rPr>
              <w:t>1处</w:t>
            </w:r>
            <w:r>
              <w:rPr>
                <w:rFonts w:hint="default" w:ascii="Times New Roman" w:hAnsi="Times New Roman" w:eastAsia="宋体" w:cs="Times New Roman"/>
                <w:color w:val="auto"/>
                <w:sz w:val="24"/>
                <w:szCs w:val="24"/>
                <w:highlight w:val="none"/>
              </w:rPr>
              <w:t>声环境保护目标，</w:t>
            </w:r>
            <w:r>
              <w:rPr>
                <w:rFonts w:hint="eastAsia" w:ascii="Times New Roman" w:hAnsi="Times New Roman" w:eastAsia="宋体" w:cs="Times New Roman"/>
                <w:color w:val="auto"/>
                <w:sz w:val="24"/>
                <w:szCs w:val="24"/>
                <w:highlight w:val="none"/>
                <w:lang w:eastAsia="zh-CN"/>
              </w:rPr>
              <w:t>为重庆市新渝技工学校（新校区）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噪声背景值数据</w:t>
            </w:r>
            <w:r>
              <w:rPr>
                <w:rFonts w:hint="eastAsia" w:ascii="Times New Roman" w:hAnsi="Times New Roman" w:eastAsia="宋体" w:cs="Times New Roman"/>
                <w:color w:val="auto"/>
                <w:sz w:val="24"/>
                <w:szCs w:val="24"/>
                <w:lang w:eastAsia="zh-CN"/>
              </w:rPr>
              <w:t>详见表</w:t>
            </w:r>
            <w:r>
              <w:rPr>
                <w:rFonts w:hint="eastAsia" w:ascii="Times New Roman" w:hAnsi="Times New Roman" w:eastAsia="宋体" w:cs="Times New Roman"/>
                <w:color w:val="auto"/>
                <w:sz w:val="24"/>
                <w:szCs w:val="24"/>
                <w:lang w:val="en-US" w:eastAsia="zh-CN"/>
              </w:rPr>
              <w:t>3-3</w:t>
            </w:r>
            <w:r>
              <w:rPr>
                <w:rFonts w:hint="default" w:ascii="Times New Roman" w:hAnsi="Times New Roman" w:eastAsia="宋体" w:cs="Times New Roman"/>
                <w:color w:val="auto"/>
                <w:sz w:val="24"/>
                <w:szCs w:val="24"/>
              </w:rPr>
              <w:t>。</w:t>
            </w:r>
          </w:p>
          <w:p w14:paraId="0E49E327">
            <w:pPr>
              <w:pStyle w:val="3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1）厂界噪声预测结果与达标分析</w:t>
            </w:r>
          </w:p>
          <w:p w14:paraId="62D8EBA1">
            <w:pPr>
              <w:pStyle w:val="3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建设单位租用森迪安防产业园</w:t>
            </w:r>
            <w:r>
              <w:rPr>
                <w:rFonts w:hint="default" w:ascii="Times New Roman" w:hAnsi="Times New Roman" w:eastAsia="宋体" w:cs="Times New Roman"/>
                <w:color w:val="FF0000"/>
                <w:sz w:val="24"/>
                <w:szCs w:val="24"/>
                <w:lang w:val="en-US" w:eastAsia="zh-CN"/>
              </w:rPr>
              <w:t>10#厂房实</w:t>
            </w:r>
            <w:r>
              <w:rPr>
                <w:rFonts w:hint="eastAsia" w:ascii="Times New Roman" w:hAnsi="Times New Roman" w:eastAsia="宋体" w:cs="Times New Roman"/>
                <w:color w:val="FF0000"/>
                <w:sz w:val="24"/>
                <w:szCs w:val="24"/>
                <w:lang w:val="en-US" w:eastAsia="zh-CN"/>
              </w:rPr>
              <w:t>施扩建项目，该厂房位于现有工程（2#厂房）西侧，中间间隔森迪安防产业园物流通道（约15m），两栋厂房间相互独立。扩建项目实施完成后，现有工程生产设备无变化，声源未发生变化。仅对扩建项目厂界进行预测评价。</w:t>
            </w:r>
          </w:p>
          <w:p w14:paraId="7E2F7B8F">
            <w:pPr>
              <w:pStyle w:val="3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扩建项目</w:t>
            </w:r>
            <w:r>
              <w:rPr>
                <w:rFonts w:hint="default" w:ascii="Times New Roman" w:hAnsi="Times New Roman" w:eastAsia="宋体" w:cs="Times New Roman"/>
                <w:color w:val="FF0000"/>
                <w:sz w:val="24"/>
                <w:szCs w:val="24"/>
              </w:rPr>
              <w:t>厂界噪声</w:t>
            </w:r>
            <w:r>
              <w:rPr>
                <w:rFonts w:hint="eastAsia" w:ascii="Times New Roman" w:hAnsi="Times New Roman" w:eastAsia="宋体" w:cs="Times New Roman"/>
                <w:color w:val="FF0000"/>
                <w:sz w:val="24"/>
                <w:szCs w:val="24"/>
                <w:lang w:eastAsia="zh-CN"/>
              </w:rPr>
              <w:t>预测结果与达标分析表详见表</w:t>
            </w:r>
            <w:r>
              <w:rPr>
                <w:rFonts w:hint="eastAsia" w:ascii="Times New Roman" w:hAnsi="Times New Roman" w:eastAsia="宋体" w:cs="Times New Roman"/>
                <w:color w:val="FF0000"/>
                <w:sz w:val="24"/>
                <w:szCs w:val="24"/>
                <w:lang w:val="en-US" w:eastAsia="zh-CN"/>
              </w:rPr>
              <w:t>4-19，</w:t>
            </w:r>
          </w:p>
          <w:p w14:paraId="2EB2A1E3">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val="0"/>
                <w:bCs/>
                <w:color w:val="auto"/>
                <w:kern w:val="0"/>
                <w:sz w:val="24"/>
                <w:szCs w:val="24"/>
                <w:highlight w:val="none"/>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 xml:space="preserve">  </w:t>
            </w:r>
            <w:r>
              <w:rPr>
                <w:rFonts w:hint="default" w:ascii="Times New Roman" w:hAnsi="Times New Roman" w:cs="Times New Roman"/>
                <w:b w:val="0"/>
                <w:bCs/>
                <w:color w:val="auto"/>
                <w:kern w:val="0"/>
                <w:sz w:val="24"/>
                <w:szCs w:val="24"/>
                <w:highlight w:val="none"/>
              </w:rPr>
              <w:t>厂界噪声预测结果与达标分析表单位：dB（A）</w:t>
            </w:r>
          </w:p>
          <w:tbl>
            <w:tblPr>
              <w:tblStyle w:val="22"/>
              <w:tblW w:w="0" w:type="auto"/>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803"/>
              <w:gridCol w:w="968"/>
              <w:gridCol w:w="859"/>
              <w:gridCol w:w="996"/>
              <w:gridCol w:w="1213"/>
              <w:gridCol w:w="1091"/>
              <w:gridCol w:w="1309"/>
            </w:tblGrid>
            <w:tr w14:paraId="73D70BF9">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32" w:type="dxa"/>
                  <w:vMerge w:val="restart"/>
                  <w:tcBorders>
                    <w:tl2br w:val="nil"/>
                    <w:tr2bl w:val="nil"/>
                  </w:tcBorders>
                  <w:vAlign w:val="center"/>
                </w:tcPr>
                <w:p w14:paraId="3B04506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预测方位</w:t>
                  </w:r>
                </w:p>
              </w:tc>
              <w:tc>
                <w:tcPr>
                  <w:tcW w:w="2630" w:type="dxa"/>
                  <w:gridSpan w:val="3"/>
                  <w:tcBorders>
                    <w:tl2br w:val="nil"/>
                    <w:tr2bl w:val="nil"/>
                  </w:tcBorders>
                  <w:vAlign w:val="center"/>
                </w:tcPr>
                <w:p w14:paraId="59FD9A7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最大值点空间相对位置/m</w:t>
                  </w:r>
                </w:p>
              </w:tc>
              <w:tc>
                <w:tcPr>
                  <w:tcW w:w="996" w:type="dxa"/>
                  <w:vMerge w:val="restart"/>
                  <w:tcBorders>
                    <w:tl2br w:val="nil"/>
                    <w:tr2bl w:val="nil"/>
                  </w:tcBorders>
                  <w:vAlign w:val="center"/>
                </w:tcPr>
                <w:p w14:paraId="7A366B22">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时段</w:t>
                  </w:r>
                </w:p>
              </w:tc>
              <w:tc>
                <w:tcPr>
                  <w:tcW w:w="1213" w:type="dxa"/>
                  <w:vMerge w:val="restart"/>
                  <w:tcBorders>
                    <w:tl2br w:val="nil"/>
                    <w:tr2bl w:val="nil"/>
                  </w:tcBorders>
                  <w:vAlign w:val="center"/>
                </w:tcPr>
                <w:p w14:paraId="708C5A1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贡献值（dB(A)）</w:t>
                  </w:r>
                </w:p>
              </w:tc>
              <w:tc>
                <w:tcPr>
                  <w:tcW w:w="1091" w:type="dxa"/>
                  <w:vMerge w:val="restart"/>
                  <w:tcBorders>
                    <w:tl2br w:val="nil"/>
                    <w:tr2bl w:val="nil"/>
                  </w:tcBorders>
                  <w:vAlign w:val="center"/>
                </w:tcPr>
                <w:p w14:paraId="1F937AF1">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标准限值（dB(A)）</w:t>
                  </w:r>
                </w:p>
              </w:tc>
              <w:tc>
                <w:tcPr>
                  <w:tcW w:w="1309" w:type="dxa"/>
                  <w:vMerge w:val="restart"/>
                  <w:tcBorders>
                    <w:tl2br w:val="nil"/>
                    <w:tr2bl w:val="nil"/>
                  </w:tcBorders>
                  <w:vAlign w:val="center"/>
                </w:tcPr>
                <w:p w14:paraId="08DB881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2B87F3DA">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2" w:type="dxa"/>
                  <w:vMerge w:val="continue"/>
                  <w:tcBorders>
                    <w:tl2br w:val="nil"/>
                    <w:tr2bl w:val="nil"/>
                  </w:tcBorders>
                  <w:shd w:val="clear" w:color="auto" w:fill="FFFFFF"/>
                  <w:vAlign w:val="center"/>
                </w:tcPr>
                <w:p w14:paraId="691F3E23">
                  <w:pPr>
                    <w:jc w:val="center"/>
                    <w:rPr>
                      <w:rFonts w:hint="default" w:ascii="Times New Roman" w:hAnsi="Times New Roman" w:eastAsia="宋体" w:cs="Times New Roman"/>
                      <w:b w:val="0"/>
                      <w:bCs/>
                      <w:color w:val="auto"/>
                      <w:sz w:val="21"/>
                      <w:szCs w:val="21"/>
                      <w:highlight w:val="none"/>
                    </w:rPr>
                  </w:pPr>
                </w:p>
              </w:tc>
              <w:tc>
                <w:tcPr>
                  <w:tcW w:w="803" w:type="dxa"/>
                  <w:tcBorders>
                    <w:tl2br w:val="nil"/>
                    <w:tr2bl w:val="nil"/>
                  </w:tcBorders>
                  <w:shd w:val="clear" w:color="auto" w:fill="FFFFFF"/>
                  <w:vAlign w:val="center"/>
                </w:tcPr>
                <w:p w14:paraId="6DC6B6B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X</w:t>
                  </w:r>
                </w:p>
              </w:tc>
              <w:tc>
                <w:tcPr>
                  <w:tcW w:w="968" w:type="dxa"/>
                  <w:tcBorders>
                    <w:tl2br w:val="nil"/>
                    <w:tr2bl w:val="nil"/>
                  </w:tcBorders>
                  <w:shd w:val="clear" w:color="auto" w:fill="FFFFFF"/>
                  <w:vAlign w:val="center"/>
                </w:tcPr>
                <w:p w14:paraId="3ECB5B4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Y</w:t>
                  </w:r>
                </w:p>
              </w:tc>
              <w:tc>
                <w:tcPr>
                  <w:tcW w:w="859" w:type="dxa"/>
                  <w:tcBorders>
                    <w:tl2br w:val="nil"/>
                    <w:tr2bl w:val="nil"/>
                  </w:tcBorders>
                  <w:shd w:val="clear" w:color="auto" w:fill="FFFFFF"/>
                  <w:vAlign w:val="center"/>
                </w:tcPr>
                <w:p w14:paraId="5323FD0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Z</w:t>
                  </w:r>
                </w:p>
              </w:tc>
              <w:tc>
                <w:tcPr>
                  <w:tcW w:w="996" w:type="dxa"/>
                  <w:vMerge w:val="continue"/>
                  <w:tcBorders>
                    <w:tl2br w:val="nil"/>
                    <w:tr2bl w:val="nil"/>
                  </w:tcBorders>
                  <w:shd w:val="clear" w:color="auto" w:fill="FFFFFF"/>
                  <w:vAlign w:val="center"/>
                </w:tcPr>
                <w:p w14:paraId="19725477">
                  <w:pPr>
                    <w:jc w:val="center"/>
                    <w:rPr>
                      <w:rFonts w:hint="default" w:ascii="Times New Roman" w:hAnsi="Times New Roman" w:eastAsia="宋体" w:cs="Times New Roman"/>
                      <w:b w:val="0"/>
                      <w:bCs/>
                      <w:color w:val="auto"/>
                      <w:sz w:val="21"/>
                      <w:szCs w:val="21"/>
                      <w:highlight w:val="none"/>
                    </w:rPr>
                  </w:pPr>
                </w:p>
              </w:tc>
              <w:tc>
                <w:tcPr>
                  <w:tcW w:w="1213" w:type="dxa"/>
                  <w:vMerge w:val="continue"/>
                  <w:tcBorders>
                    <w:tl2br w:val="nil"/>
                    <w:tr2bl w:val="nil"/>
                  </w:tcBorders>
                  <w:shd w:val="clear" w:color="auto" w:fill="FFFFFF"/>
                  <w:vAlign w:val="center"/>
                </w:tcPr>
                <w:p w14:paraId="6DDC35C9">
                  <w:pPr>
                    <w:jc w:val="center"/>
                    <w:rPr>
                      <w:rFonts w:hint="default" w:ascii="Times New Roman" w:hAnsi="Times New Roman" w:eastAsia="宋体" w:cs="Times New Roman"/>
                      <w:b w:val="0"/>
                      <w:bCs/>
                      <w:color w:val="auto"/>
                      <w:sz w:val="21"/>
                      <w:szCs w:val="21"/>
                      <w:highlight w:val="none"/>
                    </w:rPr>
                  </w:pPr>
                </w:p>
              </w:tc>
              <w:tc>
                <w:tcPr>
                  <w:tcW w:w="1091" w:type="dxa"/>
                  <w:vMerge w:val="continue"/>
                  <w:tcBorders>
                    <w:tl2br w:val="nil"/>
                    <w:tr2bl w:val="nil"/>
                  </w:tcBorders>
                  <w:shd w:val="clear" w:color="auto" w:fill="FFFFFF"/>
                  <w:vAlign w:val="center"/>
                </w:tcPr>
                <w:p w14:paraId="2782E645">
                  <w:pPr>
                    <w:jc w:val="center"/>
                    <w:rPr>
                      <w:rFonts w:hint="default" w:ascii="Times New Roman" w:hAnsi="Times New Roman" w:eastAsia="宋体" w:cs="Times New Roman"/>
                      <w:b w:val="0"/>
                      <w:bCs/>
                      <w:color w:val="auto"/>
                      <w:sz w:val="21"/>
                      <w:szCs w:val="21"/>
                      <w:highlight w:val="none"/>
                    </w:rPr>
                  </w:pPr>
                </w:p>
              </w:tc>
              <w:tc>
                <w:tcPr>
                  <w:tcW w:w="1309" w:type="dxa"/>
                  <w:vMerge w:val="continue"/>
                  <w:tcBorders>
                    <w:tl2br w:val="nil"/>
                    <w:tr2bl w:val="nil"/>
                  </w:tcBorders>
                  <w:shd w:val="clear" w:color="auto" w:fill="FFFFFF"/>
                  <w:vAlign w:val="center"/>
                </w:tcPr>
                <w:p w14:paraId="4DA87303">
                  <w:pPr>
                    <w:jc w:val="center"/>
                    <w:rPr>
                      <w:rFonts w:hint="default" w:ascii="Times New Roman" w:hAnsi="Times New Roman" w:eastAsia="宋体" w:cs="Times New Roman"/>
                      <w:b w:val="0"/>
                      <w:bCs/>
                      <w:color w:val="auto"/>
                      <w:sz w:val="21"/>
                      <w:szCs w:val="21"/>
                      <w:highlight w:val="none"/>
                    </w:rPr>
                  </w:pPr>
                </w:p>
              </w:tc>
            </w:tr>
            <w:tr w14:paraId="3D91F01D">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2" w:type="dxa"/>
                  <w:tcBorders>
                    <w:tl2br w:val="nil"/>
                    <w:tr2bl w:val="nil"/>
                  </w:tcBorders>
                  <w:shd w:val="clear" w:color="auto" w:fill="FFFFFF"/>
                  <w:vAlign w:val="center"/>
                </w:tcPr>
                <w:p w14:paraId="225A1F6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东侧</w:t>
                  </w:r>
                </w:p>
              </w:tc>
              <w:tc>
                <w:tcPr>
                  <w:tcW w:w="803" w:type="dxa"/>
                  <w:tcBorders>
                    <w:tl2br w:val="nil"/>
                    <w:tr2bl w:val="nil"/>
                  </w:tcBorders>
                  <w:shd w:val="clear" w:color="auto" w:fill="FFFFFF"/>
                  <w:vAlign w:val="center"/>
                </w:tcPr>
                <w:p w14:paraId="76C3AB7E">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-25.1</w:t>
                  </w:r>
                </w:p>
              </w:tc>
              <w:tc>
                <w:tcPr>
                  <w:tcW w:w="968" w:type="dxa"/>
                  <w:tcBorders>
                    <w:tl2br w:val="nil"/>
                    <w:tr2bl w:val="nil"/>
                  </w:tcBorders>
                  <w:shd w:val="clear" w:color="auto" w:fill="FFFFFF"/>
                  <w:vAlign w:val="center"/>
                </w:tcPr>
                <w:p w14:paraId="0A8FAC89">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-11.7</w:t>
                  </w:r>
                </w:p>
              </w:tc>
              <w:tc>
                <w:tcPr>
                  <w:tcW w:w="859" w:type="dxa"/>
                  <w:tcBorders>
                    <w:tl2br w:val="nil"/>
                    <w:tr2bl w:val="nil"/>
                  </w:tcBorders>
                  <w:shd w:val="clear" w:color="auto" w:fill="FFFFFF"/>
                  <w:vAlign w:val="center"/>
                </w:tcPr>
                <w:p w14:paraId="54948912">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996" w:type="dxa"/>
                  <w:tcBorders>
                    <w:tl2br w:val="nil"/>
                    <w:tr2bl w:val="nil"/>
                  </w:tcBorders>
                  <w:shd w:val="clear" w:color="auto" w:fill="FFFFFF"/>
                  <w:vAlign w:val="center"/>
                </w:tcPr>
                <w:p w14:paraId="0271DA1C">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昼间</w:t>
                  </w:r>
                </w:p>
              </w:tc>
              <w:tc>
                <w:tcPr>
                  <w:tcW w:w="1213" w:type="dxa"/>
                  <w:tcBorders>
                    <w:tl2br w:val="nil"/>
                    <w:tr2bl w:val="nil"/>
                  </w:tcBorders>
                  <w:shd w:val="clear" w:color="auto" w:fill="FFFFFF"/>
                  <w:vAlign w:val="center"/>
                </w:tcPr>
                <w:p w14:paraId="70F2E46D">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49.7</w:t>
                  </w:r>
                </w:p>
              </w:tc>
              <w:tc>
                <w:tcPr>
                  <w:tcW w:w="1091" w:type="dxa"/>
                  <w:tcBorders>
                    <w:tl2br w:val="nil"/>
                    <w:tr2bl w:val="nil"/>
                  </w:tcBorders>
                  <w:shd w:val="clear" w:color="auto" w:fill="FFFFFF"/>
                  <w:vAlign w:val="center"/>
                </w:tcPr>
                <w:p w14:paraId="08A893C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w:t>
                  </w:r>
                </w:p>
              </w:tc>
              <w:tc>
                <w:tcPr>
                  <w:tcW w:w="1309" w:type="dxa"/>
                  <w:tcBorders>
                    <w:tl2br w:val="nil"/>
                    <w:tr2bl w:val="nil"/>
                  </w:tcBorders>
                  <w:shd w:val="clear" w:color="auto" w:fill="FFFFFF"/>
                  <w:vAlign w:val="center"/>
                </w:tcPr>
                <w:p w14:paraId="5626197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29BBE284">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0" w:hRule="exact"/>
                <w:jc w:val="center"/>
              </w:trPr>
              <w:tc>
                <w:tcPr>
                  <w:tcW w:w="1032" w:type="dxa"/>
                  <w:tcBorders>
                    <w:tl2br w:val="nil"/>
                    <w:tr2bl w:val="nil"/>
                  </w:tcBorders>
                  <w:shd w:val="clear" w:color="auto" w:fill="FFFFFF"/>
                  <w:vAlign w:val="center"/>
                </w:tcPr>
                <w:p w14:paraId="05CB982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南侧</w:t>
                  </w:r>
                </w:p>
              </w:tc>
              <w:tc>
                <w:tcPr>
                  <w:tcW w:w="803" w:type="dxa"/>
                  <w:tcBorders>
                    <w:tl2br w:val="nil"/>
                    <w:tr2bl w:val="nil"/>
                  </w:tcBorders>
                  <w:shd w:val="clear" w:color="auto" w:fill="FFFFFF"/>
                  <w:vAlign w:val="center"/>
                </w:tcPr>
                <w:p w14:paraId="6555D1E8">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-37.9</w:t>
                  </w:r>
                </w:p>
              </w:tc>
              <w:tc>
                <w:tcPr>
                  <w:tcW w:w="968" w:type="dxa"/>
                  <w:tcBorders>
                    <w:tl2br w:val="nil"/>
                    <w:tr2bl w:val="nil"/>
                  </w:tcBorders>
                  <w:shd w:val="clear" w:color="auto" w:fill="FFFFFF"/>
                  <w:vAlign w:val="center"/>
                </w:tcPr>
                <w:p w14:paraId="76F1A0FE">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-21.9</w:t>
                  </w:r>
                </w:p>
              </w:tc>
              <w:tc>
                <w:tcPr>
                  <w:tcW w:w="859" w:type="dxa"/>
                  <w:tcBorders>
                    <w:tl2br w:val="nil"/>
                    <w:tr2bl w:val="nil"/>
                  </w:tcBorders>
                  <w:shd w:val="clear" w:color="auto" w:fill="FFFFFF"/>
                  <w:vAlign w:val="center"/>
                </w:tcPr>
                <w:p w14:paraId="53ED8E07">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996" w:type="dxa"/>
                  <w:tcBorders>
                    <w:tl2br w:val="nil"/>
                    <w:tr2bl w:val="nil"/>
                  </w:tcBorders>
                  <w:shd w:val="clear" w:color="auto" w:fill="FFFFFF"/>
                  <w:vAlign w:val="center"/>
                </w:tcPr>
                <w:p w14:paraId="356F24D6">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昼间</w:t>
                  </w:r>
                </w:p>
              </w:tc>
              <w:tc>
                <w:tcPr>
                  <w:tcW w:w="1213" w:type="dxa"/>
                  <w:tcBorders>
                    <w:tl2br w:val="nil"/>
                    <w:tr2bl w:val="nil"/>
                  </w:tcBorders>
                  <w:shd w:val="clear" w:color="auto" w:fill="FFFFFF"/>
                  <w:vAlign w:val="center"/>
                </w:tcPr>
                <w:p w14:paraId="056B5DF9">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w:t>
                  </w:r>
                </w:p>
              </w:tc>
              <w:tc>
                <w:tcPr>
                  <w:tcW w:w="1091" w:type="dxa"/>
                  <w:tcBorders>
                    <w:tl2br w:val="nil"/>
                    <w:tr2bl w:val="nil"/>
                  </w:tcBorders>
                  <w:shd w:val="clear" w:color="auto" w:fill="FFFFFF"/>
                  <w:vAlign w:val="center"/>
                </w:tcPr>
                <w:p w14:paraId="01BDAD3B">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w:t>
                  </w:r>
                </w:p>
              </w:tc>
              <w:tc>
                <w:tcPr>
                  <w:tcW w:w="1309" w:type="dxa"/>
                  <w:tcBorders>
                    <w:tl2br w:val="nil"/>
                    <w:tr2bl w:val="nil"/>
                  </w:tcBorders>
                  <w:shd w:val="clear" w:color="auto" w:fill="FFFFFF"/>
                  <w:vAlign w:val="center"/>
                </w:tcPr>
                <w:p w14:paraId="77F1F33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276329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1" w:hRule="exact"/>
                <w:jc w:val="center"/>
              </w:trPr>
              <w:tc>
                <w:tcPr>
                  <w:tcW w:w="1032" w:type="dxa"/>
                  <w:tcBorders>
                    <w:tl2br w:val="nil"/>
                    <w:tr2bl w:val="nil"/>
                  </w:tcBorders>
                  <w:shd w:val="clear" w:color="auto" w:fill="FFFFFF"/>
                  <w:vAlign w:val="center"/>
                </w:tcPr>
                <w:p w14:paraId="58FCF6C1">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西侧</w:t>
                  </w:r>
                </w:p>
              </w:tc>
              <w:tc>
                <w:tcPr>
                  <w:tcW w:w="803" w:type="dxa"/>
                  <w:tcBorders>
                    <w:tl2br w:val="nil"/>
                    <w:tr2bl w:val="nil"/>
                  </w:tcBorders>
                  <w:shd w:val="clear" w:color="auto" w:fill="FFFFFF"/>
                  <w:vAlign w:val="center"/>
                </w:tcPr>
                <w:p w14:paraId="2CE1ADAC">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-84.6</w:t>
                  </w:r>
                </w:p>
              </w:tc>
              <w:tc>
                <w:tcPr>
                  <w:tcW w:w="968" w:type="dxa"/>
                  <w:tcBorders>
                    <w:tl2br w:val="nil"/>
                    <w:tr2bl w:val="nil"/>
                  </w:tcBorders>
                  <w:shd w:val="clear" w:color="auto" w:fill="FFFFFF"/>
                  <w:vAlign w:val="center"/>
                </w:tcPr>
                <w:p w14:paraId="2DEBD384">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7.6</w:t>
                  </w:r>
                </w:p>
              </w:tc>
              <w:tc>
                <w:tcPr>
                  <w:tcW w:w="859" w:type="dxa"/>
                  <w:tcBorders>
                    <w:tl2br w:val="nil"/>
                    <w:tr2bl w:val="nil"/>
                  </w:tcBorders>
                  <w:shd w:val="clear" w:color="auto" w:fill="FFFFFF"/>
                  <w:vAlign w:val="center"/>
                </w:tcPr>
                <w:p w14:paraId="0FAF11D3">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996" w:type="dxa"/>
                  <w:tcBorders>
                    <w:tl2br w:val="nil"/>
                    <w:tr2bl w:val="nil"/>
                  </w:tcBorders>
                  <w:shd w:val="clear" w:color="auto" w:fill="FFFFFF"/>
                  <w:vAlign w:val="center"/>
                </w:tcPr>
                <w:p w14:paraId="4B7F241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昼间</w:t>
                  </w:r>
                </w:p>
              </w:tc>
              <w:tc>
                <w:tcPr>
                  <w:tcW w:w="1213" w:type="dxa"/>
                  <w:tcBorders>
                    <w:tl2br w:val="nil"/>
                    <w:tr2bl w:val="nil"/>
                  </w:tcBorders>
                  <w:shd w:val="clear" w:color="auto" w:fill="FFFFFF"/>
                  <w:vAlign w:val="center"/>
                </w:tcPr>
                <w:p w14:paraId="40DECDA6">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41.6</w:t>
                  </w:r>
                </w:p>
              </w:tc>
              <w:tc>
                <w:tcPr>
                  <w:tcW w:w="1091" w:type="dxa"/>
                  <w:tcBorders>
                    <w:tl2br w:val="nil"/>
                    <w:tr2bl w:val="nil"/>
                  </w:tcBorders>
                  <w:shd w:val="clear" w:color="auto" w:fill="FFFFFF"/>
                  <w:vAlign w:val="center"/>
                </w:tcPr>
                <w:p w14:paraId="186CC604">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w:t>
                  </w:r>
                </w:p>
              </w:tc>
              <w:tc>
                <w:tcPr>
                  <w:tcW w:w="1309" w:type="dxa"/>
                  <w:tcBorders>
                    <w:tl2br w:val="nil"/>
                    <w:tr2bl w:val="nil"/>
                  </w:tcBorders>
                  <w:shd w:val="clear" w:color="auto" w:fill="FFFFFF"/>
                  <w:vAlign w:val="center"/>
                </w:tcPr>
                <w:p w14:paraId="0372B228">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3BB9C103">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3" w:hRule="exact"/>
                <w:jc w:val="center"/>
              </w:trPr>
              <w:tc>
                <w:tcPr>
                  <w:tcW w:w="1032" w:type="dxa"/>
                  <w:tcBorders>
                    <w:tl2br w:val="nil"/>
                    <w:tr2bl w:val="nil"/>
                  </w:tcBorders>
                  <w:shd w:val="clear" w:color="auto" w:fill="FFFFFF"/>
                  <w:vAlign w:val="center"/>
                </w:tcPr>
                <w:p w14:paraId="6DFFADF0">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北侧</w:t>
                  </w:r>
                </w:p>
              </w:tc>
              <w:tc>
                <w:tcPr>
                  <w:tcW w:w="803" w:type="dxa"/>
                  <w:tcBorders>
                    <w:tl2br w:val="nil"/>
                    <w:tr2bl w:val="nil"/>
                  </w:tcBorders>
                  <w:shd w:val="clear" w:color="auto" w:fill="FFFFFF"/>
                  <w:vAlign w:val="center"/>
                </w:tcPr>
                <w:p w14:paraId="556BDF52">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-54.6</w:t>
                  </w:r>
                </w:p>
              </w:tc>
              <w:tc>
                <w:tcPr>
                  <w:tcW w:w="968" w:type="dxa"/>
                  <w:tcBorders>
                    <w:tl2br w:val="nil"/>
                    <w:tr2bl w:val="nil"/>
                  </w:tcBorders>
                  <w:shd w:val="clear" w:color="auto" w:fill="FFFFFF"/>
                  <w:vAlign w:val="center"/>
                </w:tcPr>
                <w:p w14:paraId="69A433B9">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c>
                <w:tcPr>
                  <w:tcW w:w="859" w:type="dxa"/>
                  <w:tcBorders>
                    <w:tl2br w:val="nil"/>
                    <w:tr2bl w:val="nil"/>
                  </w:tcBorders>
                  <w:shd w:val="clear" w:color="auto" w:fill="FFFFFF"/>
                  <w:vAlign w:val="center"/>
                </w:tcPr>
                <w:p w14:paraId="1B5D5487">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996" w:type="dxa"/>
                  <w:tcBorders>
                    <w:tl2br w:val="nil"/>
                    <w:tr2bl w:val="nil"/>
                  </w:tcBorders>
                  <w:shd w:val="clear" w:color="auto" w:fill="FFFFFF"/>
                  <w:vAlign w:val="center"/>
                </w:tcPr>
                <w:p w14:paraId="48C690A9">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昼间</w:t>
                  </w:r>
                </w:p>
              </w:tc>
              <w:tc>
                <w:tcPr>
                  <w:tcW w:w="1213" w:type="dxa"/>
                  <w:tcBorders>
                    <w:tl2br w:val="nil"/>
                    <w:tr2bl w:val="nil"/>
                  </w:tcBorders>
                  <w:shd w:val="clear" w:color="auto" w:fill="FFFFFF"/>
                  <w:vAlign w:val="center"/>
                </w:tcPr>
                <w:p w14:paraId="3B3DFB7F">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61.1</w:t>
                  </w:r>
                </w:p>
              </w:tc>
              <w:tc>
                <w:tcPr>
                  <w:tcW w:w="1091" w:type="dxa"/>
                  <w:tcBorders>
                    <w:tl2br w:val="nil"/>
                    <w:tr2bl w:val="nil"/>
                  </w:tcBorders>
                  <w:shd w:val="clear" w:color="auto" w:fill="FFFFFF"/>
                  <w:vAlign w:val="center"/>
                </w:tcPr>
                <w:p w14:paraId="47EFCA57">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w:t>
                  </w:r>
                </w:p>
              </w:tc>
              <w:tc>
                <w:tcPr>
                  <w:tcW w:w="1309" w:type="dxa"/>
                  <w:tcBorders>
                    <w:tl2br w:val="nil"/>
                    <w:tr2bl w:val="nil"/>
                  </w:tcBorders>
                  <w:shd w:val="clear" w:color="auto" w:fill="FFFFFF"/>
                  <w:vAlign w:val="center"/>
                </w:tcPr>
                <w:p w14:paraId="64F6A9D1">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bl>
          <w:p w14:paraId="1140DCAB">
            <w:pPr>
              <w:pStyle w:val="38"/>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auto"/>
                <w:sz w:val="18"/>
                <w:szCs w:val="18"/>
                <w:highlight w:val="none"/>
              </w:rPr>
            </w:pPr>
            <w:r>
              <w:rPr>
                <w:rFonts w:hint="default" w:ascii="Times New Roman" w:hAnsi="Times New Roman" w:cs="Times New Roman" w:eastAsiaTheme="minorEastAsia"/>
                <w:b w:val="0"/>
                <w:bCs/>
                <w:sz w:val="18"/>
                <w:szCs w:val="18"/>
                <w:lang w:val="en-US" w:eastAsia="zh-CN"/>
              </w:rPr>
              <w:t>表中坐标以厂界中心（</w:t>
            </w:r>
            <w:bookmarkStart w:id="19" w:name="PO_8"/>
            <w:r>
              <w:rPr>
                <w:rFonts w:hint="default" w:ascii="Times New Roman" w:hAnsi="Times New Roman" w:cs="Times New Roman" w:eastAsiaTheme="minorEastAsia"/>
                <w:b w:val="0"/>
                <w:bCs/>
                <w:sz w:val="18"/>
                <w:szCs w:val="18"/>
                <w:lang w:val="en-US" w:eastAsia="zh-CN"/>
              </w:rPr>
              <w:t>106.318382,29.324661</w:t>
            </w:r>
            <w:bookmarkEnd w:id="19"/>
            <w:r>
              <w:rPr>
                <w:rFonts w:hint="default" w:ascii="Times New Roman" w:hAnsi="Times New Roman" w:cs="Times New Roman" w:eastAsiaTheme="minorEastAsia"/>
                <w:b w:val="0"/>
                <w:bCs/>
                <w:sz w:val="18"/>
                <w:szCs w:val="18"/>
                <w:lang w:val="en-US" w:eastAsia="zh-CN"/>
              </w:rPr>
              <w:t>）为坐标原点，正东向为X轴正方向，正北向为Y轴正方向</w:t>
            </w:r>
          </w:p>
          <w:p w14:paraId="52273800">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highlight w:val="none"/>
              </w:rPr>
              <w:t>由预测结果可</w:t>
            </w:r>
            <w:r>
              <w:rPr>
                <w:rFonts w:hint="eastAsia" w:ascii="Times New Roman" w:hAnsi="Times New Roman" w:cs="Times New Roman"/>
                <w:color w:val="auto"/>
                <w:sz w:val="24"/>
                <w:szCs w:val="24"/>
                <w:highlight w:val="none"/>
                <w:lang w:eastAsia="zh-CN"/>
              </w:rPr>
              <w:t>知</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仅昼间运行，</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扩建完成后</w:t>
            </w:r>
            <w:r>
              <w:rPr>
                <w:rFonts w:hint="default" w:ascii="Times New Roman" w:hAnsi="Times New Roman" w:cs="Times New Roman"/>
                <w:color w:val="auto"/>
                <w:sz w:val="24"/>
                <w:szCs w:val="24"/>
                <w:highlight w:val="none"/>
              </w:rPr>
              <w:t>通过采取有效噪声污染防治措施后，</w:t>
            </w:r>
            <w:r>
              <w:rPr>
                <w:rFonts w:hint="default" w:ascii="Times New Roman" w:hAnsi="Times New Roman" w:eastAsia="宋体" w:cs="Times New Roman"/>
                <w:color w:val="auto"/>
                <w:sz w:val="24"/>
                <w:szCs w:val="24"/>
              </w:rPr>
              <w:t>各厂界昼间噪声贡献值</w:t>
            </w:r>
            <w:r>
              <w:rPr>
                <w:rFonts w:hint="default" w:ascii="Times New Roman" w:hAnsi="Times New Roman" w:cs="Times New Roman"/>
                <w:color w:val="auto"/>
                <w:sz w:val="24"/>
                <w:szCs w:val="24"/>
                <w:highlight w:val="none"/>
              </w:rPr>
              <w:t>可满足《工业企业厂界环境噪声排放标准》（GB12348-2008）3类标准要求</w:t>
            </w:r>
            <w:r>
              <w:rPr>
                <w:rFonts w:hint="default" w:ascii="Times New Roman" w:hAnsi="Times New Roman" w:eastAsia="宋体" w:cs="Times New Roman"/>
                <w:color w:val="auto"/>
                <w:sz w:val="24"/>
                <w:szCs w:val="24"/>
              </w:rPr>
              <w:t>。</w:t>
            </w:r>
          </w:p>
          <w:p w14:paraId="3FD3D9C2">
            <w:pPr>
              <w:pStyle w:val="38"/>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2）对</w:t>
            </w:r>
            <w:r>
              <w:rPr>
                <w:rFonts w:hint="eastAsia" w:ascii="Times New Roman" w:hAnsi="Times New Roman" w:eastAsia="宋体" w:cs="Times New Roman"/>
                <w:color w:val="auto"/>
                <w:sz w:val="24"/>
                <w:szCs w:val="24"/>
                <w:lang w:val="en-US" w:eastAsia="zh-CN"/>
              </w:rPr>
              <w:t>重庆市新渝技工学校（新校区）的影响预测结果</w:t>
            </w:r>
          </w:p>
          <w:p w14:paraId="23D63E44">
            <w:pPr>
              <w:pStyle w:val="38"/>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本项目评价范围内无声环境保护目标，为了解扩建项目实施完成后，对</w:t>
            </w:r>
            <w:r>
              <w:rPr>
                <w:rFonts w:hint="eastAsia" w:ascii="Times New Roman" w:hAnsi="Times New Roman" w:eastAsia="宋体" w:cs="Times New Roman"/>
                <w:color w:val="auto"/>
                <w:sz w:val="24"/>
                <w:szCs w:val="24"/>
                <w:lang w:val="en-US" w:eastAsia="zh-CN"/>
              </w:rPr>
              <w:t>重庆市新渝技工学校（新校区）的影响，对其进行预测，</w:t>
            </w:r>
            <w:r>
              <w:rPr>
                <w:rFonts w:hint="eastAsia" w:ascii="Times New Roman" w:hAnsi="Times New Roman" w:cs="Times New Roman"/>
                <w:color w:val="auto"/>
                <w:sz w:val="24"/>
                <w:szCs w:val="24"/>
                <w:highlight w:val="none"/>
                <w:lang w:val="en-US" w:eastAsia="zh-CN"/>
              </w:rPr>
              <w:t>预测结果与达标分析表详见表4-20。</w:t>
            </w:r>
          </w:p>
          <w:p w14:paraId="1D3229E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声环境保护目标</w:t>
            </w:r>
            <w:r>
              <w:rPr>
                <w:rFonts w:hint="default" w:ascii="Times New Roman" w:hAnsi="Times New Roman" w:eastAsia="宋体" w:cs="Times New Roman"/>
                <w:color w:val="auto"/>
                <w:sz w:val="24"/>
                <w:szCs w:val="24"/>
                <w:highlight w:val="none"/>
                <w:lang w:val="en-US" w:eastAsia="zh-CN"/>
              </w:rPr>
              <w:t>噪声</w:t>
            </w:r>
            <w:r>
              <w:rPr>
                <w:rFonts w:hint="eastAsia" w:ascii="Times New Roman" w:hAnsi="Times New Roman" w:eastAsia="宋体" w:cs="Times New Roman"/>
                <w:color w:val="auto"/>
                <w:sz w:val="24"/>
                <w:szCs w:val="24"/>
                <w:highlight w:val="none"/>
                <w:lang w:val="en-US" w:eastAsia="zh-CN"/>
              </w:rPr>
              <w:t>预测结果与</w:t>
            </w:r>
            <w:r>
              <w:rPr>
                <w:rFonts w:hint="default" w:ascii="Times New Roman" w:hAnsi="Times New Roman" w:eastAsia="宋体" w:cs="Times New Roman"/>
                <w:color w:val="auto"/>
                <w:sz w:val="24"/>
                <w:szCs w:val="24"/>
                <w:highlight w:val="none"/>
                <w:lang w:val="en-US" w:eastAsia="zh-CN"/>
              </w:rPr>
              <w:t>达标分析表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89"/>
              <w:gridCol w:w="1330"/>
              <w:gridCol w:w="1331"/>
              <w:gridCol w:w="1331"/>
              <w:gridCol w:w="1331"/>
              <w:gridCol w:w="1341"/>
            </w:tblGrid>
            <w:tr w14:paraId="4E9A1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59" w:type="pct"/>
                  <w:tcBorders>
                    <w:tl2br w:val="nil"/>
                    <w:tr2bl w:val="nil"/>
                  </w:tcBorders>
                  <w:vAlign w:val="center"/>
                </w:tcPr>
                <w:p w14:paraId="7ADD8A0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预测点</w:t>
                  </w:r>
                </w:p>
              </w:tc>
              <w:tc>
                <w:tcPr>
                  <w:tcW w:w="787" w:type="pct"/>
                  <w:tcBorders>
                    <w:tl2br w:val="nil"/>
                    <w:tr2bl w:val="nil"/>
                  </w:tcBorders>
                  <w:vAlign w:val="center"/>
                </w:tcPr>
                <w:p w14:paraId="6B05815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贡献值</w:t>
                  </w:r>
                </w:p>
              </w:tc>
              <w:tc>
                <w:tcPr>
                  <w:tcW w:w="787" w:type="pct"/>
                  <w:tcBorders>
                    <w:tl2br w:val="nil"/>
                    <w:tr2bl w:val="nil"/>
                  </w:tcBorders>
                  <w:vAlign w:val="center"/>
                </w:tcPr>
                <w:p w14:paraId="4A4E1E3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背景值</w:t>
                  </w:r>
                </w:p>
              </w:tc>
              <w:tc>
                <w:tcPr>
                  <w:tcW w:w="787" w:type="pct"/>
                  <w:tcBorders>
                    <w:tl2br w:val="nil"/>
                    <w:tr2bl w:val="nil"/>
                  </w:tcBorders>
                  <w:vAlign w:val="center"/>
                </w:tcPr>
                <w:p w14:paraId="7E81367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预测值</w:t>
                  </w:r>
                </w:p>
              </w:tc>
              <w:tc>
                <w:tcPr>
                  <w:tcW w:w="787" w:type="pct"/>
                  <w:tcBorders>
                    <w:tl2br w:val="nil"/>
                    <w:tr2bl w:val="nil"/>
                  </w:tcBorders>
                  <w:vAlign w:val="center"/>
                </w:tcPr>
                <w:p w14:paraId="0E2B1D7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标准值</w:t>
                  </w:r>
                </w:p>
              </w:tc>
              <w:tc>
                <w:tcPr>
                  <w:tcW w:w="789" w:type="pct"/>
                  <w:tcBorders>
                    <w:tl2br w:val="nil"/>
                    <w:tr2bl w:val="nil"/>
                  </w:tcBorders>
                  <w:vAlign w:val="center"/>
                </w:tcPr>
                <w:p w14:paraId="481CB22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达标情况</w:t>
                  </w:r>
                </w:p>
              </w:tc>
            </w:tr>
            <w:tr w14:paraId="456B5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59" w:type="pct"/>
                  <w:tcBorders>
                    <w:tl2br w:val="nil"/>
                    <w:tr2bl w:val="nil"/>
                  </w:tcBorders>
                  <w:vAlign w:val="center"/>
                </w:tcPr>
                <w:p w14:paraId="4AD91FB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重庆市新渝技工学校（新校区）</w:t>
                  </w:r>
                </w:p>
              </w:tc>
              <w:tc>
                <w:tcPr>
                  <w:tcW w:w="787" w:type="pct"/>
                  <w:tcBorders>
                    <w:tl2br w:val="nil"/>
                    <w:tr2bl w:val="nil"/>
                  </w:tcBorders>
                  <w:vAlign w:val="center"/>
                </w:tcPr>
                <w:p w14:paraId="1E357D3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12.4</w:t>
                  </w:r>
                </w:p>
              </w:tc>
              <w:tc>
                <w:tcPr>
                  <w:tcW w:w="787" w:type="pct"/>
                  <w:tcBorders>
                    <w:tl2br w:val="nil"/>
                    <w:tr2bl w:val="nil"/>
                  </w:tcBorders>
                  <w:vAlign w:val="center"/>
                </w:tcPr>
                <w:p w14:paraId="68A5DE1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53</w:t>
                  </w:r>
                </w:p>
              </w:tc>
              <w:tc>
                <w:tcPr>
                  <w:tcW w:w="787" w:type="pct"/>
                  <w:tcBorders>
                    <w:tl2br w:val="nil"/>
                    <w:tr2bl w:val="nil"/>
                  </w:tcBorders>
                  <w:vAlign w:val="center"/>
                </w:tcPr>
                <w:p w14:paraId="3324AE4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53</w:t>
                  </w:r>
                </w:p>
              </w:tc>
              <w:tc>
                <w:tcPr>
                  <w:tcW w:w="787" w:type="pct"/>
                  <w:tcBorders>
                    <w:tl2br w:val="nil"/>
                    <w:tr2bl w:val="nil"/>
                  </w:tcBorders>
                  <w:vAlign w:val="center"/>
                </w:tcPr>
                <w:p w14:paraId="4F2081B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b w:val="0"/>
                      <w:bCs w:val="0"/>
                      <w:color w:val="auto"/>
                      <w:kern w:val="0"/>
                      <w:sz w:val="21"/>
                      <w:szCs w:val="21"/>
                      <w:highlight w:val="none"/>
                      <w:lang w:val="en-US" w:eastAsia="zh-CN" w:bidi="ar"/>
                    </w:rPr>
                    <w:t>昼间</w:t>
                  </w:r>
                  <w:r>
                    <w:rPr>
                      <w:rFonts w:hint="default" w:ascii="Times New Roman" w:hAnsi="Times New Roman" w:eastAsia="宋体" w:cs="TimesNewRomanPSMT"/>
                      <w:b w:val="0"/>
                      <w:bCs w:val="0"/>
                      <w:color w:val="auto"/>
                      <w:kern w:val="0"/>
                      <w:sz w:val="21"/>
                      <w:szCs w:val="21"/>
                      <w:highlight w:val="none"/>
                      <w:lang w:val="en-US" w:eastAsia="zh-CN" w:bidi="ar"/>
                    </w:rPr>
                    <w:t>6</w:t>
                  </w:r>
                  <w:r>
                    <w:rPr>
                      <w:rFonts w:hint="eastAsia" w:ascii="Times New Roman" w:hAnsi="Times New Roman" w:eastAsia="宋体" w:cs="TimesNewRomanPSMT"/>
                      <w:b w:val="0"/>
                      <w:bCs w:val="0"/>
                      <w:color w:val="auto"/>
                      <w:kern w:val="0"/>
                      <w:sz w:val="21"/>
                      <w:szCs w:val="21"/>
                      <w:highlight w:val="none"/>
                      <w:lang w:val="en-US" w:eastAsia="zh-CN" w:bidi="ar"/>
                    </w:rPr>
                    <w:t>5</w:t>
                  </w:r>
                </w:p>
              </w:tc>
              <w:tc>
                <w:tcPr>
                  <w:tcW w:w="789" w:type="pct"/>
                  <w:tcBorders>
                    <w:tl2br w:val="nil"/>
                    <w:tr2bl w:val="nil"/>
                  </w:tcBorders>
                  <w:vAlign w:val="center"/>
                </w:tcPr>
                <w:p w14:paraId="58FB4AC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3" w:lineRule="auto"/>
                    <w:ind w:left="0" w:right="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达标</w:t>
                  </w:r>
                </w:p>
              </w:tc>
            </w:tr>
            <w:tr w14:paraId="53BCA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000" w:type="pct"/>
                  <w:gridSpan w:val="6"/>
                  <w:tcBorders>
                    <w:tl2br w:val="nil"/>
                    <w:tr2bl w:val="nil"/>
                  </w:tcBorders>
                  <w:vAlign w:val="center"/>
                </w:tcPr>
                <w:p w14:paraId="7A21C4B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2" w:firstLineChars="200"/>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注</w:t>
                  </w:r>
                  <w:r>
                    <w:rPr>
                      <w:rFonts w:hint="eastAsia" w:ascii="Times New Roman" w:hAnsi="Times New Roman" w:eastAsia="宋体"/>
                      <w:color w:val="auto"/>
                      <w:sz w:val="21"/>
                      <w:szCs w:val="21"/>
                      <w:highlight w:val="none"/>
                      <w:vertAlign w:val="baseline"/>
                      <w:lang w:val="en-US" w:eastAsia="zh-CN"/>
                    </w:rPr>
                    <w:t>：现状噪声监测期间，现有工程正常工况生产，现状噪声监测结果已包含了现有工程的影响值。</w:t>
                  </w:r>
                </w:p>
              </w:tc>
            </w:tr>
          </w:tbl>
          <w:p w14:paraId="2E314B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75" w:lineRule="auto"/>
              <w:ind w:left="0" w:right="0" w:firstLine="480" w:firstLineChars="200"/>
              <w:jc w:val="both"/>
              <w:textAlignment w:val="auto"/>
              <w:rPr>
                <w:rFonts w:hint="eastAsia" w:ascii="Times New Roman" w:hAnsi="Times New Roman" w:cs="宋体"/>
                <w:color w:val="auto"/>
                <w:sz w:val="24"/>
                <w:szCs w:val="24"/>
                <w:highlight w:val="none"/>
                <w:lang w:val="en-US" w:eastAsia="zh-CN"/>
              </w:rPr>
            </w:pPr>
            <w:r>
              <w:rPr>
                <w:rFonts w:hint="eastAsia" w:ascii="Times New Roman" w:hAnsi="Times New Roman"/>
                <w:color w:val="auto"/>
                <w:sz w:val="24"/>
                <w:highlight w:val="none"/>
                <w:lang w:val="en-US" w:eastAsia="zh-CN"/>
              </w:rPr>
              <w:t>根据上表预测结果，扩建项目仅昼间生产，重庆市新渝技工学校（新校区）噪声预测结果满足</w:t>
            </w:r>
            <w:r>
              <w:rPr>
                <w:rFonts w:hint="eastAsia" w:ascii="Times New Roman" w:hAnsi="Times New Roman" w:cs="宋体"/>
                <w:color w:val="auto"/>
                <w:sz w:val="24"/>
                <w:szCs w:val="24"/>
                <w:highlight w:val="none"/>
                <w:lang w:val="en-US" w:eastAsia="zh-CN"/>
              </w:rPr>
              <w:t>《声环境质量标准》（GB3096-2008）中3类标准要求。</w:t>
            </w:r>
          </w:p>
          <w:p w14:paraId="4D5E80C6">
            <w:pPr>
              <w:pStyle w:val="3"/>
              <w:pageBreakBefore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3）噪声防治措施</w:t>
            </w:r>
          </w:p>
          <w:p w14:paraId="493B202D">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为了降低营运期噪声对周围环境的影响，项目采取以下噪声污染防治措施：</w:t>
            </w:r>
          </w:p>
          <w:p w14:paraId="2826A946">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①在工艺设备选型时，应选用低噪声、节能型的先进设备，对震动大的设备采取相应的减震措施；</w:t>
            </w:r>
          </w:p>
          <w:p w14:paraId="547A9C75">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②定期保养和维护生产设备，减少机械摩擦、磨损和振动，降低噪声强度；合理安排生产时间，减少高噪声设备同时开启数量。</w:t>
            </w:r>
          </w:p>
          <w:p w14:paraId="110B9A1D">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③合理布置总平布置，高噪声设备设于生产区中央远离厂界，并利用</w:t>
            </w:r>
            <w:r>
              <w:rPr>
                <w:rFonts w:hint="default" w:ascii="Times New Roman" w:hAnsi="Times New Roman" w:eastAsia="宋体" w:cs="Times New Roman"/>
                <w:color w:val="auto"/>
                <w:sz w:val="24"/>
                <w:szCs w:val="24"/>
                <w:lang w:eastAsia="zh-CN"/>
              </w:rPr>
              <w:t>建筑</w:t>
            </w:r>
            <w:r>
              <w:rPr>
                <w:rFonts w:hint="default" w:ascii="Times New Roman" w:hAnsi="Times New Roman" w:eastAsia="宋体" w:cs="Times New Roman"/>
                <w:color w:val="auto"/>
                <w:sz w:val="24"/>
                <w:szCs w:val="24"/>
              </w:rPr>
              <w:t>物来阻隔声波的传播，减少设备噪声对外环境影响。</w:t>
            </w:r>
          </w:p>
          <w:p w14:paraId="0E22FB1B">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均为工业企业，50m范围内无学校、医院、居民区等声环境保护目标，项目采取相应噪声防治措施后，厂界噪声能够满足《工业企业厂界环境噪声排放标准》（GB12348-2008）3类标准，噪声对外环境影响较小。</w:t>
            </w:r>
          </w:p>
          <w:p w14:paraId="4A8E0745">
            <w:pPr>
              <w:pStyle w:val="3"/>
              <w:pageBreakBefore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4）监测要求</w:t>
            </w:r>
          </w:p>
          <w:p w14:paraId="3DA38A0F">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根据《排污许可证申请与核发技术规范 工业噪声》（HJ1301-2023），制定运营期噪声监测计划，制定运营期噪声监测计划，详见</w:t>
            </w: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4-21</w:t>
            </w:r>
            <w:r>
              <w:rPr>
                <w:rFonts w:hint="default" w:ascii="Times New Roman" w:hAnsi="Times New Roman" w:eastAsia="宋体" w:cs="Times New Roman"/>
                <w:color w:val="auto"/>
                <w:sz w:val="24"/>
                <w:szCs w:val="24"/>
                <w:highlight w:val="none"/>
              </w:rPr>
              <w:t>。</w:t>
            </w:r>
          </w:p>
          <w:p w14:paraId="3196EF3B">
            <w:pPr>
              <w:pStyle w:val="39"/>
              <w:pageBreakBefore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color w:val="auto"/>
                <w:sz w:val="24"/>
                <w:szCs w:val="24"/>
              </w:rPr>
            </w:pPr>
            <w:bookmarkStart w:id="20" w:name="_Ref21561"/>
            <w:r>
              <w:rPr>
                <w:rFonts w:hint="default" w:ascii="Times New Roman" w:hAnsi="Times New Roman" w:eastAsia="宋体" w:cs="Times New Roman"/>
                <w:color w:val="auto"/>
                <w:sz w:val="24"/>
                <w:szCs w:val="24"/>
              </w:rPr>
              <w:t>表</w:t>
            </w:r>
            <w:bookmarkEnd w:id="20"/>
            <w:r>
              <w:rPr>
                <w:rFonts w:hint="eastAsia" w:ascii="Times New Roman" w:hAnsi="Times New Roman" w:eastAsia="宋体" w:cs="Times New Roman"/>
                <w:color w:val="auto"/>
                <w:sz w:val="24"/>
                <w:szCs w:val="24"/>
                <w:lang w:val="en-US" w:eastAsia="zh-CN"/>
              </w:rPr>
              <w:t>4-21</w:t>
            </w:r>
            <w:r>
              <w:rPr>
                <w:rFonts w:hint="default" w:ascii="Times New Roman" w:hAnsi="Times New Roman" w:eastAsia="宋体" w:cs="Times New Roman"/>
                <w:color w:val="auto"/>
                <w:sz w:val="24"/>
                <w:szCs w:val="24"/>
              </w:rPr>
              <w:t xml:space="preserve"> 环境监测计划</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8"/>
              <w:gridCol w:w="1019"/>
              <w:gridCol w:w="1378"/>
              <w:gridCol w:w="872"/>
              <w:gridCol w:w="856"/>
              <w:gridCol w:w="3490"/>
            </w:tblGrid>
            <w:tr w14:paraId="5B18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6106752F">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603" w:type="pct"/>
                  <w:vAlign w:val="center"/>
                </w:tcPr>
                <w:p w14:paraId="16469571">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816" w:type="pct"/>
                  <w:vAlign w:val="center"/>
                </w:tcPr>
                <w:p w14:paraId="74E29162">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监测因子</w:t>
                  </w:r>
                </w:p>
              </w:tc>
              <w:tc>
                <w:tcPr>
                  <w:tcW w:w="516" w:type="pct"/>
                  <w:vAlign w:val="center"/>
                </w:tcPr>
                <w:p w14:paraId="16CAE321">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监测频率</w:t>
                  </w:r>
                </w:p>
              </w:tc>
              <w:tc>
                <w:tcPr>
                  <w:tcW w:w="507" w:type="pct"/>
                  <w:vAlign w:val="center"/>
                </w:tcPr>
                <w:p w14:paraId="2D72C007">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监测点位</w:t>
                  </w:r>
                </w:p>
              </w:tc>
              <w:tc>
                <w:tcPr>
                  <w:tcW w:w="2066" w:type="pct"/>
                  <w:vAlign w:val="center"/>
                </w:tcPr>
                <w:p w14:paraId="17990CD6">
                  <w:pPr>
                    <w:pStyle w:val="35"/>
                    <w:spacing w:before="31"/>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r>
            <w:tr w14:paraId="2F6E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03111667">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603" w:type="pct"/>
                  <w:vAlign w:val="center"/>
                </w:tcPr>
                <w:p w14:paraId="20E9CFF9">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生产设备设施</w:t>
                  </w:r>
                </w:p>
              </w:tc>
              <w:tc>
                <w:tcPr>
                  <w:tcW w:w="816" w:type="pct"/>
                  <w:vAlign w:val="center"/>
                </w:tcPr>
                <w:p w14:paraId="333B8E50">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昼夜连续等效A声级</w:t>
                  </w:r>
                </w:p>
              </w:tc>
              <w:tc>
                <w:tcPr>
                  <w:tcW w:w="516" w:type="pct"/>
                  <w:vAlign w:val="center"/>
                </w:tcPr>
                <w:p w14:paraId="3BA45390">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每季一次</w:t>
                  </w:r>
                </w:p>
              </w:tc>
              <w:tc>
                <w:tcPr>
                  <w:tcW w:w="507" w:type="pct"/>
                  <w:vAlign w:val="center"/>
                </w:tcPr>
                <w:p w14:paraId="522127E8">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厂界外1m</w:t>
                  </w:r>
                </w:p>
              </w:tc>
              <w:tc>
                <w:tcPr>
                  <w:tcW w:w="2066" w:type="pct"/>
                  <w:vAlign w:val="center"/>
                </w:tcPr>
                <w:p w14:paraId="06F8ED36">
                  <w:pPr>
                    <w:pStyle w:val="35"/>
                    <w:spacing w:before="31"/>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《工业企业厂界环境噪声排放标准》（GB12348-2008）3类标准</w:t>
                  </w:r>
                </w:p>
              </w:tc>
            </w:tr>
          </w:tbl>
          <w:p w14:paraId="3A943373">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4、运营期固废环境影响及环保措施：</w:t>
            </w:r>
          </w:p>
          <w:p w14:paraId="0E8E83B6">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（1）固体废物产生环节、产生量及处置方式</w:t>
            </w:r>
          </w:p>
          <w:p w14:paraId="7B2799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依据《国家危险废物名录（2021版）》和《固体废物鉴别标准通则》（GB 34330-2017）等相关文件进行判定，项目营运期产生的固体废物主要分为一般工业固废物、危险废物、生活垃圾三大类。</w:t>
            </w:r>
          </w:p>
          <w:p w14:paraId="31035265">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leftChars="0" w:right="0" w:firstLine="482" w:firstLineChars="200"/>
              <w:jc w:val="both"/>
              <w:textAlignment w:val="auto"/>
              <w:rPr>
                <w:rFonts w:hint="eastAsia" w:ascii="Times New Roman" w:hAnsi="Times New Roman" w:eastAsia="宋体"/>
                <w:b w:val="0"/>
                <w:bCs w:val="0"/>
                <w:color w:val="auto"/>
                <w:sz w:val="24"/>
                <w:highlight w:val="none"/>
                <w:lang w:val="en-US" w:eastAsia="zh-CN"/>
              </w:rPr>
            </w:pPr>
            <w:r>
              <w:rPr>
                <w:rFonts w:hint="eastAsia" w:ascii="Times New Roman" w:hAnsi="Times New Roman" w:eastAsia="宋体"/>
                <w:b/>
                <w:bCs/>
                <w:color w:val="auto"/>
                <w:sz w:val="24"/>
                <w:highlight w:val="none"/>
                <w:u w:val="single"/>
                <w:lang w:val="en-US" w:eastAsia="zh-CN"/>
              </w:rPr>
              <w:t>一般固废</w:t>
            </w:r>
            <w:r>
              <w:rPr>
                <w:rFonts w:hint="eastAsia" w:ascii="Times New Roman" w:hAnsi="Times New Roman" w:eastAsia="宋体"/>
                <w:b w:val="0"/>
                <w:bCs w:val="0"/>
                <w:color w:val="auto"/>
                <w:sz w:val="24"/>
                <w:highlight w:val="none"/>
                <w:lang w:val="en-US" w:eastAsia="zh-CN"/>
              </w:rPr>
              <w:t>：主要为废边角料、焊渣、不合格品、除尘灰等。</w:t>
            </w:r>
          </w:p>
          <w:p w14:paraId="45FD459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eastAsia="宋体"/>
                <w:b w:val="0"/>
                <w:bCs w:val="0"/>
                <w:color w:val="auto"/>
                <w:sz w:val="24"/>
                <w:szCs w:val="24"/>
                <w:highlight w:val="none"/>
                <w:lang w:val="en-US" w:eastAsia="zh-CN"/>
              </w:rPr>
            </w:pPr>
            <w:r>
              <w:rPr>
                <w:rFonts w:ascii="Times New Roman" w:hAnsi="Times New Roman" w:eastAsia="宋体" w:cs="Arial"/>
                <w:b w:val="0"/>
                <w:bCs w:val="0"/>
                <w:i w:val="0"/>
                <w:iCs w:val="0"/>
                <w:caps w:val="0"/>
                <w:color w:val="auto"/>
                <w:spacing w:val="0"/>
                <w:sz w:val="24"/>
                <w:szCs w:val="24"/>
                <w:highlight w:val="none"/>
                <w:shd w:val="clear" w:fill="FFFFFF"/>
              </w:rPr>
              <w:t>①</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b w:val="0"/>
                <w:bCs w:val="0"/>
                <w:color w:val="auto"/>
                <w:sz w:val="24"/>
                <w:highlight w:val="none"/>
                <w:lang w:val="en-US" w:eastAsia="zh-CN"/>
              </w:rPr>
              <w:t>废钢丸：抛丸工序淘汰使用的钢丸产生量约0.2t/a</w:t>
            </w:r>
            <w:r>
              <w:rPr>
                <w:rFonts w:hint="eastAsia" w:ascii="Times New Roman" w:hAnsi="Times New Roman" w:eastAsia="宋体"/>
                <w:b w:val="0"/>
                <w:bCs w:val="0"/>
                <w:color w:val="auto"/>
                <w:sz w:val="24"/>
                <w:szCs w:val="24"/>
                <w:highlight w:val="none"/>
                <w:lang w:val="en-US" w:eastAsia="zh-CN"/>
              </w:rPr>
              <w:t>；</w:t>
            </w:r>
          </w:p>
          <w:p w14:paraId="20D3721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eastAsia="宋体"/>
                <w:b w:val="0"/>
                <w:bCs w:val="0"/>
                <w:color w:val="auto"/>
                <w:sz w:val="24"/>
                <w:highlight w:val="none"/>
                <w:lang w:val="en-US" w:eastAsia="zh-CN"/>
              </w:rPr>
            </w:pPr>
            <w:r>
              <w:rPr>
                <w:rFonts w:ascii="Times New Roman" w:hAnsi="Times New Roman" w:eastAsia="宋体" w:cs="Arial"/>
                <w:b w:val="0"/>
                <w:bCs w:val="0"/>
                <w:i w:val="0"/>
                <w:iCs w:val="0"/>
                <w:caps w:val="0"/>
                <w:color w:val="auto"/>
                <w:spacing w:val="0"/>
                <w:sz w:val="24"/>
                <w:szCs w:val="24"/>
                <w:highlight w:val="none"/>
                <w:shd w:val="clear" w:fill="FFFFFF"/>
              </w:rPr>
              <w:t>②</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b w:val="0"/>
                <w:bCs w:val="0"/>
                <w:color w:val="auto"/>
                <w:sz w:val="24"/>
                <w:highlight w:val="none"/>
                <w:lang w:val="en-US" w:eastAsia="zh-CN"/>
              </w:rPr>
              <w:t>次品：按原料用量5</w:t>
            </w:r>
            <w:r>
              <w:rPr>
                <w:rFonts w:hint="default" w:ascii="Times New Roman" w:hAnsi="Times New Roman" w:eastAsia="宋体"/>
                <w:b w:val="0"/>
                <w:bCs w:val="0"/>
                <w:color w:val="auto"/>
                <w:sz w:val="24"/>
                <w:highlight w:val="none"/>
                <w:lang w:val="en-US" w:eastAsia="zh-CN"/>
              </w:rPr>
              <w:t>%</w:t>
            </w:r>
            <w:r>
              <w:rPr>
                <w:rFonts w:hint="eastAsia" w:ascii="Times New Roman" w:hAnsi="Times New Roman" w:eastAsia="宋体"/>
                <w:b w:val="0"/>
                <w:bCs w:val="0"/>
                <w:color w:val="auto"/>
                <w:sz w:val="24"/>
                <w:highlight w:val="none"/>
                <w:lang w:val="en-US" w:eastAsia="zh-CN"/>
              </w:rPr>
              <w:t>计，次品件产生量约16t/a</w:t>
            </w:r>
            <w:r>
              <w:rPr>
                <w:rFonts w:hint="eastAsia" w:ascii="Times New Roman" w:hAnsi="Times New Roman" w:eastAsia="宋体"/>
                <w:b w:val="0"/>
                <w:bCs w:val="0"/>
                <w:color w:val="auto"/>
                <w:sz w:val="24"/>
                <w:szCs w:val="24"/>
                <w:highlight w:val="none"/>
                <w:lang w:val="en-US" w:eastAsia="zh-CN"/>
              </w:rPr>
              <w:t>；</w:t>
            </w:r>
          </w:p>
          <w:p w14:paraId="453BEE9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right="0" w:firstLine="480" w:firstLineChars="200"/>
              <w:jc w:val="both"/>
              <w:textAlignment w:val="auto"/>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pPr>
            <w:r>
              <w:rPr>
                <w:rFonts w:ascii="Times New Roman" w:hAnsi="Times New Roman" w:eastAsia="宋体" w:cs="Arial"/>
                <w:b w:val="0"/>
                <w:bCs w:val="0"/>
                <w:i w:val="0"/>
                <w:iCs w:val="0"/>
                <w:caps w:val="0"/>
                <w:color w:val="auto"/>
                <w:spacing w:val="0"/>
                <w:sz w:val="24"/>
                <w:szCs w:val="24"/>
                <w:highlight w:val="none"/>
                <w:shd w:val="clear" w:fill="FFFFFF"/>
              </w:rPr>
              <w:t>③</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 xml:space="preserve"> 除尘灰：抛丸、喷粉工序废气处理设施均会产生除尘灰，根据物料衡算，除尘灰产生量约2.017t/a</w:t>
            </w:r>
          </w:p>
          <w:p w14:paraId="06971C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right="0" w:firstLine="480" w:firstLineChars="200"/>
              <w:jc w:val="both"/>
              <w:textAlignment w:val="auto"/>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pPr>
            <w:r>
              <w:rPr>
                <w:rFonts w:ascii="Times New Roman" w:hAnsi="Times New Roman" w:eastAsia="宋体" w:cs="Arial"/>
                <w:b w:val="0"/>
                <w:bCs w:val="0"/>
                <w:i w:val="0"/>
                <w:iCs w:val="0"/>
                <w:caps w:val="0"/>
                <w:color w:val="auto"/>
                <w:spacing w:val="0"/>
                <w:sz w:val="24"/>
                <w:szCs w:val="24"/>
                <w:highlight w:val="none"/>
                <w:shd w:val="clear" w:fill="FFFFFF"/>
              </w:rPr>
              <w:t>④</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废包装材料：主要为塑粉包装袋，产生量约</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0.1t/a</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w:t>
            </w:r>
          </w:p>
          <w:p w14:paraId="089A408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default" w:ascii="Times New Roman" w:hAnsi="Times New Roman" w:eastAsia="宋体"/>
                <w:b w:val="0"/>
                <w:bCs w:val="0"/>
                <w:color w:val="auto"/>
                <w:sz w:val="24"/>
                <w:highlight w:val="none"/>
                <w:lang w:val="en-US" w:eastAsia="zh-CN"/>
              </w:rPr>
            </w:pPr>
            <w:r>
              <w:rPr>
                <w:rFonts w:hint="eastAsia" w:ascii="Times New Roman" w:hAnsi="Times New Roman" w:eastAsia="宋体"/>
                <w:b w:val="0"/>
                <w:bCs w:val="0"/>
                <w:color w:val="auto"/>
                <w:sz w:val="24"/>
                <w:highlight w:val="none"/>
                <w:lang w:val="en-US" w:eastAsia="zh-CN"/>
              </w:rPr>
              <w:t>项目运营期一般固废</w:t>
            </w:r>
            <w:r>
              <w:rPr>
                <w:rFonts w:hint="eastAsia" w:ascii="Times New Roman" w:hAnsi="Times New Roman" w:eastAsia="宋体"/>
                <w:color w:val="auto"/>
                <w:sz w:val="24"/>
                <w:szCs w:val="24"/>
                <w:highlight w:val="none"/>
                <w:lang w:val="en-US" w:eastAsia="zh-CN"/>
              </w:rPr>
              <w:t>经收集后</w:t>
            </w:r>
            <w:r>
              <w:rPr>
                <w:rFonts w:hint="eastAsia" w:ascii="Times New Roman" w:hAnsi="Times New Roman" w:eastAsia="宋体"/>
                <w:b w:val="0"/>
                <w:bCs w:val="0"/>
                <w:color w:val="auto"/>
                <w:sz w:val="24"/>
                <w:highlight w:val="none"/>
                <w:lang w:val="en-US" w:eastAsia="zh-CN"/>
              </w:rPr>
              <w:t>分类依托现有工程设置的一般固废暂存区（面积约20m</w:t>
            </w:r>
            <w:r>
              <w:rPr>
                <w:rFonts w:hint="eastAsia" w:ascii="Times New Roman" w:hAnsi="Times New Roman" w:eastAsia="宋体"/>
                <w:b w:val="0"/>
                <w:bCs w:val="0"/>
                <w:color w:val="auto"/>
                <w:sz w:val="24"/>
                <w:highlight w:val="none"/>
                <w:vertAlign w:val="superscript"/>
                <w:lang w:val="en-US" w:eastAsia="zh-CN"/>
              </w:rPr>
              <w:t>2</w:t>
            </w:r>
            <w:r>
              <w:rPr>
                <w:rFonts w:hint="eastAsia" w:ascii="Times New Roman" w:hAnsi="Times New Roman" w:eastAsia="宋体"/>
                <w:b w:val="0"/>
                <w:bCs w:val="0"/>
                <w:color w:val="auto"/>
                <w:sz w:val="24"/>
                <w:highlight w:val="none"/>
                <w:lang w:val="en-US" w:eastAsia="zh-CN"/>
              </w:rPr>
              <w:t>），定期</w:t>
            </w:r>
            <w:r>
              <w:rPr>
                <w:rFonts w:hint="eastAsia" w:ascii="Times New Roman" w:hAnsi="Times New Roman" w:eastAsia="宋体"/>
                <w:color w:val="auto"/>
                <w:sz w:val="24"/>
                <w:szCs w:val="24"/>
                <w:highlight w:val="none"/>
                <w:lang w:val="en-US" w:eastAsia="zh-CN"/>
              </w:rPr>
              <w:t>外售废旧资源回收单位回收综合利用。</w:t>
            </w:r>
          </w:p>
          <w:p w14:paraId="36385204">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leftChars="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u w:val="single"/>
                <w:lang w:val="en-US" w:eastAsia="zh-CN"/>
              </w:rPr>
              <w:t>危险废物</w:t>
            </w:r>
            <w:r>
              <w:rPr>
                <w:rFonts w:hint="eastAsia" w:ascii="Times New Roman" w:hAnsi="Times New Roman" w:eastAsia="宋体"/>
                <w:b w:val="0"/>
                <w:bCs w:val="0"/>
                <w:color w:val="auto"/>
                <w:sz w:val="24"/>
                <w:highlight w:val="none"/>
                <w:lang w:val="en-US" w:eastAsia="zh-CN"/>
              </w:rPr>
              <w:t>：</w:t>
            </w:r>
            <w:r>
              <w:rPr>
                <w:rFonts w:hint="eastAsia" w:ascii="Times New Roman" w:hAnsi="Times New Roman" w:eastAsia="宋体"/>
                <w:color w:val="auto"/>
                <w:sz w:val="24"/>
                <w:highlight w:val="none"/>
                <w:lang w:val="en-US" w:eastAsia="zh-CN"/>
              </w:rPr>
              <w:t>项目危险废物主要为废机油、废油桶、含油废棉纱手套、废活性炭、空压机废油液等。</w:t>
            </w:r>
          </w:p>
          <w:p w14:paraId="1CA2A5D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2" w:firstLineChars="200"/>
              <w:jc w:val="both"/>
              <w:textAlignment w:val="auto"/>
              <w:rPr>
                <w:rFonts w:hint="eastAsia" w:ascii="Times New Roman" w:hAnsi="Times New Roman" w:eastAsia="宋体"/>
                <w:color w:val="auto"/>
                <w:sz w:val="24"/>
                <w:szCs w:val="24"/>
                <w:highlight w:val="none"/>
                <w:lang w:val="en-US" w:eastAsia="zh-CN"/>
              </w:rPr>
            </w:pPr>
            <w:r>
              <w:rPr>
                <w:rFonts w:ascii="Times New Roman" w:hAnsi="Times New Roman" w:eastAsia="宋体" w:cs="Arial"/>
                <w:b/>
                <w:bCs/>
                <w:i w:val="0"/>
                <w:iCs w:val="0"/>
                <w:caps w:val="0"/>
                <w:color w:val="auto"/>
                <w:spacing w:val="0"/>
                <w:sz w:val="24"/>
                <w:szCs w:val="24"/>
                <w:highlight w:val="none"/>
                <w:shd w:val="clear" w:fill="FFFFFF"/>
              </w:rPr>
              <w:t>①</w: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olor w:val="auto"/>
                <w:sz w:val="24"/>
                <w:szCs w:val="24"/>
                <w:highlight w:val="none"/>
                <w:u w:val="none"/>
                <w:lang w:val="en-US" w:eastAsia="zh-CN"/>
              </w:rPr>
              <w:t>废机油</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highlight w:val="none"/>
                <w:lang w:val="en-US" w:eastAsia="zh-CN"/>
              </w:rPr>
              <w:t>设备维修维护过程将产生废机油，产生量约0.1</w:t>
            </w:r>
            <w:r>
              <w:rPr>
                <w:rFonts w:hint="default" w:ascii="Times New Roman" w:hAnsi="Times New Roman" w:eastAsia="宋体"/>
                <w:color w:val="auto"/>
                <w:sz w:val="24"/>
                <w:highlight w:val="none"/>
                <w:lang w:val="en-US" w:eastAsia="zh-CN"/>
              </w:rPr>
              <w:t>t/a</w:t>
            </w:r>
            <w:r>
              <w:rPr>
                <w:rFonts w:hint="eastAsia" w:ascii="Times New Roman" w:hAnsi="Times New Roman" w:eastAsia="宋体"/>
                <w:color w:val="auto"/>
                <w:sz w:val="24"/>
                <w:highlight w:val="none"/>
                <w:lang w:val="en-US" w:eastAsia="zh-CN"/>
              </w:rPr>
              <w:t>，</w:t>
            </w:r>
            <w:r>
              <w:rPr>
                <w:rFonts w:hint="eastAsia" w:ascii="Times New Roman" w:hAnsi="Times New Roman" w:eastAsia="宋体"/>
                <w:color w:val="auto"/>
                <w:sz w:val="24"/>
                <w:szCs w:val="24"/>
                <w:highlight w:val="none"/>
                <w:lang w:val="en-US" w:eastAsia="zh-CN"/>
              </w:rPr>
              <w:t>根据《国家危险废物名录》（2021年），</w:t>
            </w:r>
            <w:r>
              <w:rPr>
                <w:rFonts w:hint="eastAsia" w:ascii="Times New Roman" w:hAnsi="Times New Roman" w:eastAsia="宋体"/>
                <w:color w:val="auto"/>
                <w:sz w:val="24"/>
                <w:highlight w:val="none"/>
                <w:lang w:val="en-US" w:eastAsia="zh-CN"/>
              </w:rPr>
              <w:t>废机油</w:t>
            </w:r>
            <w:r>
              <w:rPr>
                <w:rFonts w:hint="eastAsia" w:ascii="Times New Roman" w:hAnsi="Times New Roman" w:eastAsia="宋体"/>
                <w:color w:val="auto"/>
                <w:sz w:val="24"/>
                <w:szCs w:val="24"/>
                <w:highlight w:val="none"/>
                <w:lang w:val="en-US" w:eastAsia="zh-CN"/>
              </w:rPr>
              <w:t>属于“HW08 900-214-08车辆、轮船及其它机械维修过程中产生的废发动机油、制动器油、自动变速器油、齿轮油等废机油”，在危废贮存点暂存，定期由资质单位收运处置。</w:t>
            </w:r>
          </w:p>
          <w:p w14:paraId="25EE23B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8" w:lineRule="auto"/>
              <w:ind w:left="0" w:right="0" w:firstLine="482" w:firstLineChars="200"/>
              <w:jc w:val="both"/>
              <w:textAlignment w:val="auto"/>
              <w:rPr>
                <w:rFonts w:hint="eastAsia" w:ascii="Times New Roman" w:hAnsi="Times New Roman" w:eastAsia="宋体"/>
                <w:color w:val="auto"/>
                <w:sz w:val="24"/>
                <w:szCs w:val="24"/>
                <w:highlight w:val="none"/>
                <w:lang w:val="en-US" w:eastAsia="zh-CN"/>
              </w:rPr>
            </w:pPr>
            <w:r>
              <w:rPr>
                <w:rFonts w:ascii="Times New Roman" w:hAnsi="Times New Roman" w:eastAsia="宋体" w:cs="Arial"/>
                <w:b/>
                <w:bCs/>
                <w:i w:val="0"/>
                <w:iCs w:val="0"/>
                <w:caps w:val="0"/>
                <w:color w:val="auto"/>
                <w:spacing w:val="0"/>
                <w:sz w:val="24"/>
                <w:szCs w:val="24"/>
                <w:highlight w:val="none"/>
                <w:shd w:val="clear" w:fill="FFFFFF"/>
              </w:rPr>
              <w:t>②</w: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olor w:val="auto"/>
                <w:sz w:val="24"/>
                <w:szCs w:val="24"/>
                <w:highlight w:val="none"/>
                <w:u w:val="none"/>
                <w:lang w:val="en-US" w:eastAsia="zh-CN"/>
              </w:rPr>
              <w:t>废油桶</w:t>
            </w:r>
            <w:r>
              <w:rPr>
                <w:rFonts w:hint="eastAsia" w:ascii="Times New Roman" w:hAnsi="Times New Roman" w:eastAsia="宋体"/>
                <w:b w:val="0"/>
                <w:bCs w:val="0"/>
                <w:color w:val="auto"/>
                <w:sz w:val="24"/>
                <w:szCs w:val="24"/>
                <w:highlight w:val="none"/>
                <w:lang w:val="en-US" w:eastAsia="zh-CN"/>
              </w:rPr>
              <w:t>：项目机油等总用量0.2 t/a，废油桶产生量约0.02t/a，根据《国家危险废物名录》（2021年），废油桶属于“HW08 900-249-08 含有或沾染毒性、感染性危险废物的废弃包装物、容器、过滤吸附介质”在危废贮存点暂存，定期由资质单位收运处置。</w:t>
            </w:r>
          </w:p>
          <w:p w14:paraId="4F65ABE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8" w:lineRule="auto"/>
              <w:ind w:left="0" w:right="0" w:firstLine="482" w:firstLineChars="200"/>
              <w:jc w:val="both"/>
              <w:textAlignment w:val="auto"/>
              <w:rPr>
                <w:rFonts w:hint="default" w:ascii="Times New Roman" w:hAnsi="Times New Roman" w:eastAsia="宋体"/>
                <w:b/>
                <w:bCs/>
                <w:color w:val="auto"/>
                <w:sz w:val="24"/>
                <w:szCs w:val="24"/>
                <w:highlight w:val="none"/>
                <w:lang w:val="en-US" w:eastAsia="zh-CN"/>
              </w:rPr>
            </w:pPr>
            <w:r>
              <w:rPr>
                <w:rFonts w:ascii="Times New Roman" w:hAnsi="Times New Roman" w:eastAsia="宋体" w:cs="Arial"/>
                <w:b/>
                <w:bCs/>
                <w:i w:val="0"/>
                <w:iCs w:val="0"/>
                <w:caps w:val="0"/>
                <w:color w:val="auto"/>
                <w:spacing w:val="0"/>
                <w:sz w:val="24"/>
                <w:szCs w:val="24"/>
                <w:highlight w:val="none"/>
                <w:shd w:val="clear" w:fill="FFFFFF"/>
              </w:rPr>
              <w:t>③</w: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olor w:val="auto"/>
                <w:sz w:val="24"/>
                <w:szCs w:val="24"/>
                <w:highlight w:val="none"/>
                <w:lang w:val="en-US" w:eastAsia="zh-CN"/>
              </w:rPr>
              <w:t>含油废棉纱手套：项目含油废棉纱手套产生量为0.05t/a，根据《国家危险废物名录》（2021版），废棉纱手套属于“HW49 900-041-49含有或沾染毒性、感染性危险废物的废弃包装物、容器、过滤吸附介质”，收集后暂存于危废贮存点，定期交有相应危险废物处理资质的单位进行收运处置。</w:t>
            </w:r>
          </w:p>
          <w:p w14:paraId="501FD835">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8" w:lineRule="auto"/>
              <w:ind w:left="0" w:right="0" w:firstLine="482" w:firstLineChars="200"/>
              <w:jc w:val="both"/>
              <w:textAlignment w:val="auto"/>
              <w:rPr>
                <w:rFonts w:hint="eastAsia" w:ascii="Times New Roman" w:hAnsi="Times New Roman" w:eastAsia="宋体"/>
                <w:color w:val="auto"/>
                <w:sz w:val="24"/>
                <w:szCs w:val="24"/>
                <w:highlight w:val="none"/>
                <w:lang w:val="en-US" w:eastAsia="zh-CN"/>
              </w:rPr>
            </w:pPr>
            <w:r>
              <w:rPr>
                <w:rFonts w:ascii="Times New Roman" w:hAnsi="Times New Roman" w:eastAsia="宋体" w:cs="Arial"/>
                <w:b/>
                <w:bCs/>
                <w:i w:val="0"/>
                <w:iCs w:val="0"/>
                <w:caps w:val="0"/>
                <w:color w:val="auto"/>
                <w:spacing w:val="0"/>
                <w:sz w:val="24"/>
                <w:szCs w:val="24"/>
                <w:highlight w:val="none"/>
                <w:shd w:val="clear" w:fill="FFFFFF"/>
              </w:rPr>
              <w:t>④</w: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废活性炭、废过滤棉：项目固化废气采取“干式过滤+活性炭”工艺处置，定期产生废活性炭、废过滤棉。</w:t>
            </w:r>
            <w:r>
              <w:rPr>
                <w:rFonts w:hint="eastAsia" w:ascii="Times New Roman" w:hAnsi="Times New Roman" w:eastAsia="宋体"/>
                <w:color w:val="auto"/>
                <w:sz w:val="24"/>
                <w:szCs w:val="24"/>
                <w:highlight w:val="none"/>
                <w:lang w:val="en-US" w:eastAsia="zh-CN"/>
              </w:rPr>
              <w:t>根据《国家危险废物名录》（2021年），废气处理设施产生的废活性炭、废过滤棉</w:t>
            </w:r>
            <w:r>
              <w:rPr>
                <w:rFonts w:hint="eastAsia" w:ascii="Times New Roman" w:hAnsi="Times New Roman" w:eastAsia="宋体" w:cs="Arial"/>
                <w:b w:val="0"/>
                <w:bCs w:val="0"/>
                <w:i w:val="0"/>
                <w:iCs w:val="0"/>
                <w:caps w:val="0"/>
                <w:color w:val="auto"/>
                <w:spacing w:val="0"/>
                <w:sz w:val="24"/>
                <w:szCs w:val="24"/>
                <w:highlight w:val="none"/>
                <w:shd w:val="clear" w:fill="FFFFFF"/>
              </w:rPr>
              <w:t>危废类别为“HW49其他废物”，代码900-039-49。</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扩建</w:t>
            </w:r>
            <w:r>
              <w:rPr>
                <w:rFonts w:hint="eastAsia" w:ascii="Times New Roman" w:hAnsi="Times New Roman" w:eastAsia="宋体" w:cs="Arial"/>
                <w:b w:val="0"/>
                <w:bCs w:val="0"/>
                <w:i w:val="0"/>
                <w:iCs w:val="0"/>
                <w:caps w:val="0"/>
                <w:color w:val="auto"/>
                <w:spacing w:val="0"/>
                <w:sz w:val="24"/>
                <w:szCs w:val="24"/>
                <w:highlight w:val="none"/>
                <w:shd w:val="clear" w:fill="FFFFFF"/>
              </w:rPr>
              <w:t>项目喷粉</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固化</w:t>
            </w:r>
            <w:r>
              <w:rPr>
                <w:rFonts w:hint="eastAsia" w:ascii="Times New Roman" w:hAnsi="Times New Roman" w:eastAsia="宋体" w:cs="Arial"/>
                <w:b w:val="0"/>
                <w:bCs w:val="0"/>
                <w:i w:val="0"/>
                <w:iCs w:val="0"/>
                <w:caps w:val="0"/>
                <w:color w:val="auto"/>
                <w:spacing w:val="0"/>
                <w:sz w:val="24"/>
                <w:szCs w:val="24"/>
                <w:highlight w:val="none"/>
                <w:shd w:val="clear" w:fill="FFFFFF"/>
              </w:rPr>
              <w:t>活性炭吸附装置年吸附有机废气分别为</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0.004</w:t>
            </w:r>
            <w:r>
              <w:rPr>
                <w:rFonts w:hint="eastAsia" w:ascii="Times New Roman" w:hAnsi="Times New Roman" w:eastAsia="宋体" w:cs="Arial"/>
                <w:b w:val="0"/>
                <w:bCs w:val="0"/>
                <w:i w:val="0"/>
                <w:iCs w:val="0"/>
                <w:caps w:val="0"/>
                <w:color w:val="auto"/>
                <w:spacing w:val="0"/>
                <w:sz w:val="24"/>
                <w:szCs w:val="24"/>
                <w:highlight w:val="none"/>
                <w:shd w:val="clear" w:fill="FFFFFF"/>
              </w:rPr>
              <w:t>t/a，参考陆良杰、王京刚《挥发性有机物的物化性质与活性炭饱和吸附量的相关性研究》，活性炭吸附率按每吨活性炭吸附有机废气280kg计，项目所需活性炭</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至少</w:t>
            </w:r>
            <w:r>
              <w:rPr>
                <w:rFonts w:hint="eastAsia" w:ascii="Times New Roman" w:hAnsi="Times New Roman" w:eastAsia="宋体" w:cs="Arial"/>
                <w:b w:val="0"/>
                <w:bCs w:val="0"/>
                <w:i w:val="0"/>
                <w:iCs w:val="0"/>
                <w:caps w:val="0"/>
                <w:color w:val="auto"/>
                <w:spacing w:val="0"/>
                <w:sz w:val="24"/>
                <w:szCs w:val="24"/>
                <w:highlight w:val="none"/>
                <w:shd w:val="clear" w:fill="FFFFFF"/>
              </w:rPr>
              <w:t>为</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0.014</w:t>
            </w:r>
            <w:r>
              <w:rPr>
                <w:rFonts w:hint="eastAsia" w:ascii="Times New Roman" w:hAnsi="Times New Roman" w:eastAsia="宋体" w:cs="Arial"/>
                <w:b w:val="0"/>
                <w:bCs w:val="0"/>
                <w:i w:val="0"/>
                <w:iCs w:val="0"/>
                <w:caps w:val="0"/>
                <w:color w:val="auto"/>
                <w:spacing w:val="0"/>
                <w:sz w:val="24"/>
                <w:szCs w:val="24"/>
                <w:highlight w:val="none"/>
                <w:shd w:val="clear" w:fill="FFFFFF"/>
              </w:rPr>
              <w:t>t/a，按照《吸附法工业有机废气治理工程技术规范》，活性炭更换周期一般不应超过累计运行500小时或3个月，</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考虑项目有机废气产生量较少，考虑约</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2个月更换1次，</w:t>
            </w:r>
            <w:r>
              <w:rPr>
                <w:rFonts w:hint="eastAsia" w:ascii="Times New Roman" w:hAnsi="Times New Roman" w:eastAsia="宋体" w:cs="Arial"/>
                <w:b w:val="0"/>
                <w:bCs w:val="0"/>
                <w:i w:val="0"/>
                <w:iCs w:val="0"/>
                <w:caps w:val="0"/>
                <w:color w:val="auto"/>
                <w:spacing w:val="0"/>
                <w:sz w:val="24"/>
                <w:szCs w:val="24"/>
                <w:highlight w:val="none"/>
                <w:shd w:val="clear" w:fill="FFFFFF"/>
              </w:rPr>
              <w:t>则废活性炭产生量</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约</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0.1</w:t>
            </w:r>
            <w:r>
              <w:rPr>
                <w:rFonts w:hint="eastAsia" w:ascii="Times New Roman" w:hAnsi="Times New Roman" w:eastAsia="宋体" w:cs="Arial"/>
                <w:b w:val="0"/>
                <w:bCs w:val="0"/>
                <w:i w:val="0"/>
                <w:iCs w:val="0"/>
                <w:caps w:val="0"/>
                <w:color w:val="auto"/>
                <w:spacing w:val="0"/>
                <w:sz w:val="24"/>
                <w:szCs w:val="24"/>
                <w:highlight w:val="none"/>
                <w:shd w:val="clear" w:fill="FFFFFF"/>
              </w:rPr>
              <w:t>t/a</w:t>
            </w:r>
            <w:r>
              <w:rPr>
                <w:rFonts w:hint="eastAsia" w:ascii="Times New Roman" w:hAnsi="Times New Roman" w:eastAsia="宋体" w:cs="Arial"/>
                <w:b w:val="0"/>
                <w:bCs w:val="0"/>
                <w:i w:val="0"/>
                <w:iCs w:val="0"/>
                <w:caps w:val="0"/>
                <w:color w:val="auto"/>
                <w:spacing w:val="0"/>
                <w:sz w:val="24"/>
                <w:szCs w:val="24"/>
                <w:highlight w:val="none"/>
                <w:shd w:val="clear" w:fill="FFFFFF"/>
                <w:lang w:eastAsia="zh-CN"/>
              </w:rPr>
              <w:t>。过滤棉的产生量约为</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0.05t/a。产生的危废</w:t>
            </w:r>
            <w:r>
              <w:rPr>
                <w:rFonts w:hint="eastAsia" w:ascii="Times New Roman" w:hAnsi="Times New Roman" w:eastAsia="宋体"/>
                <w:color w:val="auto"/>
                <w:sz w:val="24"/>
                <w:szCs w:val="24"/>
                <w:highlight w:val="none"/>
                <w:lang w:val="en-US" w:eastAsia="zh-CN"/>
              </w:rPr>
              <w:t>定期由资质单位收运处置。</w:t>
            </w:r>
          </w:p>
          <w:p w14:paraId="3E7ED76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8" w:lineRule="auto"/>
              <w:ind w:left="0" w:right="0" w:firstLine="482" w:firstLineChars="200"/>
              <w:jc w:val="both"/>
              <w:textAlignment w:val="auto"/>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pPr>
            <w:r>
              <w:rPr>
                <w:rFonts w:hint="eastAsia" w:ascii="Times New Roman" w:hAnsi="Times New Roman" w:eastAsia="宋体" w:cs="Arial"/>
                <w:b/>
                <w:bCs/>
                <w:i w:val="0"/>
                <w:iCs w:val="0"/>
                <w:caps w:val="0"/>
                <w:color w:val="auto"/>
                <w:spacing w:val="0"/>
                <w:sz w:val="24"/>
                <w:szCs w:val="24"/>
                <w:highlight w:val="none"/>
                <w:shd w:val="clear" w:fill="FFFFFF"/>
                <w:lang w:val="en-US" w:eastAsia="zh-CN"/>
              </w:rPr>
              <w:fldChar w:fldCharType="begin"/>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instrText xml:space="preserve"> = 5 \* GB3 \* MERGEFORMAT </w:instrTex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fldChar w:fldCharType="separate"/>
            </w:r>
            <w:r>
              <w:rPr>
                <w:rFonts w:ascii="Times New Roman" w:hAnsi="Times New Roman" w:eastAsia="宋体" w:cs="Arial"/>
                <w:b/>
                <w:bCs/>
                <w:i w:val="0"/>
                <w:iCs w:val="0"/>
                <w:caps w:val="0"/>
                <w:color w:val="auto"/>
                <w:spacing w:val="0"/>
                <w:sz w:val="24"/>
                <w:szCs w:val="24"/>
                <w:highlight w:val="none"/>
                <w:shd w:val="clear" w:fill="FFFFFF"/>
              </w:rPr>
              <w:t>⑤</w:t>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fldChar w:fldCharType="end"/>
            </w:r>
            <w:r>
              <w:rPr>
                <w:rFonts w:hint="eastAsia" w:ascii="Times New Roman" w:hAnsi="Times New Roman" w:eastAsia="宋体" w:cs="Arial"/>
                <w:b/>
                <w:bCs/>
                <w:i w:val="0"/>
                <w:iCs w:val="0"/>
                <w:caps w:val="0"/>
                <w:color w:val="auto"/>
                <w:spacing w:val="0"/>
                <w:sz w:val="24"/>
                <w:szCs w:val="24"/>
                <w:highlight w:val="none"/>
                <w:shd w:val="clear" w:fill="FFFFFF"/>
                <w:lang w:val="en-US" w:eastAsia="zh-CN"/>
              </w:rPr>
              <w:t xml:space="preserve"> </w:t>
            </w:r>
            <w:r>
              <w:rPr>
                <w:rFonts w:hint="eastAsia" w:ascii="Times New Roman" w:hAnsi="Times New Roman" w:eastAsia="宋体" w:cs="Arial"/>
                <w:b w:val="0"/>
                <w:bCs w:val="0"/>
                <w:i w:val="0"/>
                <w:iCs w:val="0"/>
                <w:caps w:val="0"/>
                <w:color w:val="auto"/>
                <w:spacing w:val="0"/>
                <w:sz w:val="24"/>
                <w:szCs w:val="24"/>
                <w:highlight w:val="none"/>
                <w:shd w:val="clear" w:fill="FFFFFF"/>
                <w:lang w:val="en-US" w:eastAsia="zh-CN"/>
              </w:rPr>
              <w:t>空压机含油废水：空压机运行过程中会产生含油废水，项目空压机产生量约0.02 t/a。根据《国家危险废物名录》（2021版），空压机含油废水属“HW09 900-007-09油/水、烃/水混合物或乳化液”，收集后暂存于危废贮存点，定期交有相应危险废物处理资质的单位进行收运处置。</w:t>
            </w:r>
          </w:p>
          <w:p w14:paraId="6DFDE28D">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扩建项目依托现有工程建设的1个危废贮存点（面积约10 m</w:t>
            </w:r>
            <w:r>
              <w:rPr>
                <w:rFonts w:hint="eastAsia" w:ascii="Times New Roman" w:hAnsi="Times New Roman" w:eastAsia="宋体"/>
                <w:color w:val="auto"/>
                <w:sz w:val="24"/>
                <w:highlight w:val="none"/>
                <w:vertAlign w:val="superscript"/>
                <w:lang w:val="en-US" w:eastAsia="zh-CN"/>
              </w:rPr>
              <w:t>2</w:t>
            </w:r>
            <w:r>
              <w:rPr>
                <w:rFonts w:hint="eastAsia" w:ascii="Times New Roman" w:hAnsi="Times New Roman" w:eastAsia="宋体"/>
                <w:color w:val="auto"/>
                <w:sz w:val="24"/>
                <w:highlight w:val="none"/>
                <w:lang w:val="en-US" w:eastAsia="zh-CN"/>
              </w:rPr>
              <w:t>）分类暂存运营期项目产生危险废物，定期交由有相应危险废物处理资质的单位转运处置。</w:t>
            </w:r>
          </w:p>
          <w:p w14:paraId="3E38C6B4">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leftChars="0" w:right="0" w:firstLine="482" w:firstLineChars="200"/>
              <w:jc w:val="both"/>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u w:val="single"/>
                <w:lang w:val="en-US" w:eastAsia="zh-CN"/>
              </w:rPr>
              <w:t>生活垃圾</w:t>
            </w:r>
            <w:r>
              <w:rPr>
                <w:rFonts w:hint="eastAsia" w:ascii="Times New Roman" w:hAnsi="Times New Roman" w:eastAsia="宋体"/>
                <w:color w:val="auto"/>
                <w:sz w:val="24"/>
                <w:highlight w:val="none"/>
                <w:lang w:val="en-US" w:eastAsia="zh-CN"/>
              </w:rPr>
              <w:t>：按人均产生量0.5kg/d计，本项目劳动定员10人，预计生活垃圾年产生量1.5 t/a，收集后统一交环卫部门清运。</w:t>
            </w:r>
          </w:p>
          <w:p w14:paraId="7F02A41B">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① 固体废物产生环节</w:t>
            </w:r>
          </w:p>
          <w:p w14:paraId="1EA4E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评价根据《固体废物鉴别标准通则》（</w:t>
            </w:r>
            <w:r>
              <w:rPr>
                <w:rFonts w:hint="default" w:ascii="Times New Roman" w:hAnsi="Times New Roman" w:eastAsia="宋体"/>
                <w:color w:val="auto"/>
                <w:sz w:val="24"/>
                <w:highlight w:val="none"/>
                <w:lang w:val="en-US" w:eastAsia="zh-CN"/>
              </w:rPr>
              <w:t>GB34330-2017</w:t>
            </w:r>
            <w:r>
              <w:rPr>
                <w:rFonts w:hint="eastAsia" w:ascii="Times New Roman" w:hAnsi="Times New Roman" w:eastAsia="宋体"/>
                <w:color w:val="auto"/>
                <w:sz w:val="24"/>
                <w:highlight w:val="none"/>
                <w:lang w:val="en-US" w:eastAsia="zh-CN"/>
              </w:rPr>
              <w:t>）和《国家危险废物名录（</w:t>
            </w:r>
            <w:r>
              <w:rPr>
                <w:rFonts w:hint="default" w:ascii="Times New Roman" w:hAnsi="Times New Roman" w:eastAsia="宋体"/>
                <w:color w:val="auto"/>
                <w:sz w:val="24"/>
                <w:highlight w:val="none"/>
                <w:lang w:val="en-US" w:eastAsia="zh-CN"/>
              </w:rPr>
              <w:t>2021</w:t>
            </w:r>
            <w:r>
              <w:rPr>
                <w:rFonts w:hint="eastAsia" w:ascii="Times New Roman" w:hAnsi="Times New Roman" w:eastAsia="宋体"/>
                <w:color w:val="auto"/>
                <w:sz w:val="24"/>
                <w:highlight w:val="none"/>
                <w:lang w:val="en-US" w:eastAsia="zh-CN"/>
              </w:rPr>
              <w:t>版）》等相关文件判定，项目固体废物产生情况见下表：</w:t>
            </w:r>
          </w:p>
          <w:p w14:paraId="68B2814B">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 xml:space="preserve">  固体废物产生环节、产生量核算一览表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1"/>
              <w:gridCol w:w="1692"/>
              <w:gridCol w:w="1127"/>
              <w:gridCol w:w="774"/>
              <w:gridCol w:w="1371"/>
              <w:gridCol w:w="864"/>
              <w:gridCol w:w="864"/>
              <w:gridCol w:w="1055"/>
            </w:tblGrid>
            <w:tr w14:paraId="08FD3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0F6680E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序号</w:t>
                  </w:r>
                </w:p>
              </w:tc>
              <w:tc>
                <w:tcPr>
                  <w:tcW w:w="1001" w:type="pct"/>
                  <w:tcBorders>
                    <w:tl2br w:val="nil"/>
                    <w:tr2bl w:val="nil"/>
                  </w:tcBorders>
                  <w:vAlign w:val="center"/>
                </w:tcPr>
                <w:p w14:paraId="4757AD2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color w:val="auto"/>
                      <w:sz w:val="21"/>
                      <w:szCs w:val="21"/>
                      <w:highlight w:val="none"/>
                      <w:vertAlign w:val="baseline"/>
                      <w:lang w:val="en-US" w:eastAsia="zh-CN"/>
                    </w:rPr>
                    <w:t>固废名称</w:t>
                  </w:r>
                </w:p>
              </w:tc>
              <w:tc>
                <w:tcPr>
                  <w:tcW w:w="667" w:type="pct"/>
                  <w:tcBorders>
                    <w:tl2br w:val="nil"/>
                    <w:tr2bl w:val="nil"/>
                  </w:tcBorders>
                  <w:vAlign w:val="center"/>
                </w:tcPr>
                <w:p w14:paraId="6DEFD56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color w:val="auto"/>
                      <w:sz w:val="21"/>
                      <w:szCs w:val="21"/>
                      <w:highlight w:val="none"/>
                      <w:vertAlign w:val="baseline"/>
                      <w:lang w:val="en-US" w:eastAsia="zh-CN"/>
                    </w:rPr>
                    <w:t>产生环节</w:t>
                  </w:r>
                </w:p>
              </w:tc>
              <w:tc>
                <w:tcPr>
                  <w:tcW w:w="458" w:type="pct"/>
                  <w:tcBorders>
                    <w:tl2br w:val="nil"/>
                    <w:tr2bl w:val="nil"/>
                  </w:tcBorders>
                  <w:vAlign w:val="center"/>
                </w:tcPr>
                <w:p w14:paraId="33352CD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color w:val="auto"/>
                      <w:sz w:val="21"/>
                      <w:szCs w:val="21"/>
                      <w:highlight w:val="none"/>
                      <w:vertAlign w:val="baseline"/>
                      <w:lang w:val="en-US" w:eastAsia="zh-CN"/>
                    </w:rPr>
                    <w:t>形态</w:t>
                  </w:r>
                </w:p>
              </w:tc>
              <w:tc>
                <w:tcPr>
                  <w:tcW w:w="811" w:type="pct"/>
                  <w:tcBorders>
                    <w:tl2br w:val="nil"/>
                    <w:tr2bl w:val="nil"/>
                  </w:tcBorders>
                  <w:vAlign w:val="center"/>
                </w:tcPr>
                <w:p w14:paraId="1989EA1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主要成分</w:t>
                  </w:r>
                </w:p>
              </w:tc>
              <w:tc>
                <w:tcPr>
                  <w:tcW w:w="511" w:type="pct"/>
                  <w:tcBorders>
                    <w:tl2br w:val="nil"/>
                    <w:tr2bl w:val="nil"/>
                  </w:tcBorders>
                  <w:vAlign w:val="center"/>
                </w:tcPr>
                <w:p w14:paraId="594AE6A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产生量</w:t>
                  </w:r>
                </w:p>
              </w:tc>
              <w:tc>
                <w:tcPr>
                  <w:tcW w:w="511" w:type="pct"/>
                  <w:tcBorders>
                    <w:tl2br w:val="nil"/>
                    <w:tr2bl w:val="nil"/>
                  </w:tcBorders>
                  <w:vAlign w:val="center"/>
                </w:tcPr>
                <w:p w14:paraId="23ED2F9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处置量</w:t>
                  </w:r>
                </w:p>
              </w:tc>
              <w:tc>
                <w:tcPr>
                  <w:tcW w:w="624" w:type="pct"/>
                  <w:tcBorders>
                    <w:tl2br w:val="nil"/>
                    <w:tr2bl w:val="nil"/>
                  </w:tcBorders>
                  <w:vAlign w:val="center"/>
                </w:tcPr>
                <w:p w14:paraId="6DAE7C2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去向</w:t>
                  </w:r>
                </w:p>
              </w:tc>
            </w:tr>
            <w:tr w14:paraId="617E2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7092F99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w:t>
                  </w:r>
                </w:p>
              </w:tc>
              <w:tc>
                <w:tcPr>
                  <w:tcW w:w="1001" w:type="pct"/>
                  <w:tcBorders>
                    <w:tl2br w:val="nil"/>
                    <w:tr2bl w:val="nil"/>
                  </w:tcBorders>
                  <w:shd w:val="clear" w:color="auto" w:fill="auto"/>
                  <w:vAlign w:val="center"/>
                </w:tcPr>
                <w:p w14:paraId="1A30215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废钢丸</w:t>
                  </w:r>
                </w:p>
              </w:tc>
              <w:tc>
                <w:tcPr>
                  <w:tcW w:w="667" w:type="pct"/>
                  <w:tcBorders>
                    <w:tl2br w:val="nil"/>
                    <w:tr2bl w:val="nil"/>
                  </w:tcBorders>
                  <w:vAlign w:val="center"/>
                </w:tcPr>
                <w:p w14:paraId="4C0DE37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下料</w:t>
                  </w:r>
                </w:p>
              </w:tc>
              <w:tc>
                <w:tcPr>
                  <w:tcW w:w="458" w:type="pct"/>
                  <w:tcBorders>
                    <w:tl2br w:val="nil"/>
                    <w:tr2bl w:val="nil"/>
                  </w:tcBorders>
                  <w:vAlign w:val="center"/>
                </w:tcPr>
                <w:p w14:paraId="0BCF227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3CA0B18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钢  铁</w:t>
                  </w:r>
                </w:p>
              </w:tc>
              <w:tc>
                <w:tcPr>
                  <w:tcW w:w="511" w:type="pct"/>
                  <w:tcBorders>
                    <w:tl2br w:val="nil"/>
                    <w:tr2bl w:val="nil"/>
                  </w:tcBorders>
                  <w:vAlign w:val="center"/>
                </w:tcPr>
                <w:p w14:paraId="28CE472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0.2t/a</w:t>
                  </w:r>
                </w:p>
              </w:tc>
              <w:tc>
                <w:tcPr>
                  <w:tcW w:w="511" w:type="pct"/>
                  <w:tcBorders>
                    <w:tl2br w:val="nil"/>
                    <w:tr2bl w:val="nil"/>
                  </w:tcBorders>
                  <w:shd w:val="clear" w:color="auto" w:fill="auto"/>
                  <w:vAlign w:val="center"/>
                </w:tcPr>
                <w:p w14:paraId="638A305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0.2t/a</w:t>
                  </w:r>
                </w:p>
              </w:tc>
              <w:tc>
                <w:tcPr>
                  <w:tcW w:w="624" w:type="pct"/>
                  <w:vMerge w:val="restart"/>
                  <w:tcBorders>
                    <w:tl2br w:val="nil"/>
                    <w:tr2bl w:val="nil"/>
                  </w:tcBorders>
                  <w:vAlign w:val="center"/>
                </w:tcPr>
                <w:p w14:paraId="368F0FC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外售综合利用</w:t>
                  </w:r>
                </w:p>
              </w:tc>
            </w:tr>
            <w:tr w14:paraId="1B089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6BE7945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w:t>
                  </w:r>
                </w:p>
              </w:tc>
              <w:tc>
                <w:tcPr>
                  <w:tcW w:w="1001" w:type="pct"/>
                  <w:tcBorders>
                    <w:tl2br w:val="nil"/>
                    <w:tr2bl w:val="nil"/>
                  </w:tcBorders>
                  <w:shd w:val="clear" w:color="auto" w:fill="auto"/>
                  <w:vAlign w:val="center"/>
                </w:tcPr>
                <w:p w14:paraId="256F132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次品</w:t>
                  </w:r>
                </w:p>
              </w:tc>
              <w:tc>
                <w:tcPr>
                  <w:tcW w:w="667" w:type="pct"/>
                  <w:tcBorders>
                    <w:tl2br w:val="nil"/>
                    <w:tr2bl w:val="nil"/>
                  </w:tcBorders>
                  <w:vAlign w:val="center"/>
                </w:tcPr>
                <w:p w14:paraId="6DA9655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焊接</w:t>
                  </w:r>
                </w:p>
              </w:tc>
              <w:tc>
                <w:tcPr>
                  <w:tcW w:w="458" w:type="pct"/>
                  <w:tcBorders>
                    <w:tl2br w:val="nil"/>
                    <w:tr2bl w:val="nil"/>
                  </w:tcBorders>
                  <w:vAlign w:val="center"/>
                </w:tcPr>
                <w:p w14:paraId="344B156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5CBBD47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铁  渣</w:t>
                  </w:r>
                </w:p>
              </w:tc>
              <w:tc>
                <w:tcPr>
                  <w:tcW w:w="511" w:type="pct"/>
                  <w:tcBorders>
                    <w:tl2br w:val="nil"/>
                    <w:tr2bl w:val="nil"/>
                  </w:tcBorders>
                  <w:vAlign w:val="center"/>
                </w:tcPr>
                <w:p w14:paraId="2AE6F09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16</w:t>
                  </w:r>
                  <w:r>
                    <w:rPr>
                      <w:rFonts w:hint="default" w:ascii="Times New Roman" w:hAnsi="Times New Roman" w:eastAsia="宋体"/>
                      <w:color w:val="auto"/>
                      <w:sz w:val="21"/>
                      <w:szCs w:val="21"/>
                      <w:highlight w:val="none"/>
                      <w:lang w:val="en-US" w:eastAsia="zh-CN"/>
                    </w:rPr>
                    <w:t>t/a</w:t>
                  </w:r>
                </w:p>
              </w:tc>
              <w:tc>
                <w:tcPr>
                  <w:tcW w:w="511" w:type="pct"/>
                  <w:tcBorders>
                    <w:tl2br w:val="nil"/>
                    <w:tr2bl w:val="nil"/>
                  </w:tcBorders>
                  <w:shd w:val="clear" w:color="auto" w:fill="auto"/>
                  <w:vAlign w:val="center"/>
                </w:tcPr>
                <w:p w14:paraId="51E752E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16</w:t>
                  </w:r>
                  <w:r>
                    <w:rPr>
                      <w:rFonts w:hint="default" w:ascii="Times New Roman" w:hAnsi="Times New Roman" w:eastAsia="宋体"/>
                      <w:color w:val="auto"/>
                      <w:sz w:val="21"/>
                      <w:szCs w:val="21"/>
                      <w:highlight w:val="none"/>
                      <w:lang w:val="en-US" w:eastAsia="zh-CN"/>
                    </w:rPr>
                    <w:t>t/a</w:t>
                  </w:r>
                </w:p>
              </w:tc>
              <w:tc>
                <w:tcPr>
                  <w:tcW w:w="624" w:type="pct"/>
                  <w:vMerge w:val="continue"/>
                  <w:tcBorders>
                    <w:tl2br w:val="nil"/>
                    <w:tr2bl w:val="nil"/>
                  </w:tcBorders>
                  <w:vAlign w:val="center"/>
                </w:tcPr>
                <w:p w14:paraId="722D912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7AA38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5791494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3</w:t>
                  </w:r>
                </w:p>
              </w:tc>
              <w:tc>
                <w:tcPr>
                  <w:tcW w:w="1001" w:type="pct"/>
                  <w:tcBorders>
                    <w:tl2br w:val="nil"/>
                    <w:tr2bl w:val="nil"/>
                  </w:tcBorders>
                  <w:shd w:val="clear" w:color="auto" w:fill="auto"/>
                  <w:vAlign w:val="center"/>
                </w:tcPr>
                <w:p w14:paraId="67FD3E7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除尘灰</w:t>
                  </w:r>
                </w:p>
              </w:tc>
              <w:tc>
                <w:tcPr>
                  <w:tcW w:w="667" w:type="pct"/>
                  <w:tcBorders>
                    <w:tl2br w:val="nil"/>
                    <w:tr2bl w:val="nil"/>
                  </w:tcBorders>
                  <w:vAlign w:val="center"/>
                </w:tcPr>
                <w:p w14:paraId="7647570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打磨</w:t>
                  </w:r>
                </w:p>
              </w:tc>
              <w:tc>
                <w:tcPr>
                  <w:tcW w:w="458" w:type="pct"/>
                  <w:tcBorders>
                    <w:tl2br w:val="nil"/>
                    <w:tr2bl w:val="nil"/>
                  </w:tcBorders>
                  <w:vAlign w:val="center"/>
                </w:tcPr>
                <w:p w14:paraId="15E20A5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4B3E7E1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铁  渣</w:t>
                  </w:r>
                </w:p>
              </w:tc>
              <w:tc>
                <w:tcPr>
                  <w:tcW w:w="511" w:type="pct"/>
                  <w:tcBorders>
                    <w:tl2br w:val="nil"/>
                    <w:tr2bl w:val="nil"/>
                  </w:tcBorders>
                  <w:vAlign w:val="center"/>
                </w:tcPr>
                <w:p w14:paraId="1432F5E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2.017t/a</w:t>
                  </w:r>
                </w:p>
              </w:tc>
              <w:tc>
                <w:tcPr>
                  <w:tcW w:w="511" w:type="pct"/>
                  <w:tcBorders>
                    <w:tl2br w:val="nil"/>
                    <w:tr2bl w:val="nil"/>
                  </w:tcBorders>
                  <w:shd w:val="clear" w:color="auto" w:fill="auto"/>
                  <w:vAlign w:val="center"/>
                </w:tcPr>
                <w:p w14:paraId="3198FA0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2.017t/a</w:t>
                  </w:r>
                </w:p>
              </w:tc>
              <w:tc>
                <w:tcPr>
                  <w:tcW w:w="624" w:type="pct"/>
                  <w:vMerge w:val="continue"/>
                  <w:tcBorders>
                    <w:tl2br w:val="nil"/>
                    <w:tr2bl w:val="nil"/>
                  </w:tcBorders>
                  <w:vAlign w:val="center"/>
                </w:tcPr>
                <w:p w14:paraId="77C6BF6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0C386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2CB49A1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4</w:t>
                  </w:r>
                </w:p>
              </w:tc>
              <w:tc>
                <w:tcPr>
                  <w:tcW w:w="1001" w:type="pct"/>
                  <w:tcBorders>
                    <w:tl2br w:val="nil"/>
                    <w:tr2bl w:val="nil"/>
                  </w:tcBorders>
                  <w:shd w:val="clear" w:color="auto" w:fill="auto"/>
                  <w:vAlign w:val="center"/>
                </w:tcPr>
                <w:p w14:paraId="16196A1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废包装</w:t>
                  </w:r>
                </w:p>
              </w:tc>
              <w:tc>
                <w:tcPr>
                  <w:tcW w:w="667" w:type="pct"/>
                  <w:tcBorders>
                    <w:tl2br w:val="nil"/>
                    <w:tr2bl w:val="nil"/>
                  </w:tcBorders>
                  <w:vAlign w:val="center"/>
                </w:tcPr>
                <w:p w14:paraId="5271701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开袋</w:t>
                  </w:r>
                </w:p>
              </w:tc>
              <w:tc>
                <w:tcPr>
                  <w:tcW w:w="458" w:type="pct"/>
                  <w:tcBorders>
                    <w:tl2br w:val="nil"/>
                    <w:tr2bl w:val="nil"/>
                  </w:tcBorders>
                  <w:vAlign w:val="center"/>
                </w:tcPr>
                <w:p w14:paraId="5B6D552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5AB00F0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塑  料</w:t>
                  </w:r>
                </w:p>
              </w:tc>
              <w:tc>
                <w:tcPr>
                  <w:tcW w:w="511" w:type="pct"/>
                  <w:tcBorders>
                    <w:tl2br w:val="nil"/>
                    <w:tr2bl w:val="nil"/>
                  </w:tcBorders>
                  <w:vAlign w:val="center"/>
                </w:tcPr>
                <w:p w14:paraId="1B7F412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511" w:type="pct"/>
                  <w:tcBorders>
                    <w:tl2br w:val="nil"/>
                    <w:tr2bl w:val="nil"/>
                  </w:tcBorders>
                  <w:shd w:val="clear" w:color="auto" w:fill="auto"/>
                  <w:vAlign w:val="center"/>
                </w:tcPr>
                <w:p w14:paraId="228562D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624" w:type="pct"/>
                  <w:vMerge w:val="continue"/>
                  <w:tcBorders>
                    <w:tl2br w:val="nil"/>
                    <w:tr2bl w:val="nil"/>
                  </w:tcBorders>
                  <w:vAlign w:val="center"/>
                </w:tcPr>
                <w:p w14:paraId="3A63D90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33A44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1F470CB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5</w:t>
                  </w:r>
                </w:p>
              </w:tc>
              <w:tc>
                <w:tcPr>
                  <w:tcW w:w="1001" w:type="pct"/>
                  <w:tcBorders>
                    <w:tl2br w:val="nil"/>
                    <w:tr2bl w:val="nil"/>
                  </w:tcBorders>
                  <w:shd w:val="clear" w:color="auto" w:fill="auto"/>
                  <w:vAlign w:val="center"/>
                </w:tcPr>
                <w:p w14:paraId="4413B2E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 机 油</w:t>
                  </w:r>
                </w:p>
              </w:tc>
              <w:tc>
                <w:tcPr>
                  <w:tcW w:w="667" w:type="pct"/>
                  <w:tcBorders>
                    <w:tl2br w:val="nil"/>
                    <w:tr2bl w:val="nil"/>
                  </w:tcBorders>
                  <w:shd w:val="clear" w:color="auto" w:fill="auto"/>
                  <w:vAlign w:val="center"/>
                </w:tcPr>
                <w:p w14:paraId="3B21195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设备维护</w:t>
                  </w:r>
                </w:p>
              </w:tc>
              <w:tc>
                <w:tcPr>
                  <w:tcW w:w="458" w:type="pct"/>
                  <w:tcBorders>
                    <w:tl2br w:val="nil"/>
                    <w:tr2bl w:val="nil"/>
                  </w:tcBorders>
                  <w:shd w:val="clear" w:color="auto" w:fill="auto"/>
                  <w:vAlign w:val="center"/>
                </w:tcPr>
                <w:p w14:paraId="5C7BDF7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811" w:type="pct"/>
                  <w:tcBorders>
                    <w:tl2br w:val="nil"/>
                    <w:tr2bl w:val="nil"/>
                  </w:tcBorders>
                  <w:shd w:val="clear" w:color="auto" w:fill="auto"/>
                  <w:vAlign w:val="center"/>
                </w:tcPr>
                <w:p w14:paraId="0C531FA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511" w:type="pct"/>
                  <w:tcBorders>
                    <w:tl2br w:val="nil"/>
                    <w:tr2bl w:val="nil"/>
                  </w:tcBorders>
                  <w:shd w:val="clear" w:color="auto" w:fill="auto"/>
                  <w:vAlign w:val="center"/>
                </w:tcPr>
                <w:p w14:paraId="7621924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511" w:type="pct"/>
                  <w:tcBorders>
                    <w:tl2br w:val="nil"/>
                    <w:tr2bl w:val="nil"/>
                  </w:tcBorders>
                  <w:shd w:val="clear" w:color="auto" w:fill="auto"/>
                  <w:vAlign w:val="center"/>
                </w:tcPr>
                <w:p w14:paraId="4F2575F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624" w:type="pct"/>
                  <w:vMerge w:val="restart"/>
                  <w:tcBorders>
                    <w:tl2br w:val="nil"/>
                    <w:tr2bl w:val="nil"/>
                  </w:tcBorders>
                  <w:vAlign w:val="center"/>
                </w:tcPr>
                <w:p w14:paraId="44EAC4A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交有危废处置资质的单位转运处置</w:t>
                  </w:r>
                </w:p>
              </w:tc>
            </w:tr>
            <w:tr w14:paraId="3B55E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56462EC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6</w:t>
                  </w:r>
                </w:p>
              </w:tc>
              <w:tc>
                <w:tcPr>
                  <w:tcW w:w="1001" w:type="pct"/>
                  <w:tcBorders>
                    <w:tl2br w:val="nil"/>
                    <w:tr2bl w:val="nil"/>
                  </w:tcBorders>
                  <w:vAlign w:val="center"/>
                </w:tcPr>
                <w:p w14:paraId="2EAD960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 油 桶</w:t>
                  </w:r>
                </w:p>
              </w:tc>
              <w:tc>
                <w:tcPr>
                  <w:tcW w:w="667" w:type="pct"/>
                  <w:tcBorders>
                    <w:tl2br w:val="nil"/>
                    <w:tr2bl w:val="nil"/>
                  </w:tcBorders>
                  <w:vAlign w:val="center"/>
                </w:tcPr>
                <w:p w14:paraId="17F2937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设备维护</w:t>
                  </w:r>
                </w:p>
              </w:tc>
              <w:tc>
                <w:tcPr>
                  <w:tcW w:w="458" w:type="pct"/>
                  <w:tcBorders>
                    <w:tl2br w:val="nil"/>
                    <w:tr2bl w:val="nil"/>
                  </w:tcBorders>
                  <w:vAlign w:val="center"/>
                </w:tcPr>
                <w:p w14:paraId="7E07BA5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43A43E2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511" w:type="pct"/>
                  <w:tcBorders>
                    <w:tl2br w:val="nil"/>
                    <w:tr2bl w:val="nil"/>
                  </w:tcBorders>
                  <w:vAlign w:val="center"/>
                </w:tcPr>
                <w:p w14:paraId="1554B01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0.02t/a</w:t>
                  </w:r>
                </w:p>
              </w:tc>
              <w:tc>
                <w:tcPr>
                  <w:tcW w:w="511" w:type="pct"/>
                  <w:tcBorders>
                    <w:tl2br w:val="nil"/>
                    <w:tr2bl w:val="nil"/>
                  </w:tcBorders>
                  <w:shd w:val="clear" w:color="auto" w:fill="auto"/>
                  <w:vAlign w:val="center"/>
                </w:tcPr>
                <w:p w14:paraId="4048C0B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0.02t/a</w:t>
                  </w:r>
                </w:p>
              </w:tc>
              <w:tc>
                <w:tcPr>
                  <w:tcW w:w="624" w:type="pct"/>
                  <w:vMerge w:val="continue"/>
                  <w:tcBorders>
                    <w:tl2br w:val="nil"/>
                    <w:tr2bl w:val="nil"/>
                  </w:tcBorders>
                  <w:vAlign w:val="center"/>
                </w:tcPr>
                <w:p w14:paraId="7A69670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3476B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55D8E4A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7</w:t>
                  </w:r>
                </w:p>
              </w:tc>
              <w:tc>
                <w:tcPr>
                  <w:tcW w:w="1001" w:type="pct"/>
                  <w:tcBorders>
                    <w:tl2br w:val="nil"/>
                    <w:tr2bl w:val="nil"/>
                  </w:tcBorders>
                  <w:vAlign w:val="center"/>
                </w:tcPr>
                <w:p w14:paraId="5F8130E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含油废棉纱手套</w:t>
                  </w:r>
                </w:p>
              </w:tc>
              <w:tc>
                <w:tcPr>
                  <w:tcW w:w="667" w:type="pct"/>
                  <w:tcBorders>
                    <w:tl2br w:val="nil"/>
                    <w:tr2bl w:val="nil"/>
                  </w:tcBorders>
                  <w:vAlign w:val="center"/>
                </w:tcPr>
                <w:p w14:paraId="7447520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设备维护</w:t>
                  </w:r>
                </w:p>
              </w:tc>
              <w:tc>
                <w:tcPr>
                  <w:tcW w:w="458" w:type="pct"/>
                  <w:tcBorders>
                    <w:tl2br w:val="nil"/>
                    <w:tr2bl w:val="nil"/>
                  </w:tcBorders>
                  <w:vAlign w:val="center"/>
                </w:tcPr>
                <w:p w14:paraId="33D172A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54F76E4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511" w:type="pct"/>
                  <w:tcBorders>
                    <w:tl2br w:val="nil"/>
                    <w:tr2bl w:val="nil"/>
                  </w:tcBorders>
                  <w:vAlign w:val="center"/>
                </w:tcPr>
                <w:p w14:paraId="110BB43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0.05t/a</w:t>
                  </w:r>
                </w:p>
              </w:tc>
              <w:tc>
                <w:tcPr>
                  <w:tcW w:w="511" w:type="pct"/>
                  <w:tcBorders>
                    <w:tl2br w:val="nil"/>
                    <w:tr2bl w:val="nil"/>
                  </w:tcBorders>
                  <w:shd w:val="clear" w:color="auto" w:fill="auto"/>
                  <w:vAlign w:val="center"/>
                </w:tcPr>
                <w:p w14:paraId="16CB1DE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0.05t/a</w:t>
                  </w:r>
                </w:p>
              </w:tc>
              <w:tc>
                <w:tcPr>
                  <w:tcW w:w="624" w:type="pct"/>
                  <w:vMerge w:val="continue"/>
                  <w:tcBorders>
                    <w:tl2br w:val="nil"/>
                    <w:tr2bl w:val="nil"/>
                  </w:tcBorders>
                  <w:vAlign w:val="center"/>
                </w:tcPr>
                <w:p w14:paraId="72404AF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1AB44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0EE1287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8</w:t>
                  </w:r>
                </w:p>
              </w:tc>
              <w:tc>
                <w:tcPr>
                  <w:tcW w:w="1001" w:type="pct"/>
                  <w:tcBorders>
                    <w:tl2br w:val="nil"/>
                    <w:tr2bl w:val="nil"/>
                  </w:tcBorders>
                  <w:vAlign w:val="center"/>
                </w:tcPr>
                <w:p w14:paraId="3BA7A9C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空压机废油液</w:t>
                  </w:r>
                </w:p>
              </w:tc>
              <w:tc>
                <w:tcPr>
                  <w:tcW w:w="667" w:type="pct"/>
                  <w:tcBorders>
                    <w:tl2br w:val="nil"/>
                    <w:tr2bl w:val="nil"/>
                  </w:tcBorders>
                  <w:vAlign w:val="center"/>
                </w:tcPr>
                <w:p w14:paraId="4227863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压缩空气</w:t>
                  </w:r>
                </w:p>
              </w:tc>
              <w:tc>
                <w:tcPr>
                  <w:tcW w:w="458" w:type="pct"/>
                  <w:tcBorders>
                    <w:tl2br w:val="nil"/>
                    <w:tr2bl w:val="nil"/>
                  </w:tcBorders>
                  <w:vAlign w:val="center"/>
                </w:tcPr>
                <w:p w14:paraId="398C229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811" w:type="pct"/>
                  <w:tcBorders>
                    <w:tl2br w:val="nil"/>
                    <w:tr2bl w:val="nil"/>
                  </w:tcBorders>
                  <w:shd w:val="clear" w:color="auto" w:fill="auto"/>
                  <w:vAlign w:val="center"/>
                </w:tcPr>
                <w:p w14:paraId="4251979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511" w:type="pct"/>
                  <w:tcBorders>
                    <w:tl2br w:val="nil"/>
                    <w:tr2bl w:val="nil"/>
                  </w:tcBorders>
                  <w:shd w:val="clear" w:color="auto" w:fill="auto"/>
                  <w:vAlign w:val="center"/>
                </w:tcPr>
                <w:p w14:paraId="4AEEF5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0.02t/a</w:t>
                  </w:r>
                </w:p>
              </w:tc>
              <w:tc>
                <w:tcPr>
                  <w:tcW w:w="511" w:type="pct"/>
                  <w:tcBorders>
                    <w:tl2br w:val="nil"/>
                    <w:tr2bl w:val="nil"/>
                  </w:tcBorders>
                  <w:shd w:val="clear" w:color="auto" w:fill="auto"/>
                  <w:vAlign w:val="center"/>
                </w:tcPr>
                <w:p w14:paraId="57DF5E1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0.02t/a</w:t>
                  </w:r>
                </w:p>
              </w:tc>
              <w:tc>
                <w:tcPr>
                  <w:tcW w:w="624" w:type="pct"/>
                  <w:vMerge w:val="continue"/>
                  <w:tcBorders>
                    <w:tl2br w:val="nil"/>
                    <w:tr2bl w:val="nil"/>
                  </w:tcBorders>
                  <w:vAlign w:val="center"/>
                </w:tcPr>
                <w:p w14:paraId="6E17169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2E54D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6C54336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9</w:t>
                  </w:r>
                </w:p>
              </w:tc>
              <w:tc>
                <w:tcPr>
                  <w:tcW w:w="1001" w:type="pct"/>
                  <w:tcBorders>
                    <w:tl2br w:val="nil"/>
                    <w:tr2bl w:val="nil"/>
                  </w:tcBorders>
                  <w:vAlign w:val="center"/>
                </w:tcPr>
                <w:p w14:paraId="1227D3D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废活性炭</w:t>
                  </w:r>
                </w:p>
              </w:tc>
              <w:tc>
                <w:tcPr>
                  <w:tcW w:w="667" w:type="pct"/>
                  <w:tcBorders>
                    <w:tl2br w:val="nil"/>
                    <w:tr2bl w:val="nil"/>
                  </w:tcBorders>
                  <w:vAlign w:val="center"/>
                </w:tcPr>
                <w:p w14:paraId="45E7EDB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废气治理</w:t>
                  </w:r>
                </w:p>
              </w:tc>
              <w:tc>
                <w:tcPr>
                  <w:tcW w:w="458" w:type="pct"/>
                  <w:tcBorders>
                    <w:tl2br w:val="nil"/>
                    <w:tr2bl w:val="nil"/>
                  </w:tcBorders>
                  <w:vAlign w:val="center"/>
                </w:tcPr>
                <w:p w14:paraId="67CE1E3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4F3CC0E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废活性炭</w:t>
                  </w:r>
                </w:p>
              </w:tc>
              <w:tc>
                <w:tcPr>
                  <w:tcW w:w="511" w:type="pct"/>
                  <w:tcBorders>
                    <w:tl2br w:val="nil"/>
                    <w:tr2bl w:val="nil"/>
                  </w:tcBorders>
                  <w:vAlign w:val="center"/>
                </w:tcPr>
                <w:p w14:paraId="603A168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511" w:type="pct"/>
                  <w:tcBorders>
                    <w:tl2br w:val="nil"/>
                    <w:tr2bl w:val="nil"/>
                  </w:tcBorders>
                  <w:shd w:val="clear" w:color="auto" w:fill="auto"/>
                  <w:vAlign w:val="center"/>
                </w:tcPr>
                <w:p w14:paraId="1347020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0.1t/a</w:t>
                  </w:r>
                </w:p>
              </w:tc>
              <w:tc>
                <w:tcPr>
                  <w:tcW w:w="624" w:type="pct"/>
                  <w:vMerge w:val="continue"/>
                  <w:tcBorders>
                    <w:tl2br w:val="nil"/>
                    <w:tr2bl w:val="nil"/>
                  </w:tcBorders>
                  <w:vAlign w:val="center"/>
                </w:tcPr>
                <w:p w14:paraId="59E1963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2E2B9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shd w:val="clear" w:color="auto" w:fill="auto"/>
                  <w:vAlign w:val="center"/>
                </w:tcPr>
                <w:p w14:paraId="5247BD1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10</w:t>
                  </w:r>
                </w:p>
              </w:tc>
              <w:tc>
                <w:tcPr>
                  <w:tcW w:w="1001" w:type="pct"/>
                  <w:tcBorders>
                    <w:tl2br w:val="nil"/>
                    <w:tr2bl w:val="nil"/>
                  </w:tcBorders>
                  <w:shd w:val="clear" w:color="auto" w:fill="auto"/>
                  <w:vAlign w:val="center"/>
                </w:tcPr>
                <w:p w14:paraId="4130205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废过滤棉</w:t>
                  </w:r>
                </w:p>
              </w:tc>
              <w:tc>
                <w:tcPr>
                  <w:tcW w:w="667" w:type="pct"/>
                  <w:tcBorders>
                    <w:tl2br w:val="nil"/>
                    <w:tr2bl w:val="nil"/>
                  </w:tcBorders>
                  <w:shd w:val="clear" w:color="auto" w:fill="auto"/>
                  <w:vAlign w:val="center"/>
                </w:tcPr>
                <w:p w14:paraId="1BB0096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废气治理</w:t>
                  </w:r>
                </w:p>
              </w:tc>
              <w:tc>
                <w:tcPr>
                  <w:tcW w:w="458" w:type="pct"/>
                  <w:tcBorders>
                    <w:tl2br w:val="nil"/>
                    <w:tr2bl w:val="nil"/>
                  </w:tcBorders>
                  <w:shd w:val="clear" w:color="auto" w:fill="auto"/>
                  <w:vAlign w:val="center"/>
                </w:tcPr>
                <w:p w14:paraId="63FF3A4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shd w:val="clear" w:color="auto" w:fill="auto"/>
                  <w:vAlign w:val="center"/>
                </w:tcPr>
                <w:p w14:paraId="6A187BD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废过滤棉</w:t>
                  </w:r>
                </w:p>
              </w:tc>
              <w:tc>
                <w:tcPr>
                  <w:tcW w:w="511" w:type="pct"/>
                  <w:tcBorders>
                    <w:tl2br w:val="nil"/>
                    <w:tr2bl w:val="nil"/>
                  </w:tcBorders>
                  <w:shd w:val="clear" w:color="auto" w:fill="auto"/>
                  <w:vAlign w:val="center"/>
                </w:tcPr>
                <w:p w14:paraId="6EB3306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0.05t/a</w:t>
                  </w:r>
                </w:p>
              </w:tc>
              <w:tc>
                <w:tcPr>
                  <w:tcW w:w="511" w:type="pct"/>
                  <w:tcBorders>
                    <w:tl2br w:val="nil"/>
                    <w:tr2bl w:val="nil"/>
                  </w:tcBorders>
                  <w:shd w:val="clear" w:color="auto" w:fill="auto"/>
                  <w:vAlign w:val="center"/>
                </w:tcPr>
                <w:p w14:paraId="09191D2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0.05t/a</w:t>
                  </w:r>
                </w:p>
              </w:tc>
              <w:tc>
                <w:tcPr>
                  <w:tcW w:w="624" w:type="pct"/>
                  <w:vMerge w:val="continue"/>
                  <w:tcBorders>
                    <w:tl2br w:val="nil"/>
                    <w:tr2bl w:val="nil"/>
                  </w:tcBorders>
                  <w:vAlign w:val="center"/>
                </w:tcPr>
                <w:p w14:paraId="6FB1CD2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5F86C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7AC6278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11</w:t>
                  </w:r>
                </w:p>
              </w:tc>
              <w:tc>
                <w:tcPr>
                  <w:tcW w:w="1001" w:type="pct"/>
                  <w:tcBorders>
                    <w:tl2br w:val="nil"/>
                    <w:tr2bl w:val="nil"/>
                  </w:tcBorders>
                  <w:vAlign w:val="center"/>
                </w:tcPr>
                <w:p w14:paraId="3FDD573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生活垃圾</w:t>
                  </w:r>
                </w:p>
              </w:tc>
              <w:tc>
                <w:tcPr>
                  <w:tcW w:w="667" w:type="pct"/>
                  <w:tcBorders>
                    <w:tl2br w:val="nil"/>
                    <w:tr2bl w:val="nil"/>
                  </w:tcBorders>
                  <w:vAlign w:val="center"/>
                </w:tcPr>
                <w:p w14:paraId="14A557F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办公生活</w:t>
                  </w:r>
                </w:p>
              </w:tc>
              <w:tc>
                <w:tcPr>
                  <w:tcW w:w="458" w:type="pct"/>
                  <w:tcBorders>
                    <w:tl2br w:val="nil"/>
                    <w:tr2bl w:val="nil"/>
                  </w:tcBorders>
                  <w:vAlign w:val="center"/>
                </w:tcPr>
                <w:p w14:paraId="2B95A20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固态</w:t>
                  </w:r>
                </w:p>
              </w:tc>
              <w:tc>
                <w:tcPr>
                  <w:tcW w:w="811" w:type="pct"/>
                  <w:tcBorders>
                    <w:tl2br w:val="nil"/>
                    <w:tr2bl w:val="nil"/>
                  </w:tcBorders>
                  <w:vAlign w:val="center"/>
                </w:tcPr>
                <w:p w14:paraId="688DA09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生活垃圾</w:t>
                  </w:r>
                </w:p>
              </w:tc>
              <w:tc>
                <w:tcPr>
                  <w:tcW w:w="511" w:type="pct"/>
                  <w:tcBorders>
                    <w:tl2br w:val="nil"/>
                    <w:tr2bl w:val="nil"/>
                  </w:tcBorders>
                  <w:vAlign w:val="center"/>
                </w:tcPr>
                <w:p w14:paraId="7725FE3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1.5t/a</w:t>
                  </w:r>
                </w:p>
              </w:tc>
              <w:tc>
                <w:tcPr>
                  <w:tcW w:w="511" w:type="pct"/>
                  <w:tcBorders>
                    <w:tl2br w:val="nil"/>
                    <w:tr2bl w:val="nil"/>
                  </w:tcBorders>
                  <w:shd w:val="clear" w:color="auto" w:fill="auto"/>
                  <w:vAlign w:val="center"/>
                </w:tcPr>
                <w:p w14:paraId="531FC4B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1.5t/a</w:t>
                  </w:r>
                </w:p>
              </w:tc>
              <w:tc>
                <w:tcPr>
                  <w:tcW w:w="624" w:type="pct"/>
                  <w:tcBorders>
                    <w:tl2br w:val="nil"/>
                    <w:tr2bl w:val="nil"/>
                  </w:tcBorders>
                  <w:vAlign w:val="center"/>
                </w:tcPr>
                <w:p w14:paraId="1DDF22E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环卫部门统一清运</w:t>
                  </w:r>
                </w:p>
              </w:tc>
            </w:tr>
          </w:tbl>
          <w:p w14:paraId="4C74448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default"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② 固体废物属性</w:t>
            </w:r>
          </w:p>
          <w:p w14:paraId="596F7C3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根据《一般固体废物分类与代码》（GB/T 39198-2020）、《国家危险废物名录》（</w:t>
            </w:r>
            <w:r>
              <w:rPr>
                <w:rFonts w:hint="default" w:ascii="Times New Roman" w:hAnsi="Times New Roman" w:eastAsia="宋体"/>
                <w:color w:val="auto"/>
                <w:sz w:val="24"/>
                <w:highlight w:val="none"/>
                <w:lang w:val="en-US" w:eastAsia="zh-CN"/>
              </w:rPr>
              <w:t>2021</w:t>
            </w:r>
            <w:r>
              <w:rPr>
                <w:rFonts w:hint="eastAsia" w:ascii="Times New Roman" w:hAnsi="Times New Roman" w:eastAsia="宋体"/>
                <w:color w:val="auto"/>
                <w:sz w:val="24"/>
                <w:highlight w:val="none"/>
                <w:lang w:val="en-US" w:eastAsia="zh-CN"/>
              </w:rPr>
              <w:t>版）以及《危险废物鉴别标准通则》（</w:t>
            </w:r>
            <w:r>
              <w:rPr>
                <w:rFonts w:hint="default" w:ascii="Times New Roman" w:hAnsi="Times New Roman" w:eastAsia="宋体"/>
                <w:color w:val="auto"/>
                <w:sz w:val="24"/>
                <w:highlight w:val="none"/>
                <w:lang w:val="en-US" w:eastAsia="zh-CN"/>
              </w:rPr>
              <w:t>GB</w:t>
            </w:r>
            <w:r>
              <w:rPr>
                <w:rFonts w:hint="eastAsia" w:ascii="Times New Roman" w:hAnsi="Times New Roman" w:eastAsia="宋体"/>
                <w:color w:val="auto"/>
                <w:sz w:val="24"/>
                <w:highlight w:val="none"/>
                <w:lang w:val="en-US" w:eastAsia="zh-CN"/>
              </w:rPr>
              <w:t xml:space="preserve"> </w:t>
            </w:r>
            <w:r>
              <w:rPr>
                <w:rFonts w:hint="default" w:ascii="Times New Roman" w:hAnsi="Times New Roman" w:eastAsia="宋体"/>
                <w:color w:val="auto"/>
                <w:sz w:val="24"/>
                <w:highlight w:val="none"/>
                <w:lang w:val="en-US" w:eastAsia="zh-CN"/>
              </w:rPr>
              <w:t>5085.7-2019</w:t>
            </w:r>
            <w:r>
              <w:rPr>
                <w:rFonts w:hint="eastAsia" w:ascii="Times New Roman" w:hAnsi="Times New Roman" w:eastAsia="宋体"/>
                <w:color w:val="auto"/>
                <w:sz w:val="24"/>
                <w:highlight w:val="none"/>
                <w:lang w:val="en-US" w:eastAsia="zh-CN"/>
              </w:rPr>
              <w:t>），项目固体废物属性一览表详见下表：</w:t>
            </w:r>
          </w:p>
          <w:p w14:paraId="2C4F17FF">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p>
          <w:p w14:paraId="51010502">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 xml:space="preserve">  项目固体废物属性一览表</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5"/>
              <w:gridCol w:w="1637"/>
              <w:gridCol w:w="1435"/>
              <w:gridCol w:w="2174"/>
              <w:gridCol w:w="1371"/>
              <w:gridCol w:w="1103"/>
            </w:tblGrid>
            <w:tr w14:paraId="0B203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2EB1EA7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序号</w:t>
                  </w:r>
                </w:p>
              </w:tc>
              <w:tc>
                <w:tcPr>
                  <w:tcW w:w="969" w:type="pct"/>
                  <w:tcBorders>
                    <w:tl2br w:val="nil"/>
                    <w:tr2bl w:val="nil"/>
                  </w:tcBorders>
                  <w:vAlign w:val="center"/>
                </w:tcPr>
                <w:p w14:paraId="6D3AECA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color w:val="auto"/>
                      <w:sz w:val="21"/>
                      <w:szCs w:val="21"/>
                      <w:highlight w:val="none"/>
                      <w:vertAlign w:val="baseline"/>
                      <w:lang w:val="en-US" w:eastAsia="zh-CN"/>
                    </w:rPr>
                    <w:t>固废名称</w:t>
                  </w:r>
                </w:p>
              </w:tc>
              <w:tc>
                <w:tcPr>
                  <w:tcW w:w="849" w:type="pct"/>
                  <w:tcBorders>
                    <w:tl2br w:val="nil"/>
                    <w:tr2bl w:val="nil"/>
                  </w:tcBorders>
                  <w:vAlign w:val="center"/>
                </w:tcPr>
                <w:p w14:paraId="4D5904E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是否属于危险废物</w:t>
                  </w:r>
                </w:p>
              </w:tc>
              <w:tc>
                <w:tcPr>
                  <w:tcW w:w="1287" w:type="pct"/>
                  <w:tcBorders>
                    <w:tl2br w:val="nil"/>
                    <w:tr2bl w:val="nil"/>
                  </w:tcBorders>
                  <w:vAlign w:val="center"/>
                </w:tcPr>
                <w:p w14:paraId="006A3F3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一般固废代码/危险废物编号</w:t>
                  </w:r>
                </w:p>
              </w:tc>
              <w:tc>
                <w:tcPr>
                  <w:tcW w:w="811" w:type="pct"/>
                  <w:tcBorders>
                    <w:tl2br w:val="nil"/>
                    <w:tr2bl w:val="nil"/>
                  </w:tcBorders>
                  <w:vAlign w:val="center"/>
                </w:tcPr>
                <w:p w14:paraId="28624A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主要有毒</w:t>
                  </w:r>
                </w:p>
                <w:p w14:paraId="3D01C0E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有害物质</w:t>
                  </w:r>
                </w:p>
              </w:tc>
              <w:tc>
                <w:tcPr>
                  <w:tcW w:w="653" w:type="pct"/>
                  <w:tcBorders>
                    <w:tl2br w:val="nil"/>
                    <w:tr2bl w:val="nil"/>
                  </w:tcBorders>
                  <w:vAlign w:val="center"/>
                </w:tcPr>
                <w:p w14:paraId="168924B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b/>
                      <w:bCs/>
                      <w:color w:val="auto"/>
                      <w:sz w:val="21"/>
                      <w:szCs w:val="21"/>
                      <w:highlight w:val="none"/>
                      <w:vertAlign w:val="baseline"/>
                      <w:lang w:val="en-US" w:eastAsia="zh-CN"/>
                    </w:rPr>
                    <w:t>环境危险特性</w:t>
                  </w:r>
                </w:p>
              </w:tc>
            </w:tr>
            <w:tr w14:paraId="65A7A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3F05CF9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w:t>
                  </w:r>
                </w:p>
              </w:tc>
              <w:tc>
                <w:tcPr>
                  <w:tcW w:w="969" w:type="pct"/>
                  <w:tcBorders>
                    <w:tl2br w:val="nil"/>
                    <w:tr2bl w:val="nil"/>
                  </w:tcBorders>
                  <w:vAlign w:val="center"/>
                </w:tcPr>
                <w:p w14:paraId="5A3E692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废钢丸</w:t>
                  </w:r>
                </w:p>
              </w:tc>
              <w:tc>
                <w:tcPr>
                  <w:tcW w:w="849" w:type="pct"/>
                  <w:tcBorders>
                    <w:tl2br w:val="nil"/>
                    <w:tr2bl w:val="nil"/>
                  </w:tcBorders>
                  <w:vAlign w:val="center"/>
                </w:tcPr>
                <w:p w14:paraId="0EF306D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否</w:t>
                  </w:r>
                </w:p>
              </w:tc>
              <w:tc>
                <w:tcPr>
                  <w:tcW w:w="1287" w:type="pct"/>
                  <w:tcBorders>
                    <w:tl2br w:val="nil"/>
                    <w:tr2bl w:val="nil"/>
                  </w:tcBorders>
                  <w:vAlign w:val="center"/>
                </w:tcPr>
                <w:p w14:paraId="74C11CD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olor w:val="auto"/>
                      <w:sz w:val="21"/>
                      <w:szCs w:val="21"/>
                      <w:highlight w:val="none"/>
                      <w:lang w:val="en-US" w:eastAsia="zh-CN"/>
                    </w:rPr>
                    <w:t>367-001-09</w:t>
                  </w:r>
                </w:p>
              </w:tc>
              <w:tc>
                <w:tcPr>
                  <w:tcW w:w="811" w:type="pct"/>
                  <w:tcBorders>
                    <w:tl2br w:val="nil"/>
                    <w:tr2bl w:val="nil"/>
                  </w:tcBorders>
                  <w:vAlign w:val="center"/>
                </w:tcPr>
                <w:p w14:paraId="033EC69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653" w:type="pct"/>
                  <w:tcBorders>
                    <w:tl2br w:val="nil"/>
                    <w:tr2bl w:val="nil"/>
                  </w:tcBorders>
                  <w:vAlign w:val="center"/>
                </w:tcPr>
                <w:p w14:paraId="3FEDA5C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r>
            <w:tr w14:paraId="35433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B687CE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w:t>
                  </w:r>
                </w:p>
              </w:tc>
              <w:tc>
                <w:tcPr>
                  <w:tcW w:w="969" w:type="pct"/>
                  <w:tcBorders>
                    <w:tl2br w:val="nil"/>
                    <w:tr2bl w:val="nil"/>
                  </w:tcBorders>
                  <w:vAlign w:val="center"/>
                </w:tcPr>
                <w:p w14:paraId="42AA2A4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次品</w:t>
                  </w:r>
                </w:p>
              </w:tc>
              <w:tc>
                <w:tcPr>
                  <w:tcW w:w="849" w:type="pct"/>
                  <w:tcBorders>
                    <w:tl2br w:val="nil"/>
                    <w:tr2bl w:val="nil"/>
                  </w:tcBorders>
                  <w:vAlign w:val="center"/>
                </w:tcPr>
                <w:p w14:paraId="45C26FF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否</w:t>
                  </w:r>
                </w:p>
              </w:tc>
              <w:tc>
                <w:tcPr>
                  <w:tcW w:w="1287" w:type="pct"/>
                  <w:tcBorders>
                    <w:tl2br w:val="nil"/>
                    <w:tr2bl w:val="nil"/>
                  </w:tcBorders>
                  <w:vAlign w:val="center"/>
                </w:tcPr>
                <w:p w14:paraId="03E0C60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367-002-09</w:t>
                  </w:r>
                </w:p>
              </w:tc>
              <w:tc>
                <w:tcPr>
                  <w:tcW w:w="811" w:type="pct"/>
                  <w:tcBorders>
                    <w:tl2br w:val="nil"/>
                    <w:tr2bl w:val="nil"/>
                  </w:tcBorders>
                  <w:vAlign w:val="center"/>
                </w:tcPr>
                <w:p w14:paraId="1BE71C2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653" w:type="pct"/>
                  <w:tcBorders>
                    <w:tl2br w:val="nil"/>
                    <w:tr2bl w:val="nil"/>
                  </w:tcBorders>
                  <w:vAlign w:val="center"/>
                </w:tcPr>
                <w:p w14:paraId="7D03DDF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r>
            <w:tr w14:paraId="49F14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6EDD3EF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3</w:t>
                  </w:r>
                </w:p>
              </w:tc>
              <w:tc>
                <w:tcPr>
                  <w:tcW w:w="969" w:type="pct"/>
                  <w:tcBorders>
                    <w:tl2br w:val="nil"/>
                    <w:tr2bl w:val="nil"/>
                  </w:tcBorders>
                  <w:vAlign w:val="center"/>
                </w:tcPr>
                <w:p w14:paraId="055C23D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除尘灰</w:t>
                  </w:r>
                </w:p>
              </w:tc>
              <w:tc>
                <w:tcPr>
                  <w:tcW w:w="849" w:type="pct"/>
                  <w:tcBorders>
                    <w:tl2br w:val="nil"/>
                    <w:tr2bl w:val="nil"/>
                  </w:tcBorders>
                  <w:vAlign w:val="center"/>
                </w:tcPr>
                <w:p w14:paraId="444FA01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否</w:t>
                  </w:r>
                </w:p>
              </w:tc>
              <w:tc>
                <w:tcPr>
                  <w:tcW w:w="1287" w:type="pct"/>
                  <w:tcBorders>
                    <w:tl2br w:val="nil"/>
                    <w:tr2bl w:val="nil"/>
                  </w:tcBorders>
                  <w:vAlign w:val="center"/>
                </w:tcPr>
                <w:p w14:paraId="1740D60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olor w:val="auto"/>
                      <w:sz w:val="21"/>
                      <w:szCs w:val="21"/>
                      <w:highlight w:val="none"/>
                      <w:lang w:val="en-US" w:eastAsia="zh-CN"/>
                    </w:rPr>
                    <w:t>367-001-66</w:t>
                  </w:r>
                </w:p>
              </w:tc>
              <w:tc>
                <w:tcPr>
                  <w:tcW w:w="811" w:type="pct"/>
                  <w:tcBorders>
                    <w:tl2br w:val="nil"/>
                    <w:tr2bl w:val="nil"/>
                  </w:tcBorders>
                  <w:vAlign w:val="center"/>
                </w:tcPr>
                <w:p w14:paraId="4C9DED8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653" w:type="pct"/>
                  <w:tcBorders>
                    <w:tl2br w:val="nil"/>
                    <w:tr2bl w:val="nil"/>
                  </w:tcBorders>
                  <w:vAlign w:val="center"/>
                </w:tcPr>
                <w:p w14:paraId="4326E50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r>
            <w:tr w14:paraId="22B4D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2D95BAE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4</w:t>
                  </w:r>
                </w:p>
              </w:tc>
              <w:tc>
                <w:tcPr>
                  <w:tcW w:w="969" w:type="pct"/>
                  <w:tcBorders>
                    <w:tl2br w:val="nil"/>
                    <w:tr2bl w:val="nil"/>
                  </w:tcBorders>
                  <w:vAlign w:val="center"/>
                </w:tcPr>
                <w:p w14:paraId="2861D2D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废包装</w:t>
                  </w:r>
                </w:p>
              </w:tc>
              <w:tc>
                <w:tcPr>
                  <w:tcW w:w="849" w:type="pct"/>
                  <w:tcBorders>
                    <w:tl2br w:val="nil"/>
                    <w:tr2bl w:val="nil"/>
                  </w:tcBorders>
                  <w:vAlign w:val="center"/>
                </w:tcPr>
                <w:p w14:paraId="308618C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否</w:t>
                  </w:r>
                </w:p>
              </w:tc>
              <w:tc>
                <w:tcPr>
                  <w:tcW w:w="1287" w:type="pct"/>
                  <w:tcBorders>
                    <w:tl2br w:val="nil"/>
                    <w:tr2bl w:val="nil"/>
                  </w:tcBorders>
                  <w:vAlign w:val="center"/>
                </w:tcPr>
                <w:p w14:paraId="7E25283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367-001-09</w:t>
                  </w:r>
                </w:p>
              </w:tc>
              <w:tc>
                <w:tcPr>
                  <w:tcW w:w="811" w:type="pct"/>
                  <w:tcBorders>
                    <w:tl2br w:val="nil"/>
                    <w:tr2bl w:val="nil"/>
                  </w:tcBorders>
                  <w:vAlign w:val="center"/>
                </w:tcPr>
                <w:p w14:paraId="6C87C70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653" w:type="pct"/>
                  <w:tcBorders>
                    <w:tl2br w:val="nil"/>
                    <w:tr2bl w:val="nil"/>
                  </w:tcBorders>
                  <w:vAlign w:val="center"/>
                </w:tcPr>
                <w:p w14:paraId="264807D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r>
            <w:tr w14:paraId="2A5A8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206D80F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5</w:t>
                  </w:r>
                </w:p>
              </w:tc>
              <w:tc>
                <w:tcPr>
                  <w:tcW w:w="969" w:type="pct"/>
                  <w:tcBorders>
                    <w:tl2br w:val="nil"/>
                    <w:tr2bl w:val="nil"/>
                  </w:tcBorders>
                  <w:vAlign w:val="center"/>
                </w:tcPr>
                <w:p w14:paraId="43704C5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废机油</w:t>
                  </w:r>
                </w:p>
              </w:tc>
              <w:tc>
                <w:tcPr>
                  <w:tcW w:w="849" w:type="pct"/>
                  <w:tcBorders>
                    <w:tl2br w:val="nil"/>
                    <w:tr2bl w:val="nil"/>
                  </w:tcBorders>
                  <w:vAlign w:val="center"/>
                </w:tcPr>
                <w:p w14:paraId="273F84F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vAlign w:val="center"/>
                </w:tcPr>
                <w:p w14:paraId="38988D0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HW08 900-214-08</w:t>
                  </w:r>
                </w:p>
              </w:tc>
              <w:tc>
                <w:tcPr>
                  <w:tcW w:w="811" w:type="pct"/>
                  <w:tcBorders>
                    <w:tl2br w:val="nil"/>
                    <w:tr2bl w:val="nil"/>
                  </w:tcBorders>
                  <w:vAlign w:val="center"/>
                </w:tcPr>
                <w:p w14:paraId="3B66CDA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653" w:type="pct"/>
                  <w:tcBorders>
                    <w:tl2br w:val="nil"/>
                    <w:tr2bl w:val="nil"/>
                  </w:tcBorders>
                  <w:vAlign w:val="center"/>
                </w:tcPr>
                <w:p w14:paraId="1120C5B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T/I</w:t>
                  </w:r>
                </w:p>
              </w:tc>
            </w:tr>
            <w:tr w14:paraId="75F23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60A0EA7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6</w:t>
                  </w:r>
                </w:p>
              </w:tc>
              <w:tc>
                <w:tcPr>
                  <w:tcW w:w="969" w:type="pct"/>
                  <w:tcBorders>
                    <w:tl2br w:val="nil"/>
                    <w:tr2bl w:val="nil"/>
                  </w:tcBorders>
                  <w:vAlign w:val="center"/>
                </w:tcPr>
                <w:p w14:paraId="62BEA39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废油桶</w:t>
                  </w:r>
                </w:p>
              </w:tc>
              <w:tc>
                <w:tcPr>
                  <w:tcW w:w="849" w:type="pct"/>
                  <w:tcBorders>
                    <w:tl2br w:val="nil"/>
                    <w:tr2bl w:val="nil"/>
                  </w:tcBorders>
                  <w:vAlign w:val="center"/>
                </w:tcPr>
                <w:p w14:paraId="07D8C94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vAlign w:val="center"/>
                </w:tcPr>
                <w:p w14:paraId="61151CD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HW08 900-249-08</w:t>
                  </w:r>
                </w:p>
              </w:tc>
              <w:tc>
                <w:tcPr>
                  <w:tcW w:w="811" w:type="pct"/>
                  <w:tcBorders>
                    <w:tl2br w:val="nil"/>
                    <w:tr2bl w:val="nil"/>
                  </w:tcBorders>
                  <w:vAlign w:val="center"/>
                </w:tcPr>
                <w:p w14:paraId="57EF4F1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653" w:type="pct"/>
                  <w:tcBorders>
                    <w:tl2br w:val="nil"/>
                    <w:tr2bl w:val="nil"/>
                  </w:tcBorders>
                  <w:vAlign w:val="center"/>
                </w:tcPr>
                <w:p w14:paraId="0D2359D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T/I</w:t>
                  </w:r>
                </w:p>
              </w:tc>
            </w:tr>
            <w:tr w14:paraId="46A58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625732C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7</w:t>
                  </w:r>
                </w:p>
              </w:tc>
              <w:tc>
                <w:tcPr>
                  <w:tcW w:w="969" w:type="pct"/>
                  <w:tcBorders>
                    <w:tl2br w:val="nil"/>
                    <w:tr2bl w:val="nil"/>
                  </w:tcBorders>
                  <w:vAlign w:val="center"/>
                </w:tcPr>
                <w:p w14:paraId="213A0B1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含油废棉纱手套</w:t>
                  </w:r>
                </w:p>
              </w:tc>
              <w:tc>
                <w:tcPr>
                  <w:tcW w:w="849" w:type="pct"/>
                  <w:tcBorders>
                    <w:tl2br w:val="nil"/>
                    <w:tr2bl w:val="nil"/>
                  </w:tcBorders>
                  <w:vAlign w:val="center"/>
                </w:tcPr>
                <w:p w14:paraId="1F3938D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vAlign w:val="center"/>
                </w:tcPr>
                <w:p w14:paraId="10C8D9C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HW49 900-041-49</w:t>
                  </w:r>
                </w:p>
              </w:tc>
              <w:tc>
                <w:tcPr>
                  <w:tcW w:w="811" w:type="pct"/>
                  <w:tcBorders>
                    <w:tl2br w:val="nil"/>
                    <w:tr2bl w:val="nil"/>
                  </w:tcBorders>
                  <w:vAlign w:val="center"/>
                </w:tcPr>
                <w:p w14:paraId="4741B65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653" w:type="pct"/>
                  <w:tcBorders>
                    <w:tl2br w:val="nil"/>
                    <w:tr2bl w:val="nil"/>
                  </w:tcBorders>
                  <w:vAlign w:val="center"/>
                </w:tcPr>
                <w:p w14:paraId="031D7C9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T/In</w:t>
                  </w:r>
                </w:p>
              </w:tc>
            </w:tr>
            <w:tr w14:paraId="2ECB9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0DC6152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8</w:t>
                  </w:r>
                </w:p>
              </w:tc>
              <w:tc>
                <w:tcPr>
                  <w:tcW w:w="969" w:type="pct"/>
                  <w:tcBorders>
                    <w:tl2br w:val="nil"/>
                    <w:tr2bl w:val="nil"/>
                  </w:tcBorders>
                  <w:vAlign w:val="center"/>
                </w:tcPr>
                <w:p w14:paraId="6EE5FA9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空压机废油液</w:t>
                  </w:r>
                </w:p>
              </w:tc>
              <w:tc>
                <w:tcPr>
                  <w:tcW w:w="849" w:type="pct"/>
                  <w:tcBorders>
                    <w:tl2br w:val="nil"/>
                    <w:tr2bl w:val="nil"/>
                  </w:tcBorders>
                  <w:shd w:val="clear" w:color="auto" w:fill="auto"/>
                  <w:vAlign w:val="center"/>
                </w:tcPr>
                <w:p w14:paraId="7D5DC80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shd w:val="clear" w:color="auto" w:fill="auto"/>
                  <w:vAlign w:val="center"/>
                </w:tcPr>
                <w:p w14:paraId="146B441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HW08 900-007-08</w:t>
                  </w:r>
                </w:p>
              </w:tc>
              <w:tc>
                <w:tcPr>
                  <w:tcW w:w="811" w:type="pct"/>
                  <w:tcBorders>
                    <w:tl2br w:val="nil"/>
                    <w:tr2bl w:val="nil"/>
                  </w:tcBorders>
                  <w:shd w:val="clear" w:color="auto" w:fill="auto"/>
                  <w:vAlign w:val="center"/>
                </w:tcPr>
                <w:p w14:paraId="14A519C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矿物油</w:t>
                  </w:r>
                </w:p>
              </w:tc>
              <w:tc>
                <w:tcPr>
                  <w:tcW w:w="653" w:type="pct"/>
                  <w:tcBorders>
                    <w:tl2br w:val="nil"/>
                    <w:tr2bl w:val="nil"/>
                  </w:tcBorders>
                  <w:shd w:val="clear" w:color="auto" w:fill="auto"/>
                  <w:vAlign w:val="center"/>
                </w:tcPr>
                <w:p w14:paraId="6414169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T/I</w:t>
                  </w:r>
                </w:p>
              </w:tc>
            </w:tr>
            <w:tr w14:paraId="082B2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51FA8C4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9</w:t>
                  </w:r>
                </w:p>
              </w:tc>
              <w:tc>
                <w:tcPr>
                  <w:tcW w:w="969" w:type="pct"/>
                  <w:tcBorders>
                    <w:tl2br w:val="nil"/>
                    <w:tr2bl w:val="nil"/>
                  </w:tcBorders>
                  <w:vAlign w:val="center"/>
                </w:tcPr>
                <w:p w14:paraId="1F34712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废活性炭</w:t>
                  </w:r>
                </w:p>
              </w:tc>
              <w:tc>
                <w:tcPr>
                  <w:tcW w:w="849" w:type="pct"/>
                  <w:tcBorders>
                    <w:tl2br w:val="nil"/>
                    <w:tr2bl w:val="nil"/>
                  </w:tcBorders>
                  <w:vAlign w:val="center"/>
                </w:tcPr>
                <w:p w14:paraId="0EDA89D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vAlign w:val="center"/>
                </w:tcPr>
                <w:p w14:paraId="4547F4E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HW49 900-039-049</w:t>
                  </w:r>
                </w:p>
              </w:tc>
              <w:tc>
                <w:tcPr>
                  <w:tcW w:w="811" w:type="pct"/>
                  <w:tcBorders>
                    <w:tl2br w:val="nil"/>
                    <w:tr2bl w:val="nil"/>
                  </w:tcBorders>
                  <w:vAlign w:val="center"/>
                </w:tcPr>
                <w:p w14:paraId="3C75BA3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有机废物</w:t>
                  </w:r>
                </w:p>
              </w:tc>
              <w:tc>
                <w:tcPr>
                  <w:tcW w:w="653" w:type="pct"/>
                  <w:tcBorders>
                    <w:tl2br w:val="nil"/>
                    <w:tr2bl w:val="nil"/>
                  </w:tcBorders>
                  <w:vAlign w:val="center"/>
                </w:tcPr>
                <w:p w14:paraId="7E1998A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w:t>
                  </w:r>
                </w:p>
              </w:tc>
            </w:tr>
            <w:tr w14:paraId="09947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shd w:val="clear" w:color="auto" w:fill="auto"/>
                  <w:vAlign w:val="center"/>
                </w:tcPr>
                <w:p w14:paraId="3F7FA96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10</w:t>
                  </w:r>
                </w:p>
              </w:tc>
              <w:tc>
                <w:tcPr>
                  <w:tcW w:w="969" w:type="pct"/>
                  <w:tcBorders>
                    <w:tl2br w:val="nil"/>
                    <w:tr2bl w:val="nil"/>
                  </w:tcBorders>
                  <w:shd w:val="clear" w:color="auto" w:fill="auto"/>
                  <w:vAlign w:val="center"/>
                </w:tcPr>
                <w:p w14:paraId="44D10E5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废过滤棉</w:t>
                  </w:r>
                </w:p>
              </w:tc>
              <w:tc>
                <w:tcPr>
                  <w:tcW w:w="849" w:type="pct"/>
                  <w:tcBorders>
                    <w:tl2br w:val="nil"/>
                    <w:tr2bl w:val="nil"/>
                  </w:tcBorders>
                  <w:shd w:val="clear" w:color="auto" w:fill="auto"/>
                  <w:vAlign w:val="center"/>
                </w:tcPr>
                <w:p w14:paraId="7AFE0BB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是</w:t>
                  </w:r>
                </w:p>
              </w:tc>
              <w:tc>
                <w:tcPr>
                  <w:tcW w:w="1287" w:type="pct"/>
                  <w:tcBorders>
                    <w:tl2br w:val="nil"/>
                    <w:tr2bl w:val="nil"/>
                  </w:tcBorders>
                  <w:shd w:val="clear" w:color="auto" w:fill="auto"/>
                  <w:vAlign w:val="center"/>
                </w:tcPr>
                <w:p w14:paraId="3667FB1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HW49 900-039-049</w:t>
                  </w:r>
                </w:p>
              </w:tc>
              <w:tc>
                <w:tcPr>
                  <w:tcW w:w="811" w:type="pct"/>
                  <w:tcBorders>
                    <w:tl2br w:val="nil"/>
                    <w:tr2bl w:val="nil"/>
                  </w:tcBorders>
                  <w:shd w:val="clear" w:color="auto" w:fill="auto"/>
                  <w:vAlign w:val="center"/>
                </w:tcPr>
                <w:p w14:paraId="511B7F7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有机废物</w:t>
                  </w:r>
                </w:p>
              </w:tc>
              <w:tc>
                <w:tcPr>
                  <w:tcW w:w="653" w:type="pct"/>
                  <w:tcBorders>
                    <w:tl2br w:val="nil"/>
                    <w:tr2bl w:val="nil"/>
                  </w:tcBorders>
                  <w:shd w:val="clear" w:color="auto" w:fill="auto"/>
                  <w:vAlign w:val="center"/>
                </w:tcPr>
                <w:p w14:paraId="4B55AE8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T</w:t>
                  </w:r>
                </w:p>
              </w:tc>
            </w:tr>
            <w:tr w14:paraId="1CA9E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180DED7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11</w:t>
                  </w:r>
                </w:p>
              </w:tc>
              <w:tc>
                <w:tcPr>
                  <w:tcW w:w="969" w:type="pct"/>
                  <w:tcBorders>
                    <w:tl2br w:val="nil"/>
                    <w:tr2bl w:val="nil"/>
                  </w:tcBorders>
                  <w:vAlign w:val="center"/>
                </w:tcPr>
                <w:p w14:paraId="14C4B0F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生活垃圾</w:t>
                  </w:r>
                </w:p>
              </w:tc>
              <w:tc>
                <w:tcPr>
                  <w:tcW w:w="849" w:type="pct"/>
                  <w:tcBorders>
                    <w:tl2br w:val="nil"/>
                    <w:tr2bl w:val="nil"/>
                  </w:tcBorders>
                  <w:vAlign w:val="center"/>
                </w:tcPr>
                <w:p w14:paraId="09C7C9B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否</w:t>
                  </w:r>
                </w:p>
              </w:tc>
              <w:tc>
                <w:tcPr>
                  <w:tcW w:w="1287" w:type="pct"/>
                  <w:tcBorders>
                    <w:tl2br w:val="nil"/>
                    <w:tr2bl w:val="nil"/>
                  </w:tcBorders>
                  <w:vAlign w:val="center"/>
                </w:tcPr>
                <w:p w14:paraId="107B4D1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811" w:type="pct"/>
                  <w:tcBorders>
                    <w:tl2br w:val="nil"/>
                    <w:tr2bl w:val="nil"/>
                  </w:tcBorders>
                  <w:vAlign w:val="center"/>
                </w:tcPr>
                <w:p w14:paraId="418BB3C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653" w:type="pct"/>
                  <w:tcBorders>
                    <w:tl2br w:val="nil"/>
                    <w:tr2bl w:val="nil"/>
                  </w:tcBorders>
                  <w:vAlign w:val="center"/>
                </w:tcPr>
                <w:p w14:paraId="2056DC9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r>
            <w:tr w14:paraId="6BF1C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6AFE875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both"/>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注：</w:t>
                  </w:r>
                  <w:r>
                    <w:rPr>
                      <w:rFonts w:hint="eastAsia" w:ascii="Times New Roman" w:hAnsi="Times New Roman" w:eastAsia="宋体" w:cs="宋体"/>
                      <w:b w:val="0"/>
                      <w:bCs w:val="0"/>
                      <w:color w:val="auto"/>
                      <w:kern w:val="0"/>
                      <w:sz w:val="21"/>
                      <w:szCs w:val="21"/>
                      <w:highlight w:val="none"/>
                      <w:lang w:val="en-US" w:eastAsia="zh-CN" w:bidi="ar"/>
                    </w:rPr>
                    <w:t>“*”表示的危险特性，毒性（T）、易燃性（I）和感染性（In）。</w:t>
                  </w:r>
                </w:p>
              </w:tc>
            </w:tr>
          </w:tbl>
          <w:p w14:paraId="22FE7FC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（2）固体废物防治措施及环境管理要求</w:t>
            </w:r>
          </w:p>
          <w:p w14:paraId="5A32BCBE">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① 固体废物防治措施</w:t>
            </w:r>
          </w:p>
          <w:p w14:paraId="766ED889">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Autospacing="0" w:line="377" w:lineRule="auto"/>
              <w:ind w:left="0" w:leftChars="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u w:val="single"/>
                <w:lang w:val="en-US" w:eastAsia="zh-CN"/>
              </w:rPr>
              <w:t>一般固废</w:t>
            </w:r>
            <w:r>
              <w:rPr>
                <w:rFonts w:hint="eastAsia" w:ascii="Times New Roman" w:hAnsi="Times New Roman"/>
                <w:color w:val="auto"/>
                <w:sz w:val="24"/>
                <w:highlight w:val="none"/>
                <w:lang w:val="en-US" w:eastAsia="zh-CN"/>
              </w:rPr>
              <w:t>：主要为废钢丸、次品除尘灰等，分类暂存于现有工程厂房西北侧一般固废区（面积约20m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lang w:val="en-US" w:eastAsia="zh-CN"/>
              </w:rPr>
              <w:t>），定期外售综合利用。</w:t>
            </w:r>
          </w:p>
          <w:p w14:paraId="2C2FD8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77" w:lineRule="auto"/>
              <w:ind w:leftChars="0" w:right="0" w:rightChars="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699A2766">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Autospacing="0" w:afterAutospacing="0" w:line="377" w:lineRule="auto"/>
              <w:ind w:left="0" w:leftChars="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u w:val="single"/>
                <w:lang w:val="en-US" w:eastAsia="zh-CN"/>
              </w:rPr>
              <w:t>危险废物</w:t>
            </w:r>
            <w:r>
              <w:rPr>
                <w:rFonts w:hint="eastAsia" w:ascii="Times New Roman" w:hAnsi="Times New Roman"/>
                <w:color w:val="auto"/>
                <w:sz w:val="24"/>
                <w:highlight w:val="none"/>
                <w:u w:val="none"/>
                <w:lang w:val="en-US" w:eastAsia="zh-CN"/>
              </w:rPr>
              <w:t>：</w:t>
            </w:r>
            <w:r>
              <w:rPr>
                <w:rFonts w:hint="eastAsia" w:ascii="Times New Roman" w:hAnsi="Times New Roman"/>
                <w:color w:val="auto"/>
                <w:sz w:val="24"/>
                <w:highlight w:val="none"/>
                <w:lang w:val="en-US" w:eastAsia="zh-CN"/>
              </w:rPr>
              <w:t>主要为</w:t>
            </w:r>
            <w:r>
              <w:rPr>
                <w:rFonts w:hint="eastAsia" w:ascii="Times New Roman" w:hAnsi="Times New Roman" w:eastAsia="宋体"/>
                <w:color w:val="auto"/>
                <w:sz w:val="24"/>
                <w:highlight w:val="none"/>
                <w:lang w:val="en-US" w:eastAsia="zh-CN"/>
              </w:rPr>
              <w:t>废机油、废油桶、含油废棉纱手套、废活性炭、空压机废油液</w:t>
            </w:r>
            <w:r>
              <w:rPr>
                <w:rFonts w:hint="eastAsia" w:ascii="Times New Roman" w:hAnsi="Times New Roman"/>
                <w:color w:val="auto"/>
                <w:sz w:val="24"/>
                <w:highlight w:val="none"/>
                <w:lang w:val="en-US" w:eastAsia="zh-CN"/>
              </w:rPr>
              <w:t>等，统一收集后，分类暂存于现有工程厂区东南侧新建的危废贮存点，定期交由有危险废物处理资质的单位转运处置。</w:t>
            </w:r>
          </w:p>
          <w:p w14:paraId="633CB8F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FF0000"/>
                <w:sz w:val="24"/>
                <w:highlight w:val="none"/>
                <w:lang w:val="en-US" w:eastAsia="zh-CN"/>
              </w:rPr>
              <w:t>现有工程项目危废贮存点面积约10m</w:t>
            </w:r>
            <w:r>
              <w:rPr>
                <w:rFonts w:hint="eastAsia" w:ascii="Times New Roman" w:hAnsi="Times New Roman"/>
                <w:color w:val="FF0000"/>
                <w:sz w:val="24"/>
                <w:highlight w:val="none"/>
                <w:vertAlign w:val="superscript"/>
                <w:lang w:val="en-US" w:eastAsia="zh-CN"/>
              </w:rPr>
              <w:t>2</w:t>
            </w:r>
            <w:r>
              <w:rPr>
                <w:rFonts w:hint="eastAsia" w:ascii="Times New Roman" w:hAnsi="Times New Roman"/>
                <w:color w:val="FF0000"/>
                <w:sz w:val="24"/>
                <w:highlight w:val="none"/>
                <w:lang w:val="en-US" w:eastAsia="zh-CN"/>
              </w:rPr>
              <w:t>，储存规模约0.5t（＜3t），严格采取了“六防”措施，满足《危险废物贮存污染控制标准》（</w:t>
            </w:r>
            <w:r>
              <w:rPr>
                <w:rFonts w:hint="default" w:ascii="Times New Roman" w:hAnsi="Times New Roman"/>
                <w:color w:val="FF0000"/>
                <w:sz w:val="24"/>
                <w:highlight w:val="none"/>
                <w:lang w:val="en-US" w:eastAsia="zh-CN"/>
              </w:rPr>
              <w:t>GB</w:t>
            </w:r>
            <w:r>
              <w:rPr>
                <w:rFonts w:hint="eastAsia" w:ascii="Times New Roman" w:hAnsi="Times New Roman"/>
                <w:color w:val="FF0000"/>
                <w:sz w:val="24"/>
                <w:highlight w:val="none"/>
                <w:lang w:val="en-US" w:eastAsia="zh-CN"/>
              </w:rPr>
              <w:t xml:space="preserve"> </w:t>
            </w:r>
            <w:r>
              <w:rPr>
                <w:rFonts w:hint="default" w:ascii="Times New Roman" w:hAnsi="Times New Roman"/>
                <w:color w:val="FF0000"/>
                <w:sz w:val="24"/>
                <w:highlight w:val="none"/>
                <w:lang w:val="en-US" w:eastAsia="zh-CN"/>
              </w:rPr>
              <w:t>18597</w:t>
            </w:r>
            <w:r>
              <w:rPr>
                <w:rFonts w:hint="eastAsia" w:ascii="Times New Roman" w:hAnsi="Times New Roman"/>
                <w:color w:val="FF0000"/>
                <w:sz w:val="24"/>
                <w:highlight w:val="none"/>
                <w:lang w:val="en-US" w:eastAsia="zh-CN"/>
              </w:rPr>
              <w:t>-2023）的相关要求。</w:t>
            </w:r>
            <w:r>
              <w:rPr>
                <w:rFonts w:hint="eastAsia" w:ascii="Times New Roman" w:hAnsi="Times New Roman"/>
                <w:color w:val="auto"/>
                <w:sz w:val="24"/>
                <w:highlight w:val="none"/>
                <w:lang w:val="en-US" w:eastAsia="zh-CN"/>
              </w:rPr>
              <w:t>危废贮存点由专人看守防遗失，并设置标识标牌、管理台账。</w:t>
            </w:r>
          </w:p>
          <w:p w14:paraId="7F4E0A6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运营期应严格按《中华人民共和国固体废物污染环境防治法》、《危险废物转移联单管理办法》等的规定，对厂区危险废物进行处置。转运处置前，厂内临时储存和运输也应按照危险废物管理和处置相关要求进行。</w:t>
            </w:r>
          </w:p>
          <w:p w14:paraId="245FB4B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项目危险废物贮存场所（设施）基本情况表见下表：</w:t>
            </w:r>
          </w:p>
          <w:p w14:paraId="1880965D">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 xml:space="preserve"> 项目危险废物贮存场所（设施）基本情况表</w:t>
            </w:r>
          </w:p>
          <w:tbl>
            <w:tblPr>
              <w:tblStyle w:val="23"/>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44"/>
              <w:gridCol w:w="1185"/>
              <w:gridCol w:w="1014"/>
              <w:gridCol w:w="1178"/>
              <w:gridCol w:w="803"/>
              <w:gridCol w:w="798"/>
              <w:gridCol w:w="702"/>
              <w:gridCol w:w="702"/>
              <w:gridCol w:w="654"/>
            </w:tblGrid>
            <w:tr w14:paraId="7FB62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tcBorders>
                    <w:tl2br w:val="nil"/>
                    <w:tr2bl w:val="nil"/>
                  </w:tcBorders>
                  <w:vAlign w:val="center"/>
                </w:tcPr>
                <w:p w14:paraId="06A4A63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贮存场所（设施）名称</w:t>
                  </w:r>
                </w:p>
              </w:tc>
              <w:tc>
                <w:tcPr>
                  <w:tcW w:w="707" w:type="pct"/>
                  <w:tcBorders>
                    <w:tl2br w:val="nil"/>
                    <w:tr2bl w:val="nil"/>
                  </w:tcBorders>
                  <w:vAlign w:val="center"/>
                </w:tcPr>
                <w:p w14:paraId="742C6FF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宋体"/>
                      <w:b/>
                      <w:bCs/>
                      <w:color w:val="auto"/>
                      <w:kern w:val="0"/>
                      <w:sz w:val="21"/>
                      <w:szCs w:val="21"/>
                      <w:highlight w:val="none"/>
                      <w:lang w:val="en-US" w:eastAsia="zh-CN" w:bidi="ar"/>
                    </w:rPr>
                    <w:t>危险废物名称</w:t>
                  </w:r>
                </w:p>
              </w:tc>
              <w:tc>
                <w:tcPr>
                  <w:tcW w:w="605" w:type="pct"/>
                  <w:tcBorders>
                    <w:tl2br w:val="nil"/>
                    <w:tr2bl w:val="nil"/>
                  </w:tcBorders>
                  <w:vAlign w:val="center"/>
                </w:tcPr>
                <w:p w14:paraId="61B3FDF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危险废物类别</w:t>
                  </w:r>
                </w:p>
              </w:tc>
              <w:tc>
                <w:tcPr>
                  <w:tcW w:w="702" w:type="pct"/>
                  <w:tcBorders>
                    <w:tl2br w:val="nil"/>
                    <w:tr2bl w:val="nil"/>
                  </w:tcBorders>
                  <w:vAlign w:val="center"/>
                </w:tcPr>
                <w:p w14:paraId="70A6754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危险废物代码</w:t>
                  </w:r>
                </w:p>
              </w:tc>
              <w:tc>
                <w:tcPr>
                  <w:tcW w:w="479" w:type="pct"/>
                  <w:tcBorders>
                    <w:tl2br w:val="nil"/>
                    <w:tr2bl w:val="nil"/>
                  </w:tcBorders>
                  <w:vAlign w:val="center"/>
                </w:tcPr>
                <w:p w14:paraId="6E6969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位置</w:t>
                  </w:r>
                </w:p>
              </w:tc>
              <w:tc>
                <w:tcPr>
                  <w:tcW w:w="476" w:type="pct"/>
                  <w:tcBorders>
                    <w:tl2br w:val="nil"/>
                    <w:tr2bl w:val="nil"/>
                  </w:tcBorders>
                  <w:vAlign w:val="center"/>
                </w:tcPr>
                <w:p w14:paraId="44BFCAA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占地面积（</w:t>
                  </w:r>
                  <w:r>
                    <w:rPr>
                      <w:rFonts w:hint="default" w:ascii="Times New Roman" w:hAnsi="Times New Roman" w:eastAsia="宋体" w:cs="TimesNewRomanPSMT"/>
                      <w:b/>
                      <w:bCs/>
                      <w:color w:val="auto"/>
                      <w:kern w:val="0"/>
                      <w:sz w:val="21"/>
                      <w:szCs w:val="21"/>
                      <w:highlight w:val="none"/>
                      <w:lang w:val="en-US" w:eastAsia="zh-CN" w:bidi="ar"/>
                    </w:rPr>
                    <w:t>m</w:t>
                  </w:r>
                  <w:r>
                    <w:rPr>
                      <w:rFonts w:hint="default" w:ascii="Times New Roman" w:hAnsi="Times New Roman" w:eastAsia="宋体" w:cs="TimesNewRomanPSMT"/>
                      <w:b/>
                      <w:bCs/>
                      <w:color w:val="auto"/>
                      <w:kern w:val="0"/>
                      <w:sz w:val="21"/>
                      <w:szCs w:val="21"/>
                      <w:highlight w:val="none"/>
                      <w:vertAlign w:val="superscript"/>
                      <w:lang w:val="en-US" w:eastAsia="zh-CN" w:bidi="ar"/>
                    </w:rPr>
                    <w:t>2</w:t>
                  </w:r>
                  <w:r>
                    <w:rPr>
                      <w:rFonts w:hint="eastAsia" w:ascii="Times New Roman" w:hAnsi="Times New Roman" w:eastAsia="宋体" w:cs="宋体"/>
                      <w:b/>
                      <w:bCs/>
                      <w:color w:val="auto"/>
                      <w:kern w:val="0"/>
                      <w:sz w:val="21"/>
                      <w:szCs w:val="21"/>
                      <w:highlight w:val="none"/>
                      <w:lang w:val="en-US" w:eastAsia="zh-CN" w:bidi="ar"/>
                    </w:rPr>
                    <w:t>）</w:t>
                  </w:r>
                </w:p>
              </w:tc>
              <w:tc>
                <w:tcPr>
                  <w:tcW w:w="418" w:type="pct"/>
                  <w:tcBorders>
                    <w:tl2br w:val="nil"/>
                    <w:tr2bl w:val="nil"/>
                  </w:tcBorders>
                  <w:vAlign w:val="center"/>
                </w:tcPr>
                <w:p w14:paraId="00048F4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贮存方式</w:t>
                  </w:r>
                </w:p>
              </w:tc>
              <w:tc>
                <w:tcPr>
                  <w:tcW w:w="418" w:type="pct"/>
                  <w:tcBorders>
                    <w:tl2br w:val="nil"/>
                    <w:tr2bl w:val="nil"/>
                  </w:tcBorders>
                  <w:vAlign w:val="center"/>
                </w:tcPr>
                <w:p w14:paraId="6EB2489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贮存能力</w:t>
                  </w:r>
                </w:p>
              </w:tc>
              <w:tc>
                <w:tcPr>
                  <w:tcW w:w="390" w:type="pct"/>
                  <w:tcBorders>
                    <w:tl2br w:val="nil"/>
                    <w:tr2bl w:val="nil"/>
                  </w:tcBorders>
                  <w:vAlign w:val="center"/>
                </w:tcPr>
                <w:p w14:paraId="128D759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贮存周期</w:t>
                  </w:r>
                </w:p>
              </w:tc>
            </w:tr>
            <w:tr w14:paraId="20D66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restart"/>
                  <w:tcBorders>
                    <w:tl2br w:val="nil"/>
                    <w:tr2bl w:val="nil"/>
                  </w:tcBorders>
                  <w:vAlign w:val="center"/>
                </w:tcPr>
                <w:p w14:paraId="5AB3CE2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危废贮存点</w:t>
                  </w:r>
                </w:p>
              </w:tc>
              <w:tc>
                <w:tcPr>
                  <w:tcW w:w="707" w:type="pct"/>
                  <w:tcBorders>
                    <w:tl2br w:val="nil"/>
                    <w:tr2bl w:val="nil"/>
                  </w:tcBorders>
                  <w:shd w:val="clear" w:color="auto" w:fill="auto"/>
                  <w:vAlign w:val="center"/>
                </w:tcPr>
                <w:p w14:paraId="6DC3407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废机油</w:t>
                  </w:r>
                </w:p>
              </w:tc>
              <w:tc>
                <w:tcPr>
                  <w:tcW w:w="605" w:type="pct"/>
                  <w:tcBorders>
                    <w:tl2br w:val="nil"/>
                    <w:tr2bl w:val="nil"/>
                  </w:tcBorders>
                  <w:shd w:val="clear" w:color="auto" w:fill="auto"/>
                  <w:vAlign w:val="center"/>
                </w:tcPr>
                <w:p w14:paraId="76D31C2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HW08</w:t>
                  </w:r>
                </w:p>
              </w:tc>
              <w:tc>
                <w:tcPr>
                  <w:tcW w:w="702" w:type="pct"/>
                  <w:tcBorders>
                    <w:tl2br w:val="nil"/>
                    <w:tr2bl w:val="nil"/>
                  </w:tcBorders>
                  <w:shd w:val="clear" w:color="auto" w:fill="auto"/>
                  <w:vAlign w:val="center"/>
                </w:tcPr>
                <w:p w14:paraId="096C95F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900-214-08</w:t>
                  </w:r>
                </w:p>
              </w:tc>
              <w:tc>
                <w:tcPr>
                  <w:tcW w:w="479" w:type="pct"/>
                  <w:vMerge w:val="restart"/>
                  <w:tcBorders>
                    <w:tl2br w:val="nil"/>
                    <w:tr2bl w:val="nil"/>
                  </w:tcBorders>
                  <w:vAlign w:val="center"/>
                </w:tcPr>
                <w:p w14:paraId="4CA11EE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位于现有工程厂房东南侧单独设置</w:t>
                  </w:r>
                </w:p>
              </w:tc>
              <w:tc>
                <w:tcPr>
                  <w:tcW w:w="476" w:type="pct"/>
                  <w:vMerge w:val="restart"/>
                  <w:tcBorders>
                    <w:tl2br w:val="nil"/>
                    <w:tr2bl w:val="nil"/>
                  </w:tcBorders>
                  <w:vAlign w:val="center"/>
                </w:tcPr>
                <w:p w14:paraId="0CB21D6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10m</w:t>
                  </w:r>
                  <w:r>
                    <w:rPr>
                      <w:rFonts w:hint="eastAsia" w:ascii="Times New Roman" w:hAnsi="Times New Roman" w:eastAsia="宋体" w:cs="宋体"/>
                      <w:b w:val="0"/>
                      <w:bCs w:val="0"/>
                      <w:color w:val="auto"/>
                      <w:kern w:val="0"/>
                      <w:sz w:val="21"/>
                      <w:szCs w:val="21"/>
                      <w:highlight w:val="none"/>
                      <w:vertAlign w:val="superscript"/>
                      <w:lang w:val="en-US" w:eastAsia="zh-CN" w:bidi="ar"/>
                    </w:rPr>
                    <w:t>2</w:t>
                  </w:r>
                </w:p>
              </w:tc>
              <w:tc>
                <w:tcPr>
                  <w:tcW w:w="418" w:type="pct"/>
                  <w:tcBorders>
                    <w:tl2br w:val="nil"/>
                    <w:tr2bl w:val="nil"/>
                  </w:tcBorders>
                  <w:shd w:val="clear" w:color="auto" w:fill="auto"/>
                  <w:vAlign w:val="center"/>
                </w:tcPr>
                <w:p w14:paraId="5B1FD0D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桶装</w:t>
                  </w:r>
                </w:p>
              </w:tc>
              <w:tc>
                <w:tcPr>
                  <w:tcW w:w="418" w:type="pct"/>
                  <w:tcBorders>
                    <w:tl2br w:val="nil"/>
                    <w:tr2bl w:val="nil"/>
                  </w:tcBorders>
                  <w:shd w:val="clear" w:color="auto" w:fill="auto"/>
                  <w:vAlign w:val="center"/>
                </w:tcPr>
                <w:p w14:paraId="61C9F4C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w:t>
                  </w:r>
                </w:p>
              </w:tc>
              <w:tc>
                <w:tcPr>
                  <w:tcW w:w="390" w:type="pct"/>
                  <w:tcBorders>
                    <w:tl2br w:val="nil"/>
                    <w:tr2bl w:val="nil"/>
                  </w:tcBorders>
                  <w:shd w:val="clear" w:color="auto" w:fill="auto"/>
                  <w:vAlign w:val="center"/>
                </w:tcPr>
                <w:p w14:paraId="3C7A20D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1年</w:t>
                  </w:r>
                </w:p>
              </w:tc>
            </w:tr>
            <w:tr w14:paraId="74365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24A9DE2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707" w:type="pct"/>
                  <w:tcBorders>
                    <w:tl2br w:val="nil"/>
                    <w:tr2bl w:val="nil"/>
                  </w:tcBorders>
                  <w:shd w:val="clear" w:color="auto" w:fill="auto"/>
                  <w:vAlign w:val="center"/>
                </w:tcPr>
                <w:p w14:paraId="4FC9D40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废油桶</w:t>
                  </w:r>
                </w:p>
              </w:tc>
              <w:tc>
                <w:tcPr>
                  <w:tcW w:w="605" w:type="pct"/>
                  <w:tcBorders>
                    <w:tl2br w:val="nil"/>
                    <w:tr2bl w:val="nil"/>
                  </w:tcBorders>
                  <w:shd w:val="clear" w:color="auto" w:fill="auto"/>
                  <w:vAlign w:val="center"/>
                </w:tcPr>
                <w:p w14:paraId="4189B21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HW08</w:t>
                  </w:r>
                </w:p>
              </w:tc>
              <w:tc>
                <w:tcPr>
                  <w:tcW w:w="702" w:type="pct"/>
                  <w:tcBorders>
                    <w:tl2br w:val="nil"/>
                    <w:tr2bl w:val="nil"/>
                  </w:tcBorders>
                  <w:shd w:val="clear" w:color="auto" w:fill="auto"/>
                  <w:vAlign w:val="center"/>
                </w:tcPr>
                <w:p w14:paraId="211BE46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900-249-08</w:t>
                  </w:r>
                </w:p>
              </w:tc>
              <w:tc>
                <w:tcPr>
                  <w:tcW w:w="479" w:type="pct"/>
                  <w:vMerge w:val="continue"/>
                  <w:tcBorders>
                    <w:tl2br w:val="nil"/>
                    <w:tr2bl w:val="nil"/>
                  </w:tcBorders>
                  <w:vAlign w:val="center"/>
                </w:tcPr>
                <w:p w14:paraId="14DAAB5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76" w:type="pct"/>
                  <w:vMerge w:val="continue"/>
                  <w:tcBorders>
                    <w:tl2br w:val="nil"/>
                    <w:tr2bl w:val="nil"/>
                  </w:tcBorders>
                  <w:vAlign w:val="center"/>
                </w:tcPr>
                <w:p w14:paraId="645FF9A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18" w:type="pct"/>
                  <w:tcBorders>
                    <w:tl2br w:val="nil"/>
                    <w:tr2bl w:val="nil"/>
                  </w:tcBorders>
                  <w:shd w:val="clear" w:color="auto" w:fill="auto"/>
                  <w:vAlign w:val="center"/>
                </w:tcPr>
                <w:p w14:paraId="49FC04F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堆放</w:t>
                  </w:r>
                </w:p>
              </w:tc>
              <w:tc>
                <w:tcPr>
                  <w:tcW w:w="418" w:type="pct"/>
                  <w:tcBorders>
                    <w:tl2br w:val="nil"/>
                    <w:tr2bl w:val="nil"/>
                  </w:tcBorders>
                  <w:shd w:val="clear" w:color="auto" w:fill="auto"/>
                  <w:vAlign w:val="center"/>
                </w:tcPr>
                <w:p w14:paraId="3587DEE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w:t>
                  </w:r>
                </w:p>
              </w:tc>
              <w:tc>
                <w:tcPr>
                  <w:tcW w:w="390" w:type="pct"/>
                  <w:tcBorders>
                    <w:tl2br w:val="nil"/>
                    <w:tr2bl w:val="nil"/>
                  </w:tcBorders>
                  <w:shd w:val="clear" w:color="auto" w:fill="auto"/>
                  <w:vAlign w:val="center"/>
                </w:tcPr>
                <w:p w14:paraId="5E2828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1年</w:t>
                  </w:r>
                </w:p>
              </w:tc>
            </w:tr>
            <w:tr w14:paraId="5974F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70CAE99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707" w:type="pct"/>
                  <w:tcBorders>
                    <w:tl2br w:val="nil"/>
                    <w:tr2bl w:val="nil"/>
                  </w:tcBorders>
                  <w:shd w:val="clear" w:color="auto" w:fill="auto"/>
                  <w:vAlign w:val="center"/>
                </w:tcPr>
                <w:p w14:paraId="4B06A9C8">
                  <w:pPr>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含油废棉纱、手套</w:t>
                  </w:r>
                </w:p>
              </w:tc>
              <w:tc>
                <w:tcPr>
                  <w:tcW w:w="605" w:type="pct"/>
                  <w:tcBorders>
                    <w:tl2br w:val="nil"/>
                    <w:tr2bl w:val="nil"/>
                  </w:tcBorders>
                  <w:shd w:val="clear" w:color="auto" w:fill="auto"/>
                  <w:vAlign w:val="center"/>
                </w:tcPr>
                <w:p w14:paraId="5109E86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HW49</w:t>
                  </w:r>
                </w:p>
              </w:tc>
              <w:tc>
                <w:tcPr>
                  <w:tcW w:w="702" w:type="pct"/>
                  <w:tcBorders>
                    <w:tl2br w:val="nil"/>
                    <w:tr2bl w:val="nil"/>
                  </w:tcBorders>
                  <w:shd w:val="clear" w:color="auto" w:fill="auto"/>
                  <w:vAlign w:val="center"/>
                </w:tcPr>
                <w:p w14:paraId="1CEC582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900-041-49</w:t>
                  </w:r>
                </w:p>
              </w:tc>
              <w:tc>
                <w:tcPr>
                  <w:tcW w:w="479" w:type="pct"/>
                  <w:vMerge w:val="continue"/>
                  <w:tcBorders>
                    <w:tl2br w:val="nil"/>
                    <w:tr2bl w:val="nil"/>
                  </w:tcBorders>
                  <w:shd w:val="clear" w:color="auto" w:fill="auto"/>
                  <w:vAlign w:val="center"/>
                </w:tcPr>
                <w:p w14:paraId="1B73E81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76" w:type="pct"/>
                  <w:vMerge w:val="continue"/>
                  <w:tcBorders>
                    <w:tl2br w:val="nil"/>
                    <w:tr2bl w:val="nil"/>
                  </w:tcBorders>
                  <w:shd w:val="clear" w:color="auto" w:fill="auto"/>
                  <w:vAlign w:val="center"/>
                </w:tcPr>
                <w:p w14:paraId="4C40AE5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18" w:type="pct"/>
                  <w:tcBorders>
                    <w:tl2br w:val="nil"/>
                    <w:tr2bl w:val="nil"/>
                  </w:tcBorders>
                  <w:shd w:val="clear" w:color="auto" w:fill="auto"/>
                  <w:vAlign w:val="center"/>
                </w:tcPr>
                <w:p w14:paraId="3556817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袋装</w:t>
                  </w:r>
                </w:p>
              </w:tc>
              <w:tc>
                <w:tcPr>
                  <w:tcW w:w="418" w:type="pct"/>
                  <w:tcBorders>
                    <w:tl2br w:val="nil"/>
                    <w:tr2bl w:val="nil"/>
                  </w:tcBorders>
                  <w:shd w:val="clear" w:color="auto" w:fill="auto"/>
                  <w:vAlign w:val="center"/>
                </w:tcPr>
                <w:p w14:paraId="6BBB0FD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0.05t</w:t>
                  </w:r>
                </w:p>
              </w:tc>
              <w:tc>
                <w:tcPr>
                  <w:tcW w:w="390" w:type="pct"/>
                  <w:tcBorders>
                    <w:tl2br w:val="nil"/>
                    <w:tr2bl w:val="nil"/>
                  </w:tcBorders>
                  <w:shd w:val="clear" w:color="auto" w:fill="auto"/>
                  <w:vAlign w:val="center"/>
                </w:tcPr>
                <w:p w14:paraId="3551D39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1年</w:t>
                  </w:r>
                </w:p>
              </w:tc>
            </w:tr>
            <w:tr w14:paraId="4BAE9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7C4EE2A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707" w:type="pct"/>
                  <w:tcBorders>
                    <w:tl2br w:val="nil"/>
                    <w:tr2bl w:val="nil"/>
                  </w:tcBorders>
                  <w:shd w:val="clear" w:color="auto" w:fill="auto"/>
                  <w:vAlign w:val="center"/>
                </w:tcPr>
                <w:p w14:paraId="07B3E767">
                  <w:pPr>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废活性炭、废过滤棉</w:t>
                  </w:r>
                </w:p>
              </w:tc>
              <w:tc>
                <w:tcPr>
                  <w:tcW w:w="605" w:type="pct"/>
                  <w:tcBorders>
                    <w:tl2br w:val="nil"/>
                    <w:tr2bl w:val="nil"/>
                  </w:tcBorders>
                  <w:shd w:val="clear" w:color="auto" w:fill="auto"/>
                  <w:vAlign w:val="center"/>
                </w:tcPr>
                <w:p w14:paraId="133FCEE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HW49</w:t>
                  </w:r>
                </w:p>
              </w:tc>
              <w:tc>
                <w:tcPr>
                  <w:tcW w:w="702" w:type="pct"/>
                  <w:tcBorders>
                    <w:tl2br w:val="nil"/>
                    <w:tr2bl w:val="nil"/>
                  </w:tcBorders>
                  <w:shd w:val="clear" w:color="auto" w:fill="auto"/>
                  <w:vAlign w:val="center"/>
                </w:tcPr>
                <w:p w14:paraId="75E6E55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900-039-49</w:t>
                  </w:r>
                </w:p>
              </w:tc>
              <w:tc>
                <w:tcPr>
                  <w:tcW w:w="479" w:type="pct"/>
                  <w:vMerge w:val="continue"/>
                  <w:tcBorders>
                    <w:tl2br w:val="nil"/>
                    <w:tr2bl w:val="nil"/>
                  </w:tcBorders>
                  <w:shd w:val="clear" w:color="auto" w:fill="auto"/>
                  <w:vAlign w:val="center"/>
                </w:tcPr>
                <w:p w14:paraId="7E9C2B5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76" w:type="pct"/>
                  <w:vMerge w:val="continue"/>
                  <w:tcBorders>
                    <w:tl2br w:val="nil"/>
                    <w:tr2bl w:val="nil"/>
                  </w:tcBorders>
                  <w:shd w:val="clear" w:color="auto" w:fill="auto"/>
                  <w:vAlign w:val="center"/>
                </w:tcPr>
                <w:p w14:paraId="102AAD4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18" w:type="pct"/>
                  <w:tcBorders>
                    <w:tl2br w:val="nil"/>
                    <w:tr2bl w:val="nil"/>
                  </w:tcBorders>
                  <w:shd w:val="clear" w:color="auto" w:fill="auto"/>
                  <w:vAlign w:val="center"/>
                </w:tcPr>
                <w:p w14:paraId="26D5565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袋装</w:t>
                  </w:r>
                </w:p>
              </w:tc>
              <w:tc>
                <w:tcPr>
                  <w:tcW w:w="418" w:type="pct"/>
                  <w:tcBorders>
                    <w:tl2br w:val="nil"/>
                    <w:tr2bl w:val="nil"/>
                  </w:tcBorders>
                  <w:shd w:val="clear" w:color="auto" w:fill="auto"/>
                  <w:vAlign w:val="center"/>
                </w:tcPr>
                <w:p w14:paraId="39E02C5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w:t>
                  </w:r>
                </w:p>
              </w:tc>
              <w:tc>
                <w:tcPr>
                  <w:tcW w:w="390" w:type="pct"/>
                  <w:tcBorders>
                    <w:tl2br w:val="nil"/>
                    <w:tr2bl w:val="nil"/>
                  </w:tcBorders>
                  <w:shd w:val="clear" w:color="auto" w:fill="auto"/>
                  <w:vAlign w:val="center"/>
                </w:tcPr>
                <w:p w14:paraId="1CB73E9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1年</w:t>
                  </w:r>
                </w:p>
              </w:tc>
            </w:tr>
            <w:tr w14:paraId="4722D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66CC6CA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707" w:type="pct"/>
                  <w:tcBorders>
                    <w:tl2br w:val="nil"/>
                    <w:tr2bl w:val="nil"/>
                  </w:tcBorders>
                  <w:shd w:val="clear" w:color="auto" w:fill="auto"/>
                  <w:vAlign w:val="center"/>
                </w:tcPr>
                <w:p w14:paraId="4F23138A">
                  <w:pPr>
                    <w:keepNext w:val="0"/>
                    <w:keepLines w:val="0"/>
                    <w:pageBreakBefore w:val="0"/>
                    <w:widowControl/>
                    <w:suppressLineNumbers w:val="0"/>
                    <w:kinsoku/>
                    <w:wordWrap/>
                    <w:overflowPunct/>
                    <w:topLinePunct w:val="0"/>
                    <w:autoSpaceDE/>
                    <w:autoSpaceDN/>
                    <w:bidi w:val="0"/>
                    <w:adjustRightInd/>
                    <w:snapToGrid/>
                    <w:spacing w:before="70" w:beforeLines="22" w:beforeAutospacing="0" w:after="70" w:afterLines="22"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空压机废油液</w:t>
                  </w:r>
                </w:p>
              </w:tc>
              <w:tc>
                <w:tcPr>
                  <w:tcW w:w="605" w:type="pct"/>
                  <w:tcBorders>
                    <w:tl2br w:val="nil"/>
                    <w:tr2bl w:val="nil"/>
                  </w:tcBorders>
                  <w:shd w:val="clear" w:color="auto" w:fill="auto"/>
                  <w:vAlign w:val="center"/>
                </w:tcPr>
                <w:p w14:paraId="185037F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HW08</w:t>
                  </w:r>
                </w:p>
              </w:tc>
              <w:tc>
                <w:tcPr>
                  <w:tcW w:w="702" w:type="pct"/>
                  <w:tcBorders>
                    <w:tl2br w:val="nil"/>
                    <w:tr2bl w:val="nil"/>
                  </w:tcBorders>
                  <w:shd w:val="clear" w:color="auto" w:fill="auto"/>
                  <w:vAlign w:val="center"/>
                </w:tcPr>
                <w:p w14:paraId="693CD16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900-007-09</w:t>
                  </w:r>
                </w:p>
              </w:tc>
              <w:tc>
                <w:tcPr>
                  <w:tcW w:w="479" w:type="pct"/>
                  <w:vMerge w:val="continue"/>
                  <w:tcBorders>
                    <w:tl2br w:val="nil"/>
                    <w:tr2bl w:val="nil"/>
                  </w:tcBorders>
                  <w:shd w:val="clear" w:color="auto" w:fill="auto"/>
                  <w:vAlign w:val="center"/>
                </w:tcPr>
                <w:p w14:paraId="042CE1D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76" w:type="pct"/>
                  <w:vMerge w:val="continue"/>
                  <w:tcBorders>
                    <w:tl2br w:val="nil"/>
                    <w:tr2bl w:val="nil"/>
                  </w:tcBorders>
                  <w:shd w:val="clear" w:color="auto" w:fill="auto"/>
                  <w:vAlign w:val="center"/>
                </w:tcPr>
                <w:p w14:paraId="6F106B2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418" w:type="pct"/>
                  <w:tcBorders>
                    <w:tl2br w:val="nil"/>
                    <w:tr2bl w:val="nil"/>
                  </w:tcBorders>
                  <w:shd w:val="clear" w:color="auto" w:fill="auto"/>
                  <w:vAlign w:val="center"/>
                </w:tcPr>
                <w:p w14:paraId="470212C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桶装</w:t>
                  </w:r>
                </w:p>
              </w:tc>
              <w:tc>
                <w:tcPr>
                  <w:tcW w:w="418" w:type="pct"/>
                  <w:tcBorders>
                    <w:tl2br w:val="nil"/>
                    <w:tr2bl w:val="nil"/>
                  </w:tcBorders>
                  <w:shd w:val="clear" w:color="auto" w:fill="auto"/>
                  <w:vAlign w:val="center"/>
                </w:tcPr>
                <w:p w14:paraId="238C350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0.02t</w:t>
                  </w:r>
                </w:p>
              </w:tc>
              <w:tc>
                <w:tcPr>
                  <w:tcW w:w="390" w:type="pct"/>
                  <w:tcBorders>
                    <w:tl2br w:val="nil"/>
                    <w:tr2bl w:val="nil"/>
                  </w:tcBorders>
                  <w:shd w:val="clear" w:color="auto" w:fill="auto"/>
                  <w:vAlign w:val="center"/>
                </w:tcPr>
                <w:p w14:paraId="606C223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1年</w:t>
                  </w:r>
                </w:p>
              </w:tc>
            </w:tr>
          </w:tbl>
          <w:p w14:paraId="5A373911">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default" w:ascii="Times New Roman" w:hAnsi="Times New Roman"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② 环境管理要求</w:t>
            </w:r>
          </w:p>
          <w:p w14:paraId="01F46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lang w:val="en-US" w:eastAsia="zh-CN"/>
              </w:rPr>
              <w:t>a、</w:t>
            </w:r>
            <w:r>
              <w:rPr>
                <w:rFonts w:hint="eastAsia" w:ascii="Times New Roman" w:hAnsi="Times New Roman"/>
                <w:color w:val="auto"/>
                <w:sz w:val="24"/>
                <w:highlight w:val="none"/>
                <w:lang w:val="en-US" w:eastAsia="zh-CN"/>
              </w:rPr>
              <w:t>危险废物收集装于密闭容器内，容器选用与装盛物相容的材料制成，容器表面应粘贴危险废物标识，禁止将一般固废和生活垃圾混合。</w:t>
            </w:r>
          </w:p>
          <w:p w14:paraId="716F9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lang w:val="en-US" w:eastAsia="zh-CN"/>
              </w:rPr>
              <w:t>b、</w:t>
            </w:r>
            <w:r>
              <w:rPr>
                <w:rFonts w:hint="eastAsia" w:ascii="Times New Roman" w:hAnsi="Times New Roman"/>
                <w:color w:val="auto"/>
                <w:sz w:val="24"/>
                <w:highlight w:val="none"/>
                <w:lang w:val="en-US" w:eastAsia="zh-CN"/>
              </w:rPr>
              <w:t>不相容的危险废物必须分开存放，并设有隔离间隔断。</w:t>
            </w:r>
          </w:p>
          <w:p w14:paraId="2EE3B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lang w:val="en-US" w:eastAsia="zh-CN"/>
              </w:rPr>
              <w:t>c、</w:t>
            </w:r>
            <w:r>
              <w:rPr>
                <w:rFonts w:hint="eastAsia" w:ascii="Times New Roman" w:hAnsi="Times New Roman"/>
                <w:color w:val="auto"/>
                <w:sz w:val="24"/>
                <w:highlight w:val="none"/>
                <w:lang w:val="en-US" w:eastAsia="zh-CN"/>
              </w:rPr>
              <w:t>危险废物贮存设施必须按照</w:t>
            </w:r>
            <w:r>
              <w:rPr>
                <w:rFonts w:hint="default" w:ascii="Times New Roman" w:hAnsi="Times New Roman"/>
                <w:color w:val="auto"/>
                <w:sz w:val="24"/>
                <w:highlight w:val="none"/>
                <w:lang w:val="en-US" w:eastAsia="zh-CN"/>
              </w:rPr>
              <w:t>GB15562.2</w:t>
            </w:r>
            <w:r>
              <w:rPr>
                <w:rFonts w:hint="eastAsia" w:ascii="Times New Roman" w:hAnsi="Times New Roman"/>
                <w:color w:val="auto"/>
                <w:sz w:val="24"/>
                <w:highlight w:val="none"/>
                <w:lang w:val="en-US" w:eastAsia="zh-CN"/>
              </w:rPr>
              <w:t>的规定设置警示标志。</w:t>
            </w:r>
          </w:p>
          <w:p w14:paraId="74F95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lang w:val="en-US" w:eastAsia="zh-CN"/>
              </w:rPr>
              <w:t>d、</w:t>
            </w:r>
            <w:r>
              <w:rPr>
                <w:rFonts w:hint="eastAsia" w:ascii="Times New Roman" w:hAnsi="Times New Roman"/>
                <w:color w:val="auto"/>
                <w:sz w:val="24"/>
                <w:highlight w:val="none"/>
                <w:lang w:val="en-US" w:eastAsia="zh-CN"/>
              </w:rPr>
              <w:t>企业内部需建立危废台账管理，危险废物转移应按照转移联单登记制度转移，必须交有危险废物处理资质且具备该类危废收纳资格方位的单位。</w:t>
            </w:r>
          </w:p>
          <w:p w14:paraId="55DD3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2"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b/>
                <w:bCs/>
                <w:color w:val="auto"/>
                <w:sz w:val="24"/>
                <w:highlight w:val="none"/>
                <w:lang w:val="en-US" w:eastAsia="zh-CN"/>
              </w:rPr>
              <w:t>e、</w:t>
            </w:r>
            <w:r>
              <w:rPr>
                <w:rFonts w:hint="eastAsia" w:ascii="Times New Roman" w:hAnsi="Times New Roman"/>
                <w:color w:val="auto"/>
                <w:sz w:val="24"/>
                <w:highlight w:val="none"/>
                <w:lang w:val="en-US" w:eastAsia="zh-CN"/>
              </w:rPr>
              <w:t>根据企业生产情况定期转移危险废物，贮存期限一般不超过</w:t>
            </w:r>
            <w:r>
              <w:rPr>
                <w:rFonts w:hint="default" w:ascii="Times New Roman" w:hAnsi="Times New Roman"/>
                <w:color w:val="auto"/>
                <w:sz w:val="24"/>
                <w:highlight w:val="none"/>
                <w:lang w:val="en-US" w:eastAsia="zh-CN"/>
              </w:rPr>
              <w:t>1</w:t>
            </w:r>
            <w:r>
              <w:rPr>
                <w:rFonts w:hint="eastAsia" w:ascii="Times New Roman" w:hAnsi="Times New Roman"/>
                <w:color w:val="auto"/>
                <w:sz w:val="24"/>
                <w:highlight w:val="none"/>
                <w:lang w:val="en-US" w:eastAsia="zh-CN"/>
              </w:rPr>
              <w:t>年，超过</w:t>
            </w:r>
            <w:r>
              <w:rPr>
                <w:rFonts w:hint="default" w:ascii="Times New Roman" w:hAnsi="Times New Roman"/>
                <w:color w:val="auto"/>
                <w:sz w:val="24"/>
                <w:highlight w:val="none"/>
                <w:lang w:val="en-US" w:eastAsia="zh-CN"/>
              </w:rPr>
              <w:t>1</w:t>
            </w:r>
            <w:r>
              <w:rPr>
                <w:rFonts w:hint="eastAsia" w:ascii="Times New Roman" w:hAnsi="Times New Roman"/>
                <w:color w:val="auto"/>
                <w:sz w:val="24"/>
                <w:highlight w:val="none"/>
                <w:lang w:val="en-US" w:eastAsia="zh-CN"/>
              </w:rPr>
              <w:t>年需补办延期转移批复。</w:t>
            </w:r>
          </w:p>
          <w:p w14:paraId="75487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通过上述方法妥善处置后，本项目产生的固废对周围环境影响较小。</w:t>
            </w:r>
          </w:p>
          <w:p w14:paraId="5E53C94C">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5、运营期环境风险及防范措施：</w:t>
            </w:r>
          </w:p>
          <w:p w14:paraId="4D97988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（1）环境风险识别</w:t>
            </w:r>
          </w:p>
          <w:p w14:paraId="6F04B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按照《建设项目环境风险评价技术导则》（HJ169-2018）附录</w:t>
            </w:r>
            <w:r>
              <w:rPr>
                <w:rFonts w:hint="default" w:ascii="Times New Roman" w:hAnsi="Times New Roman" w:eastAsia="宋体"/>
                <w:color w:val="auto"/>
                <w:sz w:val="24"/>
                <w:highlight w:val="none"/>
                <w:lang w:val="en-US" w:eastAsia="zh-CN"/>
              </w:rPr>
              <w:t>B</w:t>
            </w:r>
            <w:r>
              <w:rPr>
                <w:rFonts w:hint="eastAsia" w:ascii="Times New Roman" w:hAnsi="Times New Roman" w:eastAsia="宋体"/>
                <w:color w:val="auto"/>
                <w:sz w:val="24"/>
                <w:highlight w:val="none"/>
                <w:lang w:val="en-US" w:eastAsia="zh-CN"/>
              </w:rPr>
              <w:t>及《企业突发环境事件风险分级方法》（</w:t>
            </w:r>
            <w:r>
              <w:rPr>
                <w:rFonts w:hint="default" w:ascii="Times New Roman" w:hAnsi="Times New Roman" w:eastAsia="宋体"/>
                <w:color w:val="auto"/>
                <w:sz w:val="24"/>
                <w:highlight w:val="none"/>
                <w:lang w:val="en-US" w:eastAsia="zh-CN"/>
              </w:rPr>
              <w:t>HJ941-2018</w:t>
            </w:r>
            <w:r>
              <w:rPr>
                <w:rFonts w:hint="eastAsia" w:ascii="Times New Roman" w:hAnsi="Times New Roman" w:eastAsia="宋体"/>
                <w:color w:val="auto"/>
                <w:sz w:val="24"/>
                <w:highlight w:val="none"/>
                <w:lang w:val="en-US" w:eastAsia="zh-CN"/>
              </w:rPr>
              <w:t>）中“附录</w:t>
            </w:r>
            <w:r>
              <w:rPr>
                <w:rFonts w:hint="default" w:ascii="Times New Roman" w:hAnsi="Times New Roman" w:eastAsia="宋体"/>
                <w:color w:val="auto"/>
                <w:sz w:val="24"/>
                <w:highlight w:val="none"/>
                <w:lang w:val="en-US" w:eastAsia="zh-CN"/>
              </w:rPr>
              <w:t>A</w:t>
            </w:r>
            <w:r>
              <w:rPr>
                <w:rFonts w:hint="eastAsia" w:ascii="Times New Roman" w:hAnsi="Times New Roman" w:eastAsia="宋体"/>
                <w:color w:val="auto"/>
                <w:sz w:val="24"/>
                <w:highlight w:val="none"/>
                <w:lang w:val="en-US" w:eastAsia="zh-CN"/>
              </w:rPr>
              <w:t>突发环境事件风险物质及临界量清单”，本项目涉及的风险物质为：机油、废机油、天然气等。</w:t>
            </w:r>
          </w:p>
          <w:p w14:paraId="7AC14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本项目环境风险物质情况详见下表：</w:t>
            </w:r>
          </w:p>
          <w:p w14:paraId="62B9A7CA">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表4-25  环境风险物质情况表 单位：t</w:t>
            </w:r>
          </w:p>
          <w:tbl>
            <w:tblPr>
              <w:tblStyle w:val="23"/>
              <w:tblW w:w="49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87"/>
              <w:gridCol w:w="1197"/>
              <w:gridCol w:w="971"/>
              <w:gridCol w:w="1065"/>
              <w:gridCol w:w="1047"/>
              <w:gridCol w:w="790"/>
              <w:gridCol w:w="1246"/>
              <w:gridCol w:w="890"/>
            </w:tblGrid>
            <w:tr w14:paraId="53C7D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367D8175">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名称</w:t>
                  </w:r>
                </w:p>
              </w:tc>
              <w:tc>
                <w:tcPr>
                  <w:tcW w:w="713" w:type="pct"/>
                  <w:tcBorders>
                    <w:tl2br w:val="nil"/>
                    <w:tr2bl w:val="nil"/>
                  </w:tcBorders>
                  <w:vAlign w:val="center"/>
                </w:tcPr>
                <w:p w14:paraId="1F11BF1E">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宋体"/>
                      <w:b/>
                      <w:bCs/>
                      <w:color w:val="auto"/>
                      <w:kern w:val="0"/>
                      <w:sz w:val="21"/>
                      <w:szCs w:val="21"/>
                      <w:highlight w:val="none"/>
                      <w:lang w:val="en-US" w:eastAsia="zh-CN" w:bidi="ar"/>
                    </w:rPr>
                    <w:t>最大储存量</w:t>
                  </w:r>
                </w:p>
              </w:tc>
              <w:tc>
                <w:tcPr>
                  <w:tcW w:w="578" w:type="pct"/>
                  <w:tcBorders>
                    <w:tl2br w:val="nil"/>
                    <w:tr2bl w:val="nil"/>
                  </w:tcBorders>
                  <w:vAlign w:val="center"/>
                </w:tcPr>
                <w:p w14:paraId="36E8870A">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临界量</w:t>
                  </w:r>
                </w:p>
              </w:tc>
              <w:tc>
                <w:tcPr>
                  <w:tcW w:w="634" w:type="pct"/>
                  <w:tcBorders>
                    <w:tl2br w:val="nil"/>
                    <w:tr2bl w:val="nil"/>
                  </w:tcBorders>
                  <w:vAlign w:val="center"/>
                </w:tcPr>
                <w:p w14:paraId="7FB4F02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包装方式</w:t>
                  </w:r>
                </w:p>
              </w:tc>
              <w:tc>
                <w:tcPr>
                  <w:tcW w:w="623" w:type="pct"/>
                  <w:tcBorders>
                    <w:tl2br w:val="nil"/>
                    <w:tr2bl w:val="nil"/>
                  </w:tcBorders>
                  <w:vAlign w:val="center"/>
                </w:tcPr>
                <w:p w14:paraId="240B546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储存规格</w:t>
                  </w:r>
                </w:p>
              </w:tc>
              <w:tc>
                <w:tcPr>
                  <w:tcW w:w="470" w:type="pct"/>
                  <w:tcBorders>
                    <w:tl2br w:val="nil"/>
                    <w:tr2bl w:val="nil"/>
                  </w:tcBorders>
                  <w:vAlign w:val="center"/>
                </w:tcPr>
                <w:p w14:paraId="30D0F2FF">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相态</w:t>
                  </w:r>
                </w:p>
              </w:tc>
              <w:tc>
                <w:tcPr>
                  <w:tcW w:w="742" w:type="pct"/>
                  <w:tcBorders>
                    <w:tl2br w:val="nil"/>
                    <w:tr2bl w:val="nil"/>
                  </w:tcBorders>
                  <w:vAlign w:val="center"/>
                </w:tcPr>
                <w:p w14:paraId="09BF02FD">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储存位置</w:t>
                  </w:r>
                </w:p>
              </w:tc>
              <w:tc>
                <w:tcPr>
                  <w:tcW w:w="530" w:type="pct"/>
                  <w:tcBorders>
                    <w:tl2br w:val="nil"/>
                    <w:tr2bl w:val="nil"/>
                  </w:tcBorders>
                  <w:vAlign w:val="center"/>
                </w:tcPr>
                <w:p w14:paraId="58F7E8A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宋体"/>
                      <w:b/>
                      <w:bCs/>
                      <w:color w:val="auto"/>
                      <w:kern w:val="0"/>
                      <w:sz w:val="21"/>
                      <w:szCs w:val="21"/>
                      <w:highlight w:val="none"/>
                      <w:lang w:val="en-US" w:eastAsia="zh-CN" w:bidi="ar"/>
                    </w:rPr>
                    <w:t>危险性</w:t>
                  </w:r>
                </w:p>
              </w:tc>
            </w:tr>
            <w:tr w14:paraId="1074D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714FB44E">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机 油</w:t>
                  </w:r>
                </w:p>
              </w:tc>
              <w:tc>
                <w:tcPr>
                  <w:tcW w:w="713" w:type="pct"/>
                  <w:tcBorders>
                    <w:tl2br w:val="nil"/>
                    <w:tr2bl w:val="nil"/>
                  </w:tcBorders>
                  <w:vAlign w:val="center"/>
                </w:tcPr>
                <w:p w14:paraId="37DB35DD">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0.2 t</w:t>
                  </w:r>
                </w:p>
              </w:tc>
              <w:tc>
                <w:tcPr>
                  <w:tcW w:w="578" w:type="pct"/>
                  <w:tcBorders>
                    <w:tl2br w:val="nil"/>
                    <w:tr2bl w:val="nil"/>
                  </w:tcBorders>
                  <w:vAlign w:val="center"/>
                </w:tcPr>
                <w:p w14:paraId="0967D4AE">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2500 t</w:t>
                  </w:r>
                </w:p>
              </w:tc>
              <w:tc>
                <w:tcPr>
                  <w:tcW w:w="634" w:type="pct"/>
                  <w:tcBorders>
                    <w:tl2br w:val="nil"/>
                    <w:tr2bl w:val="nil"/>
                  </w:tcBorders>
                  <w:vAlign w:val="center"/>
                </w:tcPr>
                <w:p w14:paraId="0C20C05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桶装</w:t>
                  </w:r>
                </w:p>
              </w:tc>
              <w:tc>
                <w:tcPr>
                  <w:tcW w:w="623" w:type="pct"/>
                  <w:tcBorders>
                    <w:tl2br w:val="nil"/>
                    <w:tr2bl w:val="nil"/>
                  </w:tcBorders>
                  <w:vAlign w:val="center"/>
                </w:tcPr>
                <w:p w14:paraId="74A7646C">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200L/桶</w:t>
                  </w:r>
                </w:p>
              </w:tc>
              <w:tc>
                <w:tcPr>
                  <w:tcW w:w="470" w:type="pct"/>
                  <w:tcBorders>
                    <w:tl2br w:val="nil"/>
                    <w:tr2bl w:val="nil"/>
                  </w:tcBorders>
                  <w:vAlign w:val="center"/>
                </w:tcPr>
                <w:p w14:paraId="2A8BA51B">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742" w:type="pct"/>
                  <w:tcBorders>
                    <w:tl2br w:val="nil"/>
                    <w:tr2bl w:val="nil"/>
                  </w:tcBorders>
                  <w:vAlign w:val="center"/>
                </w:tcPr>
                <w:p w14:paraId="10BC3972">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油料区</w:t>
                  </w:r>
                </w:p>
              </w:tc>
              <w:tc>
                <w:tcPr>
                  <w:tcW w:w="530" w:type="pct"/>
                  <w:tcBorders>
                    <w:tl2br w:val="nil"/>
                    <w:tr2bl w:val="nil"/>
                  </w:tcBorders>
                  <w:vAlign w:val="center"/>
                </w:tcPr>
                <w:p w14:paraId="0A1D46B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right="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有害</w:t>
                  </w:r>
                </w:p>
              </w:tc>
            </w:tr>
            <w:tr w14:paraId="2C812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5D45F05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废机油</w:t>
                  </w:r>
                </w:p>
              </w:tc>
              <w:tc>
                <w:tcPr>
                  <w:tcW w:w="713" w:type="pct"/>
                  <w:tcBorders>
                    <w:tl2br w:val="nil"/>
                    <w:tr2bl w:val="nil"/>
                  </w:tcBorders>
                  <w:vAlign w:val="center"/>
                </w:tcPr>
                <w:p w14:paraId="5709333C">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0.1t</w:t>
                  </w:r>
                </w:p>
              </w:tc>
              <w:tc>
                <w:tcPr>
                  <w:tcW w:w="578" w:type="pct"/>
                  <w:tcBorders>
                    <w:tl2br w:val="nil"/>
                    <w:tr2bl w:val="nil"/>
                  </w:tcBorders>
                  <w:vAlign w:val="center"/>
                </w:tcPr>
                <w:p w14:paraId="55D7B85A">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2500 t</w:t>
                  </w:r>
                </w:p>
              </w:tc>
              <w:tc>
                <w:tcPr>
                  <w:tcW w:w="634" w:type="pct"/>
                  <w:tcBorders>
                    <w:tl2br w:val="nil"/>
                    <w:tr2bl w:val="nil"/>
                  </w:tcBorders>
                  <w:vAlign w:val="center"/>
                </w:tcPr>
                <w:p w14:paraId="7394BF7D">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桶装</w:t>
                  </w:r>
                </w:p>
              </w:tc>
              <w:tc>
                <w:tcPr>
                  <w:tcW w:w="623" w:type="pct"/>
                  <w:tcBorders>
                    <w:tl2br w:val="nil"/>
                    <w:tr2bl w:val="nil"/>
                  </w:tcBorders>
                  <w:vAlign w:val="center"/>
                </w:tcPr>
                <w:p w14:paraId="0318CE7C">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200L/桶</w:t>
                  </w:r>
                </w:p>
              </w:tc>
              <w:tc>
                <w:tcPr>
                  <w:tcW w:w="470" w:type="pct"/>
                  <w:tcBorders>
                    <w:tl2br w:val="nil"/>
                    <w:tr2bl w:val="nil"/>
                  </w:tcBorders>
                  <w:vAlign w:val="center"/>
                </w:tcPr>
                <w:p w14:paraId="7BCFB3F2">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742" w:type="pct"/>
                  <w:tcBorders>
                    <w:tl2br w:val="nil"/>
                    <w:tr2bl w:val="nil"/>
                  </w:tcBorders>
                  <w:vAlign w:val="center"/>
                </w:tcPr>
                <w:p w14:paraId="036C851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危废贮存点</w:t>
                  </w:r>
                </w:p>
              </w:tc>
              <w:tc>
                <w:tcPr>
                  <w:tcW w:w="530" w:type="pct"/>
                  <w:tcBorders>
                    <w:tl2br w:val="nil"/>
                    <w:tr2bl w:val="nil"/>
                  </w:tcBorders>
                  <w:vAlign w:val="center"/>
                </w:tcPr>
                <w:p w14:paraId="0C7D24A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有害</w:t>
                  </w:r>
                </w:p>
              </w:tc>
            </w:tr>
            <w:tr w14:paraId="3633E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6FDCBD7A">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空压机废油液</w:t>
                  </w:r>
                </w:p>
              </w:tc>
              <w:tc>
                <w:tcPr>
                  <w:tcW w:w="713" w:type="pct"/>
                  <w:tcBorders>
                    <w:tl2br w:val="nil"/>
                    <w:tr2bl w:val="nil"/>
                  </w:tcBorders>
                  <w:vAlign w:val="center"/>
                </w:tcPr>
                <w:p w14:paraId="648C3616">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0.02</w:t>
                  </w:r>
                </w:p>
              </w:tc>
              <w:tc>
                <w:tcPr>
                  <w:tcW w:w="578" w:type="pct"/>
                  <w:tcBorders>
                    <w:tl2br w:val="nil"/>
                    <w:tr2bl w:val="nil"/>
                  </w:tcBorders>
                  <w:vAlign w:val="center"/>
                </w:tcPr>
                <w:p w14:paraId="3243D5D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2500t</w:t>
                  </w:r>
                </w:p>
              </w:tc>
              <w:tc>
                <w:tcPr>
                  <w:tcW w:w="634" w:type="pct"/>
                  <w:tcBorders>
                    <w:tl2br w:val="nil"/>
                    <w:tr2bl w:val="nil"/>
                  </w:tcBorders>
                  <w:shd w:val="clear" w:color="auto" w:fill="auto"/>
                  <w:vAlign w:val="center"/>
                </w:tcPr>
                <w:p w14:paraId="0AD26692">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桶装</w:t>
                  </w:r>
                </w:p>
              </w:tc>
              <w:tc>
                <w:tcPr>
                  <w:tcW w:w="623" w:type="pct"/>
                  <w:tcBorders>
                    <w:tl2br w:val="nil"/>
                    <w:tr2bl w:val="nil"/>
                  </w:tcBorders>
                  <w:shd w:val="clear" w:color="auto" w:fill="auto"/>
                  <w:vAlign w:val="center"/>
                </w:tcPr>
                <w:p w14:paraId="665BDB18">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200L/桶</w:t>
                  </w:r>
                </w:p>
              </w:tc>
              <w:tc>
                <w:tcPr>
                  <w:tcW w:w="470" w:type="pct"/>
                  <w:tcBorders>
                    <w:tl2br w:val="nil"/>
                    <w:tr2bl w:val="nil"/>
                  </w:tcBorders>
                  <w:shd w:val="clear" w:color="auto" w:fill="auto"/>
                  <w:vAlign w:val="center"/>
                </w:tcPr>
                <w:p w14:paraId="0E3FBFBF">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742" w:type="pct"/>
                  <w:tcBorders>
                    <w:tl2br w:val="nil"/>
                    <w:tr2bl w:val="nil"/>
                  </w:tcBorders>
                  <w:shd w:val="clear" w:color="auto" w:fill="auto"/>
                  <w:vAlign w:val="center"/>
                </w:tcPr>
                <w:p w14:paraId="08846DE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危废贮存点</w:t>
                  </w:r>
                </w:p>
              </w:tc>
              <w:tc>
                <w:tcPr>
                  <w:tcW w:w="530" w:type="pct"/>
                  <w:tcBorders>
                    <w:tl2br w:val="nil"/>
                    <w:tr2bl w:val="nil"/>
                  </w:tcBorders>
                  <w:shd w:val="clear" w:color="auto" w:fill="auto"/>
                  <w:vAlign w:val="center"/>
                </w:tcPr>
                <w:p w14:paraId="7886F0D6">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有害</w:t>
                  </w:r>
                </w:p>
              </w:tc>
            </w:tr>
            <w:tr w14:paraId="2BBC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2FF82390">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天然气</w:t>
                  </w:r>
                </w:p>
              </w:tc>
              <w:tc>
                <w:tcPr>
                  <w:tcW w:w="713" w:type="pct"/>
                  <w:tcBorders>
                    <w:tl2br w:val="nil"/>
                    <w:tr2bl w:val="nil"/>
                  </w:tcBorders>
                  <w:vAlign w:val="center"/>
                </w:tcPr>
                <w:p w14:paraId="2B77331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不储存</w:t>
                  </w:r>
                </w:p>
              </w:tc>
              <w:tc>
                <w:tcPr>
                  <w:tcW w:w="578" w:type="pct"/>
                  <w:tcBorders>
                    <w:tl2br w:val="nil"/>
                    <w:tr2bl w:val="nil"/>
                  </w:tcBorders>
                  <w:vAlign w:val="center"/>
                </w:tcPr>
                <w:p w14:paraId="3D65A305">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634" w:type="pct"/>
                  <w:tcBorders>
                    <w:tl2br w:val="nil"/>
                    <w:tr2bl w:val="nil"/>
                  </w:tcBorders>
                  <w:shd w:val="clear" w:color="auto" w:fill="auto"/>
                  <w:vAlign w:val="center"/>
                </w:tcPr>
                <w:p w14:paraId="7ED4884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管道输送</w:t>
                  </w:r>
                </w:p>
              </w:tc>
              <w:tc>
                <w:tcPr>
                  <w:tcW w:w="623" w:type="pct"/>
                  <w:tcBorders>
                    <w:tl2br w:val="nil"/>
                    <w:tr2bl w:val="nil"/>
                  </w:tcBorders>
                  <w:shd w:val="clear" w:color="auto" w:fill="auto"/>
                  <w:vAlign w:val="center"/>
                </w:tcPr>
                <w:p w14:paraId="6B4F1D11">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470" w:type="pct"/>
                  <w:tcBorders>
                    <w:tl2br w:val="nil"/>
                    <w:tr2bl w:val="nil"/>
                  </w:tcBorders>
                  <w:shd w:val="clear" w:color="auto" w:fill="auto"/>
                  <w:vAlign w:val="center"/>
                </w:tcPr>
                <w:p w14:paraId="7EC3AAB4">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液态</w:t>
                  </w:r>
                </w:p>
              </w:tc>
              <w:tc>
                <w:tcPr>
                  <w:tcW w:w="742" w:type="pct"/>
                  <w:tcBorders>
                    <w:tl2br w:val="nil"/>
                    <w:tr2bl w:val="nil"/>
                  </w:tcBorders>
                  <w:shd w:val="clear" w:color="auto" w:fill="auto"/>
                  <w:vAlign w:val="center"/>
                </w:tcPr>
                <w:p w14:paraId="0F56DD9F">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w:t>
                  </w:r>
                </w:p>
              </w:tc>
              <w:tc>
                <w:tcPr>
                  <w:tcW w:w="530" w:type="pct"/>
                  <w:tcBorders>
                    <w:tl2br w:val="nil"/>
                    <w:tr2bl w:val="nil"/>
                  </w:tcBorders>
                  <w:shd w:val="clear" w:color="auto" w:fill="auto"/>
                  <w:vAlign w:val="center"/>
                </w:tcPr>
                <w:p w14:paraId="56F67103">
                  <w:pPr>
                    <w:keepNext w:val="0"/>
                    <w:keepLines w:val="0"/>
                    <w:pageBreakBefore w:val="0"/>
                    <w:widowControl/>
                    <w:suppressLineNumbers w:val="0"/>
                    <w:kinsoku/>
                    <w:wordWrap/>
                    <w:overflowPunct/>
                    <w:topLinePunct w:val="0"/>
                    <w:autoSpaceDE/>
                    <w:autoSpaceDN/>
                    <w:bidi w:val="0"/>
                    <w:adjustRightInd/>
                    <w:snapToGrid/>
                    <w:spacing w:before="73" w:beforeLines="23" w:beforeAutospacing="0" w:after="73" w:afterLines="23" w:afterAutospacing="0" w:line="300" w:lineRule="auto"/>
                    <w:ind w:left="0" w:leftChars="0" w:right="0" w:right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易燃</w:t>
                  </w:r>
                </w:p>
              </w:tc>
            </w:tr>
          </w:tbl>
          <w:p w14:paraId="2109E55A">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0" w:afterAutospacing="0" w:line="377" w:lineRule="auto"/>
              <w:ind w:left="0" w:right="0" w:firstLine="480" w:firstLineChars="200"/>
              <w:jc w:val="both"/>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根据《环境风险评价技术导则》（HJ169-2018）附录</w:t>
            </w:r>
            <w:r>
              <w:rPr>
                <w:rFonts w:hint="default" w:ascii="Times New Roman" w:hAnsi="Times New Roman" w:eastAsia="宋体"/>
                <w:color w:val="auto"/>
                <w:sz w:val="24"/>
                <w:highlight w:val="none"/>
                <w:lang w:val="en-US" w:eastAsia="zh-CN"/>
              </w:rPr>
              <w:t>C</w:t>
            </w:r>
            <w:r>
              <w:rPr>
                <w:rFonts w:hint="eastAsia" w:ascii="Times New Roman" w:hAnsi="Times New Roman" w:eastAsia="宋体"/>
                <w:color w:val="auto"/>
                <w:sz w:val="24"/>
                <w:highlight w:val="none"/>
                <w:lang w:val="en-US" w:eastAsia="zh-CN"/>
              </w:rPr>
              <w:t>，计算该物质的总量与其临界量比值，即为</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w:t>
            </w:r>
          </w:p>
          <w:p w14:paraId="5B637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当Q＜1时，该项目环境风险潜势为Ⅰ。</w:t>
            </w:r>
          </w:p>
          <w:p w14:paraId="36EF9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当</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1</w:t>
            </w:r>
            <w:r>
              <w:rPr>
                <w:rFonts w:hint="eastAsia" w:ascii="Times New Roman" w:hAnsi="Times New Roman" w:eastAsia="宋体"/>
                <w:color w:val="auto"/>
                <w:sz w:val="24"/>
                <w:highlight w:val="none"/>
                <w:lang w:val="en-US" w:eastAsia="zh-CN"/>
              </w:rPr>
              <w:t>，时</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值划分为：</w:t>
            </w:r>
          </w:p>
          <w:p w14:paraId="3773F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 xml:space="preserve">① </w:t>
            </w:r>
            <w:r>
              <w:rPr>
                <w:rFonts w:hint="default" w:ascii="Times New Roman" w:hAnsi="Times New Roman" w:eastAsia="宋体"/>
                <w:color w:val="auto"/>
                <w:sz w:val="24"/>
                <w:highlight w:val="none"/>
                <w:lang w:val="en-US" w:eastAsia="zh-CN"/>
              </w:rPr>
              <w:t>1</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10</w:t>
            </w:r>
            <w:r>
              <w:rPr>
                <w:rFonts w:hint="eastAsia" w:ascii="Times New Roman" w:hAnsi="Times New Roman" w:eastAsia="宋体"/>
                <w:color w:val="auto"/>
                <w:sz w:val="24"/>
                <w:highlight w:val="none"/>
                <w:lang w:val="en-US" w:eastAsia="zh-CN"/>
              </w:rPr>
              <w:t xml:space="preserve">；② </w:t>
            </w:r>
            <w:r>
              <w:rPr>
                <w:rFonts w:hint="default" w:ascii="Times New Roman" w:hAnsi="Times New Roman" w:eastAsia="宋体"/>
                <w:color w:val="auto"/>
                <w:sz w:val="24"/>
                <w:highlight w:val="none"/>
                <w:lang w:val="en-US" w:eastAsia="zh-CN"/>
              </w:rPr>
              <w:t>10</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100</w:t>
            </w:r>
            <w:r>
              <w:rPr>
                <w:rFonts w:hint="eastAsia" w:ascii="Times New Roman" w:hAnsi="Times New Roman" w:eastAsia="宋体"/>
                <w:color w:val="auto"/>
                <w:sz w:val="24"/>
                <w:highlight w:val="none"/>
                <w:lang w:val="en-US" w:eastAsia="zh-CN"/>
              </w:rPr>
              <w:t xml:space="preserve">；③ </w:t>
            </w:r>
            <w:r>
              <w:rPr>
                <w:rFonts w:hint="default" w:ascii="Times New Roman" w:hAnsi="Times New Roman" w:eastAsia="宋体"/>
                <w:color w:val="auto"/>
                <w:sz w:val="24"/>
                <w:highlight w:val="none"/>
                <w:lang w:val="en-US" w:eastAsia="zh-CN"/>
              </w:rPr>
              <w:t>Q</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100</w:t>
            </w:r>
            <w:r>
              <w:rPr>
                <w:rFonts w:hint="eastAsia" w:ascii="Times New Roman" w:hAnsi="Times New Roman" w:eastAsia="宋体"/>
                <w:color w:val="auto"/>
                <w:sz w:val="24"/>
                <w:highlight w:val="none"/>
                <w:lang w:val="en-US" w:eastAsia="zh-CN"/>
              </w:rPr>
              <w:t>。</w:t>
            </w:r>
          </w:p>
          <w:p w14:paraId="12668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由上表计算结果，本项目</w:t>
            </w:r>
            <w:r>
              <w:rPr>
                <w:rFonts w:hint="default" w:ascii="Times New Roman" w:hAnsi="Times New Roman" w:eastAsia="宋体"/>
                <w:color w:val="auto"/>
                <w:sz w:val="24"/>
                <w:highlight w:val="none"/>
                <w:lang w:val="en-US" w:eastAsia="zh-CN"/>
              </w:rPr>
              <w:t>Q=</w:t>
            </w:r>
            <w:r>
              <w:rPr>
                <w:rFonts w:hint="default" w:ascii="Times New Roman" w:hAnsi="Times New Roman" w:eastAsia="宋体"/>
                <w:b/>
                <w:bCs/>
                <w:color w:val="auto"/>
                <w:sz w:val="24"/>
                <w:highlight w:val="none"/>
                <w:lang w:val="en-US" w:eastAsia="zh-CN"/>
              </w:rPr>
              <w:t>0.0</w:t>
            </w:r>
            <w:r>
              <w:rPr>
                <w:rFonts w:hint="eastAsia" w:ascii="Times New Roman" w:hAnsi="Times New Roman" w:eastAsia="宋体"/>
                <w:b/>
                <w:bCs/>
                <w:color w:val="auto"/>
                <w:sz w:val="24"/>
                <w:highlight w:val="none"/>
                <w:lang w:val="en-US" w:eastAsia="zh-CN"/>
              </w:rPr>
              <w:t>000128</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lang w:val="en-US" w:eastAsia="zh-CN"/>
              </w:rPr>
              <w:t>1</w:t>
            </w:r>
            <w:r>
              <w:rPr>
                <w:rFonts w:hint="eastAsia" w:ascii="Times New Roman" w:hAnsi="Times New Roman" w:eastAsia="宋体"/>
                <w:color w:val="auto"/>
                <w:sz w:val="24"/>
                <w:highlight w:val="none"/>
                <w:lang w:val="en-US" w:eastAsia="zh-CN"/>
              </w:rPr>
              <w:t>，因此本项目环境风险潜势为Ⅰ，可只开展简单分析。</w:t>
            </w:r>
          </w:p>
          <w:p w14:paraId="0FE8F014">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（2）环境风险影响途径</w:t>
            </w:r>
          </w:p>
          <w:p w14:paraId="13B13AED">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本项目主要考虑机油、废机油等油类物质的环境风险影响。</w:t>
            </w:r>
          </w:p>
          <w:p w14:paraId="2F9A2ABC">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lang w:val="en-US" w:eastAsia="zh-CN"/>
              </w:rPr>
              <w:t xml:space="preserve">① </w:t>
            </w:r>
            <w:r>
              <w:rPr>
                <w:rFonts w:hint="eastAsia" w:ascii="Times New Roman" w:hAnsi="Times New Roman" w:eastAsia="宋体"/>
                <w:color w:val="auto"/>
                <w:sz w:val="24"/>
                <w:highlight w:val="none"/>
                <w:lang w:val="en-US" w:eastAsia="zh-CN"/>
              </w:rPr>
              <w:t>大气环境风险分析</w:t>
            </w:r>
          </w:p>
          <w:p w14:paraId="20635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7"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机油、废机油、天然气等遇明火、高热会燃烧爆炸，发生火灾、爆炸事故时，生成一氧化碳等有毒有害物质，会影响环境空气。</w:t>
            </w:r>
          </w:p>
          <w:p w14:paraId="0D2B748E">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lang w:val="en-US" w:eastAsia="zh-CN"/>
              </w:rPr>
              <w:t xml:space="preserve">② </w:t>
            </w:r>
            <w:r>
              <w:rPr>
                <w:rFonts w:hint="eastAsia" w:ascii="Times New Roman" w:hAnsi="Times New Roman" w:eastAsia="宋体"/>
                <w:color w:val="auto"/>
                <w:sz w:val="24"/>
                <w:highlight w:val="none"/>
                <w:lang w:val="en-US" w:eastAsia="zh-CN"/>
              </w:rPr>
              <w:t>地表水环境风险分析</w:t>
            </w:r>
          </w:p>
          <w:p w14:paraId="73A18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机油、废机油等泄漏后，由于处置不及时，可能会溢流进入周边排水沟，对周围地表水造成一定环境影响。</w:t>
            </w:r>
          </w:p>
          <w:p w14:paraId="6F92BCF6">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lang w:val="en-US" w:eastAsia="zh-CN"/>
              </w:rPr>
              <w:t xml:space="preserve">③ </w:t>
            </w:r>
            <w:r>
              <w:rPr>
                <w:rFonts w:hint="eastAsia" w:ascii="Times New Roman" w:hAnsi="Times New Roman" w:eastAsia="宋体"/>
                <w:color w:val="auto"/>
                <w:sz w:val="24"/>
                <w:highlight w:val="none"/>
                <w:lang w:val="en-US" w:eastAsia="zh-CN"/>
              </w:rPr>
              <w:t>地下水环境影响分析</w:t>
            </w:r>
          </w:p>
          <w:p w14:paraId="678F3AA9">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机油、废机油等泄漏后，可能通过地面下渗影响地下水。</w:t>
            </w:r>
          </w:p>
          <w:p w14:paraId="6F7F0E83">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7"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（3）环境风险防范措施</w:t>
            </w:r>
          </w:p>
          <w:p w14:paraId="3507A9EA">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96" w:firstLineChars="200"/>
              <w:jc w:val="both"/>
              <w:textAlignment w:val="auto"/>
              <w:rPr>
                <w:rFonts w:hint="eastAsia" w:ascii="Times New Roman" w:hAnsi="Times New Roman" w:eastAsia="宋体"/>
                <w:b w:val="0"/>
                <w:bCs w:val="0"/>
                <w:color w:val="auto"/>
                <w:sz w:val="24"/>
                <w:highlight w:val="none"/>
                <w:u w:val="none"/>
                <w:lang w:val="en-US" w:eastAsia="zh-CN"/>
              </w:rPr>
            </w:pPr>
            <w:r>
              <w:rPr>
                <w:rFonts w:hint="eastAsia"/>
                <w:b w:val="0"/>
                <w:bCs w:val="0"/>
                <w:snapToGrid w:val="0"/>
                <w:color w:val="auto"/>
                <w:spacing w:val="4"/>
                <w:sz w:val="24"/>
                <w:highlight w:val="none"/>
                <w:u w:val="single"/>
              </w:rPr>
              <w:t>液态原料储存</w:t>
            </w:r>
            <w:r>
              <w:rPr>
                <w:rFonts w:hint="eastAsia" w:ascii="Times New Roman" w:hAnsi="Times New Roman" w:eastAsia="宋体"/>
                <w:b w:val="0"/>
                <w:bCs w:val="0"/>
                <w:color w:val="auto"/>
                <w:sz w:val="24"/>
                <w:highlight w:val="none"/>
                <w:u w:val="none"/>
                <w:lang w:val="en-US" w:eastAsia="zh-CN"/>
              </w:rPr>
              <w:t>：油料区等地面采取防渗处理，液体原料盛装容器下方均应设置防漏托盘（容积应大于托盘内容器最大盛装量）；存储区域应保持阴凉、通风良好等条件，并保持容器密封。</w:t>
            </w:r>
          </w:p>
          <w:p w14:paraId="1AD8B4A8">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96" w:firstLineChars="200"/>
              <w:jc w:val="both"/>
              <w:textAlignment w:val="auto"/>
              <w:rPr>
                <w:rFonts w:hint="eastAsia" w:ascii="Times New Roman" w:hAnsi="Times New Roman" w:eastAsia="宋体"/>
                <w:b w:val="0"/>
                <w:bCs w:val="0"/>
                <w:color w:val="auto"/>
                <w:sz w:val="24"/>
                <w:highlight w:val="none"/>
                <w:u w:val="none"/>
                <w:lang w:val="en-US" w:eastAsia="zh-CN"/>
              </w:rPr>
            </w:pPr>
            <w:r>
              <w:rPr>
                <w:rFonts w:hint="eastAsia"/>
                <w:b w:val="0"/>
                <w:bCs w:val="0"/>
                <w:snapToGrid w:val="0"/>
                <w:color w:val="auto"/>
                <w:spacing w:val="4"/>
                <w:sz w:val="24"/>
                <w:highlight w:val="none"/>
                <w:u w:val="single"/>
                <w:lang w:val="en-US" w:eastAsia="zh-CN"/>
              </w:rPr>
              <w:t>危险废物贮存</w:t>
            </w:r>
            <w:r>
              <w:rPr>
                <w:rFonts w:hint="eastAsia"/>
                <w:b w:val="0"/>
                <w:bCs w:val="0"/>
                <w:snapToGrid w:val="0"/>
                <w:color w:val="auto"/>
                <w:spacing w:val="4"/>
                <w:sz w:val="24"/>
                <w:highlight w:val="none"/>
                <w:u w:val="none"/>
                <w:lang w:val="en-US" w:eastAsia="zh-CN"/>
              </w:rPr>
              <w:t>：</w:t>
            </w:r>
            <w:r>
              <w:rPr>
                <w:rFonts w:hint="eastAsia" w:ascii="Times New Roman" w:hAnsi="Times New Roman" w:eastAsia="宋体"/>
                <w:b w:val="0"/>
                <w:bCs w:val="0"/>
                <w:color w:val="auto"/>
                <w:sz w:val="24"/>
                <w:highlight w:val="none"/>
                <w:u w:val="none"/>
                <w:lang w:val="en-US" w:eastAsia="zh-CN"/>
              </w:rPr>
              <w:t>危废贮存点地面进行防渗处理，废油液盛装容器下方均应设置防漏托盘（托盘容积应大于托盘内废油容器最大盛装量），同时做好危废贮存点“六防”措施，设置危险警示标志；存储区域应保持阴凉、通风良好等条件，并保持容器密封。</w:t>
            </w:r>
          </w:p>
          <w:p w14:paraId="61494BAB">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96" w:firstLineChars="200"/>
              <w:jc w:val="both"/>
              <w:textAlignment w:val="auto"/>
              <w:rPr>
                <w:rFonts w:hint="eastAsia" w:ascii="Times New Roman" w:hAnsi="Times New Roman" w:eastAsia="宋体"/>
                <w:b w:val="0"/>
                <w:bCs w:val="0"/>
                <w:color w:val="auto"/>
                <w:sz w:val="24"/>
                <w:highlight w:val="none"/>
                <w:u w:val="none"/>
                <w:lang w:val="en-US" w:eastAsia="zh-CN"/>
              </w:rPr>
            </w:pPr>
            <w:r>
              <w:rPr>
                <w:rFonts w:hint="eastAsia"/>
                <w:b w:val="0"/>
                <w:bCs w:val="0"/>
                <w:snapToGrid w:val="0"/>
                <w:color w:val="auto"/>
                <w:spacing w:val="4"/>
                <w:sz w:val="24"/>
                <w:highlight w:val="none"/>
                <w:u w:val="single"/>
                <w:lang w:val="en-US" w:eastAsia="zh-CN"/>
              </w:rPr>
              <w:t>风险处置物资</w:t>
            </w:r>
            <w:r>
              <w:rPr>
                <w:rFonts w:hint="eastAsia"/>
                <w:b w:val="0"/>
                <w:bCs w:val="0"/>
                <w:snapToGrid w:val="0"/>
                <w:color w:val="auto"/>
                <w:spacing w:val="4"/>
                <w:sz w:val="24"/>
                <w:highlight w:val="none"/>
                <w:u w:val="none"/>
                <w:lang w:val="en-US" w:eastAsia="zh-CN"/>
              </w:rPr>
              <w:t>：</w:t>
            </w:r>
            <w:r>
              <w:rPr>
                <w:rFonts w:hint="eastAsia" w:ascii="Times New Roman" w:hAnsi="Times New Roman" w:eastAsia="宋体"/>
                <w:b w:val="0"/>
                <w:bCs w:val="0"/>
                <w:color w:val="auto"/>
                <w:sz w:val="24"/>
                <w:highlight w:val="none"/>
                <w:u w:val="none"/>
                <w:lang w:val="en-US" w:eastAsia="zh-CN"/>
              </w:rPr>
              <w:t>消防措施要齐全、完好，适当区域设置一定数量的手提式干粉灭火器，油料区、危废贮存点等区域应配备一定量吸附物质（如吸油毡等），并定期检查，保持有效状态。</w:t>
            </w:r>
          </w:p>
          <w:p w14:paraId="426B881D">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96" w:firstLineChars="200"/>
              <w:jc w:val="both"/>
              <w:textAlignment w:val="auto"/>
              <w:rPr>
                <w:rFonts w:hint="eastAsia" w:ascii="Times New Roman" w:hAnsi="Times New Roman" w:eastAsia="宋体"/>
                <w:b w:val="0"/>
                <w:bCs w:val="0"/>
                <w:color w:val="auto"/>
                <w:sz w:val="24"/>
                <w:highlight w:val="none"/>
                <w:u w:val="none"/>
                <w:lang w:val="en-US" w:eastAsia="zh-CN"/>
              </w:rPr>
            </w:pPr>
            <w:r>
              <w:rPr>
                <w:rFonts w:hint="eastAsia"/>
                <w:b w:val="0"/>
                <w:bCs w:val="0"/>
                <w:snapToGrid w:val="0"/>
                <w:color w:val="auto"/>
                <w:spacing w:val="4"/>
                <w:sz w:val="24"/>
                <w:highlight w:val="none"/>
                <w:u w:val="single"/>
                <w:lang w:val="en-US" w:eastAsia="zh-CN"/>
              </w:rPr>
              <w:t>分区防渗措施</w:t>
            </w:r>
            <w:r>
              <w:rPr>
                <w:rFonts w:hint="eastAsia"/>
                <w:b w:val="0"/>
                <w:bCs w:val="0"/>
                <w:snapToGrid w:val="0"/>
                <w:color w:val="auto"/>
                <w:spacing w:val="4"/>
                <w:sz w:val="24"/>
                <w:highlight w:val="none"/>
                <w:u w:val="none"/>
                <w:lang w:val="en-US" w:eastAsia="zh-CN"/>
              </w:rPr>
              <w:t>：</w:t>
            </w:r>
            <w:r>
              <w:rPr>
                <w:rFonts w:hint="eastAsia" w:ascii="Times New Roman" w:hAnsi="Times New Roman" w:eastAsia="宋体"/>
                <w:b w:val="0"/>
                <w:bCs w:val="0"/>
                <w:color w:val="auto"/>
                <w:sz w:val="24"/>
                <w:highlight w:val="none"/>
                <w:u w:val="none"/>
                <w:lang w:val="en-US" w:eastAsia="zh-CN"/>
              </w:rPr>
              <w:t>对机械设备和油类桶装容器加强管理与维护，对厂区做好分区防渗，杜绝出现跑、冒、滴、漏现象。根据项目各生产功能单元可能泄漏至地面区域的污染物性质和生产单元的构筑方式，进行分区防渗。</w:t>
            </w:r>
          </w:p>
          <w:p w14:paraId="5DC3821D">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（4）应急处理措施</w:t>
            </w:r>
          </w:p>
          <w:p w14:paraId="6CCB58DF">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lang w:val="en-US" w:eastAsia="zh-CN"/>
              </w:rPr>
              <w:t>a、</w:t>
            </w:r>
            <w:r>
              <w:rPr>
                <w:rFonts w:hint="eastAsia" w:ascii="Times New Roman" w:hAnsi="Times New Roman" w:eastAsia="宋体"/>
                <w:color w:val="auto"/>
                <w:sz w:val="24"/>
                <w:highlight w:val="none"/>
                <w:lang w:val="en-US" w:eastAsia="zh-CN"/>
              </w:rPr>
              <w:t>火灾事故环境风险应急处理措施</w:t>
            </w:r>
          </w:p>
          <w:p w14:paraId="2A07AB88">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7" w:lineRule="auto"/>
              <w:ind w:left="0" w:leftChars="0" w:right="0" w:rightChars="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项目区域消防措施要齐全、完好。在生产区、综合库房、危废贮存点等场所等适当区域应设置一定数量的手提式干粉灭火器，并定期检查，保持有效状态，消防设备及器材不得借故移作他用。</w:t>
            </w:r>
          </w:p>
          <w:p w14:paraId="796E5450">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7"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配备必要的消防器材，熟练掌握消防器材使用方法，加强考核。</w:t>
            </w:r>
          </w:p>
          <w:p w14:paraId="6C6B9E8F">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7"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任何人发现火险，都应及时、准确地向公司保安部或公安消防机关报警，并积极投入参加扑救活动，单位接到火灾报警后，应及时组织力量配合公安消防机关进行扑救。</w:t>
            </w:r>
          </w:p>
          <w:p w14:paraId="0DEB653D">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72" w:lineRule="auto"/>
              <w:ind w:left="0" w:right="0" w:firstLine="482"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b/>
                <w:bCs/>
                <w:color w:val="auto"/>
                <w:sz w:val="24"/>
                <w:highlight w:val="none"/>
                <w:lang w:val="en-US" w:eastAsia="zh-CN"/>
              </w:rPr>
              <w:t>b、</w:t>
            </w:r>
            <w:r>
              <w:rPr>
                <w:rFonts w:hint="eastAsia" w:ascii="Times New Roman" w:hAnsi="Times New Roman" w:eastAsia="宋体"/>
                <w:color w:val="auto"/>
                <w:sz w:val="24"/>
                <w:highlight w:val="none"/>
                <w:lang w:val="en-US" w:eastAsia="zh-CN"/>
              </w:rPr>
              <w:t>泄漏风险应急处理措施</w:t>
            </w:r>
          </w:p>
          <w:p w14:paraId="32E1942B">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尽可能切断泄漏源。</w:t>
            </w:r>
          </w:p>
          <w:p w14:paraId="50C4B4C0">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迅速撤离泄漏污染区人员至安全区，并进行隔离，严格限制出入；切断一切明火或电火花，抢险处理人员在确保安全的情况下堵漏。</w:t>
            </w:r>
          </w:p>
          <w:p w14:paraId="7A516EDA">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设置隔离区，防止进入其他生产操作区，物料堆放区等。</w:t>
            </w:r>
          </w:p>
          <w:p w14:paraId="1435DC53">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用砂土或其他不燃材料吸附或吸收泄漏的风险物质，收集于密闭容器中做好标记，等待处理；</w:t>
            </w:r>
          </w:p>
          <w:p w14:paraId="692D5FDE">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泄漏发生时应消除一切火源，并防止因抢险造成其他金属物品的碰撞而产生电火花。</w:t>
            </w:r>
          </w:p>
          <w:p w14:paraId="2C944F7D">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（5）风险应急预案</w:t>
            </w:r>
          </w:p>
          <w:p w14:paraId="3ACB6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应急预案是在观测预防为主的前提下，针对项目可能出现的事故，为及时控制事故源，抢救受害人员，指导居民防护和组织撤离，消除或减轻事故后果而组织救援活动的预想方案。</w:t>
            </w:r>
          </w:p>
          <w:p w14:paraId="39CAD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企业应按照要求制定环境风险应急预案并定期开展环境应急演练。</w:t>
            </w:r>
          </w:p>
          <w:p w14:paraId="57F8CEE9">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（6）分析结论</w:t>
            </w:r>
          </w:p>
          <w:p w14:paraId="41E54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综上，项目采取环境风险管理和防范措施后，环境风险可防可控，事故状态下不会对周围环境及人群造成大的环境危害，风险水平可接受。</w:t>
            </w:r>
          </w:p>
          <w:p w14:paraId="499C94CD">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6、地下水、土壤</w:t>
            </w:r>
          </w:p>
          <w:p w14:paraId="25940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建设单位租赁森迪安防产业园已建10#厂房1F建设扩建项目，目前车间地面已完全进行硬化处理，油料区、危废贮存点等依托现有工程，均按要求完成分区防渗处理；油料区等液体原料盛装容器下方均设置防漏托盘（托盘容积应大于托盘内容器最大盛装量）；危废贮存点废油液容器下方应设置防漏托盘。正常情况下不具有地下水、土壤污染影响途径，不会对土壤及地下水造成影响。</w:t>
            </w:r>
          </w:p>
          <w:p w14:paraId="12A3E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项目各区域采取的具体防渗措施见下表：</w:t>
            </w:r>
          </w:p>
          <w:p w14:paraId="78564E16">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表4-26 分区防渗措施一览表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39"/>
              <w:gridCol w:w="3211"/>
              <w:gridCol w:w="3703"/>
            </w:tblGrid>
            <w:tr w14:paraId="10390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2795214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b/>
                      <w:bCs/>
                      <w:color w:val="auto"/>
                      <w:sz w:val="21"/>
                      <w:szCs w:val="21"/>
                      <w:highlight w:val="none"/>
                    </w:rPr>
                    <w:t>防渗分区</w:t>
                  </w:r>
                </w:p>
              </w:tc>
              <w:tc>
                <w:tcPr>
                  <w:tcW w:w="1899" w:type="pct"/>
                  <w:tcBorders>
                    <w:tl2br w:val="nil"/>
                    <w:tr2bl w:val="nil"/>
                  </w:tcBorders>
                  <w:vAlign w:val="center"/>
                </w:tcPr>
                <w:p w14:paraId="650240D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b/>
                      <w:bCs/>
                      <w:color w:val="auto"/>
                      <w:sz w:val="21"/>
                      <w:szCs w:val="21"/>
                      <w:highlight w:val="none"/>
                    </w:rPr>
                    <w:t>厂区分布</w:t>
                  </w:r>
                </w:p>
              </w:tc>
              <w:tc>
                <w:tcPr>
                  <w:tcW w:w="2190" w:type="pct"/>
                  <w:tcBorders>
                    <w:tl2br w:val="nil"/>
                    <w:tr2bl w:val="nil"/>
                  </w:tcBorders>
                  <w:vAlign w:val="center"/>
                </w:tcPr>
                <w:p w14:paraId="77BF55D7">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b/>
                      <w:bCs/>
                      <w:color w:val="auto"/>
                      <w:sz w:val="21"/>
                      <w:szCs w:val="21"/>
                      <w:highlight w:val="none"/>
                    </w:rPr>
                    <w:t>防渗</w:t>
                  </w:r>
                  <w:r>
                    <w:rPr>
                      <w:rFonts w:hint="eastAsia" w:ascii="Times New Roman" w:hAnsi="Times New Roman" w:eastAsia="宋体" w:cs="宋体"/>
                      <w:b/>
                      <w:bCs/>
                      <w:color w:val="auto"/>
                      <w:sz w:val="21"/>
                      <w:szCs w:val="21"/>
                      <w:highlight w:val="none"/>
                      <w:lang w:val="en-US" w:eastAsia="zh-CN"/>
                    </w:rPr>
                    <w:t>要求</w:t>
                  </w:r>
                </w:p>
              </w:tc>
            </w:tr>
            <w:tr w14:paraId="3A929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27555BC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color w:val="auto"/>
                      <w:sz w:val="21"/>
                      <w:szCs w:val="21"/>
                      <w:highlight w:val="none"/>
                    </w:rPr>
                    <w:t>简单</w:t>
                  </w:r>
                  <w:r>
                    <w:rPr>
                      <w:rFonts w:hint="eastAsia" w:ascii="Times New Roman" w:hAnsi="Times New Roman" w:eastAsia="宋体"/>
                      <w:color w:val="auto"/>
                      <w:sz w:val="21"/>
                      <w:szCs w:val="21"/>
                      <w:highlight w:val="none"/>
                      <w:lang w:val="en-US" w:eastAsia="zh-CN"/>
                    </w:rPr>
                    <w:t>防渗</w:t>
                  </w:r>
                  <w:r>
                    <w:rPr>
                      <w:rFonts w:ascii="Times New Roman" w:hAnsi="Times New Roman" w:eastAsia="宋体" w:cs="宋体"/>
                      <w:color w:val="auto"/>
                      <w:sz w:val="21"/>
                      <w:szCs w:val="21"/>
                      <w:highlight w:val="none"/>
                    </w:rPr>
                    <w:t>区</w:t>
                  </w:r>
                </w:p>
              </w:tc>
              <w:tc>
                <w:tcPr>
                  <w:tcW w:w="1899" w:type="pct"/>
                  <w:tcBorders>
                    <w:tl2br w:val="nil"/>
                    <w:tr2bl w:val="nil"/>
                  </w:tcBorders>
                  <w:vAlign w:val="center"/>
                </w:tcPr>
                <w:p w14:paraId="675AE48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厂区道路及空地</w:t>
                  </w:r>
                </w:p>
              </w:tc>
              <w:tc>
                <w:tcPr>
                  <w:tcW w:w="2190" w:type="pct"/>
                  <w:tcBorders>
                    <w:tl2br w:val="nil"/>
                    <w:tr2bl w:val="nil"/>
                  </w:tcBorders>
                  <w:vAlign w:val="center"/>
                </w:tcPr>
                <w:p w14:paraId="5B51966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color w:val="auto"/>
                      <w:sz w:val="21"/>
                      <w:szCs w:val="21"/>
                      <w:highlight w:val="none"/>
                    </w:rPr>
                    <w:t>一般地面硬化</w:t>
                  </w:r>
                </w:p>
              </w:tc>
            </w:tr>
            <w:tr w14:paraId="5D2C1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569FF788">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color w:val="auto"/>
                      <w:sz w:val="21"/>
                      <w:szCs w:val="21"/>
                      <w:highlight w:val="none"/>
                    </w:rPr>
                    <w:t>一般</w:t>
                  </w:r>
                  <w:r>
                    <w:rPr>
                      <w:rFonts w:hint="eastAsia" w:ascii="Times New Roman" w:hAnsi="Times New Roman" w:eastAsia="宋体"/>
                      <w:color w:val="auto"/>
                      <w:sz w:val="21"/>
                      <w:szCs w:val="21"/>
                      <w:highlight w:val="none"/>
                      <w:lang w:val="en-US" w:eastAsia="zh-CN"/>
                    </w:rPr>
                    <w:t>防渗</w:t>
                  </w:r>
                  <w:r>
                    <w:rPr>
                      <w:rFonts w:ascii="Times New Roman" w:hAnsi="Times New Roman" w:eastAsia="宋体" w:cs="宋体"/>
                      <w:color w:val="auto"/>
                      <w:sz w:val="21"/>
                      <w:szCs w:val="21"/>
                      <w:highlight w:val="none"/>
                    </w:rPr>
                    <w:t>区</w:t>
                  </w:r>
                </w:p>
              </w:tc>
              <w:tc>
                <w:tcPr>
                  <w:tcW w:w="1899" w:type="pct"/>
                  <w:tcBorders>
                    <w:tl2br w:val="nil"/>
                    <w:tr2bl w:val="nil"/>
                  </w:tcBorders>
                  <w:vAlign w:val="center"/>
                </w:tcPr>
                <w:p w14:paraId="3E9A1443">
                  <w:pPr>
                    <w:keepNext w:val="0"/>
                    <w:keepLines w:val="0"/>
                    <w:pageBreakBefore w:val="0"/>
                    <w:widowControl w:val="0"/>
                    <w:suppressLineNumbers w:val="0"/>
                    <w:kinsoku/>
                    <w:wordWrap/>
                    <w:overflowPunct/>
                    <w:topLinePunct w:val="0"/>
                    <w:autoSpaceDE/>
                    <w:autoSpaceDN/>
                    <w:bidi w:val="0"/>
                    <w:adjustRightInd/>
                    <w:snapToGrid/>
                    <w:spacing w:before="70" w:beforeLines="22" w:beforeAutospacing="0" w:after="70" w:afterLines="22"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除重点防渗区以外的生产区域</w:t>
                  </w:r>
                </w:p>
              </w:tc>
              <w:tc>
                <w:tcPr>
                  <w:tcW w:w="2190" w:type="pct"/>
                  <w:tcBorders>
                    <w:tl2br w:val="nil"/>
                    <w:tr2bl w:val="nil"/>
                  </w:tcBorders>
                  <w:vAlign w:val="center"/>
                </w:tcPr>
                <w:p w14:paraId="528482B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防渗性能不低于</w:t>
                  </w:r>
                  <w:r>
                    <w:rPr>
                      <w:rFonts w:hint="default" w:ascii="Times New Roman" w:hAnsi="Times New Roman" w:eastAsia="宋体"/>
                      <w:color w:val="auto"/>
                      <w:sz w:val="21"/>
                      <w:szCs w:val="21"/>
                      <w:highlight w:val="none"/>
                      <w:lang w:val="en-US" w:eastAsia="zh-CN"/>
                    </w:rPr>
                    <w:t>1.5m</w:t>
                  </w:r>
                  <w:r>
                    <w:rPr>
                      <w:rFonts w:hint="eastAsia" w:ascii="Times New Roman" w:hAnsi="Times New Roman" w:eastAsia="宋体"/>
                      <w:color w:val="auto"/>
                      <w:sz w:val="21"/>
                      <w:szCs w:val="21"/>
                      <w:highlight w:val="none"/>
                      <w:lang w:val="en-US" w:eastAsia="zh-CN"/>
                    </w:rPr>
                    <w:t>厚渗透系数为</w:t>
                  </w:r>
                  <w:r>
                    <w:rPr>
                      <w:rFonts w:hint="default" w:ascii="Times New Roman" w:hAnsi="Times New Roman" w:eastAsia="宋体"/>
                      <w:color w:val="auto"/>
                      <w:sz w:val="21"/>
                      <w:szCs w:val="21"/>
                      <w:highlight w:val="none"/>
                      <w:lang w:val="en-US" w:eastAsia="zh-CN"/>
                    </w:rPr>
                    <w:t>1.0×10</w:t>
                  </w:r>
                  <w:r>
                    <w:rPr>
                      <w:rFonts w:hint="default" w:ascii="Times New Roman" w:hAnsi="Times New Roman" w:eastAsia="宋体"/>
                      <w:color w:val="auto"/>
                      <w:sz w:val="21"/>
                      <w:szCs w:val="21"/>
                      <w:highlight w:val="none"/>
                      <w:vertAlign w:val="superscript"/>
                      <w:lang w:val="en-US" w:eastAsia="zh-CN"/>
                    </w:rPr>
                    <w:t>-7</w:t>
                  </w:r>
                  <w:r>
                    <w:rPr>
                      <w:rFonts w:hint="default" w:ascii="Times New Roman" w:hAnsi="Times New Roman" w:eastAsia="宋体"/>
                      <w:color w:val="auto"/>
                      <w:sz w:val="21"/>
                      <w:szCs w:val="21"/>
                      <w:highlight w:val="none"/>
                      <w:lang w:val="en-US" w:eastAsia="zh-CN"/>
                    </w:rPr>
                    <w:t>cm/s</w:t>
                  </w:r>
                  <w:r>
                    <w:rPr>
                      <w:rFonts w:hint="eastAsia" w:ascii="Times New Roman" w:hAnsi="Times New Roman" w:eastAsia="宋体"/>
                      <w:color w:val="auto"/>
                      <w:sz w:val="21"/>
                      <w:szCs w:val="21"/>
                      <w:highlight w:val="none"/>
                      <w:lang w:val="en-US" w:eastAsia="zh-CN"/>
                    </w:rPr>
                    <w:t>的黏土层防渗性能</w:t>
                  </w:r>
                </w:p>
              </w:tc>
            </w:tr>
            <w:tr w14:paraId="5B07E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vMerge w:val="restart"/>
                  <w:tcBorders>
                    <w:tl2br w:val="nil"/>
                    <w:tr2bl w:val="nil"/>
                  </w:tcBorders>
                  <w:vAlign w:val="center"/>
                </w:tcPr>
                <w:p w14:paraId="6563F4D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ascii="Times New Roman" w:hAnsi="Times New Roman" w:eastAsia="宋体" w:cs="宋体"/>
                      <w:color w:val="auto"/>
                      <w:sz w:val="21"/>
                      <w:szCs w:val="21"/>
                      <w:highlight w:val="none"/>
                    </w:rPr>
                    <w:t>重点</w:t>
                  </w:r>
                  <w:r>
                    <w:rPr>
                      <w:rFonts w:hint="eastAsia" w:ascii="Times New Roman" w:hAnsi="Times New Roman" w:eastAsia="宋体"/>
                      <w:color w:val="auto"/>
                      <w:sz w:val="21"/>
                      <w:szCs w:val="21"/>
                      <w:highlight w:val="none"/>
                      <w:lang w:val="en-US" w:eastAsia="zh-CN"/>
                    </w:rPr>
                    <w:t>防渗</w:t>
                  </w:r>
                  <w:r>
                    <w:rPr>
                      <w:rFonts w:ascii="Times New Roman" w:hAnsi="Times New Roman" w:eastAsia="宋体" w:cs="宋体"/>
                      <w:color w:val="auto"/>
                      <w:sz w:val="21"/>
                      <w:szCs w:val="21"/>
                      <w:highlight w:val="none"/>
                    </w:rPr>
                    <w:t>区</w:t>
                  </w:r>
                </w:p>
              </w:tc>
              <w:tc>
                <w:tcPr>
                  <w:tcW w:w="1899" w:type="pct"/>
                  <w:tcBorders>
                    <w:tl2br w:val="nil"/>
                    <w:tr2bl w:val="nil"/>
                  </w:tcBorders>
                  <w:vAlign w:val="center"/>
                </w:tcPr>
                <w:p w14:paraId="0C5A283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危废贮存点</w:t>
                  </w:r>
                </w:p>
              </w:tc>
              <w:tc>
                <w:tcPr>
                  <w:tcW w:w="2190" w:type="pct"/>
                  <w:vMerge w:val="restart"/>
                  <w:tcBorders>
                    <w:tl2br w:val="nil"/>
                    <w:tr2bl w:val="nil"/>
                  </w:tcBorders>
                  <w:vAlign w:val="center"/>
                </w:tcPr>
                <w:p w14:paraId="7E1179A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防渗性能不低于6.0m厚渗透系数为</w:t>
                  </w:r>
                  <w:r>
                    <w:rPr>
                      <w:rFonts w:hint="default" w:ascii="Times New Roman" w:hAnsi="Times New Roman" w:eastAsia="宋体"/>
                      <w:color w:val="auto"/>
                      <w:sz w:val="21"/>
                      <w:szCs w:val="21"/>
                      <w:highlight w:val="none"/>
                      <w:lang w:val="en-US" w:eastAsia="zh-CN"/>
                    </w:rPr>
                    <w:t>1.0×10</w:t>
                  </w:r>
                  <w:r>
                    <w:rPr>
                      <w:rFonts w:hint="default" w:ascii="Times New Roman" w:hAnsi="Times New Roman" w:eastAsia="宋体"/>
                      <w:color w:val="auto"/>
                      <w:sz w:val="21"/>
                      <w:szCs w:val="21"/>
                      <w:highlight w:val="none"/>
                      <w:vertAlign w:val="superscript"/>
                      <w:lang w:val="en-US" w:eastAsia="zh-CN"/>
                    </w:rPr>
                    <w:t>-7</w:t>
                  </w:r>
                  <w:r>
                    <w:rPr>
                      <w:rFonts w:hint="default" w:ascii="Times New Roman" w:hAnsi="Times New Roman" w:eastAsia="宋体"/>
                      <w:color w:val="auto"/>
                      <w:sz w:val="21"/>
                      <w:szCs w:val="21"/>
                      <w:highlight w:val="none"/>
                      <w:lang w:val="en-US" w:eastAsia="zh-CN"/>
                    </w:rPr>
                    <w:t>cm/s</w:t>
                  </w:r>
                  <w:r>
                    <w:rPr>
                      <w:rFonts w:hint="eastAsia" w:ascii="Times New Roman" w:hAnsi="Times New Roman" w:eastAsia="宋体"/>
                      <w:color w:val="auto"/>
                      <w:sz w:val="21"/>
                      <w:szCs w:val="21"/>
                      <w:highlight w:val="none"/>
                      <w:lang w:val="en-US" w:eastAsia="zh-CN"/>
                    </w:rPr>
                    <w:t>的黏土层防渗性能</w:t>
                  </w:r>
                </w:p>
              </w:tc>
            </w:tr>
            <w:tr w14:paraId="2BC3D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vMerge w:val="continue"/>
                  <w:tcBorders>
                    <w:tl2br w:val="nil"/>
                    <w:tr2bl w:val="nil"/>
                  </w:tcBorders>
                  <w:vAlign w:val="center"/>
                </w:tcPr>
                <w:p w14:paraId="43D7246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eastAsia" w:ascii="Times New Roman" w:hAnsi="Times New Roman" w:eastAsia="宋体"/>
                      <w:b/>
                      <w:bCs/>
                      <w:color w:val="auto"/>
                      <w:sz w:val="21"/>
                      <w:szCs w:val="21"/>
                      <w:highlight w:val="none"/>
                      <w:vertAlign w:val="baseline"/>
                      <w:lang w:val="en-US" w:eastAsia="zh-CN"/>
                    </w:rPr>
                  </w:pPr>
                </w:p>
              </w:tc>
              <w:tc>
                <w:tcPr>
                  <w:tcW w:w="1899" w:type="pct"/>
                  <w:tcBorders>
                    <w:tl2br w:val="nil"/>
                    <w:tr2bl w:val="nil"/>
                  </w:tcBorders>
                  <w:vAlign w:val="center"/>
                </w:tcPr>
                <w:p w14:paraId="3C65D4E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right="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油料区</w:t>
                  </w:r>
                </w:p>
              </w:tc>
              <w:tc>
                <w:tcPr>
                  <w:tcW w:w="2190" w:type="pct"/>
                  <w:vMerge w:val="continue"/>
                  <w:tcBorders>
                    <w:tl2br w:val="nil"/>
                    <w:tr2bl w:val="nil"/>
                  </w:tcBorders>
                  <w:vAlign w:val="center"/>
                </w:tcPr>
                <w:p w14:paraId="139A695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88" w:lineRule="auto"/>
                    <w:ind w:right="0"/>
                    <w:jc w:val="center"/>
                    <w:textAlignment w:val="auto"/>
                    <w:rPr>
                      <w:rFonts w:hint="default" w:ascii="Times New Roman" w:hAnsi="Times New Roman" w:eastAsia="宋体"/>
                      <w:b/>
                      <w:bCs/>
                      <w:color w:val="auto"/>
                      <w:sz w:val="21"/>
                      <w:szCs w:val="21"/>
                      <w:highlight w:val="none"/>
                      <w:vertAlign w:val="baseline"/>
                      <w:lang w:val="en-US" w:eastAsia="zh-CN"/>
                    </w:rPr>
                  </w:pPr>
                </w:p>
              </w:tc>
            </w:tr>
          </w:tbl>
          <w:p w14:paraId="44239D7B">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eastAsia"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7、生态</w:t>
            </w:r>
          </w:p>
          <w:p w14:paraId="5C75C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由于本项目在森迪安防产业园已建10#厂房、2#厂房内布置实施，且场地内无生态环境保护目标，故本项目不涉及生态影响。</w:t>
            </w:r>
          </w:p>
          <w:p w14:paraId="127D73FB">
            <w:pPr>
              <w:pStyle w:val="1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jc w:val="both"/>
              <w:textAlignment w:val="auto"/>
              <w:rPr>
                <w:rFonts w:hint="default"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8、电磁辐射</w:t>
            </w:r>
          </w:p>
          <w:p w14:paraId="05FEF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72" w:lineRule="auto"/>
              <w:ind w:left="0" w:right="0" w:firstLine="480" w:firstLineChars="200"/>
              <w:jc w:val="both"/>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无。</w:t>
            </w:r>
          </w:p>
          <w:p w14:paraId="5CB0217F">
            <w:pPr>
              <w:pStyle w:val="38"/>
              <w:rPr>
                <w:color w:val="auto"/>
              </w:rPr>
            </w:pPr>
          </w:p>
        </w:tc>
      </w:tr>
    </w:tbl>
    <w:p w14:paraId="3561BBFF">
      <w:pPr>
        <w:pStyle w:val="20"/>
        <w:rPr>
          <w:rFonts w:hint="eastAsia"/>
          <w:lang w:val="en-US" w:eastAsia="zh-CN"/>
        </w:rPr>
      </w:pPr>
    </w:p>
    <w:p w14:paraId="6B3EA03F">
      <w:pPr>
        <w:pStyle w:val="20"/>
        <w:rPr>
          <w:rFonts w:hint="eastAsia"/>
          <w:lang w:val="en-US" w:eastAsia="zh-CN"/>
        </w:rPr>
      </w:pPr>
    </w:p>
    <w:p w14:paraId="1B02F5C5">
      <w:pPr>
        <w:pStyle w:val="20"/>
        <w:rPr>
          <w:rFonts w:hint="eastAsia"/>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0411051">
      <w:pPr>
        <w:pStyle w:val="18"/>
        <w:keepNext w:val="0"/>
        <w:keepLines w:val="0"/>
        <w:pageBreakBefore w:val="0"/>
        <w:widowControl/>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auto"/>
          <w:sz w:val="30"/>
          <w:szCs w:val="30"/>
          <w:highlight w:val="none"/>
        </w:rPr>
      </w:pPr>
      <w:bookmarkStart w:id="21" w:name="_Toc29953"/>
      <w:r>
        <w:rPr>
          <w:rFonts w:hint="eastAsia" w:ascii="Times New Roman" w:hAnsi="Times New Roman" w:eastAsia="黑体"/>
          <w:snapToGrid w:val="0"/>
          <w:color w:val="auto"/>
          <w:sz w:val="30"/>
          <w:szCs w:val="30"/>
          <w:highlight w:val="none"/>
        </w:rPr>
        <w:t>五、</w:t>
      </w:r>
      <w:bookmarkStart w:id="22" w:name="_Hlk54167917"/>
      <w:r>
        <w:rPr>
          <w:rFonts w:hint="eastAsia" w:ascii="Times New Roman" w:hAnsi="Times New Roman" w:eastAsia="黑体"/>
          <w:snapToGrid w:val="0"/>
          <w:color w:val="auto"/>
          <w:sz w:val="30"/>
          <w:szCs w:val="30"/>
          <w:highlight w:val="none"/>
        </w:rPr>
        <w:t>环境保护措施监督检查清单</w:t>
      </w:r>
      <w:bookmarkEnd w:id="21"/>
      <w:bookmarkEnd w:id="22"/>
    </w:p>
    <w:tbl>
      <w:tblPr>
        <w:tblStyle w:val="2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569"/>
        <w:gridCol w:w="1632"/>
        <w:gridCol w:w="986"/>
        <w:gridCol w:w="2867"/>
        <w:gridCol w:w="2103"/>
      </w:tblGrid>
      <w:tr w14:paraId="51289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tcBorders>
              <w:tl2br w:val="single" w:color="auto" w:sz="4" w:space="0"/>
            </w:tcBorders>
            <w:noWrap w:val="0"/>
            <w:vAlign w:val="top"/>
          </w:tcPr>
          <w:p w14:paraId="28E79F4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firstLine="840"/>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内容</w:t>
            </w:r>
          </w:p>
          <w:p w14:paraId="2BA8D8F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要素</w:t>
            </w:r>
          </w:p>
        </w:tc>
        <w:tc>
          <w:tcPr>
            <w:tcW w:w="891" w:type="pct"/>
            <w:noWrap w:val="0"/>
            <w:vAlign w:val="center"/>
          </w:tcPr>
          <w:p w14:paraId="709F06A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排放口</w:t>
            </w:r>
            <w:r>
              <w:rPr>
                <w:rFonts w:hint="eastAsia" w:ascii="Times New Roman" w:hAnsi="Times New Roman" w:eastAsia="宋体" w:cs="宋体"/>
                <w:b/>
                <w:bCs/>
                <w:color w:val="auto"/>
                <w:sz w:val="24"/>
                <w:szCs w:val="24"/>
                <w:highlight w:val="none"/>
                <w:lang w:eastAsia="zh-CN"/>
              </w:rPr>
              <w:t>（</w:t>
            </w:r>
            <w:r>
              <w:rPr>
                <w:rFonts w:hint="eastAsia" w:ascii="Times New Roman" w:hAnsi="Times New Roman" w:eastAsia="宋体" w:cs="宋体"/>
                <w:b/>
                <w:bCs/>
                <w:color w:val="auto"/>
                <w:sz w:val="24"/>
                <w:szCs w:val="24"/>
                <w:highlight w:val="none"/>
              </w:rPr>
              <w:t>编号、</w:t>
            </w:r>
          </w:p>
          <w:p w14:paraId="59E51CF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名称</w:t>
            </w:r>
            <w:r>
              <w:rPr>
                <w:rFonts w:hint="eastAsia" w:ascii="Times New Roman" w:hAnsi="Times New Roman" w:eastAsia="宋体" w:cs="宋体"/>
                <w:b/>
                <w:bCs/>
                <w:color w:val="auto"/>
                <w:sz w:val="24"/>
                <w:szCs w:val="24"/>
                <w:highlight w:val="none"/>
                <w:lang w:eastAsia="zh-CN"/>
              </w:rPr>
              <w:t>）</w:t>
            </w:r>
            <w:r>
              <w:rPr>
                <w:rFonts w:hint="eastAsia" w:ascii="Times New Roman" w:hAnsi="Times New Roman" w:eastAsia="宋体" w:cs="宋体"/>
                <w:b/>
                <w:bCs/>
                <w:color w:val="auto"/>
                <w:sz w:val="24"/>
                <w:szCs w:val="24"/>
                <w:highlight w:val="none"/>
              </w:rPr>
              <w:t>/污染源</w:t>
            </w:r>
          </w:p>
        </w:tc>
        <w:tc>
          <w:tcPr>
            <w:tcW w:w="538" w:type="pct"/>
            <w:noWrap w:val="0"/>
            <w:vAlign w:val="center"/>
          </w:tcPr>
          <w:p w14:paraId="1BBE82C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污染物项目</w:t>
            </w:r>
          </w:p>
        </w:tc>
        <w:tc>
          <w:tcPr>
            <w:tcW w:w="1565" w:type="pct"/>
            <w:noWrap w:val="0"/>
            <w:vAlign w:val="center"/>
          </w:tcPr>
          <w:p w14:paraId="1E7CA68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环境保护措施</w:t>
            </w:r>
          </w:p>
        </w:tc>
        <w:tc>
          <w:tcPr>
            <w:tcW w:w="1147" w:type="pct"/>
            <w:noWrap w:val="0"/>
            <w:vAlign w:val="center"/>
          </w:tcPr>
          <w:p w14:paraId="4672B5DA">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88"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执行标准</w:t>
            </w:r>
          </w:p>
        </w:tc>
      </w:tr>
      <w:tr w14:paraId="2C09E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restart"/>
            <w:noWrap w:val="0"/>
            <w:vAlign w:val="center"/>
          </w:tcPr>
          <w:p w14:paraId="10B489F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大气环境</w:t>
            </w:r>
          </w:p>
        </w:tc>
        <w:tc>
          <w:tcPr>
            <w:tcW w:w="891" w:type="pct"/>
            <w:noWrap w:val="0"/>
            <w:vAlign w:val="center"/>
          </w:tcPr>
          <w:p w14:paraId="5E2885CF">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Times New Roman" w:hAnsi="Times New Roman" w:eastAsia="宋体" w:cstheme="minorBidi"/>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抛丸</w:t>
            </w:r>
            <w:r>
              <w:rPr>
                <w:rFonts w:hint="eastAsia" w:ascii="Times New Roman" w:hAnsi="Times New Roman" w:eastAsia="宋体"/>
                <w:color w:val="auto"/>
                <w:sz w:val="21"/>
                <w:szCs w:val="21"/>
                <w:highlight w:val="none"/>
                <w:lang w:eastAsia="zh-CN"/>
              </w:rPr>
              <w:t>废气排放口（</w:t>
            </w:r>
            <w:r>
              <w:rPr>
                <w:rFonts w:hint="eastAsia" w:ascii="Times New Roman" w:hAnsi="Times New Roman" w:eastAsia="宋体" w:cs="宋体"/>
                <w:b/>
                <w:bCs/>
                <w:color w:val="auto"/>
                <w:sz w:val="21"/>
                <w:szCs w:val="21"/>
                <w:highlight w:val="none"/>
                <w:lang w:val="en-US" w:eastAsia="zh-CN"/>
              </w:rPr>
              <w:t>DA002</w:t>
            </w:r>
            <w:r>
              <w:rPr>
                <w:rFonts w:hint="eastAsia" w:ascii="Times New Roman" w:hAnsi="Times New Roman" w:eastAsia="宋体"/>
                <w:color w:val="auto"/>
                <w:sz w:val="21"/>
                <w:szCs w:val="21"/>
                <w:highlight w:val="none"/>
                <w:lang w:eastAsia="zh-CN"/>
              </w:rPr>
              <w:t>）</w:t>
            </w:r>
          </w:p>
        </w:tc>
        <w:tc>
          <w:tcPr>
            <w:tcW w:w="538" w:type="pct"/>
            <w:noWrap w:val="0"/>
            <w:vAlign w:val="center"/>
          </w:tcPr>
          <w:p w14:paraId="1CC3381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default" w:ascii="Times New Roman" w:hAnsi="Times New Roman" w:eastAsia="宋体" w:cstheme="minorBidi"/>
                <w:b w:val="0"/>
                <w:bCs w:val="0"/>
                <w:color w:val="auto"/>
                <w:kern w:val="2"/>
                <w:sz w:val="21"/>
                <w:szCs w:val="21"/>
                <w:highlight w:val="none"/>
                <w:vertAlign w:val="baseline"/>
                <w:lang w:val="en-US" w:eastAsia="zh-CN" w:bidi="ar-SA"/>
              </w:rPr>
            </w:pPr>
            <w:r>
              <w:rPr>
                <w:rFonts w:hint="eastAsia" w:ascii="Times New Roman" w:hAnsi="Times New Roman" w:eastAsia="宋体"/>
                <w:b w:val="0"/>
                <w:bCs w:val="0"/>
                <w:color w:val="auto"/>
                <w:sz w:val="21"/>
                <w:szCs w:val="21"/>
                <w:highlight w:val="none"/>
                <w:vertAlign w:val="baseline"/>
                <w:lang w:val="en-US" w:eastAsia="zh-CN"/>
              </w:rPr>
              <w:t>颗粒物</w:t>
            </w:r>
          </w:p>
        </w:tc>
        <w:tc>
          <w:tcPr>
            <w:tcW w:w="1565" w:type="pct"/>
            <w:noWrap w:val="0"/>
            <w:vAlign w:val="center"/>
          </w:tcPr>
          <w:p w14:paraId="0BA261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leftChars="0" w:right="0" w:rightChars="0" w:firstLine="0" w:firstLineChars="0"/>
              <w:jc w:val="both"/>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b w:val="0"/>
                <w:bCs w:val="0"/>
                <w:color w:val="auto"/>
                <w:kern w:val="44"/>
                <w:sz w:val="21"/>
                <w:szCs w:val="21"/>
                <w:highlight w:val="none"/>
                <w:lang w:val="en-US" w:eastAsia="zh-CN"/>
              </w:rPr>
              <w:t>项目抛丸工序产生的废气经设备自带布袋除尘器处置后引入1根21m高</w:t>
            </w:r>
            <w:r>
              <w:rPr>
                <w:rFonts w:hint="eastAsia" w:ascii="Times New Roman" w:hAnsi="Times New Roman" w:eastAsia="宋体"/>
                <w:b/>
                <w:bCs/>
                <w:color w:val="auto"/>
                <w:kern w:val="44"/>
                <w:sz w:val="21"/>
                <w:szCs w:val="21"/>
                <w:highlight w:val="none"/>
                <w:lang w:val="en-US" w:eastAsia="zh-CN"/>
              </w:rPr>
              <w:t>DA002</w:t>
            </w:r>
            <w:r>
              <w:rPr>
                <w:rFonts w:hint="eastAsia" w:ascii="Times New Roman" w:hAnsi="Times New Roman" w:eastAsia="宋体"/>
                <w:b w:val="0"/>
                <w:bCs w:val="0"/>
                <w:color w:val="auto"/>
                <w:kern w:val="44"/>
                <w:sz w:val="21"/>
                <w:szCs w:val="21"/>
                <w:highlight w:val="none"/>
                <w:lang w:val="en-US" w:eastAsia="zh-CN"/>
              </w:rPr>
              <w:t>排气筒排放</w:t>
            </w:r>
            <w:r>
              <w:rPr>
                <w:rFonts w:hint="eastAsia" w:ascii="Times New Roman" w:hAnsi="Times New Roman" w:eastAsia="宋体" w:cs="宋体"/>
                <w:color w:val="auto"/>
                <w:sz w:val="21"/>
                <w:szCs w:val="21"/>
                <w:highlight w:val="none"/>
                <w:lang w:val="en-US" w:eastAsia="zh-CN"/>
              </w:rPr>
              <w:t>（</w:t>
            </w:r>
            <w:r>
              <w:rPr>
                <w:rFonts w:hint="default" w:ascii="Times New Roman" w:hAnsi="Times New Roman" w:eastAsia="宋体" w:cs="宋体"/>
                <w:color w:val="auto"/>
                <w:sz w:val="21"/>
                <w:szCs w:val="21"/>
                <w:highlight w:val="none"/>
                <w:lang w:val="en-US" w:eastAsia="zh-CN"/>
              </w:rPr>
              <w:t>D=</w:t>
            </w:r>
            <w:r>
              <w:rPr>
                <w:rFonts w:hint="eastAsia" w:ascii="Times New Roman" w:hAnsi="Times New Roman" w:eastAsia="宋体" w:cs="宋体"/>
                <w:color w:val="auto"/>
                <w:sz w:val="21"/>
                <w:szCs w:val="21"/>
                <w:highlight w:val="none"/>
                <w:lang w:val="en-US" w:eastAsia="zh-CN"/>
              </w:rPr>
              <w:t>0.6</w:t>
            </w:r>
            <w:r>
              <w:rPr>
                <w:rFonts w:hint="default"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lang w:val="en-US" w:eastAsia="zh-CN"/>
              </w:rPr>
              <w:t>，风量15000</w:t>
            </w:r>
            <w:r>
              <w:rPr>
                <w:rFonts w:hint="default" w:ascii="Times New Roman" w:hAnsi="Times New Roman" w:eastAsia="宋体" w:cs="宋体"/>
                <w:color w:val="auto"/>
                <w:sz w:val="21"/>
                <w:szCs w:val="21"/>
                <w:highlight w:val="none"/>
                <w:lang w:val="en-US" w:eastAsia="zh-CN"/>
              </w:rPr>
              <w:t>m</w:t>
            </w:r>
            <w:r>
              <w:rPr>
                <w:rFonts w:hint="default" w:ascii="Times New Roman" w:hAnsi="Times New Roman" w:eastAsia="宋体" w:cs="宋体"/>
                <w:color w:val="auto"/>
                <w:sz w:val="21"/>
                <w:szCs w:val="21"/>
                <w:highlight w:val="none"/>
                <w:vertAlign w:val="superscript"/>
                <w:lang w:val="en-US" w:eastAsia="zh-CN"/>
              </w:rPr>
              <w:t>3</w:t>
            </w:r>
            <w:r>
              <w:rPr>
                <w:rFonts w:hint="default" w:ascii="Times New Roman" w:hAnsi="Times New Roman" w:eastAsia="宋体" w:cs="宋体"/>
                <w:color w:val="auto"/>
                <w:sz w:val="21"/>
                <w:szCs w:val="21"/>
                <w:highlight w:val="none"/>
                <w:lang w:val="en-US" w:eastAsia="zh-CN"/>
              </w:rPr>
              <w:t>/h</w:t>
            </w:r>
            <w:r>
              <w:rPr>
                <w:rFonts w:hint="eastAsia" w:ascii="Times New Roman" w:hAnsi="Times New Roman" w:eastAsia="宋体" w:cs="宋体"/>
                <w:color w:val="auto"/>
                <w:sz w:val="21"/>
                <w:szCs w:val="21"/>
                <w:highlight w:val="none"/>
                <w:lang w:val="en-US" w:eastAsia="zh-CN"/>
              </w:rPr>
              <w:t>）</w:t>
            </w:r>
          </w:p>
        </w:tc>
        <w:tc>
          <w:tcPr>
            <w:tcW w:w="1147" w:type="pct"/>
            <w:tcBorders>
              <w:bottom w:val="single" w:color="auto" w:sz="4" w:space="0"/>
            </w:tcBorders>
            <w:noWrap w:val="0"/>
            <w:vAlign w:val="center"/>
          </w:tcPr>
          <w:p w14:paraId="5AB48C67">
            <w:pPr>
              <w:pStyle w:val="35"/>
              <w:keepNext w:val="0"/>
              <w:keepLines w:val="0"/>
              <w:pageBreakBefore w:val="0"/>
              <w:kinsoku/>
              <w:wordWrap/>
              <w:overflowPunct/>
              <w:topLinePunct w:val="0"/>
              <w:autoSpaceDE/>
              <w:autoSpaceDN/>
              <w:bidi w:val="0"/>
              <w:adjustRightInd/>
              <w:snapToGrid/>
              <w:spacing w:beforeLines="0"/>
              <w:textAlignment w:val="auto"/>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《大气污染物综合排放标准》（DB50/418-2016）</w:t>
            </w:r>
          </w:p>
        </w:tc>
      </w:tr>
      <w:tr w14:paraId="03110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noWrap w:val="0"/>
            <w:vAlign w:val="center"/>
          </w:tcPr>
          <w:p w14:paraId="3C84CB53">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noWrap w:val="0"/>
            <w:vAlign w:val="center"/>
          </w:tcPr>
          <w:p w14:paraId="0D0FD299">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喷粉废气排放口（DA003）</w:t>
            </w:r>
          </w:p>
        </w:tc>
        <w:tc>
          <w:tcPr>
            <w:tcW w:w="538" w:type="pct"/>
            <w:noWrap w:val="0"/>
            <w:vAlign w:val="center"/>
          </w:tcPr>
          <w:p w14:paraId="4BAFD4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颗粒物</w:t>
            </w:r>
          </w:p>
        </w:tc>
        <w:tc>
          <w:tcPr>
            <w:tcW w:w="1565" w:type="pct"/>
            <w:noWrap w:val="0"/>
            <w:vAlign w:val="center"/>
          </w:tcPr>
          <w:p w14:paraId="7692911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leftChars="0" w:right="0" w:rightChars="0" w:firstLine="0" w:firstLineChars="0"/>
              <w:jc w:val="both"/>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b w:val="0"/>
                <w:bCs w:val="0"/>
                <w:color w:val="auto"/>
                <w:kern w:val="44"/>
                <w:sz w:val="21"/>
                <w:szCs w:val="21"/>
                <w:highlight w:val="none"/>
                <w:lang w:val="en-US" w:eastAsia="zh-CN"/>
              </w:rPr>
              <w:t>项目喷粉工序产生的废气经1套“滤筒除尘器”处置后引入1根21m高</w:t>
            </w:r>
            <w:r>
              <w:rPr>
                <w:rFonts w:hint="eastAsia" w:ascii="Times New Roman" w:hAnsi="Times New Roman" w:eastAsia="宋体"/>
                <w:b/>
                <w:bCs/>
                <w:color w:val="auto"/>
                <w:kern w:val="44"/>
                <w:sz w:val="21"/>
                <w:szCs w:val="21"/>
                <w:highlight w:val="none"/>
                <w:lang w:val="en-US" w:eastAsia="zh-CN"/>
              </w:rPr>
              <w:t>DA00</w:t>
            </w:r>
            <w:bookmarkStart w:id="25" w:name="_GoBack"/>
            <w:bookmarkEnd w:id="25"/>
            <w:r>
              <w:rPr>
                <w:rFonts w:hint="eastAsia" w:ascii="Times New Roman" w:hAnsi="Times New Roman" w:eastAsia="宋体"/>
                <w:b/>
                <w:bCs/>
                <w:color w:val="auto"/>
                <w:kern w:val="44"/>
                <w:sz w:val="21"/>
                <w:szCs w:val="21"/>
                <w:highlight w:val="none"/>
                <w:lang w:val="en-US" w:eastAsia="zh-CN"/>
              </w:rPr>
              <w:t>3</w:t>
            </w:r>
            <w:r>
              <w:rPr>
                <w:rFonts w:hint="eastAsia" w:ascii="Times New Roman" w:hAnsi="Times New Roman" w:eastAsia="宋体"/>
                <w:b w:val="0"/>
                <w:bCs w:val="0"/>
                <w:color w:val="auto"/>
                <w:kern w:val="44"/>
                <w:sz w:val="21"/>
                <w:szCs w:val="21"/>
                <w:highlight w:val="none"/>
                <w:lang w:val="en-US" w:eastAsia="zh-CN"/>
              </w:rPr>
              <w:t>排气筒排放</w:t>
            </w:r>
            <w:r>
              <w:rPr>
                <w:rFonts w:hint="eastAsia" w:ascii="Times New Roman" w:hAnsi="Times New Roman" w:eastAsia="宋体" w:cs="宋体"/>
                <w:color w:val="auto"/>
                <w:sz w:val="21"/>
                <w:szCs w:val="21"/>
                <w:highlight w:val="none"/>
                <w:lang w:val="en-US" w:eastAsia="zh-CN"/>
              </w:rPr>
              <w:t>（</w:t>
            </w:r>
            <w:r>
              <w:rPr>
                <w:rFonts w:hint="default" w:ascii="Times New Roman" w:hAnsi="Times New Roman" w:eastAsia="宋体" w:cs="宋体"/>
                <w:color w:val="auto"/>
                <w:sz w:val="21"/>
                <w:szCs w:val="21"/>
                <w:highlight w:val="none"/>
                <w:lang w:val="en-US" w:eastAsia="zh-CN"/>
              </w:rPr>
              <w:t>D=</w:t>
            </w:r>
            <w:r>
              <w:rPr>
                <w:rFonts w:hint="eastAsia" w:ascii="Times New Roman" w:hAnsi="Times New Roman" w:eastAsia="宋体" w:cs="宋体"/>
                <w:color w:val="auto"/>
                <w:sz w:val="21"/>
                <w:szCs w:val="21"/>
                <w:highlight w:val="none"/>
                <w:lang w:val="en-US" w:eastAsia="zh-CN"/>
              </w:rPr>
              <w:t>0.5</w:t>
            </w:r>
            <w:r>
              <w:rPr>
                <w:rFonts w:hint="default"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lang w:val="en-US" w:eastAsia="zh-CN"/>
              </w:rPr>
              <w:t>，风量8000</w:t>
            </w:r>
            <w:r>
              <w:rPr>
                <w:rFonts w:hint="default" w:ascii="Times New Roman" w:hAnsi="Times New Roman" w:eastAsia="宋体" w:cs="宋体"/>
                <w:color w:val="auto"/>
                <w:sz w:val="21"/>
                <w:szCs w:val="21"/>
                <w:highlight w:val="none"/>
                <w:lang w:val="en-US" w:eastAsia="zh-CN"/>
              </w:rPr>
              <w:t>m</w:t>
            </w:r>
            <w:r>
              <w:rPr>
                <w:rFonts w:hint="default" w:ascii="Times New Roman" w:hAnsi="Times New Roman" w:eastAsia="宋体" w:cs="宋体"/>
                <w:color w:val="auto"/>
                <w:sz w:val="21"/>
                <w:szCs w:val="21"/>
                <w:highlight w:val="none"/>
                <w:vertAlign w:val="superscript"/>
                <w:lang w:val="en-US" w:eastAsia="zh-CN"/>
              </w:rPr>
              <w:t>3</w:t>
            </w:r>
            <w:r>
              <w:rPr>
                <w:rFonts w:hint="default" w:ascii="Times New Roman" w:hAnsi="Times New Roman" w:eastAsia="宋体" w:cs="宋体"/>
                <w:color w:val="auto"/>
                <w:sz w:val="21"/>
                <w:szCs w:val="21"/>
                <w:highlight w:val="none"/>
                <w:lang w:val="en-US" w:eastAsia="zh-CN"/>
              </w:rPr>
              <w:t>/h</w:t>
            </w:r>
            <w:r>
              <w:rPr>
                <w:rFonts w:hint="eastAsia" w:ascii="Times New Roman" w:hAnsi="Times New Roman" w:eastAsia="宋体" w:cs="宋体"/>
                <w:color w:val="auto"/>
                <w:sz w:val="21"/>
                <w:szCs w:val="21"/>
                <w:highlight w:val="none"/>
                <w:lang w:val="en-US" w:eastAsia="zh-CN"/>
              </w:rPr>
              <w:t>）</w:t>
            </w:r>
          </w:p>
        </w:tc>
        <w:tc>
          <w:tcPr>
            <w:tcW w:w="1147" w:type="pct"/>
            <w:tcBorders>
              <w:top w:val="single" w:color="auto" w:sz="4" w:space="0"/>
              <w:bottom w:val="single" w:color="auto" w:sz="4" w:space="0"/>
            </w:tcBorders>
            <w:noWrap w:val="0"/>
            <w:vAlign w:val="center"/>
          </w:tcPr>
          <w:p w14:paraId="27654917">
            <w:pPr>
              <w:pStyle w:val="35"/>
              <w:keepNext w:val="0"/>
              <w:keepLines w:val="0"/>
              <w:pageBreakBefore w:val="0"/>
              <w:kinsoku/>
              <w:wordWrap/>
              <w:overflowPunct/>
              <w:topLinePunct w:val="0"/>
              <w:autoSpaceDE/>
              <w:autoSpaceDN/>
              <w:bidi w:val="0"/>
              <w:adjustRightInd/>
              <w:snapToGrid/>
              <w:spacing w:beforeLines="0"/>
              <w:textAlignment w:val="auto"/>
              <w:rPr>
                <w:rFonts w:hint="eastAsia"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《大气污染物综合排放标准》（DB50/418-2016）</w:t>
            </w:r>
          </w:p>
        </w:tc>
      </w:tr>
      <w:tr w14:paraId="25E3A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noWrap w:val="0"/>
            <w:vAlign w:val="center"/>
          </w:tcPr>
          <w:p w14:paraId="4138BDB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vMerge w:val="restart"/>
            <w:noWrap w:val="0"/>
            <w:vAlign w:val="center"/>
          </w:tcPr>
          <w:p w14:paraId="2C391E89">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固化废气排放口（DA004）</w:t>
            </w:r>
          </w:p>
        </w:tc>
        <w:tc>
          <w:tcPr>
            <w:tcW w:w="538" w:type="pct"/>
            <w:noWrap w:val="0"/>
            <w:vAlign w:val="center"/>
          </w:tcPr>
          <w:p w14:paraId="741A29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非甲烷总烃</w:t>
            </w:r>
          </w:p>
        </w:tc>
        <w:tc>
          <w:tcPr>
            <w:tcW w:w="1565" w:type="pct"/>
            <w:vMerge w:val="restart"/>
            <w:noWrap w:val="0"/>
            <w:vAlign w:val="center"/>
          </w:tcPr>
          <w:p w14:paraId="7FF793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leftChars="0" w:right="0" w:rightChars="0" w:firstLine="0" w:firstLineChars="0"/>
              <w:jc w:val="both"/>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b w:val="0"/>
                <w:bCs w:val="0"/>
                <w:color w:val="auto"/>
                <w:kern w:val="44"/>
                <w:sz w:val="21"/>
                <w:szCs w:val="21"/>
                <w:highlight w:val="none"/>
                <w:lang w:val="en-US" w:eastAsia="zh-CN"/>
              </w:rPr>
              <w:t>项目固化工序产生的废气经1套“干式过滤+活性炭”吸附装置处置后引入1根21m高</w:t>
            </w:r>
            <w:r>
              <w:rPr>
                <w:rFonts w:hint="eastAsia" w:ascii="Times New Roman" w:hAnsi="Times New Roman" w:eastAsia="宋体"/>
                <w:b/>
                <w:bCs/>
                <w:color w:val="auto"/>
                <w:kern w:val="44"/>
                <w:sz w:val="21"/>
                <w:szCs w:val="21"/>
                <w:highlight w:val="none"/>
                <w:lang w:val="en-US" w:eastAsia="zh-CN"/>
              </w:rPr>
              <w:t>DA004</w:t>
            </w:r>
            <w:r>
              <w:rPr>
                <w:rFonts w:hint="eastAsia" w:ascii="Times New Roman" w:hAnsi="Times New Roman" w:eastAsia="宋体"/>
                <w:b w:val="0"/>
                <w:bCs w:val="0"/>
                <w:color w:val="auto"/>
                <w:kern w:val="44"/>
                <w:sz w:val="21"/>
                <w:szCs w:val="21"/>
                <w:highlight w:val="none"/>
                <w:lang w:val="en-US" w:eastAsia="zh-CN"/>
              </w:rPr>
              <w:t>排气筒排放</w:t>
            </w:r>
            <w:r>
              <w:rPr>
                <w:rFonts w:hint="eastAsia" w:ascii="Times New Roman" w:hAnsi="Times New Roman" w:eastAsia="宋体" w:cs="宋体"/>
                <w:color w:val="auto"/>
                <w:sz w:val="21"/>
                <w:szCs w:val="21"/>
                <w:highlight w:val="none"/>
                <w:lang w:val="en-US" w:eastAsia="zh-CN"/>
              </w:rPr>
              <w:t>（</w:t>
            </w:r>
            <w:r>
              <w:rPr>
                <w:rFonts w:hint="default" w:ascii="Times New Roman" w:hAnsi="Times New Roman" w:eastAsia="宋体" w:cs="宋体"/>
                <w:color w:val="auto"/>
                <w:sz w:val="21"/>
                <w:szCs w:val="21"/>
                <w:highlight w:val="none"/>
                <w:lang w:val="en-US" w:eastAsia="zh-CN"/>
              </w:rPr>
              <w:t>D=</w:t>
            </w:r>
            <w:r>
              <w:rPr>
                <w:rFonts w:hint="eastAsia" w:ascii="Times New Roman" w:hAnsi="Times New Roman" w:eastAsia="宋体" w:cs="宋体"/>
                <w:color w:val="auto"/>
                <w:sz w:val="21"/>
                <w:szCs w:val="21"/>
                <w:highlight w:val="none"/>
                <w:lang w:val="en-US" w:eastAsia="zh-CN"/>
              </w:rPr>
              <w:t>0.4</w:t>
            </w:r>
            <w:r>
              <w:rPr>
                <w:rFonts w:hint="default"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lang w:val="en-US" w:eastAsia="zh-CN"/>
              </w:rPr>
              <w:t>，风量5000</w:t>
            </w:r>
            <w:r>
              <w:rPr>
                <w:rFonts w:hint="default" w:ascii="Times New Roman" w:hAnsi="Times New Roman" w:eastAsia="宋体" w:cs="宋体"/>
                <w:color w:val="auto"/>
                <w:sz w:val="21"/>
                <w:szCs w:val="21"/>
                <w:highlight w:val="none"/>
                <w:lang w:val="en-US" w:eastAsia="zh-CN"/>
              </w:rPr>
              <w:t>m</w:t>
            </w:r>
            <w:r>
              <w:rPr>
                <w:rFonts w:hint="default" w:ascii="Times New Roman" w:hAnsi="Times New Roman" w:eastAsia="宋体" w:cs="宋体"/>
                <w:color w:val="auto"/>
                <w:sz w:val="21"/>
                <w:szCs w:val="21"/>
                <w:highlight w:val="none"/>
                <w:vertAlign w:val="superscript"/>
                <w:lang w:val="en-US" w:eastAsia="zh-CN"/>
              </w:rPr>
              <w:t>3</w:t>
            </w:r>
            <w:r>
              <w:rPr>
                <w:rFonts w:hint="default" w:ascii="Times New Roman" w:hAnsi="Times New Roman" w:eastAsia="宋体" w:cs="宋体"/>
                <w:color w:val="auto"/>
                <w:sz w:val="21"/>
                <w:szCs w:val="21"/>
                <w:highlight w:val="none"/>
                <w:lang w:val="en-US" w:eastAsia="zh-CN"/>
              </w:rPr>
              <w:t>/h</w:t>
            </w:r>
            <w:r>
              <w:rPr>
                <w:rFonts w:hint="eastAsia" w:ascii="Times New Roman" w:hAnsi="Times New Roman" w:eastAsia="宋体" w:cs="宋体"/>
                <w:color w:val="auto"/>
                <w:sz w:val="21"/>
                <w:szCs w:val="21"/>
                <w:highlight w:val="none"/>
                <w:lang w:val="en-US" w:eastAsia="zh-CN"/>
              </w:rPr>
              <w:t>）</w:t>
            </w:r>
          </w:p>
        </w:tc>
        <w:tc>
          <w:tcPr>
            <w:tcW w:w="1147" w:type="pct"/>
            <w:tcBorders>
              <w:top w:val="single" w:color="auto" w:sz="4" w:space="0"/>
              <w:bottom w:val="single" w:color="auto" w:sz="4" w:space="0"/>
            </w:tcBorders>
            <w:noWrap w:val="0"/>
            <w:vAlign w:val="center"/>
          </w:tcPr>
          <w:p w14:paraId="73A13291">
            <w:pPr>
              <w:pStyle w:val="35"/>
              <w:keepNext w:val="0"/>
              <w:keepLines w:val="0"/>
              <w:pageBreakBefore w:val="0"/>
              <w:kinsoku/>
              <w:wordWrap/>
              <w:overflowPunct/>
              <w:topLinePunct w:val="0"/>
              <w:autoSpaceDE/>
              <w:autoSpaceDN/>
              <w:bidi w:val="0"/>
              <w:adjustRightInd/>
              <w:snapToGrid/>
              <w:spacing w:beforeLines="0"/>
              <w:textAlignment w:val="auto"/>
              <w:rPr>
                <w:rFonts w:hint="eastAsia"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《摩托车及汽车配件制造表面涂装大气污染物排放标准》（DB50/660-2016）</w:t>
            </w:r>
          </w:p>
        </w:tc>
      </w:tr>
      <w:tr w14:paraId="348F9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noWrap w:val="0"/>
            <w:vAlign w:val="center"/>
          </w:tcPr>
          <w:p w14:paraId="26BDFAC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vMerge w:val="continue"/>
            <w:noWrap w:val="0"/>
            <w:vAlign w:val="center"/>
          </w:tcPr>
          <w:p w14:paraId="01A52B3D">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Times New Roman" w:hAnsi="Times New Roman" w:eastAsia="宋体"/>
                <w:color w:val="auto"/>
                <w:sz w:val="21"/>
                <w:szCs w:val="21"/>
                <w:highlight w:val="none"/>
                <w:lang w:val="en-US" w:eastAsia="zh-CN"/>
              </w:rPr>
            </w:pPr>
          </w:p>
        </w:tc>
        <w:tc>
          <w:tcPr>
            <w:tcW w:w="538" w:type="pct"/>
            <w:noWrap w:val="0"/>
            <w:vAlign w:val="center"/>
          </w:tcPr>
          <w:p w14:paraId="50A37FB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颗粒物、二氧化硫、氮氧化物</w:t>
            </w:r>
          </w:p>
        </w:tc>
        <w:tc>
          <w:tcPr>
            <w:tcW w:w="1565" w:type="pct"/>
            <w:vMerge w:val="continue"/>
            <w:noWrap w:val="0"/>
            <w:vAlign w:val="center"/>
          </w:tcPr>
          <w:p w14:paraId="694F18A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leftChars="0" w:right="0" w:rightChars="0" w:firstLine="0" w:firstLineChars="0"/>
              <w:jc w:val="both"/>
              <w:textAlignment w:val="auto"/>
              <w:rPr>
                <w:rFonts w:hint="eastAsia" w:ascii="Times New Roman" w:hAnsi="Times New Roman" w:eastAsia="宋体" w:cs="宋体"/>
                <w:color w:val="auto"/>
                <w:sz w:val="21"/>
                <w:szCs w:val="21"/>
                <w:highlight w:val="none"/>
                <w:lang w:val="en-US" w:eastAsia="zh-CN"/>
              </w:rPr>
            </w:pPr>
          </w:p>
        </w:tc>
        <w:tc>
          <w:tcPr>
            <w:tcW w:w="1147" w:type="pct"/>
            <w:tcBorders>
              <w:top w:val="single" w:color="auto" w:sz="4" w:space="0"/>
              <w:bottom w:val="single" w:color="auto" w:sz="4" w:space="0"/>
            </w:tcBorders>
            <w:noWrap w:val="0"/>
            <w:vAlign w:val="center"/>
          </w:tcPr>
          <w:p w14:paraId="073124D0">
            <w:pPr>
              <w:pStyle w:val="35"/>
              <w:keepNext w:val="0"/>
              <w:keepLines w:val="0"/>
              <w:pageBreakBefore w:val="0"/>
              <w:kinsoku/>
              <w:wordWrap/>
              <w:overflowPunct/>
              <w:topLinePunct w:val="0"/>
              <w:autoSpaceDE/>
              <w:autoSpaceDN/>
              <w:bidi w:val="0"/>
              <w:adjustRightInd/>
              <w:snapToGrid/>
              <w:spacing w:beforeLines="0"/>
              <w:textAlignment w:val="auto"/>
              <w:rPr>
                <w:rFonts w:hint="eastAsia"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《大气污染物综合排放标准》（DB50/418-2016）</w:t>
            </w:r>
          </w:p>
        </w:tc>
      </w:tr>
      <w:tr w14:paraId="478C6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7" w:hRule="atLeast"/>
          <w:jc w:val="center"/>
        </w:trPr>
        <w:tc>
          <w:tcPr>
            <w:tcW w:w="857" w:type="pct"/>
            <w:vMerge w:val="continue"/>
            <w:noWrap w:val="0"/>
            <w:vAlign w:val="center"/>
          </w:tcPr>
          <w:p w14:paraId="6D21BE3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noWrap w:val="0"/>
            <w:vAlign w:val="center"/>
          </w:tcPr>
          <w:p w14:paraId="591B402A">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厂房外</w:t>
            </w:r>
          </w:p>
        </w:tc>
        <w:tc>
          <w:tcPr>
            <w:tcW w:w="538" w:type="pct"/>
            <w:noWrap w:val="0"/>
            <w:vAlign w:val="center"/>
          </w:tcPr>
          <w:p w14:paraId="38C969D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b w:val="0"/>
                <w:bCs w:val="0"/>
                <w:color w:val="auto"/>
                <w:sz w:val="21"/>
                <w:szCs w:val="21"/>
                <w:highlight w:val="none"/>
                <w:vertAlign w:val="baseline"/>
                <w:lang w:val="en-US" w:eastAsia="zh-CN"/>
              </w:rPr>
              <w:t>非甲烷总烃</w:t>
            </w:r>
          </w:p>
        </w:tc>
        <w:tc>
          <w:tcPr>
            <w:tcW w:w="1565" w:type="pct"/>
            <w:vMerge w:val="restart"/>
            <w:noWrap w:val="0"/>
            <w:vAlign w:val="center"/>
          </w:tcPr>
          <w:p w14:paraId="7D8FA90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right="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加强车间通风。</w:t>
            </w:r>
          </w:p>
        </w:tc>
        <w:tc>
          <w:tcPr>
            <w:tcW w:w="1147" w:type="pct"/>
            <w:tcBorders>
              <w:top w:val="single" w:color="auto" w:sz="4" w:space="0"/>
              <w:bottom w:val="single" w:color="auto" w:sz="4" w:space="0"/>
            </w:tcBorders>
            <w:noWrap w:val="0"/>
            <w:vAlign w:val="center"/>
          </w:tcPr>
          <w:p w14:paraId="76DD0B6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auto"/>
              <w:ind w:left="0" w:right="0" w:firstLine="0" w:firstLineChars="0"/>
              <w:jc w:val="both"/>
              <w:textAlignment w:val="auto"/>
              <w:rPr>
                <w:rFonts w:hint="eastAsia"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《挥发性有机物无组织排放控制标准》（GB 37822-2019）</w:t>
            </w:r>
          </w:p>
        </w:tc>
      </w:tr>
      <w:tr w14:paraId="2FA2F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noWrap w:val="0"/>
            <w:vAlign w:val="center"/>
          </w:tcPr>
          <w:p w14:paraId="392C759D">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vMerge w:val="restart"/>
            <w:noWrap w:val="0"/>
            <w:vAlign w:val="center"/>
          </w:tcPr>
          <w:p w14:paraId="50AEC28C">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厂界</w:t>
            </w:r>
          </w:p>
        </w:tc>
        <w:tc>
          <w:tcPr>
            <w:tcW w:w="538" w:type="pct"/>
            <w:noWrap w:val="0"/>
            <w:vAlign w:val="center"/>
          </w:tcPr>
          <w:p w14:paraId="7722D4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颗粒物、二氧化硫、氮氧化物</w:t>
            </w:r>
          </w:p>
        </w:tc>
        <w:tc>
          <w:tcPr>
            <w:tcW w:w="1565" w:type="pct"/>
            <w:vMerge w:val="continue"/>
            <w:noWrap w:val="0"/>
            <w:vAlign w:val="center"/>
          </w:tcPr>
          <w:p w14:paraId="2AF0F70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right="0" w:firstLine="0" w:firstLineChars="0"/>
              <w:jc w:val="both"/>
              <w:textAlignment w:val="auto"/>
              <w:rPr>
                <w:rFonts w:hint="eastAsia" w:ascii="Times New Roman" w:hAnsi="Times New Roman" w:eastAsia="宋体"/>
                <w:b w:val="0"/>
                <w:bCs w:val="0"/>
                <w:color w:val="auto"/>
                <w:kern w:val="44"/>
                <w:sz w:val="21"/>
                <w:szCs w:val="21"/>
                <w:highlight w:val="none"/>
                <w:lang w:val="en-US" w:eastAsia="zh-CN"/>
              </w:rPr>
            </w:pPr>
          </w:p>
        </w:tc>
        <w:tc>
          <w:tcPr>
            <w:tcW w:w="1147" w:type="pct"/>
            <w:tcBorders>
              <w:top w:val="single" w:color="auto" w:sz="4" w:space="0"/>
              <w:bottom w:val="single" w:color="auto" w:sz="4" w:space="0"/>
            </w:tcBorders>
            <w:noWrap w:val="0"/>
            <w:vAlign w:val="center"/>
          </w:tcPr>
          <w:p w14:paraId="527A030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auto"/>
              <w:ind w:left="0" w:right="0" w:firstLine="0" w:firstLineChars="0"/>
              <w:jc w:val="both"/>
              <w:textAlignment w:val="auto"/>
              <w:rPr>
                <w:rFonts w:hint="eastAsia" w:ascii="Times New Roman" w:hAnsi="Times New Roman" w:eastAsia="宋体" w:cs="宋体"/>
                <w:color w:val="auto"/>
                <w:sz w:val="21"/>
                <w:szCs w:val="21"/>
                <w:highlight w:val="none"/>
                <w:lang w:val="en-US" w:eastAsia="zh-CN"/>
              </w:rPr>
            </w:pPr>
            <w:r>
              <w:rPr>
                <w:rFonts w:hint="default" w:ascii="Times New Roman" w:hAnsi="Times New Roman" w:eastAsia="宋体" w:cs="Times New Roman"/>
                <w:color w:val="auto"/>
                <w:highlight w:val="none"/>
              </w:rPr>
              <w:t>《大气污染物综合排放标准》（DB50/418-2016）</w:t>
            </w:r>
          </w:p>
        </w:tc>
      </w:tr>
      <w:tr w14:paraId="0CB5A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noWrap w:val="0"/>
            <w:vAlign w:val="center"/>
          </w:tcPr>
          <w:p w14:paraId="1697B5C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p>
        </w:tc>
        <w:tc>
          <w:tcPr>
            <w:tcW w:w="891" w:type="pct"/>
            <w:vMerge w:val="continue"/>
            <w:noWrap w:val="0"/>
            <w:vAlign w:val="center"/>
          </w:tcPr>
          <w:p w14:paraId="1696188B">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264" w:lineRule="auto"/>
              <w:ind w:left="0" w:right="0"/>
              <w:jc w:val="center"/>
              <w:textAlignment w:val="auto"/>
              <w:rPr>
                <w:rFonts w:hint="eastAsia" w:ascii="Times New Roman" w:hAnsi="Times New Roman" w:eastAsia="宋体"/>
                <w:color w:val="auto"/>
                <w:sz w:val="21"/>
                <w:szCs w:val="21"/>
                <w:highlight w:val="none"/>
                <w:lang w:val="en-US" w:eastAsia="zh-CN"/>
              </w:rPr>
            </w:pPr>
          </w:p>
        </w:tc>
        <w:tc>
          <w:tcPr>
            <w:tcW w:w="538" w:type="pct"/>
            <w:noWrap w:val="0"/>
            <w:vAlign w:val="center"/>
          </w:tcPr>
          <w:p w14:paraId="7DD27F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leftChars="0" w:right="0" w:rightChars="0"/>
              <w:jc w:val="center"/>
              <w:textAlignment w:val="auto"/>
              <w:rPr>
                <w:rFonts w:hint="eastAsia"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非甲烷总烃</w:t>
            </w:r>
          </w:p>
        </w:tc>
        <w:tc>
          <w:tcPr>
            <w:tcW w:w="1565" w:type="pct"/>
            <w:vMerge w:val="continue"/>
            <w:noWrap w:val="0"/>
            <w:vAlign w:val="center"/>
          </w:tcPr>
          <w:p w14:paraId="426199F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5" w:lineRule="auto"/>
              <w:ind w:left="0" w:right="0" w:firstLine="0" w:firstLineChars="0"/>
              <w:jc w:val="both"/>
              <w:textAlignment w:val="auto"/>
              <w:rPr>
                <w:rFonts w:hint="eastAsia" w:ascii="Times New Roman" w:hAnsi="Times New Roman" w:eastAsia="宋体"/>
                <w:b w:val="0"/>
                <w:bCs w:val="0"/>
                <w:color w:val="auto"/>
                <w:kern w:val="44"/>
                <w:sz w:val="21"/>
                <w:szCs w:val="21"/>
                <w:highlight w:val="none"/>
                <w:lang w:val="en-US" w:eastAsia="zh-CN"/>
              </w:rPr>
            </w:pPr>
          </w:p>
        </w:tc>
        <w:tc>
          <w:tcPr>
            <w:tcW w:w="1147" w:type="pct"/>
            <w:tcBorders>
              <w:top w:val="single" w:color="auto" w:sz="4" w:space="0"/>
              <w:bottom w:val="single" w:color="auto" w:sz="4" w:space="0"/>
            </w:tcBorders>
            <w:noWrap w:val="0"/>
            <w:vAlign w:val="center"/>
          </w:tcPr>
          <w:p w14:paraId="7717AB6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auto"/>
              <w:ind w:left="0" w:right="0" w:firstLine="0" w:firstLineChars="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《摩托车及汽车配件制造表面涂装大气污染物排放标准》（DB50/660-2016）</w:t>
            </w:r>
          </w:p>
        </w:tc>
      </w:tr>
      <w:tr w14:paraId="5154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restart"/>
            <w:noWrap w:val="0"/>
            <w:vAlign w:val="center"/>
          </w:tcPr>
          <w:p w14:paraId="5FA8ECF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地表水环境</w:t>
            </w:r>
          </w:p>
        </w:tc>
        <w:tc>
          <w:tcPr>
            <w:tcW w:w="891" w:type="pct"/>
            <w:vMerge w:val="restart"/>
            <w:noWrap w:val="0"/>
            <w:vAlign w:val="center"/>
          </w:tcPr>
          <w:p w14:paraId="295D30A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eastAsia="zh-CN"/>
              </w:rPr>
              <w:t>生活污水（</w:t>
            </w:r>
            <w:r>
              <w:rPr>
                <w:rFonts w:hint="eastAsia" w:ascii="Times New Roman" w:hAnsi="Times New Roman" w:eastAsia="宋体" w:cs="宋体"/>
                <w:color w:val="auto"/>
                <w:sz w:val="21"/>
                <w:szCs w:val="21"/>
                <w:highlight w:val="none"/>
                <w:lang w:val="en-US" w:eastAsia="zh-CN"/>
              </w:rPr>
              <w:t>DW001</w:t>
            </w:r>
            <w:r>
              <w:rPr>
                <w:rFonts w:hint="eastAsia" w:ascii="Times New Roman" w:hAnsi="Times New Roman" w:eastAsia="宋体" w:cs="宋体"/>
                <w:color w:val="auto"/>
                <w:sz w:val="21"/>
                <w:szCs w:val="21"/>
                <w:highlight w:val="none"/>
                <w:lang w:eastAsia="zh-CN"/>
              </w:rPr>
              <w:t>）</w:t>
            </w:r>
          </w:p>
        </w:tc>
        <w:tc>
          <w:tcPr>
            <w:tcW w:w="538" w:type="pct"/>
            <w:noWrap w:val="0"/>
            <w:vAlign w:val="center"/>
          </w:tcPr>
          <w:p w14:paraId="1A15650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leftChars="0" w:right="0" w:rightChars="0"/>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pH</w:t>
            </w:r>
          </w:p>
        </w:tc>
        <w:tc>
          <w:tcPr>
            <w:tcW w:w="1565" w:type="pct"/>
            <w:vMerge w:val="restart"/>
            <w:noWrap w:val="0"/>
            <w:vAlign w:val="center"/>
          </w:tcPr>
          <w:p w14:paraId="723FD38F">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5" w:lineRule="auto"/>
              <w:ind w:left="0" w:right="0" w:firstLine="0" w:firstLineChars="0"/>
              <w:jc w:val="both"/>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val="en-US" w:eastAsia="zh-CN"/>
              </w:rPr>
              <w:t>项目生活污水依托森迪安防产业园现有1#生化池预处理达《污水综合排放标准》（</w:t>
            </w:r>
            <w:r>
              <w:rPr>
                <w:rFonts w:hint="default" w:ascii="Times New Roman" w:hAnsi="Times New Roman" w:eastAsia="宋体" w:cs="宋体"/>
                <w:color w:val="auto"/>
                <w:sz w:val="21"/>
                <w:szCs w:val="21"/>
                <w:highlight w:val="none"/>
                <w:lang w:val="en-US" w:eastAsia="zh-CN"/>
              </w:rPr>
              <w:t>GB8978-1996</w:t>
            </w:r>
            <w:r>
              <w:rPr>
                <w:rFonts w:hint="eastAsia" w:ascii="Times New Roman" w:hAnsi="Times New Roman" w:eastAsia="宋体" w:cs="宋体"/>
                <w:color w:val="auto"/>
                <w:sz w:val="21"/>
                <w:szCs w:val="21"/>
                <w:highlight w:val="none"/>
                <w:lang w:val="en-US" w:eastAsia="zh-CN"/>
              </w:rPr>
              <w:t>）三级标准后，进入西彭污水处理厂处理达《污水综合排放标准》（</w:t>
            </w:r>
            <w:r>
              <w:rPr>
                <w:rFonts w:hint="default" w:ascii="Times New Roman" w:hAnsi="Times New Roman" w:eastAsia="宋体" w:cs="宋体"/>
                <w:color w:val="auto"/>
                <w:sz w:val="21"/>
                <w:szCs w:val="21"/>
                <w:highlight w:val="none"/>
                <w:lang w:val="en-US" w:eastAsia="zh-CN"/>
              </w:rPr>
              <w:t>GB</w:t>
            </w:r>
            <w:r>
              <w:rPr>
                <w:rFonts w:hint="eastAsia" w:ascii="Times New Roman" w:hAnsi="Times New Roman" w:eastAsia="宋体" w:cs="宋体"/>
                <w:color w:val="auto"/>
                <w:sz w:val="21"/>
                <w:szCs w:val="21"/>
                <w:highlight w:val="none"/>
                <w:lang w:val="en-US" w:eastAsia="zh-CN"/>
              </w:rPr>
              <w:t xml:space="preserve"> </w:t>
            </w:r>
            <w:r>
              <w:rPr>
                <w:rFonts w:hint="default" w:ascii="Times New Roman" w:hAnsi="Times New Roman" w:eastAsia="宋体" w:cs="宋体"/>
                <w:color w:val="auto"/>
                <w:sz w:val="21"/>
                <w:szCs w:val="21"/>
                <w:highlight w:val="none"/>
                <w:lang w:val="en-US" w:eastAsia="zh-CN"/>
              </w:rPr>
              <w:t>8978-1996</w:t>
            </w:r>
            <w:r>
              <w:rPr>
                <w:rFonts w:hint="eastAsia" w:ascii="Times New Roman" w:hAnsi="Times New Roman" w:eastAsia="宋体" w:cs="宋体"/>
                <w:color w:val="auto"/>
                <w:sz w:val="21"/>
                <w:szCs w:val="21"/>
                <w:highlight w:val="none"/>
                <w:lang w:val="en-US" w:eastAsia="zh-CN"/>
              </w:rPr>
              <w:t>）一级标准后排放，最终汇入长江。</w:t>
            </w:r>
          </w:p>
        </w:tc>
        <w:tc>
          <w:tcPr>
            <w:tcW w:w="1147" w:type="pct"/>
            <w:vMerge w:val="restart"/>
            <w:tcBorders>
              <w:top w:val="single" w:color="auto" w:sz="4" w:space="0"/>
              <w:bottom w:val="single" w:color="auto" w:sz="4" w:space="0"/>
            </w:tcBorders>
            <w:noWrap w:val="0"/>
            <w:vAlign w:val="center"/>
          </w:tcPr>
          <w:p w14:paraId="67A0CFD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《污水综合排放标准》（GB8978-1996）三级标准</w:t>
            </w:r>
          </w:p>
          <w:p w14:paraId="0E7D378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pH6～9</w:t>
            </w:r>
          </w:p>
          <w:p w14:paraId="18DD85D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COD</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500</w:t>
            </w:r>
          </w:p>
          <w:p w14:paraId="1914BE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BOD</w:t>
            </w:r>
            <w:r>
              <w:rPr>
                <w:rFonts w:hint="eastAsia" w:ascii="Times New Roman" w:hAnsi="Times New Roman" w:eastAsia="宋体" w:cs="宋体"/>
                <w:color w:val="auto"/>
                <w:sz w:val="21"/>
                <w:szCs w:val="21"/>
                <w:highlight w:val="none"/>
                <w:vertAlign w:val="subscript"/>
                <w:lang w:val="en-US" w:eastAsia="zh-CN"/>
              </w:rPr>
              <w:t>5</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300</w:t>
            </w:r>
          </w:p>
          <w:p w14:paraId="6CCD22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SS</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400</w:t>
            </w:r>
          </w:p>
          <w:p w14:paraId="2FFAC5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氨氮</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45</w:t>
            </w:r>
          </w:p>
        </w:tc>
      </w:tr>
      <w:tr w14:paraId="44042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noWrap w:val="0"/>
            <w:vAlign w:val="center"/>
          </w:tcPr>
          <w:p w14:paraId="1AA5E5D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default" w:ascii="Times New Roman" w:hAnsi="Times New Roman" w:eastAsia="宋体"/>
                <w:color w:val="auto"/>
                <w:highlight w:val="none"/>
              </w:rPr>
            </w:pPr>
          </w:p>
        </w:tc>
        <w:tc>
          <w:tcPr>
            <w:tcW w:w="891" w:type="pct"/>
            <w:vMerge w:val="continue"/>
            <w:noWrap w:val="0"/>
            <w:vAlign w:val="center"/>
          </w:tcPr>
          <w:p w14:paraId="3196816B">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default" w:ascii="Times New Roman" w:hAnsi="Times New Roman" w:eastAsia="宋体"/>
                <w:color w:val="auto"/>
                <w:highlight w:val="none"/>
              </w:rPr>
            </w:pPr>
          </w:p>
        </w:tc>
        <w:tc>
          <w:tcPr>
            <w:tcW w:w="538" w:type="pct"/>
            <w:noWrap w:val="0"/>
            <w:vAlign w:val="center"/>
          </w:tcPr>
          <w:p w14:paraId="62EC9D7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leftChars="0" w:right="0" w:rightChars="0"/>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COD</w:t>
            </w:r>
          </w:p>
        </w:tc>
        <w:tc>
          <w:tcPr>
            <w:tcW w:w="1565" w:type="pct"/>
            <w:vMerge w:val="continue"/>
            <w:noWrap w:val="0"/>
            <w:vAlign w:val="center"/>
          </w:tcPr>
          <w:p w14:paraId="3524BC5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1147" w:type="pct"/>
            <w:vMerge w:val="continue"/>
            <w:tcBorders>
              <w:top w:val="single" w:color="auto" w:sz="4" w:space="0"/>
              <w:bottom w:val="single" w:color="auto" w:sz="4" w:space="0"/>
            </w:tcBorders>
            <w:noWrap w:val="0"/>
            <w:vAlign w:val="center"/>
          </w:tcPr>
          <w:p w14:paraId="1C676506">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r>
      <w:tr w14:paraId="4F86C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noWrap w:val="0"/>
            <w:vAlign w:val="center"/>
          </w:tcPr>
          <w:p w14:paraId="210D8540">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891" w:type="pct"/>
            <w:vMerge w:val="continue"/>
            <w:noWrap w:val="0"/>
            <w:vAlign w:val="center"/>
          </w:tcPr>
          <w:p w14:paraId="63B2696E">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538" w:type="pct"/>
            <w:noWrap w:val="0"/>
            <w:vAlign w:val="center"/>
          </w:tcPr>
          <w:p w14:paraId="237155B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leftChars="0" w:right="0" w:right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BOD</w:t>
            </w:r>
            <w:r>
              <w:rPr>
                <w:rFonts w:hint="eastAsia" w:ascii="Times New Roman" w:hAnsi="Times New Roman" w:eastAsia="宋体" w:cs="宋体"/>
                <w:color w:val="auto"/>
                <w:sz w:val="21"/>
                <w:szCs w:val="21"/>
                <w:highlight w:val="none"/>
                <w:vertAlign w:val="subscript"/>
                <w:lang w:val="en-US" w:eastAsia="zh-CN"/>
              </w:rPr>
              <w:t>5</w:t>
            </w:r>
          </w:p>
        </w:tc>
        <w:tc>
          <w:tcPr>
            <w:tcW w:w="1565" w:type="pct"/>
            <w:vMerge w:val="continue"/>
            <w:noWrap w:val="0"/>
            <w:vAlign w:val="center"/>
          </w:tcPr>
          <w:p w14:paraId="3769D02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1147" w:type="pct"/>
            <w:vMerge w:val="continue"/>
            <w:tcBorders>
              <w:top w:val="single" w:color="auto" w:sz="4" w:space="0"/>
              <w:bottom w:val="single" w:color="auto" w:sz="4" w:space="0"/>
            </w:tcBorders>
            <w:noWrap w:val="0"/>
            <w:vAlign w:val="center"/>
          </w:tcPr>
          <w:p w14:paraId="7888D13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r>
      <w:tr w14:paraId="27A5B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noWrap w:val="0"/>
            <w:vAlign w:val="center"/>
          </w:tcPr>
          <w:p w14:paraId="034FF782">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891" w:type="pct"/>
            <w:vMerge w:val="continue"/>
            <w:noWrap w:val="0"/>
            <w:vAlign w:val="center"/>
          </w:tcPr>
          <w:p w14:paraId="058A6BA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538" w:type="pct"/>
            <w:noWrap w:val="0"/>
            <w:vAlign w:val="center"/>
          </w:tcPr>
          <w:p w14:paraId="7CB7B889">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leftChars="0" w:right="0" w:right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SS</w:t>
            </w:r>
          </w:p>
        </w:tc>
        <w:tc>
          <w:tcPr>
            <w:tcW w:w="1565" w:type="pct"/>
            <w:vMerge w:val="continue"/>
            <w:noWrap w:val="0"/>
            <w:vAlign w:val="center"/>
          </w:tcPr>
          <w:p w14:paraId="34B5392A">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1147" w:type="pct"/>
            <w:vMerge w:val="continue"/>
            <w:tcBorders>
              <w:top w:val="single" w:color="auto" w:sz="4" w:space="0"/>
              <w:bottom w:val="single" w:color="auto" w:sz="4" w:space="0"/>
            </w:tcBorders>
            <w:noWrap w:val="0"/>
            <w:vAlign w:val="center"/>
          </w:tcPr>
          <w:p w14:paraId="75AC5F4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r>
      <w:tr w14:paraId="42E0C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noWrap w:val="0"/>
            <w:vAlign w:val="center"/>
          </w:tcPr>
          <w:p w14:paraId="2E958F1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891" w:type="pct"/>
            <w:vMerge w:val="continue"/>
            <w:noWrap w:val="0"/>
            <w:vAlign w:val="center"/>
          </w:tcPr>
          <w:p w14:paraId="3A9EF99C">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538" w:type="pct"/>
            <w:noWrap w:val="0"/>
            <w:vAlign w:val="center"/>
          </w:tcPr>
          <w:p w14:paraId="2B05A6A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leftChars="0" w:right="0" w:right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氨氮</w:t>
            </w:r>
          </w:p>
        </w:tc>
        <w:tc>
          <w:tcPr>
            <w:tcW w:w="1565" w:type="pct"/>
            <w:vMerge w:val="continue"/>
            <w:noWrap w:val="0"/>
            <w:vAlign w:val="center"/>
          </w:tcPr>
          <w:p w14:paraId="50819687">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c>
          <w:tcPr>
            <w:tcW w:w="1147" w:type="pct"/>
            <w:vMerge w:val="continue"/>
            <w:tcBorders>
              <w:top w:val="single" w:color="auto" w:sz="4" w:space="0"/>
              <w:bottom w:val="single" w:color="auto" w:sz="4" w:space="0"/>
            </w:tcBorders>
            <w:noWrap w:val="0"/>
            <w:vAlign w:val="center"/>
          </w:tcPr>
          <w:p w14:paraId="455A0FC5">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264" w:lineRule="auto"/>
              <w:ind w:left="0" w:right="0"/>
              <w:jc w:val="left"/>
              <w:textAlignment w:val="auto"/>
              <w:rPr>
                <w:rFonts w:hint="eastAsia" w:ascii="Times New Roman" w:hAnsi="Times New Roman" w:eastAsia="宋体" w:cs="宋体"/>
                <w:color w:val="auto"/>
                <w:sz w:val="21"/>
                <w:szCs w:val="21"/>
                <w:highlight w:val="none"/>
                <w:lang w:val="en-US" w:eastAsia="zh-CN"/>
              </w:rPr>
            </w:pPr>
          </w:p>
        </w:tc>
      </w:tr>
      <w:tr w14:paraId="269DA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noWrap w:val="0"/>
            <w:vAlign w:val="center"/>
          </w:tcPr>
          <w:p w14:paraId="30A5C4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声环境</w:t>
            </w:r>
          </w:p>
        </w:tc>
        <w:tc>
          <w:tcPr>
            <w:tcW w:w="891" w:type="pct"/>
            <w:noWrap w:val="0"/>
            <w:vAlign w:val="center"/>
          </w:tcPr>
          <w:p w14:paraId="3B4A7D1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设备噪声</w:t>
            </w:r>
          </w:p>
        </w:tc>
        <w:tc>
          <w:tcPr>
            <w:tcW w:w="538" w:type="pct"/>
            <w:noWrap w:val="0"/>
            <w:vAlign w:val="center"/>
          </w:tcPr>
          <w:p w14:paraId="096AA16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连续等效A声级</w:t>
            </w:r>
          </w:p>
        </w:tc>
        <w:tc>
          <w:tcPr>
            <w:tcW w:w="1565" w:type="pct"/>
            <w:noWrap w:val="0"/>
            <w:vAlign w:val="center"/>
          </w:tcPr>
          <w:p w14:paraId="5D4C31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93"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隔声、减震等措施。</w:t>
            </w:r>
          </w:p>
        </w:tc>
        <w:tc>
          <w:tcPr>
            <w:tcW w:w="1147" w:type="pct"/>
            <w:tcBorders>
              <w:top w:val="single" w:color="auto" w:sz="4" w:space="0"/>
            </w:tcBorders>
            <w:noWrap w:val="0"/>
            <w:vAlign w:val="center"/>
          </w:tcPr>
          <w:p w14:paraId="42BF583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93"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《工业企业厂界环境噪声排放标准》（GB12348-2008）3</w:t>
            </w:r>
            <w:r>
              <w:rPr>
                <w:rFonts w:hint="default" w:ascii="Times New Roman" w:hAnsi="Times New Roman" w:eastAsia="宋体" w:cs="宋体"/>
                <w:color w:val="auto"/>
                <w:sz w:val="21"/>
                <w:szCs w:val="21"/>
                <w:highlight w:val="none"/>
                <w:lang w:val="en-US" w:eastAsia="zh-CN"/>
              </w:rPr>
              <w:t xml:space="preserve"> </w:t>
            </w:r>
            <w:r>
              <w:rPr>
                <w:rFonts w:hint="eastAsia" w:ascii="Times New Roman" w:hAnsi="Times New Roman" w:eastAsia="宋体" w:cs="宋体"/>
                <w:color w:val="auto"/>
                <w:sz w:val="21"/>
                <w:szCs w:val="21"/>
                <w:highlight w:val="none"/>
                <w:lang w:val="en-US" w:eastAsia="zh-CN"/>
              </w:rPr>
              <w:t>类标准</w:t>
            </w:r>
          </w:p>
          <w:p w14:paraId="75BD706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93"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昼间≤</w:t>
            </w:r>
            <w:r>
              <w:rPr>
                <w:rFonts w:hint="default" w:ascii="Times New Roman" w:hAnsi="Times New Roman" w:eastAsia="宋体" w:cs="宋体"/>
                <w:color w:val="auto"/>
                <w:sz w:val="21"/>
                <w:szCs w:val="21"/>
                <w:highlight w:val="none"/>
                <w:lang w:val="en-US" w:eastAsia="zh-CN"/>
              </w:rPr>
              <w:t>6</w:t>
            </w:r>
            <w:r>
              <w:rPr>
                <w:rFonts w:hint="eastAsia" w:ascii="Times New Roman" w:hAnsi="Times New Roman" w:eastAsia="宋体" w:cs="宋体"/>
                <w:color w:val="auto"/>
                <w:sz w:val="21"/>
                <w:szCs w:val="21"/>
                <w:highlight w:val="none"/>
                <w:lang w:val="en-US" w:eastAsia="zh-CN"/>
              </w:rPr>
              <w:t>5</w:t>
            </w:r>
            <w:r>
              <w:rPr>
                <w:rFonts w:hint="default" w:ascii="Times New Roman" w:hAnsi="Times New Roman" w:eastAsia="宋体" w:cs="宋体"/>
                <w:color w:val="auto"/>
                <w:sz w:val="21"/>
                <w:szCs w:val="21"/>
                <w:highlight w:val="none"/>
                <w:lang w:val="en-US" w:eastAsia="zh-CN"/>
              </w:rPr>
              <w:t>dB</w:t>
            </w:r>
            <w:r>
              <w:rPr>
                <w:rFonts w:hint="eastAsia" w:ascii="Times New Roman" w:hAnsi="Times New Roman" w:eastAsia="宋体" w:cs="宋体"/>
                <w:color w:val="auto"/>
                <w:sz w:val="21"/>
                <w:szCs w:val="21"/>
                <w:highlight w:val="none"/>
                <w:lang w:val="en-US" w:eastAsia="zh-CN"/>
              </w:rPr>
              <w:t>（A）</w:t>
            </w:r>
          </w:p>
          <w:p w14:paraId="21AE6B7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93"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夜间≤</w:t>
            </w:r>
            <w:r>
              <w:rPr>
                <w:rFonts w:hint="default" w:ascii="Times New Roman" w:hAnsi="Times New Roman" w:eastAsia="宋体" w:cs="宋体"/>
                <w:color w:val="auto"/>
                <w:sz w:val="21"/>
                <w:szCs w:val="21"/>
                <w:highlight w:val="none"/>
                <w:lang w:val="en-US" w:eastAsia="zh-CN"/>
              </w:rPr>
              <w:t>5</w:t>
            </w:r>
            <w:r>
              <w:rPr>
                <w:rFonts w:hint="eastAsia" w:ascii="Times New Roman" w:hAnsi="Times New Roman" w:eastAsia="宋体" w:cs="宋体"/>
                <w:color w:val="auto"/>
                <w:sz w:val="21"/>
                <w:szCs w:val="21"/>
                <w:highlight w:val="none"/>
                <w:lang w:val="en-US" w:eastAsia="zh-CN"/>
              </w:rPr>
              <w:t>5</w:t>
            </w:r>
            <w:r>
              <w:rPr>
                <w:rFonts w:hint="default" w:ascii="Times New Roman" w:hAnsi="Times New Roman" w:eastAsia="宋体" w:cs="宋体"/>
                <w:color w:val="auto"/>
                <w:sz w:val="21"/>
                <w:szCs w:val="21"/>
                <w:highlight w:val="none"/>
                <w:lang w:val="en-US" w:eastAsia="zh-CN"/>
              </w:rPr>
              <w:t>dB</w:t>
            </w:r>
            <w:r>
              <w:rPr>
                <w:rFonts w:hint="eastAsia" w:ascii="Times New Roman" w:hAnsi="Times New Roman" w:eastAsia="宋体" w:cs="宋体"/>
                <w:color w:val="auto"/>
                <w:sz w:val="21"/>
                <w:szCs w:val="21"/>
                <w:highlight w:val="none"/>
                <w:lang w:val="en-US" w:eastAsia="zh-CN"/>
              </w:rPr>
              <w:t>（A）</w:t>
            </w:r>
          </w:p>
        </w:tc>
      </w:tr>
      <w:tr w14:paraId="3FA71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857" w:type="pct"/>
            <w:noWrap w:val="0"/>
            <w:vAlign w:val="center"/>
          </w:tcPr>
          <w:p w14:paraId="79737DB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电磁辐射</w:t>
            </w:r>
          </w:p>
        </w:tc>
        <w:tc>
          <w:tcPr>
            <w:tcW w:w="4142" w:type="pct"/>
            <w:gridSpan w:val="4"/>
            <w:noWrap w:val="0"/>
            <w:vAlign w:val="center"/>
          </w:tcPr>
          <w:p w14:paraId="3B7B56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eastAsia="zh-CN"/>
              </w:rPr>
              <w:t>无</w:t>
            </w:r>
          </w:p>
        </w:tc>
      </w:tr>
      <w:tr w14:paraId="052AD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noWrap w:val="0"/>
            <w:vAlign w:val="center"/>
          </w:tcPr>
          <w:p w14:paraId="10358A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64"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固体废物</w:t>
            </w:r>
          </w:p>
        </w:tc>
        <w:tc>
          <w:tcPr>
            <w:tcW w:w="4142" w:type="pct"/>
            <w:gridSpan w:val="4"/>
            <w:noWrap w:val="0"/>
            <w:vAlign w:val="center"/>
          </w:tcPr>
          <w:p w14:paraId="22956A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u w:val="none"/>
                <w:lang w:val="en-US" w:eastAsia="zh-CN"/>
              </w:rPr>
              <w:t xml:space="preserve">① </w:t>
            </w:r>
            <w:r>
              <w:rPr>
                <w:rFonts w:hint="eastAsia" w:ascii="Times New Roman" w:hAnsi="Times New Roman" w:eastAsia="宋体"/>
                <w:b w:val="0"/>
                <w:bCs w:val="0"/>
                <w:color w:val="auto"/>
                <w:sz w:val="21"/>
                <w:szCs w:val="21"/>
                <w:highlight w:val="none"/>
                <w:u w:val="single"/>
                <w:lang w:val="en-US" w:eastAsia="zh-CN"/>
              </w:rPr>
              <w:t>一般固废</w:t>
            </w:r>
            <w:r>
              <w:rPr>
                <w:rFonts w:hint="eastAsia" w:ascii="Times New Roman" w:hAnsi="Times New Roman" w:eastAsia="宋体"/>
                <w:b w:val="0"/>
                <w:bCs w:val="0"/>
                <w:color w:val="auto"/>
                <w:sz w:val="21"/>
                <w:szCs w:val="21"/>
                <w:highlight w:val="none"/>
                <w:lang w:val="en-US" w:eastAsia="zh-CN"/>
              </w:rPr>
              <w:t>：运营期一般固废主要为废钢丸、不合格品、除尘灰等，收集后分类暂存于厂区一般固废暂存区（面积约20m</w:t>
            </w:r>
            <w:r>
              <w:rPr>
                <w:rFonts w:hint="eastAsia" w:ascii="Times New Roman" w:hAnsi="Times New Roman" w:eastAsia="宋体"/>
                <w:b w:val="0"/>
                <w:bCs w:val="0"/>
                <w:color w:val="auto"/>
                <w:sz w:val="21"/>
                <w:szCs w:val="21"/>
                <w:highlight w:val="none"/>
                <w:vertAlign w:val="superscript"/>
                <w:lang w:val="en-US" w:eastAsia="zh-CN"/>
              </w:rPr>
              <w:t>2</w:t>
            </w:r>
            <w:r>
              <w:rPr>
                <w:rFonts w:hint="eastAsia" w:ascii="Times New Roman" w:hAnsi="Times New Roman" w:eastAsia="宋体"/>
                <w:b w:val="0"/>
                <w:bCs w:val="0"/>
                <w:color w:val="auto"/>
                <w:sz w:val="21"/>
                <w:szCs w:val="21"/>
                <w:highlight w:val="none"/>
                <w:lang w:val="en-US" w:eastAsia="zh-CN"/>
              </w:rPr>
              <w:t>），定期外售综合利用。项目一般固废暂存区设置应符合《一般工业固体废物贮存和填埋污染控制标准》（GB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341A2BF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i w:val="0"/>
                <w:iCs w:val="0"/>
                <w:color w:val="auto"/>
                <w:sz w:val="21"/>
                <w:szCs w:val="21"/>
                <w:highlight w:val="none"/>
                <w:u w:val="none"/>
                <w:lang w:val="en-US" w:eastAsia="zh-CN"/>
              </w:rPr>
              <w:t xml:space="preserve">② </w:t>
            </w:r>
            <w:r>
              <w:rPr>
                <w:rFonts w:hint="eastAsia" w:ascii="Times New Roman" w:hAnsi="Times New Roman" w:eastAsia="宋体"/>
                <w:b w:val="0"/>
                <w:bCs w:val="0"/>
                <w:i w:val="0"/>
                <w:iCs w:val="0"/>
                <w:color w:val="auto"/>
                <w:sz w:val="21"/>
                <w:szCs w:val="21"/>
                <w:highlight w:val="none"/>
                <w:u w:val="single"/>
                <w:lang w:val="en-US" w:eastAsia="zh-CN"/>
              </w:rPr>
              <w:t>危险废物</w:t>
            </w:r>
            <w:r>
              <w:rPr>
                <w:rFonts w:hint="eastAsia" w:ascii="Times New Roman" w:hAnsi="Times New Roman" w:eastAsia="宋体"/>
                <w:b w:val="0"/>
                <w:bCs w:val="0"/>
                <w:color w:val="auto"/>
                <w:sz w:val="21"/>
                <w:szCs w:val="21"/>
                <w:highlight w:val="none"/>
                <w:lang w:val="en-US" w:eastAsia="zh-CN"/>
              </w:rPr>
              <w:t>：主要为废机油、废油桶、空压机含油废液、含油废棉纱手套等，危废统一收集后，分类暂存于厂区危废贮存点，定期交有相应危险废物处理资质单位转运处置。</w:t>
            </w:r>
          </w:p>
          <w:p w14:paraId="66EA831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val="en-US" w:eastAsia="zh-CN"/>
              </w:rPr>
              <w:t>项目危废贮存点面积约10 m</w:t>
            </w:r>
            <w:r>
              <w:rPr>
                <w:rFonts w:hint="eastAsia" w:ascii="Times New Roman" w:hAnsi="Times New Roman" w:eastAsia="宋体"/>
                <w:b w:val="0"/>
                <w:bCs w:val="0"/>
                <w:color w:val="auto"/>
                <w:sz w:val="21"/>
                <w:szCs w:val="21"/>
                <w:highlight w:val="none"/>
                <w:vertAlign w:val="superscript"/>
                <w:lang w:val="en-US" w:eastAsia="zh-CN"/>
              </w:rPr>
              <w:t>2</w:t>
            </w:r>
            <w:r>
              <w:rPr>
                <w:rFonts w:hint="eastAsia" w:ascii="Times New Roman" w:hAnsi="Times New Roman" w:eastAsia="宋体"/>
                <w:b w:val="0"/>
                <w:bCs w:val="0"/>
                <w:color w:val="auto"/>
                <w:sz w:val="21"/>
                <w:szCs w:val="21"/>
                <w:highlight w:val="none"/>
                <w:lang w:val="en-US" w:eastAsia="zh-CN"/>
              </w:rPr>
              <w:t>，应满足《危险废物贮存污染控制标准》（</w:t>
            </w:r>
            <w:r>
              <w:rPr>
                <w:rFonts w:hint="default" w:ascii="Times New Roman" w:hAnsi="Times New Roman" w:eastAsia="宋体"/>
                <w:b w:val="0"/>
                <w:bCs w:val="0"/>
                <w:color w:val="auto"/>
                <w:sz w:val="21"/>
                <w:szCs w:val="21"/>
                <w:highlight w:val="none"/>
                <w:lang w:val="en-US" w:eastAsia="zh-CN"/>
              </w:rPr>
              <w:t>GB</w:t>
            </w:r>
            <w:r>
              <w:rPr>
                <w:rFonts w:hint="eastAsia" w:ascii="Times New Roman" w:hAnsi="Times New Roman" w:eastAsia="宋体"/>
                <w:b w:val="0"/>
                <w:bCs w:val="0"/>
                <w:color w:val="auto"/>
                <w:sz w:val="21"/>
                <w:szCs w:val="21"/>
                <w:highlight w:val="none"/>
                <w:lang w:val="en-US" w:eastAsia="zh-CN"/>
              </w:rPr>
              <w:t xml:space="preserve"> </w:t>
            </w:r>
            <w:r>
              <w:rPr>
                <w:rFonts w:hint="default" w:ascii="Times New Roman" w:hAnsi="Times New Roman" w:eastAsia="宋体"/>
                <w:b w:val="0"/>
                <w:bCs w:val="0"/>
                <w:color w:val="auto"/>
                <w:sz w:val="21"/>
                <w:szCs w:val="21"/>
                <w:highlight w:val="none"/>
                <w:lang w:val="en-US" w:eastAsia="zh-CN"/>
              </w:rPr>
              <w:t>18597-</w:t>
            </w:r>
            <w:r>
              <w:rPr>
                <w:rFonts w:hint="eastAsia" w:ascii="Times New Roman" w:hAnsi="Times New Roman" w:eastAsia="宋体"/>
                <w:b w:val="0"/>
                <w:bCs w:val="0"/>
                <w:color w:val="auto"/>
                <w:sz w:val="21"/>
                <w:szCs w:val="21"/>
                <w:highlight w:val="none"/>
                <w:lang w:val="en-US" w:eastAsia="zh-CN"/>
              </w:rPr>
              <w:t>2023）的相关设置要求。运营期应严格按《中华人民共和国固体废物污染环境防治法》、《危险废物转移联单管理办法》等的规定，对厂区危险废物进行处置。危险废物转运处置前，厂内临时储存和运输也应按照危险废物管理和处置相关要求进行。</w:t>
            </w:r>
          </w:p>
        </w:tc>
      </w:tr>
      <w:tr w14:paraId="407F8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noWrap w:val="0"/>
            <w:vAlign w:val="center"/>
          </w:tcPr>
          <w:p w14:paraId="63432D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土壤及地下水</w:t>
            </w:r>
          </w:p>
          <w:p w14:paraId="18BEACE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污染防治措施</w:t>
            </w:r>
          </w:p>
        </w:tc>
        <w:tc>
          <w:tcPr>
            <w:tcW w:w="4142" w:type="pct"/>
            <w:gridSpan w:val="4"/>
            <w:noWrap w:val="0"/>
            <w:vAlign w:val="center"/>
          </w:tcPr>
          <w:p w14:paraId="2C45BE8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项目油料区地面应采取防渗处理，液体原料盛装容器下方均设置防漏托盘（托盘容积应大于托盘内容器最大盛装量）；危废贮存点地面采取防渗处理，废油、废液容器下方应设置防漏托盘（托盘容积应大于托盘内废油容器最大盛装量）。</w:t>
            </w:r>
          </w:p>
          <w:p w14:paraId="72E9C8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油料区、危废贮存点等为重点防渗区：防渗性能不低于6.0m厚渗透系数为</w:t>
            </w:r>
            <w:r>
              <w:rPr>
                <w:rFonts w:hint="default" w:ascii="Times New Roman" w:hAnsi="Times New Roman" w:eastAsia="宋体"/>
                <w:b w:val="0"/>
                <w:bCs w:val="0"/>
                <w:color w:val="auto"/>
                <w:sz w:val="21"/>
                <w:szCs w:val="21"/>
                <w:highlight w:val="none"/>
                <w:lang w:val="en-US" w:eastAsia="zh-CN"/>
              </w:rPr>
              <w:t>1.0×10</w:t>
            </w:r>
            <w:r>
              <w:rPr>
                <w:rFonts w:hint="default" w:ascii="Times New Roman" w:hAnsi="Times New Roman" w:eastAsia="宋体"/>
                <w:b w:val="0"/>
                <w:bCs w:val="0"/>
                <w:color w:val="auto"/>
                <w:sz w:val="21"/>
                <w:szCs w:val="21"/>
                <w:highlight w:val="none"/>
                <w:vertAlign w:val="superscript"/>
                <w:lang w:val="en-US" w:eastAsia="zh-CN"/>
              </w:rPr>
              <w:t>-7</w:t>
            </w:r>
            <w:r>
              <w:rPr>
                <w:rFonts w:hint="default" w:ascii="Times New Roman" w:hAnsi="Times New Roman" w:eastAsia="宋体"/>
                <w:b w:val="0"/>
                <w:bCs w:val="0"/>
                <w:color w:val="auto"/>
                <w:sz w:val="21"/>
                <w:szCs w:val="21"/>
                <w:highlight w:val="none"/>
                <w:lang w:val="en-US" w:eastAsia="zh-CN"/>
              </w:rPr>
              <w:t>cm/s</w:t>
            </w:r>
            <w:r>
              <w:rPr>
                <w:rFonts w:hint="eastAsia" w:ascii="Times New Roman" w:hAnsi="Times New Roman" w:eastAsia="宋体"/>
                <w:b w:val="0"/>
                <w:bCs w:val="0"/>
                <w:color w:val="auto"/>
                <w:sz w:val="21"/>
                <w:szCs w:val="21"/>
                <w:highlight w:val="none"/>
                <w:lang w:val="en-US" w:eastAsia="zh-CN"/>
              </w:rPr>
              <w:t>的黏土层防渗性能。</w:t>
            </w:r>
          </w:p>
        </w:tc>
      </w:tr>
      <w:tr w14:paraId="129C2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857" w:type="pct"/>
            <w:noWrap w:val="0"/>
            <w:vAlign w:val="center"/>
          </w:tcPr>
          <w:p w14:paraId="0DEB63C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生态保护措施</w:t>
            </w:r>
          </w:p>
        </w:tc>
        <w:tc>
          <w:tcPr>
            <w:tcW w:w="4142" w:type="pct"/>
            <w:gridSpan w:val="4"/>
            <w:noWrap w:val="0"/>
            <w:vAlign w:val="center"/>
          </w:tcPr>
          <w:p w14:paraId="4574AC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auto"/>
              <w:ind w:left="0" w:right="0"/>
              <w:jc w:val="center"/>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eastAsia="zh-CN"/>
              </w:rPr>
              <w:t>无</w:t>
            </w:r>
          </w:p>
        </w:tc>
      </w:tr>
      <w:tr w14:paraId="72CAF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noWrap w:val="0"/>
            <w:vAlign w:val="center"/>
          </w:tcPr>
          <w:p w14:paraId="7287BBB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jc w:val="center"/>
              <w:textAlignment w:val="auto"/>
              <w:rPr>
                <w:rFonts w:hint="default" w:ascii="Times New Roman" w:hAnsi="Times New Roman" w:eastAsia="宋体" w:cs="宋体"/>
                <w:b/>
                <w:bCs/>
                <w:color w:val="auto"/>
                <w:spacing w:val="-8"/>
                <w:sz w:val="24"/>
                <w:szCs w:val="24"/>
                <w:highlight w:val="none"/>
              </w:rPr>
            </w:pPr>
            <w:r>
              <w:rPr>
                <w:rFonts w:hint="eastAsia" w:ascii="Times New Roman" w:hAnsi="Times New Roman" w:eastAsia="宋体" w:cs="宋体"/>
                <w:b/>
                <w:bCs/>
                <w:color w:val="auto"/>
                <w:spacing w:val="-8"/>
                <w:sz w:val="24"/>
                <w:szCs w:val="24"/>
                <w:highlight w:val="none"/>
              </w:rPr>
              <w:t>环境风险</w:t>
            </w:r>
          </w:p>
          <w:p w14:paraId="01822B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Times New Roman" w:hAnsi="Times New Roman" w:eastAsia="宋体" w:cs="宋体"/>
                <w:b/>
                <w:bCs/>
                <w:color w:val="auto"/>
                <w:spacing w:val="-8"/>
                <w:sz w:val="24"/>
                <w:szCs w:val="24"/>
                <w:highlight w:val="none"/>
              </w:rPr>
            </w:pPr>
            <w:r>
              <w:rPr>
                <w:rFonts w:hint="eastAsia" w:ascii="Times New Roman" w:hAnsi="Times New Roman" w:eastAsia="宋体" w:cs="宋体"/>
                <w:b/>
                <w:bCs/>
                <w:color w:val="auto"/>
                <w:spacing w:val="-8"/>
                <w:sz w:val="24"/>
                <w:szCs w:val="24"/>
                <w:highlight w:val="none"/>
              </w:rPr>
              <w:t>防范措施</w:t>
            </w:r>
          </w:p>
        </w:tc>
        <w:tc>
          <w:tcPr>
            <w:tcW w:w="4142" w:type="pct"/>
            <w:gridSpan w:val="4"/>
            <w:noWrap w:val="0"/>
            <w:vAlign w:val="center"/>
          </w:tcPr>
          <w:p w14:paraId="0B7BFED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项目油料区地面采取防渗处理，液体原料盛装容器下方均设置防漏托盘（托盘容积应大于托盘内容器最大盛装量）；危废贮存点废机油、废油桶等储存区地面应设置托盘，并置于托盘上，防止泄漏，按要求采取防腐防渗措施。各种危废分类存放，并应具有相应转运记录。</w:t>
            </w:r>
          </w:p>
        </w:tc>
      </w:tr>
      <w:tr w14:paraId="10449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85" w:hRule="atLeast"/>
          <w:jc w:val="center"/>
        </w:trPr>
        <w:tc>
          <w:tcPr>
            <w:tcW w:w="857" w:type="pct"/>
            <w:noWrap w:val="0"/>
            <w:vAlign w:val="center"/>
          </w:tcPr>
          <w:p w14:paraId="3B95CF6B">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宋体"/>
                <w:b/>
                <w:bCs/>
                <w:color w:val="auto"/>
                <w:spacing w:val="-8"/>
                <w:sz w:val="24"/>
                <w:szCs w:val="24"/>
                <w:highlight w:val="none"/>
              </w:rPr>
            </w:pPr>
            <w:r>
              <w:rPr>
                <w:rFonts w:hint="eastAsia" w:ascii="Times New Roman" w:hAnsi="Times New Roman" w:eastAsia="宋体" w:cs="宋体"/>
                <w:b/>
                <w:bCs/>
                <w:color w:val="auto"/>
                <w:spacing w:val="-8"/>
                <w:sz w:val="24"/>
                <w:szCs w:val="24"/>
                <w:highlight w:val="none"/>
              </w:rPr>
              <w:t>其他环境</w:t>
            </w:r>
          </w:p>
          <w:p w14:paraId="4CF3C47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eastAsia" w:ascii="Times New Roman" w:hAnsi="Times New Roman" w:eastAsia="宋体" w:cs="宋体"/>
                <w:b/>
                <w:bCs/>
                <w:color w:val="auto"/>
                <w:spacing w:val="-8"/>
                <w:sz w:val="24"/>
                <w:szCs w:val="24"/>
                <w:highlight w:val="none"/>
              </w:rPr>
            </w:pPr>
            <w:r>
              <w:rPr>
                <w:rFonts w:hint="eastAsia" w:ascii="Times New Roman" w:hAnsi="Times New Roman" w:eastAsia="宋体" w:cs="宋体"/>
                <w:b/>
                <w:bCs/>
                <w:color w:val="auto"/>
                <w:spacing w:val="-8"/>
                <w:sz w:val="24"/>
                <w:szCs w:val="24"/>
                <w:highlight w:val="none"/>
              </w:rPr>
              <w:t>管理要求</w:t>
            </w:r>
          </w:p>
        </w:tc>
        <w:tc>
          <w:tcPr>
            <w:tcW w:w="4142" w:type="pct"/>
            <w:gridSpan w:val="4"/>
            <w:noWrap w:val="0"/>
            <w:vAlign w:val="center"/>
          </w:tcPr>
          <w:p w14:paraId="3EBB8651">
            <w:pPr>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79" w:afterLines="25" w:afterAutospacing="0" w:line="300" w:lineRule="auto"/>
              <w:ind w:left="0" w:right="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无</w:t>
            </w:r>
          </w:p>
        </w:tc>
      </w:tr>
    </w:tbl>
    <w:p w14:paraId="72AAD3B5">
      <w:pPr>
        <w:pStyle w:val="18"/>
        <w:keepNext w:val="0"/>
        <w:keepLines w:val="0"/>
        <w:pageBreakBefore w:val="0"/>
        <w:widowControl/>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auto"/>
          <w:sz w:val="30"/>
          <w:szCs w:val="30"/>
          <w:highlight w:val="none"/>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23" w:name="_Toc20594"/>
    </w:p>
    <w:p w14:paraId="58337FDC">
      <w:pPr>
        <w:pStyle w:val="18"/>
        <w:keepNext w:val="0"/>
        <w:keepLines w:val="0"/>
        <w:pageBreakBefore w:val="0"/>
        <w:widowControl/>
        <w:kinsoku/>
        <w:wordWrap/>
        <w:overflowPunct/>
        <w:topLinePunct w:val="0"/>
        <w:autoSpaceDE/>
        <w:autoSpaceDN/>
        <w:bidi w:val="0"/>
        <w:adjustRightInd/>
        <w:snapToGrid/>
        <w:spacing w:before="32" w:beforeLines="10" w:beforeAutospacing="0" w:after="32" w:afterLines="10" w:afterAutospacing="0" w:line="240" w:lineRule="auto"/>
        <w:jc w:val="center"/>
        <w:textAlignment w:val="auto"/>
        <w:outlineLvl w:val="0"/>
        <w:rPr>
          <w:rFonts w:hint="eastAsia" w:ascii="Times New Roman" w:hAnsi="Times New Roman" w:eastAsia="黑体"/>
          <w:snapToGrid w:val="0"/>
          <w:color w:val="auto"/>
          <w:sz w:val="30"/>
          <w:szCs w:val="30"/>
          <w:highlight w:val="none"/>
        </w:rPr>
      </w:pPr>
      <w:r>
        <w:rPr>
          <w:rFonts w:hint="eastAsia" w:ascii="Times New Roman" w:hAnsi="Times New Roman" w:eastAsia="黑体"/>
          <w:snapToGrid w:val="0"/>
          <w:color w:val="auto"/>
          <w:sz w:val="30"/>
          <w:szCs w:val="30"/>
          <w:highlight w:val="none"/>
        </w:rPr>
        <w:t>六、结论</w:t>
      </w:r>
      <w:bookmarkEnd w:id="23"/>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9162"/>
      </w:tblGrid>
      <w:tr w14:paraId="0C197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877" w:hRule="atLeast"/>
          <w:jc w:val="center"/>
        </w:trPr>
        <w:tc>
          <w:tcPr>
            <w:tcW w:w="5000" w:type="pct"/>
            <w:noWrap w:val="0"/>
            <w:vAlign w:val="top"/>
          </w:tcPr>
          <w:p w14:paraId="51838FD6">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宋体"/>
                <w:color w:val="auto"/>
                <w:sz w:val="24"/>
                <w:highlight w:val="none"/>
              </w:rPr>
            </w:pPr>
            <w:r>
              <w:rPr>
                <w:rFonts w:hint="eastAsia" w:ascii="Times New Roman" w:hAnsi="Times New Roman"/>
                <w:color w:val="auto"/>
                <w:sz w:val="24"/>
                <w:highlight w:val="none"/>
                <w:lang w:val="en-US" w:eastAsia="zh-CN"/>
              </w:rPr>
              <w:t>综上所述，项目选址合理、符合国家及地方产业政策。项目运营期如能采取积极措施不断提高企业循环经济水平，推行清洁生产，并严格执行“三同时”制度，严格控制污染物排放量，将产生的各项污染物按报告中提出的污染治理措施进行治理，加强污染治理设施和设备的运行管理，则项目营运期对周围环境不会产生明显的影响。从环境保护角度分析，项目建设是可行的。</w:t>
            </w:r>
          </w:p>
        </w:tc>
      </w:tr>
    </w:tbl>
    <w:p w14:paraId="3043D683">
      <w:pPr>
        <w:keepNext w:val="0"/>
        <w:keepLines w:val="0"/>
        <w:pageBreakBefore w:val="0"/>
        <w:widowControl w:val="0"/>
        <w:kinsoku/>
        <w:wordWrap/>
        <w:overflowPunct/>
        <w:topLinePunct w:val="0"/>
        <w:bidi w:val="0"/>
        <w:snapToGrid/>
        <w:spacing w:line="40" w:lineRule="exact"/>
        <w:textAlignment w:val="auto"/>
        <w:rPr>
          <w:rFonts w:hint="eastAsia" w:ascii="Times New Roman" w:hAnsi="Times New Roman" w:eastAsia="宋体"/>
          <w:color w:val="auto"/>
          <w:highlight w:val="none"/>
          <w:lang w:val="en-US" w:eastAsia="zh-CN"/>
        </w:rPr>
      </w:pPr>
    </w:p>
    <w:p w14:paraId="54310E11">
      <w:pPr>
        <w:pStyle w:val="27"/>
        <w:keepNext w:val="0"/>
        <w:keepLines w:val="0"/>
        <w:pageBreakBefore w:val="0"/>
        <w:widowControl w:val="0"/>
        <w:kinsoku/>
        <w:wordWrap/>
        <w:overflowPunct/>
        <w:topLinePunct w:val="0"/>
        <w:bidi w:val="0"/>
        <w:snapToGrid/>
        <w:spacing w:line="40" w:lineRule="exact"/>
        <w:textAlignment w:val="auto"/>
        <w:rPr>
          <w:rFonts w:hint="eastAsia" w:ascii="Times New Roman" w:hAnsi="Times New Roman" w:eastAsia="宋体"/>
          <w:color w:val="auto"/>
          <w:highlight w:val="none"/>
          <w:lang w:val="en-US" w:eastAsia="zh-CN"/>
        </w:rPr>
        <w:sectPr>
          <w:pgSz w:w="11906" w:h="16838"/>
          <w:pgMar w:top="1440" w:right="1344" w:bottom="1440" w:left="151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0CEA84B">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0"/>
        <w:rPr>
          <w:rFonts w:ascii="Times New Roman" w:hAnsi="Times New Roman" w:eastAsia="黑体"/>
          <w:snapToGrid w:val="0"/>
          <w:color w:val="auto"/>
          <w:sz w:val="32"/>
          <w:szCs w:val="32"/>
          <w:highlight w:val="none"/>
        </w:rPr>
      </w:pPr>
      <w:bookmarkStart w:id="24" w:name="_Toc15714"/>
      <w:r>
        <w:rPr>
          <w:rFonts w:hint="eastAsia" w:ascii="Times New Roman" w:hAnsi="Times New Roman" w:eastAsia="黑体"/>
          <w:snapToGrid w:val="0"/>
          <w:color w:val="auto"/>
          <w:sz w:val="32"/>
          <w:szCs w:val="32"/>
          <w:highlight w:val="none"/>
        </w:rPr>
        <w:t>附表</w:t>
      </w:r>
      <w:bookmarkEnd w:id="24"/>
    </w:p>
    <w:p w14:paraId="6AB4DC35">
      <w:pPr>
        <w:pStyle w:val="18"/>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240" w:lineRule="auto"/>
        <w:jc w:val="center"/>
        <w:textAlignment w:val="auto"/>
        <w:outlineLvl w:val="9"/>
        <w:rPr>
          <w:rFonts w:hint="eastAsia" w:ascii="Times New Roman" w:hAnsi="Times New Roman" w:eastAsia="黑体"/>
          <w:b w:val="0"/>
          <w:bCs w:val="0"/>
          <w:snapToGrid w:val="0"/>
          <w:color w:val="auto"/>
          <w:sz w:val="36"/>
          <w:szCs w:val="36"/>
          <w:highlight w:val="none"/>
        </w:rPr>
      </w:pPr>
      <w:r>
        <w:rPr>
          <w:rFonts w:hint="eastAsia" w:ascii="Times New Roman" w:hAnsi="Times New Roman" w:eastAsia="黑体"/>
          <w:b w:val="0"/>
          <w:bCs w:val="0"/>
          <w:snapToGrid w:val="0"/>
          <w:color w:val="auto"/>
          <w:sz w:val="36"/>
          <w:szCs w:val="36"/>
          <w:highlight w:val="none"/>
        </w:rPr>
        <w:t>建设项目污染物排放量汇总表</w:t>
      </w:r>
    </w:p>
    <w:tbl>
      <w:tblPr>
        <w:tblStyle w:val="22"/>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785"/>
        <w:gridCol w:w="1446"/>
        <w:gridCol w:w="1468"/>
        <w:gridCol w:w="1617"/>
        <w:gridCol w:w="1513"/>
        <w:gridCol w:w="1698"/>
        <w:gridCol w:w="1679"/>
        <w:gridCol w:w="1615"/>
      </w:tblGrid>
      <w:tr w14:paraId="39683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tcBorders>
              <w:tl2br w:val="single" w:color="auto" w:sz="4" w:space="0"/>
            </w:tcBorders>
            <w:noWrap w:val="0"/>
            <w:tcMar>
              <w:left w:w="28" w:type="dxa"/>
              <w:right w:w="28" w:type="dxa"/>
            </w:tcMar>
            <w:vAlign w:val="center"/>
          </w:tcPr>
          <w:p w14:paraId="05562C2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right"/>
              <w:textAlignment w:val="auto"/>
              <w:rPr>
                <w:rFonts w:hint="eastAsia" w:ascii="Times New Roman" w:hAnsi="Times New Roman" w:eastAsia="宋体" w:cs="宋体"/>
                <w:b/>
                <w:bCs/>
                <w:snapToGrid w:val="0"/>
                <w:color w:val="auto"/>
                <w:spacing w:val="-6"/>
                <w:kern w:val="21"/>
                <w:szCs w:val="21"/>
                <w:highlight w:val="none"/>
              </w:rPr>
            </w:pPr>
            <w:r>
              <w:rPr>
                <w:rFonts w:hint="eastAsia" w:ascii="Times New Roman" w:hAnsi="Times New Roman" w:eastAsia="宋体" w:cs="宋体"/>
                <w:b/>
                <w:bCs/>
                <w:snapToGrid w:val="0"/>
                <w:color w:val="auto"/>
                <w:spacing w:val="-6"/>
                <w:kern w:val="21"/>
                <w:szCs w:val="21"/>
                <w:highlight w:val="none"/>
              </w:rPr>
              <w:t>项目</w:t>
            </w:r>
          </w:p>
          <w:p w14:paraId="08370FA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left"/>
              <w:textAlignment w:val="auto"/>
              <w:rPr>
                <w:rFonts w:hint="eastAsia" w:ascii="Times New Roman" w:hAnsi="Times New Roman" w:eastAsia="宋体" w:cs="宋体"/>
                <w:b/>
                <w:bCs/>
                <w:snapToGrid w:val="0"/>
                <w:color w:val="auto"/>
                <w:spacing w:val="-6"/>
                <w:kern w:val="21"/>
                <w:szCs w:val="21"/>
                <w:highlight w:val="none"/>
              </w:rPr>
            </w:pPr>
            <w:r>
              <w:rPr>
                <w:rFonts w:hint="eastAsia" w:ascii="Times New Roman" w:hAnsi="Times New Roman" w:eastAsia="宋体" w:cs="宋体"/>
                <w:b/>
                <w:bCs/>
                <w:snapToGrid w:val="0"/>
                <w:color w:val="auto"/>
                <w:spacing w:val="-6"/>
                <w:kern w:val="21"/>
                <w:szCs w:val="21"/>
                <w:highlight w:val="none"/>
              </w:rPr>
              <w:t>分类</w:t>
            </w:r>
          </w:p>
        </w:tc>
        <w:tc>
          <w:tcPr>
            <w:tcW w:w="637" w:type="pct"/>
            <w:noWrap w:val="0"/>
            <w:tcMar>
              <w:left w:w="28" w:type="dxa"/>
              <w:right w:w="28" w:type="dxa"/>
            </w:tcMar>
            <w:vAlign w:val="center"/>
          </w:tcPr>
          <w:p w14:paraId="0088528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cs="宋体"/>
                <w:b/>
                <w:bCs/>
                <w:snapToGrid w:val="0"/>
                <w:color w:val="auto"/>
                <w:spacing w:val="-6"/>
                <w:kern w:val="21"/>
                <w:szCs w:val="21"/>
                <w:highlight w:val="none"/>
              </w:rPr>
            </w:pPr>
            <w:r>
              <w:rPr>
                <w:rFonts w:hint="eastAsia" w:ascii="Times New Roman" w:hAnsi="Times New Roman" w:eastAsia="宋体" w:cs="宋体"/>
                <w:b/>
                <w:bCs/>
                <w:snapToGrid w:val="0"/>
                <w:color w:val="auto"/>
                <w:spacing w:val="-6"/>
                <w:kern w:val="21"/>
                <w:szCs w:val="21"/>
                <w:highlight w:val="none"/>
              </w:rPr>
              <w:t>污染物名称</w:t>
            </w:r>
          </w:p>
        </w:tc>
        <w:tc>
          <w:tcPr>
            <w:tcW w:w="516" w:type="pct"/>
            <w:noWrap w:val="0"/>
            <w:tcMar>
              <w:left w:w="28" w:type="dxa"/>
              <w:right w:w="28" w:type="dxa"/>
            </w:tcMar>
            <w:vAlign w:val="center"/>
          </w:tcPr>
          <w:p w14:paraId="3CE2E3F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现有工程</w:t>
            </w:r>
          </w:p>
          <w:p w14:paraId="76F919E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排放量（固</w:t>
            </w:r>
            <w:r>
              <w:rPr>
                <w:rFonts w:hint="eastAsia" w:ascii="Times New Roman" w:hAnsi="Times New Roman" w:eastAsia="宋体"/>
                <w:b/>
                <w:bCs/>
                <w:snapToGrid w:val="0"/>
                <w:color w:val="auto"/>
                <w:spacing w:val="-6"/>
                <w:kern w:val="21"/>
                <w:szCs w:val="21"/>
                <w:highlight w:val="none"/>
              </w:rPr>
              <w:t>体</w:t>
            </w:r>
            <w:r>
              <w:rPr>
                <w:rFonts w:hint="default" w:ascii="Times New Roman" w:hAnsi="Times New Roman" w:eastAsia="宋体"/>
                <w:b/>
                <w:bCs/>
                <w:snapToGrid w:val="0"/>
                <w:color w:val="auto"/>
                <w:spacing w:val="-6"/>
                <w:kern w:val="21"/>
                <w:szCs w:val="21"/>
                <w:highlight w:val="none"/>
              </w:rPr>
              <w:t>废</w:t>
            </w:r>
            <w:r>
              <w:rPr>
                <w:rFonts w:hint="eastAsia" w:ascii="Times New Roman" w:hAnsi="Times New Roman" w:eastAsia="宋体"/>
                <w:b/>
                <w:bCs/>
                <w:snapToGrid w:val="0"/>
                <w:color w:val="auto"/>
                <w:spacing w:val="-6"/>
                <w:kern w:val="21"/>
                <w:szCs w:val="21"/>
                <w:highlight w:val="none"/>
              </w:rPr>
              <w:t>物</w:t>
            </w:r>
            <w:r>
              <w:rPr>
                <w:rFonts w:hint="default" w:ascii="Times New Roman" w:hAnsi="Times New Roman" w:eastAsia="宋体"/>
                <w:b/>
                <w:bCs/>
                <w:snapToGrid w:val="0"/>
                <w:color w:val="auto"/>
                <w:spacing w:val="-6"/>
                <w:kern w:val="21"/>
                <w:szCs w:val="21"/>
                <w:highlight w:val="none"/>
              </w:rPr>
              <w:t>产生量）</w:t>
            </w:r>
            <w:r>
              <w:rPr>
                <w:rFonts w:hint="default" w:ascii="Times New Roman" w:hAnsi="Times New Roman" w:eastAsia="宋体"/>
                <w:b/>
                <w:bCs/>
                <w:snapToGrid w:val="0"/>
                <w:color w:val="auto"/>
                <w:spacing w:val="-6"/>
                <w:kern w:val="21"/>
                <w:szCs w:val="21"/>
                <w:highlight w:val="none"/>
              </w:rPr>
              <w:fldChar w:fldCharType="begin"/>
            </w:r>
            <w:r>
              <w:rPr>
                <w:rFonts w:hint="default" w:ascii="Times New Roman" w:hAnsi="Times New Roman" w:eastAsia="宋体"/>
                <w:b/>
                <w:bCs/>
                <w:snapToGrid w:val="0"/>
                <w:color w:val="auto"/>
                <w:spacing w:val="-6"/>
                <w:kern w:val="21"/>
                <w:szCs w:val="21"/>
                <w:highlight w:val="none"/>
              </w:rPr>
              <w:instrText xml:space="preserve"> = 1 \* GB3 \* MERGEFORMAT </w:instrText>
            </w:r>
            <w:r>
              <w:rPr>
                <w:rFonts w:hint="default" w:ascii="Times New Roman" w:hAnsi="Times New Roman" w:eastAsia="宋体"/>
                <w:b/>
                <w:bCs/>
                <w:snapToGrid w:val="0"/>
                <w:color w:val="auto"/>
                <w:spacing w:val="-6"/>
                <w:kern w:val="21"/>
                <w:szCs w:val="21"/>
                <w:highlight w:val="none"/>
              </w:rPr>
              <w:fldChar w:fldCharType="separate"/>
            </w:r>
            <w:r>
              <w:rPr>
                <w:rFonts w:hint="eastAsia" w:ascii="Times New Roman" w:hAnsi="Times New Roman" w:eastAsia="宋体" w:cs="宋体"/>
                <w:b/>
                <w:bCs/>
                <w:color w:val="auto"/>
                <w:kern w:val="2"/>
                <w:szCs w:val="21"/>
                <w:highlight w:val="none"/>
              </w:rPr>
              <w:t>①</w:t>
            </w:r>
            <w:r>
              <w:rPr>
                <w:rFonts w:hint="default" w:ascii="Times New Roman" w:hAnsi="Times New Roman" w:eastAsia="宋体"/>
                <w:b/>
                <w:bCs/>
                <w:snapToGrid w:val="0"/>
                <w:color w:val="auto"/>
                <w:spacing w:val="-6"/>
                <w:kern w:val="21"/>
                <w:szCs w:val="21"/>
                <w:highlight w:val="none"/>
              </w:rPr>
              <w:fldChar w:fldCharType="end"/>
            </w:r>
          </w:p>
        </w:tc>
        <w:tc>
          <w:tcPr>
            <w:tcW w:w="524" w:type="pct"/>
            <w:noWrap w:val="0"/>
            <w:tcMar>
              <w:left w:w="28" w:type="dxa"/>
              <w:right w:w="28" w:type="dxa"/>
            </w:tcMar>
            <w:vAlign w:val="center"/>
          </w:tcPr>
          <w:p w14:paraId="03F4713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现有工程</w:t>
            </w:r>
          </w:p>
          <w:p w14:paraId="58336ED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许可排放量</w:t>
            </w:r>
          </w:p>
          <w:p w14:paraId="01D3EE5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fldChar w:fldCharType="begin"/>
            </w:r>
            <w:r>
              <w:rPr>
                <w:rFonts w:hint="default" w:ascii="Times New Roman" w:hAnsi="Times New Roman" w:eastAsia="宋体"/>
                <w:b/>
                <w:bCs/>
                <w:snapToGrid w:val="0"/>
                <w:color w:val="auto"/>
                <w:spacing w:val="-6"/>
                <w:kern w:val="21"/>
                <w:szCs w:val="21"/>
                <w:highlight w:val="none"/>
              </w:rPr>
              <w:instrText xml:space="preserve"> = 2 \* GB3 \* MERGEFORMAT </w:instrText>
            </w:r>
            <w:r>
              <w:rPr>
                <w:rFonts w:hint="default" w:ascii="Times New Roman" w:hAnsi="Times New Roman" w:eastAsia="宋体"/>
                <w:b/>
                <w:bCs/>
                <w:snapToGrid w:val="0"/>
                <w:color w:val="auto"/>
                <w:spacing w:val="-6"/>
                <w:kern w:val="21"/>
                <w:szCs w:val="21"/>
                <w:highlight w:val="none"/>
              </w:rPr>
              <w:fldChar w:fldCharType="separate"/>
            </w:r>
            <w:r>
              <w:rPr>
                <w:rFonts w:hint="eastAsia" w:ascii="Times New Roman" w:hAnsi="Times New Roman" w:eastAsia="宋体" w:cs="宋体"/>
                <w:b/>
                <w:bCs/>
                <w:snapToGrid w:val="0"/>
                <w:color w:val="auto"/>
                <w:spacing w:val="-6"/>
                <w:kern w:val="21"/>
                <w:szCs w:val="21"/>
                <w:highlight w:val="none"/>
              </w:rPr>
              <w:t>②</w:t>
            </w:r>
            <w:r>
              <w:rPr>
                <w:rFonts w:hint="default" w:ascii="Times New Roman" w:hAnsi="Times New Roman" w:eastAsia="宋体"/>
                <w:b/>
                <w:bCs/>
                <w:snapToGrid w:val="0"/>
                <w:color w:val="auto"/>
                <w:spacing w:val="-6"/>
                <w:kern w:val="21"/>
                <w:szCs w:val="21"/>
                <w:highlight w:val="none"/>
              </w:rPr>
              <w:fldChar w:fldCharType="end"/>
            </w:r>
          </w:p>
        </w:tc>
        <w:tc>
          <w:tcPr>
            <w:tcW w:w="577" w:type="pct"/>
            <w:noWrap w:val="0"/>
            <w:tcMar>
              <w:left w:w="28" w:type="dxa"/>
              <w:right w:w="28" w:type="dxa"/>
            </w:tcMar>
            <w:vAlign w:val="center"/>
          </w:tcPr>
          <w:p w14:paraId="5A67B3D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在建工程</w:t>
            </w:r>
          </w:p>
          <w:p w14:paraId="32331D8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排放量（固</w:t>
            </w:r>
            <w:r>
              <w:rPr>
                <w:rFonts w:hint="eastAsia" w:ascii="Times New Roman" w:hAnsi="Times New Roman" w:eastAsia="宋体"/>
                <w:b/>
                <w:bCs/>
                <w:snapToGrid w:val="0"/>
                <w:color w:val="auto"/>
                <w:spacing w:val="-6"/>
                <w:kern w:val="21"/>
                <w:szCs w:val="21"/>
                <w:highlight w:val="none"/>
              </w:rPr>
              <w:t>体</w:t>
            </w:r>
            <w:r>
              <w:rPr>
                <w:rFonts w:hint="default" w:ascii="Times New Roman" w:hAnsi="Times New Roman" w:eastAsia="宋体"/>
                <w:b/>
                <w:bCs/>
                <w:snapToGrid w:val="0"/>
                <w:color w:val="auto"/>
                <w:spacing w:val="-6"/>
                <w:kern w:val="21"/>
                <w:szCs w:val="21"/>
                <w:highlight w:val="none"/>
              </w:rPr>
              <w:t>废</w:t>
            </w:r>
            <w:r>
              <w:rPr>
                <w:rFonts w:hint="eastAsia" w:ascii="Times New Roman" w:hAnsi="Times New Roman" w:eastAsia="宋体"/>
                <w:b/>
                <w:bCs/>
                <w:snapToGrid w:val="0"/>
                <w:color w:val="auto"/>
                <w:spacing w:val="-6"/>
                <w:kern w:val="21"/>
                <w:szCs w:val="21"/>
                <w:highlight w:val="none"/>
              </w:rPr>
              <w:t>物</w:t>
            </w:r>
            <w:r>
              <w:rPr>
                <w:rFonts w:hint="default" w:ascii="Times New Roman" w:hAnsi="Times New Roman" w:eastAsia="宋体"/>
                <w:b/>
                <w:bCs/>
                <w:snapToGrid w:val="0"/>
                <w:color w:val="auto"/>
                <w:spacing w:val="-6"/>
                <w:kern w:val="21"/>
                <w:szCs w:val="21"/>
                <w:highlight w:val="none"/>
              </w:rPr>
              <w:t>产生量）</w:t>
            </w:r>
            <w:r>
              <w:rPr>
                <w:rFonts w:hint="default" w:ascii="Times New Roman" w:hAnsi="Times New Roman" w:eastAsia="宋体"/>
                <w:b/>
                <w:bCs/>
                <w:snapToGrid w:val="0"/>
                <w:color w:val="auto"/>
                <w:spacing w:val="-6"/>
                <w:kern w:val="21"/>
                <w:szCs w:val="21"/>
                <w:highlight w:val="none"/>
              </w:rPr>
              <w:fldChar w:fldCharType="begin"/>
            </w:r>
            <w:r>
              <w:rPr>
                <w:rFonts w:hint="default" w:ascii="Times New Roman" w:hAnsi="Times New Roman" w:eastAsia="宋体"/>
                <w:b/>
                <w:bCs/>
                <w:snapToGrid w:val="0"/>
                <w:color w:val="auto"/>
                <w:spacing w:val="-6"/>
                <w:kern w:val="21"/>
                <w:szCs w:val="21"/>
                <w:highlight w:val="none"/>
              </w:rPr>
              <w:instrText xml:space="preserve"> = 3 \* GB3 \* MERGEFORMAT </w:instrText>
            </w:r>
            <w:r>
              <w:rPr>
                <w:rFonts w:hint="default" w:ascii="Times New Roman" w:hAnsi="Times New Roman" w:eastAsia="宋体"/>
                <w:b/>
                <w:bCs/>
                <w:snapToGrid w:val="0"/>
                <w:color w:val="auto"/>
                <w:spacing w:val="-6"/>
                <w:kern w:val="21"/>
                <w:szCs w:val="21"/>
                <w:highlight w:val="none"/>
              </w:rPr>
              <w:fldChar w:fldCharType="separate"/>
            </w:r>
            <w:r>
              <w:rPr>
                <w:rFonts w:hint="eastAsia" w:ascii="Times New Roman" w:hAnsi="Times New Roman" w:eastAsia="宋体" w:cs="宋体"/>
                <w:b/>
                <w:bCs/>
                <w:color w:val="auto"/>
                <w:kern w:val="2"/>
                <w:szCs w:val="21"/>
                <w:highlight w:val="none"/>
              </w:rPr>
              <w:t>③</w:t>
            </w:r>
            <w:r>
              <w:rPr>
                <w:rFonts w:hint="default" w:ascii="Times New Roman" w:hAnsi="Times New Roman" w:eastAsia="宋体"/>
                <w:b/>
                <w:bCs/>
                <w:snapToGrid w:val="0"/>
                <w:color w:val="auto"/>
                <w:spacing w:val="-6"/>
                <w:kern w:val="21"/>
                <w:szCs w:val="21"/>
                <w:highlight w:val="none"/>
              </w:rPr>
              <w:fldChar w:fldCharType="end"/>
            </w:r>
          </w:p>
        </w:tc>
        <w:tc>
          <w:tcPr>
            <w:tcW w:w="540" w:type="pct"/>
            <w:noWrap w:val="0"/>
            <w:tcMar>
              <w:left w:w="28" w:type="dxa"/>
              <w:right w:w="28" w:type="dxa"/>
            </w:tcMar>
            <w:vAlign w:val="center"/>
          </w:tcPr>
          <w:p w14:paraId="009A01D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本项目</w:t>
            </w:r>
          </w:p>
          <w:p w14:paraId="100DE22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排放量（固</w:t>
            </w:r>
            <w:r>
              <w:rPr>
                <w:rFonts w:hint="eastAsia" w:ascii="Times New Roman" w:hAnsi="Times New Roman" w:eastAsia="宋体"/>
                <w:b/>
                <w:bCs/>
                <w:snapToGrid w:val="0"/>
                <w:color w:val="auto"/>
                <w:spacing w:val="-6"/>
                <w:kern w:val="21"/>
                <w:szCs w:val="21"/>
                <w:highlight w:val="none"/>
              </w:rPr>
              <w:t>体</w:t>
            </w:r>
            <w:r>
              <w:rPr>
                <w:rFonts w:hint="default" w:ascii="Times New Roman" w:hAnsi="Times New Roman" w:eastAsia="宋体"/>
                <w:b/>
                <w:bCs/>
                <w:snapToGrid w:val="0"/>
                <w:color w:val="auto"/>
                <w:spacing w:val="-6"/>
                <w:kern w:val="21"/>
                <w:szCs w:val="21"/>
                <w:highlight w:val="none"/>
              </w:rPr>
              <w:t>废</w:t>
            </w:r>
            <w:r>
              <w:rPr>
                <w:rFonts w:hint="eastAsia" w:ascii="Times New Roman" w:hAnsi="Times New Roman" w:eastAsia="宋体"/>
                <w:b/>
                <w:bCs/>
                <w:snapToGrid w:val="0"/>
                <w:color w:val="auto"/>
                <w:spacing w:val="-6"/>
                <w:kern w:val="21"/>
                <w:szCs w:val="21"/>
                <w:highlight w:val="none"/>
              </w:rPr>
              <w:t>物</w:t>
            </w:r>
            <w:r>
              <w:rPr>
                <w:rFonts w:hint="default" w:ascii="Times New Roman" w:hAnsi="Times New Roman" w:eastAsia="宋体"/>
                <w:b/>
                <w:bCs/>
                <w:snapToGrid w:val="0"/>
                <w:color w:val="auto"/>
                <w:spacing w:val="-6"/>
                <w:kern w:val="21"/>
                <w:szCs w:val="21"/>
                <w:highlight w:val="none"/>
              </w:rPr>
              <w:t>产生量）</w:t>
            </w:r>
            <w:r>
              <w:rPr>
                <w:rFonts w:hint="default" w:ascii="Times New Roman" w:hAnsi="Times New Roman" w:eastAsia="宋体"/>
                <w:b/>
                <w:bCs/>
                <w:snapToGrid w:val="0"/>
                <w:color w:val="auto"/>
                <w:spacing w:val="-6"/>
                <w:kern w:val="21"/>
                <w:szCs w:val="21"/>
                <w:highlight w:val="none"/>
              </w:rPr>
              <w:fldChar w:fldCharType="begin"/>
            </w:r>
            <w:r>
              <w:rPr>
                <w:rFonts w:hint="default" w:ascii="Times New Roman" w:hAnsi="Times New Roman" w:eastAsia="宋体"/>
                <w:b/>
                <w:bCs/>
                <w:snapToGrid w:val="0"/>
                <w:color w:val="auto"/>
                <w:spacing w:val="-6"/>
                <w:kern w:val="21"/>
                <w:szCs w:val="21"/>
                <w:highlight w:val="none"/>
              </w:rPr>
              <w:instrText xml:space="preserve"> = 4 \* GB3 \* MERGEFORMAT </w:instrText>
            </w:r>
            <w:r>
              <w:rPr>
                <w:rFonts w:hint="default" w:ascii="Times New Roman" w:hAnsi="Times New Roman" w:eastAsia="宋体"/>
                <w:b/>
                <w:bCs/>
                <w:snapToGrid w:val="0"/>
                <w:color w:val="auto"/>
                <w:spacing w:val="-6"/>
                <w:kern w:val="21"/>
                <w:szCs w:val="21"/>
                <w:highlight w:val="none"/>
              </w:rPr>
              <w:fldChar w:fldCharType="separate"/>
            </w:r>
            <w:r>
              <w:rPr>
                <w:rFonts w:hint="eastAsia" w:ascii="Times New Roman" w:hAnsi="Times New Roman" w:eastAsia="宋体" w:cs="宋体"/>
                <w:b/>
                <w:bCs/>
                <w:color w:val="auto"/>
                <w:kern w:val="2"/>
                <w:szCs w:val="21"/>
                <w:highlight w:val="none"/>
              </w:rPr>
              <w:t>④</w:t>
            </w:r>
            <w:r>
              <w:rPr>
                <w:rFonts w:hint="default" w:ascii="Times New Roman" w:hAnsi="Times New Roman" w:eastAsia="宋体"/>
                <w:b/>
                <w:bCs/>
                <w:snapToGrid w:val="0"/>
                <w:color w:val="auto"/>
                <w:spacing w:val="-6"/>
                <w:kern w:val="21"/>
                <w:szCs w:val="21"/>
                <w:highlight w:val="none"/>
              </w:rPr>
              <w:fldChar w:fldCharType="end"/>
            </w:r>
          </w:p>
        </w:tc>
        <w:tc>
          <w:tcPr>
            <w:tcW w:w="606" w:type="pct"/>
            <w:noWrap w:val="0"/>
            <w:tcMar>
              <w:left w:w="28" w:type="dxa"/>
              <w:right w:w="28" w:type="dxa"/>
            </w:tcMar>
            <w:vAlign w:val="center"/>
          </w:tcPr>
          <w:p w14:paraId="6589ADC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b/>
                <w:bCs/>
                <w:snapToGrid w:val="0"/>
                <w:color w:val="auto"/>
                <w:spacing w:val="-16"/>
                <w:kern w:val="21"/>
                <w:szCs w:val="21"/>
                <w:highlight w:val="none"/>
              </w:rPr>
            </w:pPr>
            <w:r>
              <w:rPr>
                <w:rFonts w:hint="default" w:ascii="Times New Roman" w:hAnsi="Times New Roman" w:eastAsia="宋体"/>
                <w:b/>
                <w:bCs/>
                <w:snapToGrid w:val="0"/>
                <w:color w:val="auto"/>
                <w:spacing w:val="-16"/>
                <w:kern w:val="21"/>
                <w:szCs w:val="21"/>
                <w:highlight w:val="none"/>
              </w:rPr>
              <w:t>以新带老削减量</w:t>
            </w:r>
          </w:p>
          <w:p w14:paraId="24A2F62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16"/>
                <w:kern w:val="21"/>
                <w:szCs w:val="21"/>
                <w:highlight w:val="none"/>
              </w:rPr>
            </w:pPr>
            <w:r>
              <w:rPr>
                <w:rFonts w:hint="default" w:ascii="Times New Roman" w:hAnsi="Times New Roman" w:eastAsia="宋体"/>
                <w:b/>
                <w:bCs/>
                <w:snapToGrid w:val="0"/>
                <w:color w:val="auto"/>
                <w:spacing w:val="-16"/>
                <w:kern w:val="21"/>
                <w:szCs w:val="21"/>
                <w:highlight w:val="none"/>
              </w:rPr>
              <w:t>（新建项目不填）</w:t>
            </w:r>
            <w:r>
              <w:rPr>
                <w:rFonts w:hint="default" w:ascii="Times New Roman" w:hAnsi="Times New Roman" w:eastAsia="宋体"/>
                <w:b/>
                <w:bCs/>
                <w:snapToGrid w:val="0"/>
                <w:color w:val="auto"/>
                <w:spacing w:val="-16"/>
                <w:kern w:val="21"/>
                <w:szCs w:val="21"/>
                <w:highlight w:val="none"/>
              </w:rPr>
              <w:fldChar w:fldCharType="begin"/>
            </w:r>
            <w:r>
              <w:rPr>
                <w:rFonts w:hint="default" w:ascii="Times New Roman" w:hAnsi="Times New Roman" w:eastAsia="宋体"/>
                <w:b/>
                <w:bCs/>
                <w:snapToGrid w:val="0"/>
                <w:color w:val="auto"/>
                <w:spacing w:val="-16"/>
                <w:kern w:val="21"/>
                <w:szCs w:val="21"/>
                <w:highlight w:val="none"/>
              </w:rPr>
              <w:instrText xml:space="preserve"> = 5 \* GB3 \* MERGEFORMAT </w:instrText>
            </w:r>
            <w:r>
              <w:rPr>
                <w:rFonts w:hint="default" w:ascii="Times New Roman" w:hAnsi="Times New Roman" w:eastAsia="宋体"/>
                <w:b/>
                <w:bCs/>
                <w:snapToGrid w:val="0"/>
                <w:color w:val="auto"/>
                <w:spacing w:val="-16"/>
                <w:kern w:val="21"/>
                <w:szCs w:val="21"/>
                <w:highlight w:val="none"/>
              </w:rPr>
              <w:fldChar w:fldCharType="separate"/>
            </w:r>
            <w:r>
              <w:rPr>
                <w:rFonts w:hint="eastAsia" w:ascii="Times New Roman" w:hAnsi="Times New Roman" w:eastAsia="宋体" w:cs="宋体"/>
                <w:b/>
                <w:bCs/>
                <w:color w:val="auto"/>
                <w:kern w:val="2"/>
                <w:szCs w:val="21"/>
                <w:highlight w:val="none"/>
              </w:rPr>
              <w:t>⑤</w:t>
            </w:r>
            <w:r>
              <w:rPr>
                <w:rFonts w:hint="default" w:ascii="Times New Roman" w:hAnsi="Times New Roman" w:eastAsia="宋体"/>
                <w:b/>
                <w:bCs/>
                <w:snapToGrid w:val="0"/>
                <w:color w:val="auto"/>
                <w:spacing w:val="-16"/>
                <w:kern w:val="21"/>
                <w:szCs w:val="21"/>
                <w:highlight w:val="none"/>
              </w:rPr>
              <w:fldChar w:fldCharType="end"/>
            </w:r>
          </w:p>
        </w:tc>
        <w:tc>
          <w:tcPr>
            <w:tcW w:w="599" w:type="pct"/>
            <w:noWrap w:val="0"/>
            <w:tcMar>
              <w:left w:w="28" w:type="dxa"/>
              <w:right w:w="28" w:type="dxa"/>
            </w:tcMar>
            <w:vAlign w:val="center"/>
          </w:tcPr>
          <w:p w14:paraId="3E84FE1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eastAsia" w:ascii="Times New Roman" w:hAnsi="Times New Roman" w:eastAsia="宋体"/>
                <w:b/>
                <w:bCs/>
                <w:snapToGrid w:val="0"/>
                <w:color w:val="auto"/>
                <w:spacing w:val="-16"/>
                <w:kern w:val="21"/>
                <w:szCs w:val="21"/>
                <w:highlight w:val="none"/>
              </w:rPr>
            </w:pPr>
            <w:r>
              <w:rPr>
                <w:rFonts w:hint="default" w:ascii="Times New Roman" w:hAnsi="Times New Roman" w:eastAsia="宋体"/>
                <w:b/>
                <w:bCs/>
                <w:snapToGrid w:val="0"/>
                <w:color w:val="auto"/>
                <w:spacing w:val="-16"/>
                <w:kern w:val="21"/>
                <w:szCs w:val="21"/>
                <w:highlight w:val="none"/>
              </w:rPr>
              <w:t>本项目建成后</w:t>
            </w:r>
          </w:p>
          <w:p w14:paraId="0AF778E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firstLine="0" w:firstLineChars="0"/>
              <w:textAlignment w:val="auto"/>
              <w:rPr>
                <w:rFonts w:hint="default" w:ascii="Times New Roman" w:hAnsi="Times New Roman" w:eastAsia="宋体"/>
                <w:b/>
                <w:bCs/>
                <w:snapToGrid w:val="0"/>
                <w:color w:val="auto"/>
                <w:spacing w:val="-16"/>
                <w:kern w:val="21"/>
                <w:szCs w:val="21"/>
                <w:highlight w:val="none"/>
              </w:rPr>
            </w:pPr>
            <w:r>
              <w:rPr>
                <w:rFonts w:hint="eastAsia" w:ascii="Times New Roman" w:hAnsi="Times New Roman" w:eastAsia="宋体"/>
                <w:b/>
                <w:bCs/>
                <w:snapToGrid w:val="0"/>
                <w:color w:val="auto"/>
                <w:spacing w:val="-16"/>
                <w:kern w:val="21"/>
                <w:szCs w:val="21"/>
                <w:highlight w:val="none"/>
              </w:rPr>
              <w:t>全厂</w:t>
            </w:r>
            <w:r>
              <w:rPr>
                <w:rFonts w:hint="default" w:ascii="Times New Roman" w:hAnsi="Times New Roman" w:eastAsia="宋体"/>
                <w:b/>
                <w:bCs/>
                <w:snapToGrid w:val="0"/>
                <w:color w:val="auto"/>
                <w:spacing w:val="-16"/>
                <w:kern w:val="21"/>
                <w:szCs w:val="21"/>
                <w:highlight w:val="none"/>
              </w:rPr>
              <w:t>排放量（固</w:t>
            </w:r>
            <w:r>
              <w:rPr>
                <w:rFonts w:hint="eastAsia" w:ascii="Times New Roman" w:hAnsi="Times New Roman" w:eastAsia="宋体"/>
                <w:b/>
                <w:bCs/>
                <w:snapToGrid w:val="0"/>
                <w:color w:val="auto"/>
                <w:spacing w:val="-16"/>
                <w:kern w:val="21"/>
                <w:szCs w:val="21"/>
                <w:highlight w:val="none"/>
              </w:rPr>
              <w:t>体</w:t>
            </w:r>
            <w:r>
              <w:rPr>
                <w:rFonts w:hint="default" w:ascii="Times New Roman" w:hAnsi="Times New Roman" w:eastAsia="宋体"/>
                <w:b/>
                <w:bCs/>
                <w:snapToGrid w:val="0"/>
                <w:color w:val="auto"/>
                <w:spacing w:val="-16"/>
                <w:kern w:val="21"/>
                <w:szCs w:val="21"/>
                <w:highlight w:val="none"/>
              </w:rPr>
              <w:t>废</w:t>
            </w:r>
            <w:r>
              <w:rPr>
                <w:rFonts w:hint="eastAsia" w:ascii="Times New Roman" w:hAnsi="Times New Roman" w:eastAsia="宋体"/>
                <w:b/>
                <w:bCs/>
                <w:snapToGrid w:val="0"/>
                <w:color w:val="auto"/>
                <w:spacing w:val="-16"/>
                <w:kern w:val="21"/>
                <w:szCs w:val="21"/>
                <w:highlight w:val="none"/>
              </w:rPr>
              <w:t>物</w:t>
            </w:r>
            <w:r>
              <w:rPr>
                <w:rFonts w:hint="default" w:ascii="Times New Roman" w:hAnsi="Times New Roman" w:eastAsia="宋体"/>
                <w:b/>
                <w:bCs/>
                <w:snapToGrid w:val="0"/>
                <w:color w:val="auto"/>
                <w:spacing w:val="-16"/>
                <w:kern w:val="21"/>
                <w:szCs w:val="21"/>
                <w:highlight w:val="none"/>
              </w:rPr>
              <w:t>产生量）</w:t>
            </w:r>
            <w:r>
              <w:rPr>
                <w:rFonts w:hint="default" w:ascii="Times New Roman" w:hAnsi="Times New Roman" w:eastAsia="宋体"/>
                <w:b/>
                <w:bCs/>
                <w:snapToGrid w:val="0"/>
                <w:color w:val="auto"/>
                <w:spacing w:val="-16"/>
                <w:kern w:val="21"/>
                <w:szCs w:val="21"/>
                <w:highlight w:val="none"/>
              </w:rPr>
              <w:fldChar w:fldCharType="begin"/>
            </w:r>
            <w:r>
              <w:rPr>
                <w:rFonts w:hint="default" w:ascii="Times New Roman" w:hAnsi="Times New Roman" w:eastAsia="宋体"/>
                <w:b/>
                <w:bCs/>
                <w:snapToGrid w:val="0"/>
                <w:color w:val="auto"/>
                <w:spacing w:val="-16"/>
                <w:kern w:val="21"/>
                <w:szCs w:val="21"/>
                <w:highlight w:val="none"/>
              </w:rPr>
              <w:instrText xml:space="preserve"> = 6 \* GB3 \* MERGEFORMAT </w:instrText>
            </w:r>
            <w:r>
              <w:rPr>
                <w:rFonts w:hint="default" w:ascii="Times New Roman" w:hAnsi="Times New Roman" w:eastAsia="宋体"/>
                <w:b/>
                <w:bCs/>
                <w:snapToGrid w:val="0"/>
                <w:color w:val="auto"/>
                <w:spacing w:val="-16"/>
                <w:kern w:val="21"/>
                <w:szCs w:val="21"/>
                <w:highlight w:val="none"/>
              </w:rPr>
              <w:fldChar w:fldCharType="separate"/>
            </w:r>
            <w:r>
              <w:rPr>
                <w:rFonts w:hint="eastAsia" w:ascii="Times New Roman" w:hAnsi="Times New Roman" w:eastAsia="宋体" w:cs="宋体"/>
                <w:b/>
                <w:bCs/>
                <w:color w:val="auto"/>
                <w:kern w:val="2"/>
                <w:szCs w:val="21"/>
                <w:highlight w:val="none"/>
              </w:rPr>
              <w:t>⑥</w:t>
            </w:r>
            <w:r>
              <w:rPr>
                <w:rFonts w:hint="default" w:ascii="Times New Roman" w:hAnsi="Times New Roman" w:eastAsia="宋体"/>
                <w:b/>
                <w:bCs/>
                <w:snapToGrid w:val="0"/>
                <w:color w:val="auto"/>
                <w:spacing w:val="-16"/>
                <w:kern w:val="21"/>
                <w:szCs w:val="21"/>
                <w:highlight w:val="none"/>
              </w:rPr>
              <w:fldChar w:fldCharType="end"/>
            </w:r>
          </w:p>
        </w:tc>
        <w:tc>
          <w:tcPr>
            <w:tcW w:w="576" w:type="pct"/>
            <w:noWrap w:val="0"/>
            <w:tcMar>
              <w:left w:w="28" w:type="dxa"/>
              <w:right w:w="28" w:type="dxa"/>
            </w:tcMar>
            <w:vAlign w:val="center"/>
          </w:tcPr>
          <w:p w14:paraId="7E591BB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52"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t>变化量</w:t>
            </w:r>
          </w:p>
          <w:p w14:paraId="7F780B3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52" w:lineRule="auto"/>
              <w:ind w:left="0" w:right="0" w:firstLine="0" w:firstLineChars="0"/>
              <w:textAlignment w:val="auto"/>
              <w:rPr>
                <w:rFonts w:hint="default" w:ascii="Times New Roman" w:hAnsi="Times New Roman" w:eastAsia="宋体"/>
                <w:b/>
                <w:bCs/>
                <w:snapToGrid w:val="0"/>
                <w:color w:val="auto"/>
                <w:spacing w:val="-6"/>
                <w:kern w:val="21"/>
                <w:szCs w:val="21"/>
                <w:highlight w:val="none"/>
              </w:rPr>
            </w:pPr>
            <w:r>
              <w:rPr>
                <w:rFonts w:hint="default" w:ascii="Times New Roman" w:hAnsi="Times New Roman" w:eastAsia="宋体"/>
                <w:b/>
                <w:bCs/>
                <w:snapToGrid w:val="0"/>
                <w:color w:val="auto"/>
                <w:spacing w:val="-6"/>
                <w:kern w:val="21"/>
                <w:szCs w:val="21"/>
                <w:highlight w:val="none"/>
              </w:rPr>
              <w:fldChar w:fldCharType="begin"/>
            </w:r>
            <w:r>
              <w:rPr>
                <w:rFonts w:hint="default" w:ascii="Times New Roman" w:hAnsi="Times New Roman" w:eastAsia="宋体"/>
                <w:b/>
                <w:bCs/>
                <w:snapToGrid w:val="0"/>
                <w:color w:val="auto"/>
                <w:spacing w:val="-6"/>
                <w:kern w:val="21"/>
                <w:szCs w:val="21"/>
                <w:highlight w:val="none"/>
              </w:rPr>
              <w:instrText xml:space="preserve"> = 7 \* GB3 \* MERGEFORMAT </w:instrText>
            </w:r>
            <w:r>
              <w:rPr>
                <w:rFonts w:hint="default" w:ascii="Times New Roman" w:hAnsi="Times New Roman" w:eastAsia="宋体"/>
                <w:b/>
                <w:bCs/>
                <w:snapToGrid w:val="0"/>
                <w:color w:val="auto"/>
                <w:spacing w:val="-6"/>
                <w:kern w:val="21"/>
                <w:szCs w:val="21"/>
                <w:highlight w:val="none"/>
              </w:rPr>
              <w:fldChar w:fldCharType="separate"/>
            </w:r>
            <w:r>
              <w:rPr>
                <w:rFonts w:hint="eastAsia" w:ascii="Times New Roman" w:hAnsi="Times New Roman" w:eastAsia="宋体" w:cs="宋体"/>
                <w:b/>
                <w:bCs/>
                <w:color w:val="auto"/>
                <w:kern w:val="2"/>
                <w:szCs w:val="21"/>
                <w:highlight w:val="none"/>
              </w:rPr>
              <w:t>⑦</w:t>
            </w:r>
            <w:r>
              <w:rPr>
                <w:rFonts w:hint="default" w:ascii="Times New Roman" w:hAnsi="Times New Roman" w:eastAsia="宋体"/>
                <w:b/>
                <w:bCs/>
                <w:snapToGrid w:val="0"/>
                <w:color w:val="auto"/>
                <w:spacing w:val="-6"/>
                <w:kern w:val="21"/>
                <w:szCs w:val="21"/>
                <w:highlight w:val="none"/>
              </w:rPr>
              <w:fldChar w:fldCharType="end"/>
            </w:r>
          </w:p>
        </w:tc>
      </w:tr>
      <w:tr w14:paraId="4AC0A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restart"/>
            <w:noWrap w:val="0"/>
            <w:vAlign w:val="center"/>
          </w:tcPr>
          <w:p w14:paraId="0ACB603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rPr>
              <w:t>废气</w:t>
            </w:r>
          </w:p>
        </w:tc>
        <w:tc>
          <w:tcPr>
            <w:tcW w:w="637" w:type="pct"/>
            <w:noWrap w:val="0"/>
            <w:vAlign w:val="center"/>
          </w:tcPr>
          <w:p w14:paraId="65986E5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hAnsi="Times New Roman" w:eastAsia="宋体" w:cs="宋体"/>
                <w:snapToGrid w:val="0"/>
                <w:color w:val="auto"/>
                <w:kern w:val="21"/>
                <w:sz w:val="21"/>
                <w:szCs w:val="21"/>
                <w:highlight w:val="none"/>
                <w:lang w:val="en-US" w:eastAsia="zh-CN"/>
              </w:rPr>
              <w:t>颗粒物</w:t>
            </w:r>
          </w:p>
        </w:tc>
        <w:tc>
          <w:tcPr>
            <w:tcW w:w="516" w:type="pct"/>
            <w:shd w:val="clear" w:color="auto" w:fill="auto"/>
            <w:noWrap w:val="0"/>
            <w:vAlign w:val="center"/>
          </w:tcPr>
          <w:p w14:paraId="0E08CC6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0.03</w:t>
            </w:r>
            <w:r>
              <w:rPr>
                <w:rFonts w:hint="eastAsia" w:ascii="Times New Roman" w:hAnsi="Times New Roman" w:eastAsia="宋体" w:cs="宋体"/>
                <w:b/>
                <w:bCs/>
                <w:snapToGrid w:val="0"/>
                <w:color w:val="auto"/>
                <w:kern w:val="21"/>
                <w:sz w:val="21"/>
                <w:szCs w:val="21"/>
                <w:highlight w:val="none"/>
                <w:lang w:val="en-US" w:eastAsia="zh-CN"/>
              </w:rPr>
              <w:t>t/a</w:t>
            </w:r>
          </w:p>
        </w:tc>
        <w:tc>
          <w:tcPr>
            <w:tcW w:w="524" w:type="pct"/>
            <w:shd w:val="clear" w:color="auto" w:fill="auto"/>
            <w:noWrap w:val="0"/>
            <w:vAlign w:val="center"/>
          </w:tcPr>
          <w:p w14:paraId="06073F2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0.06t/a</w:t>
            </w:r>
          </w:p>
        </w:tc>
        <w:tc>
          <w:tcPr>
            <w:tcW w:w="577" w:type="pct"/>
            <w:noWrap w:val="0"/>
            <w:vAlign w:val="center"/>
          </w:tcPr>
          <w:p w14:paraId="1570C1B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w:t>
            </w:r>
          </w:p>
        </w:tc>
        <w:tc>
          <w:tcPr>
            <w:tcW w:w="540" w:type="pct"/>
            <w:noWrap w:val="0"/>
            <w:vAlign w:val="center"/>
          </w:tcPr>
          <w:p w14:paraId="5CA75A8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0.407</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3F708BA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028F8E3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0.437</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154D818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+0.407</w:t>
            </w:r>
            <w:r>
              <w:rPr>
                <w:rFonts w:hint="eastAsia" w:ascii="Times New Roman" w:hAnsi="Times New Roman" w:eastAsia="宋体" w:cs="宋体"/>
                <w:b/>
                <w:bCs/>
                <w:snapToGrid w:val="0"/>
                <w:color w:val="auto"/>
                <w:kern w:val="21"/>
                <w:sz w:val="21"/>
                <w:szCs w:val="21"/>
                <w:highlight w:val="none"/>
                <w:lang w:val="en-US" w:eastAsia="zh-CN"/>
              </w:rPr>
              <w:t>t/a</w:t>
            </w:r>
          </w:p>
        </w:tc>
      </w:tr>
      <w:tr w14:paraId="4D10A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noWrap w:val="0"/>
            <w:vAlign w:val="center"/>
          </w:tcPr>
          <w:p w14:paraId="1D285F1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36CF85F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非甲烷总烃</w:t>
            </w:r>
          </w:p>
        </w:tc>
        <w:tc>
          <w:tcPr>
            <w:tcW w:w="516" w:type="pct"/>
            <w:shd w:val="clear" w:color="auto" w:fill="auto"/>
            <w:noWrap w:val="0"/>
            <w:vAlign w:val="center"/>
          </w:tcPr>
          <w:p w14:paraId="624EE2B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eastAsia="宋体" w:cs="宋体"/>
                <w:b/>
                <w:bCs/>
                <w:snapToGrid w:val="0"/>
                <w:color w:val="auto"/>
                <w:kern w:val="21"/>
                <w:sz w:val="21"/>
                <w:szCs w:val="21"/>
                <w:highlight w:val="none"/>
                <w:lang w:val="en-US" w:eastAsia="zh-CN"/>
              </w:rPr>
              <w:t>0</w:t>
            </w:r>
          </w:p>
        </w:tc>
        <w:tc>
          <w:tcPr>
            <w:tcW w:w="524" w:type="pct"/>
            <w:shd w:val="clear" w:color="auto" w:fill="auto"/>
            <w:noWrap w:val="0"/>
            <w:vAlign w:val="center"/>
          </w:tcPr>
          <w:p w14:paraId="0C25111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eastAsia="宋体" w:cs="宋体"/>
                <w:b/>
                <w:bCs/>
                <w:snapToGrid w:val="0"/>
                <w:color w:val="auto"/>
                <w:kern w:val="21"/>
                <w:sz w:val="21"/>
                <w:szCs w:val="21"/>
                <w:highlight w:val="none"/>
                <w:lang w:val="en-US" w:eastAsia="zh-CN"/>
              </w:rPr>
              <w:t>0</w:t>
            </w:r>
          </w:p>
        </w:tc>
        <w:tc>
          <w:tcPr>
            <w:tcW w:w="577" w:type="pct"/>
            <w:noWrap w:val="0"/>
            <w:vAlign w:val="center"/>
          </w:tcPr>
          <w:p w14:paraId="612BA4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w:t>
            </w:r>
          </w:p>
        </w:tc>
        <w:tc>
          <w:tcPr>
            <w:tcW w:w="540" w:type="pct"/>
            <w:noWrap w:val="0"/>
            <w:vAlign w:val="center"/>
          </w:tcPr>
          <w:p w14:paraId="03911F4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0.02</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0CE2167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w:t>
            </w:r>
          </w:p>
        </w:tc>
        <w:tc>
          <w:tcPr>
            <w:tcW w:w="599" w:type="pct"/>
            <w:shd w:val="clear" w:color="auto" w:fill="auto"/>
            <w:noWrap w:val="0"/>
            <w:vAlign w:val="center"/>
          </w:tcPr>
          <w:p w14:paraId="6BDD3BD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0.02</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7CAC336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+0.02</w:t>
            </w:r>
            <w:r>
              <w:rPr>
                <w:rFonts w:hint="eastAsia" w:ascii="Times New Roman" w:hAnsi="Times New Roman" w:eastAsia="宋体" w:cs="宋体"/>
                <w:b/>
                <w:bCs/>
                <w:snapToGrid w:val="0"/>
                <w:color w:val="auto"/>
                <w:kern w:val="21"/>
                <w:sz w:val="21"/>
                <w:szCs w:val="21"/>
                <w:highlight w:val="none"/>
                <w:lang w:val="en-US" w:eastAsia="zh-CN"/>
              </w:rPr>
              <w:t>t/a</w:t>
            </w:r>
          </w:p>
        </w:tc>
      </w:tr>
      <w:tr w14:paraId="6F90A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noWrap w:val="0"/>
            <w:vAlign w:val="center"/>
          </w:tcPr>
          <w:p w14:paraId="2F2083D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0C72594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二氧化硫</w:t>
            </w:r>
          </w:p>
        </w:tc>
        <w:tc>
          <w:tcPr>
            <w:tcW w:w="516" w:type="pct"/>
            <w:shd w:val="clear" w:color="auto" w:fill="auto"/>
            <w:noWrap w:val="0"/>
            <w:vAlign w:val="center"/>
          </w:tcPr>
          <w:p w14:paraId="342A54F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eastAsia="宋体" w:cs="宋体"/>
                <w:b/>
                <w:bCs/>
                <w:snapToGrid w:val="0"/>
                <w:color w:val="auto"/>
                <w:kern w:val="21"/>
                <w:sz w:val="21"/>
                <w:szCs w:val="21"/>
                <w:highlight w:val="none"/>
                <w:lang w:val="en-US" w:eastAsia="zh-CN"/>
              </w:rPr>
              <w:t>0</w:t>
            </w:r>
          </w:p>
        </w:tc>
        <w:tc>
          <w:tcPr>
            <w:tcW w:w="524" w:type="pct"/>
            <w:shd w:val="clear" w:color="auto" w:fill="auto"/>
            <w:noWrap w:val="0"/>
            <w:vAlign w:val="center"/>
          </w:tcPr>
          <w:p w14:paraId="7E620B9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eastAsia="宋体" w:cs="宋体"/>
                <w:b/>
                <w:bCs/>
                <w:snapToGrid w:val="0"/>
                <w:color w:val="auto"/>
                <w:kern w:val="21"/>
                <w:sz w:val="21"/>
                <w:szCs w:val="21"/>
                <w:highlight w:val="none"/>
                <w:lang w:val="en-US" w:eastAsia="zh-CN"/>
              </w:rPr>
              <w:t>0</w:t>
            </w:r>
          </w:p>
        </w:tc>
        <w:tc>
          <w:tcPr>
            <w:tcW w:w="577" w:type="pct"/>
            <w:noWrap w:val="0"/>
            <w:vAlign w:val="center"/>
          </w:tcPr>
          <w:p w14:paraId="57ED634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w:t>
            </w:r>
          </w:p>
        </w:tc>
        <w:tc>
          <w:tcPr>
            <w:tcW w:w="540" w:type="pct"/>
            <w:noWrap w:val="0"/>
            <w:vAlign w:val="center"/>
          </w:tcPr>
          <w:p w14:paraId="19EF82C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0.018</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3969A2A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w:t>
            </w:r>
          </w:p>
        </w:tc>
        <w:tc>
          <w:tcPr>
            <w:tcW w:w="599" w:type="pct"/>
            <w:shd w:val="clear" w:color="auto" w:fill="auto"/>
            <w:noWrap w:val="0"/>
            <w:vAlign w:val="center"/>
          </w:tcPr>
          <w:p w14:paraId="3D5D65D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0.018</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0FD5F02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0.018</w:t>
            </w:r>
            <w:r>
              <w:rPr>
                <w:rFonts w:hint="eastAsia" w:ascii="Times New Roman" w:hAnsi="Times New Roman" w:eastAsia="宋体" w:cs="宋体"/>
                <w:b/>
                <w:bCs/>
                <w:snapToGrid w:val="0"/>
                <w:color w:val="auto"/>
                <w:kern w:val="21"/>
                <w:sz w:val="21"/>
                <w:szCs w:val="21"/>
                <w:highlight w:val="none"/>
                <w:lang w:val="en-US" w:eastAsia="zh-CN"/>
              </w:rPr>
              <w:t>t/a</w:t>
            </w:r>
          </w:p>
        </w:tc>
      </w:tr>
      <w:tr w14:paraId="4C8A6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73C1C1C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05895FC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snapToGrid w:val="0"/>
                <w:color w:val="auto"/>
                <w:kern w:val="21"/>
                <w:sz w:val="21"/>
                <w:szCs w:val="21"/>
                <w:highlight w:val="none"/>
                <w:lang w:eastAsia="zh-CN"/>
              </w:rPr>
            </w:pPr>
            <w:r>
              <w:rPr>
                <w:rFonts w:hint="eastAsia" w:ascii="Times New Roman" w:cs="宋体"/>
                <w:snapToGrid w:val="0"/>
                <w:color w:val="auto"/>
                <w:kern w:val="21"/>
                <w:sz w:val="21"/>
                <w:szCs w:val="21"/>
                <w:highlight w:val="none"/>
                <w:lang w:eastAsia="zh-CN"/>
              </w:rPr>
              <w:t>氮氧化物</w:t>
            </w:r>
          </w:p>
        </w:tc>
        <w:tc>
          <w:tcPr>
            <w:tcW w:w="516" w:type="pct"/>
            <w:shd w:val="clear" w:color="auto" w:fill="auto"/>
            <w:noWrap w:val="0"/>
            <w:vAlign w:val="center"/>
          </w:tcPr>
          <w:p w14:paraId="5DE9828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eastAsia="宋体" w:cs="宋体"/>
                <w:b/>
                <w:bCs/>
                <w:snapToGrid w:val="0"/>
                <w:color w:val="auto"/>
                <w:kern w:val="21"/>
                <w:sz w:val="21"/>
                <w:szCs w:val="21"/>
                <w:highlight w:val="none"/>
                <w:lang w:val="en-US" w:eastAsia="zh-CN" w:bidi="ar-SA"/>
              </w:rPr>
              <w:t>0</w:t>
            </w:r>
          </w:p>
        </w:tc>
        <w:tc>
          <w:tcPr>
            <w:tcW w:w="524" w:type="pct"/>
            <w:shd w:val="clear" w:color="auto" w:fill="auto"/>
            <w:noWrap w:val="0"/>
            <w:vAlign w:val="center"/>
          </w:tcPr>
          <w:p w14:paraId="1F7BC52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eastAsia="宋体" w:cs="宋体"/>
                <w:b/>
                <w:bCs/>
                <w:snapToGrid w:val="0"/>
                <w:color w:val="auto"/>
                <w:kern w:val="21"/>
                <w:sz w:val="21"/>
                <w:szCs w:val="21"/>
                <w:highlight w:val="none"/>
                <w:lang w:val="en-US" w:eastAsia="zh-CN" w:bidi="ar-SA"/>
              </w:rPr>
              <w:t>0</w:t>
            </w:r>
          </w:p>
        </w:tc>
        <w:tc>
          <w:tcPr>
            <w:tcW w:w="577" w:type="pct"/>
            <w:noWrap w:val="0"/>
            <w:vAlign w:val="center"/>
          </w:tcPr>
          <w:p w14:paraId="5BC4AB7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w:t>
            </w:r>
          </w:p>
        </w:tc>
        <w:tc>
          <w:tcPr>
            <w:tcW w:w="540" w:type="pct"/>
            <w:noWrap w:val="0"/>
            <w:vAlign w:val="center"/>
          </w:tcPr>
          <w:p w14:paraId="663FEAA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0.174</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05E4A32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w:t>
            </w:r>
          </w:p>
        </w:tc>
        <w:tc>
          <w:tcPr>
            <w:tcW w:w="599" w:type="pct"/>
            <w:shd w:val="clear" w:color="auto" w:fill="auto"/>
            <w:noWrap w:val="0"/>
            <w:vAlign w:val="center"/>
          </w:tcPr>
          <w:p w14:paraId="76AE9CE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0.174</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0BC2BBF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0.174</w:t>
            </w:r>
            <w:r>
              <w:rPr>
                <w:rFonts w:hint="eastAsia" w:ascii="Times New Roman" w:hAnsi="Times New Roman" w:eastAsia="宋体" w:cs="宋体"/>
                <w:b/>
                <w:bCs/>
                <w:snapToGrid w:val="0"/>
                <w:color w:val="auto"/>
                <w:kern w:val="21"/>
                <w:sz w:val="21"/>
                <w:szCs w:val="21"/>
                <w:highlight w:val="none"/>
                <w:lang w:val="en-US" w:eastAsia="zh-CN"/>
              </w:rPr>
              <w:t>t/a</w:t>
            </w:r>
          </w:p>
        </w:tc>
      </w:tr>
      <w:tr w14:paraId="0C997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62D5603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rPr>
              <w:t>废水</w:t>
            </w:r>
          </w:p>
        </w:tc>
        <w:tc>
          <w:tcPr>
            <w:tcW w:w="637" w:type="pct"/>
            <w:noWrap w:val="0"/>
            <w:vAlign w:val="center"/>
          </w:tcPr>
          <w:p w14:paraId="0F975F8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hAnsi="Times New Roman" w:eastAsia="宋体" w:cs="宋体"/>
                <w:snapToGrid w:val="0"/>
                <w:color w:val="auto"/>
                <w:kern w:val="21"/>
                <w:sz w:val="21"/>
                <w:szCs w:val="21"/>
                <w:highlight w:val="none"/>
                <w:lang w:val="en-US" w:eastAsia="zh-CN"/>
              </w:rPr>
              <w:t>COD</w:t>
            </w:r>
          </w:p>
        </w:tc>
        <w:tc>
          <w:tcPr>
            <w:tcW w:w="516" w:type="pct"/>
            <w:shd w:val="clear" w:color="auto" w:fill="auto"/>
            <w:noWrap w:val="0"/>
            <w:vAlign w:val="center"/>
          </w:tcPr>
          <w:p w14:paraId="0036632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0.095t/a</w:t>
            </w:r>
          </w:p>
        </w:tc>
        <w:tc>
          <w:tcPr>
            <w:tcW w:w="524" w:type="pct"/>
            <w:shd w:val="clear" w:color="auto" w:fill="auto"/>
            <w:noWrap w:val="0"/>
            <w:vAlign w:val="center"/>
          </w:tcPr>
          <w:p w14:paraId="45BA476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0.095t/a</w:t>
            </w:r>
          </w:p>
        </w:tc>
        <w:tc>
          <w:tcPr>
            <w:tcW w:w="577" w:type="pct"/>
            <w:noWrap w:val="0"/>
            <w:vAlign w:val="center"/>
          </w:tcPr>
          <w:p w14:paraId="49856A0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w:t>
            </w:r>
          </w:p>
        </w:tc>
        <w:tc>
          <w:tcPr>
            <w:tcW w:w="540" w:type="pct"/>
            <w:noWrap w:val="0"/>
            <w:vAlign w:val="center"/>
          </w:tcPr>
          <w:p w14:paraId="52A8F08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0.014</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0CEB7D3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65E2711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0.109</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0E43AF2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+0.014</w:t>
            </w:r>
            <w:r>
              <w:rPr>
                <w:rFonts w:hint="eastAsia" w:ascii="Times New Roman" w:hAnsi="Times New Roman" w:eastAsia="宋体" w:cs="宋体"/>
                <w:b/>
                <w:bCs/>
                <w:snapToGrid w:val="0"/>
                <w:color w:val="auto"/>
                <w:kern w:val="21"/>
                <w:sz w:val="21"/>
                <w:szCs w:val="21"/>
                <w:highlight w:val="none"/>
                <w:lang w:val="en-US" w:eastAsia="zh-CN"/>
              </w:rPr>
              <w:t>t/a</w:t>
            </w:r>
          </w:p>
        </w:tc>
      </w:tr>
      <w:tr w14:paraId="4B1A8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6584C23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77F6BFE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snapToGrid w:val="0"/>
                <w:color w:val="auto"/>
                <w:kern w:val="21"/>
                <w:sz w:val="21"/>
                <w:szCs w:val="21"/>
                <w:highlight w:val="none"/>
                <w:lang w:eastAsia="zh-CN"/>
              </w:rPr>
            </w:pPr>
            <w:r>
              <w:rPr>
                <w:rFonts w:hint="eastAsia" w:ascii="Times New Roman" w:hAnsi="Times New Roman" w:eastAsia="宋体" w:cs="宋体"/>
                <w:snapToGrid w:val="0"/>
                <w:color w:val="auto"/>
                <w:kern w:val="21"/>
                <w:sz w:val="21"/>
                <w:szCs w:val="21"/>
                <w:highlight w:val="none"/>
                <w:lang w:eastAsia="zh-CN"/>
              </w:rPr>
              <w:t>氨氮</w:t>
            </w:r>
          </w:p>
        </w:tc>
        <w:tc>
          <w:tcPr>
            <w:tcW w:w="516" w:type="pct"/>
            <w:shd w:val="clear" w:color="auto" w:fill="auto"/>
            <w:noWrap w:val="0"/>
            <w:vAlign w:val="center"/>
          </w:tcPr>
          <w:p w14:paraId="77F9025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0.014t/a</w:t>
            </w:r>
          </w:p>
        </w:tc>
        <w:tc>
          <w:tcPr>
            <w:tcW w:w="524" w:type="pct"/>
            <w:shd w:val="clear" w:color="auto" w:fill="auto"/>
            <w:noWrap w:val="0"/>
            <w:vAlign w:val="center"/>
          </w:tcPr>
          <w:p w14:paraId="10512C8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0.014t/a</w:t>
            </w:r>
          </w:p>
        </w:tc>
        <w:tc>
          <w:tcPr>
            <w:tcW w:w="577" w:type="pct"/>
            <w:noWrap w:val="0"/>
            <w:vAlign w:val="center"/>
          </w:tcPr>
          <w:p w14:paraId="3A86D3B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w:t>
            </w:r>
          </w:p>
        </w:tc>
        <w:tc>
          <w:tcPr>
            <w:tcW w:w="540" w:type="pct"/>
            <w:noWrap w:val="0"/>
            <w:vAlign w:val="center"/>
          </w:tcPr>
          <w:p w14:paraId="2DF8318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cs="宋体"/>
                <w:b/>
                <w:bCs/>
                <w:snapToGrid w:val="0"/>
                <w:color w:val="auto"/>
                <w:kern w:val="21"/>
                <w:sz w:val="21"/>
                <w:szCs w:val="21"/>
                <w:highlight w:val="none"/>
                <w:lang w:val="en-US" w:eastAsia="zh-CN"/>
              </w:rPr>
              <w:t>0.002</w:t>
            </w:r>
            <w:r>
              <w:rPr>
                <w:rFonts w:hint="eastAsia" w:ascii="Times New Roman" w:hAnsi="Times New Roman" w:eastAsia="宋体" w:cs="宋体"/>
                <w:b/>
                <w:bCs/>
                <w:snapToGrid w:val="0"/>
                <w:color w:val="auto"/>
                <w:kern w:val="21"/>
                <w:sz w:val="21"/>
                <w:szCs w:val="21"/>
                <w:highlight w:val="none"/>
                <w:lang w:val="en-US" w:eastAsia="zh-CN"/>
              </w:rPr>
              <w:t>t/a</w:t>
            </w:r>
          </w:p>
        </w:tc>
        <w:tc>
          <w:tcPr>
            <w:tcW w:w="606" w:type="pct"/>
            <w:noWrap w:val="0"/>
            <w:vAlign w:val="center"/>
          </w:tcPr>
          <w:p w14:paraId="348DDF5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1C2AEE5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0.016</w:t>
            </w:r>
            <w:r>
              <w:rPr>
                <w:rFonts w:hint="eastAsia" w:ascii="Times New Roman" w:hAnsi="Times New Roman" w:eastAsia="宋体" w:cs="宋体"/>
                <w:b/>
                <w:bCs/>
                <w:snapToGrid w:val="0"/>
                <w:color w:val="auto"/>
                <w:kern w:val="21"/>
                <w:sz w:val="21"/>
                <w:szCs w:val="21"/>
                <w:highlight w:val="none"/>
                <w:lang w:val="en-US" w:eastAsia="zh-CN"/>
              </w:rPr>
              <w:t>t/a</w:t>
            </w:r>
          </w:p>
        </w:tc>
        <w:tc>
          <w:tcPr>
            <w:tcW w:w="576" w:type="pct"/>
            <w:shd w:val="clear" w:color="auto" w:fill="auto"/>
            <w:noWrap w:val="0"/>
            <w:vAlign w:val="center"/>
          </w:tcPr>
          <w:p w14:paraId="4C78EAE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+0.002</w:t>
            </w:r>
            <w:r>
              <w:rPr>
                <w:rFonts w:hint="eastAsia" w:ascii="Times New Roman" w:hAnsi="Times New Roman" w:eastAsia="宋体" w:cs="宋体"/>
                <w:b/>
                <w:bCs/>
                <w:snapToGrid w:val="0"/>
                <w:color w:val="auto"/>
                <w:kern w:val="21"/>
                <w:sz w:val="21"/>
                <w:szCs w:val="21"/>
                <w:highlight w:val="none"/>
                <w:lang w:val="en-US" w:eastAsia="zh-CN"/>
              </w:rPr>
              <w:t>t/a</w:t>
            </w:r>
          </w:p>
        </w:tc>
      </w:tr>
      <w:tr w14:paraId="03B46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339A545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rPr>
              <w:t>一般工业</w:t>
            </w:r>
          </w:p>
          <w:p w14:paraId="356BEA1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rPr>
              <w:t>固体废物</w:t>
            </w:r>
          </w:p>
        </w:tc>
        <w:tc>
          <w:tcPr>
            <w:tcW w:w="637" w:type="pct"/>
            <w:noWrap w:val="0"/>
            <w:vAlign w:val="center"/>
          </w:tcPr>
          <w:p w14:paraId="595C8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废边角料</w:t>
            </w:r>
          </w:p>
        </w:tc>
        <w:tc>
          <w:tcPr>
            <w:tcW w:w="516" w:type="pct"/>
            <w:shd w:val="clear" w:color="auto" w:fill="auto"/>
            <w:noWrap w:val="0"/>
            <w:vAlign w:val="center"/>
          </w:tcPr>
          <w:p w14:paraId="76456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c>
          <w:tcPr>
            <w:tcW w:w="524" w:type="pct"/>
            <w:shd w:val="clear" w:color="auto" w:fill="auto"/>
            <w:noWrap w:val="0"/>
            <w:vAlign w:val="center"/>
          </w:tcPr>
          <w:p w14:paraId="59299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c>
          <w:tcPr>
            <w:tcW w:w="577" w:type="pct"/>
            <w:noWrap w:val="0"/>
            <w:vAlign w:val="center"/>
          </w:tcPr>
          <w:p w14:paraId="6A96DBC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b/>
                <w:bCs/>
                <w:color w:val="auto"/>
                <w:sz w:val="21"/>
                <w:szCs w:val="21"/>
                <w:highlight w:val="none"/>
                <w:lang w:val="en-US" w:eastAsia="zh-CN"/>
              </w:rPr>
              <w:t>/</w:t>
            </w:r>
          </w:p>
        </w:tc>
        <w:tc>
          <w:tcPr>
            <w:tcW w:w="540" w:type="pct"/>
            <w:noWrap w:val="0"/>
            <w:vAlign w:val="center"/>
          </w:tcPr>
          <w:p w14:paraId="46E90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c>
          <w:tcPr>
            <w:tcW w:w="606" w:type="pct"/>
            <w:noWrap w:val="0"/>
            <w:vAlign w:val="center"/>
          </w:tcPr>
          <w:p w14:paraId="356A405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26E5D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c>
          <w:tcPr>
            <w:tcW w:w="576" w:type="pct"/>
            <w:shd w:val="clear" w:color="auto" w:fill="auto"/>
            <w:noWrap w:val="0"/>
            <w:vAlign w:val="center"/>
          </w:tcPr>
          <w:p w14:paraId="1475C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cs="宋体"/>
                <w:b/>
                <w:bCs/>
                <w:snapToGrid w:val="0"/>
                <w:color w:val="auto"/>
                <w:kern w:val="21"/>
                <w:sz w:val="21"/>
                <w:szCs w:val="21"/>
                <w:highlight w:val="none"/>
                <w:lang w:val="en-US" w:eastAsia="zh-CN"/>
              </w:rPr>
              <w:t>+</w:t>
            </w:r>
            <w:r>
              <w:rPr>
                <w:rFonts w:hint="eastAsia" w:ascii="Times New Roman" w:hAnsi="Times New Roman" w:eastAsia="宋体" w:cs="宋体"/>
                <w:b/>
                <w:bCs/>
                <w:color w:val="auto"/>
                <w:kern w:val="0"/>
                <w:sz w:val="21"/>
                <w:szCs w:val="21"/>
                <w:highlight w:val="none"/>
                <w:lang w:val="en-US" w:eastAsia="zh-CN" w:bidi="ar"/>
              </w:rPr>
              <w:t>16t/a</w:t>
            </w:r>
          </w:p>
        </w:tc>
      </w:tr>
      <w:tr w14:paraId="7A7E7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4625456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6FDDD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焊  渣</w:t>
            </w:r>
          </w:p>
        </w:tc>
        <w:tc>
          <w:tcPr>
            <w:tcW w:w="516" w:type="pct"/>
            <w:shd w:val="clear" w:color="auto" w:fill="auto"/>
            <w:noWrap w:val="0"/>
            <w:vAlign w:val="center"/>
          </w:tcPr>
          <w:p w14:paraId="3707C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0.9t/a</w:t>
            </w:r>
          </w:p>
        </w:tc>
        <w:tc>
          <w:tcPr>
            <w:tcW w:w="524" w:type="pct"/>
            <w:shd w:val="clear" w:color="auto" w:fill="auto"/>
            <w:noWrap w:val="0"/>
            <w:vAlign w:val="center"/>
          </w:tcPr>
          <w:p w14:paraId="2DD4D81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0.9t/a</w:t>
            </w:r>
          </w:p>
        </w:tc>
        <w:tc>
          <w:tcPr>
            <w:tcW w:w="577" w:type="pct"/>
            <w:noWrap w:val="0"/>
            <w:vAlign w:val="center"/>
          </w:tcPr>
          <w:p w14:paraId="76F3E80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heme="minorBidi"/>
                <w:b/>
                <w:bCs/>
                <w:color w:val="auto"/>
                <w:kern w:val="0"/>
                <w:sz w:val="21"/>
                <w:szCs w:val="21"/>
                <w:highlight w:val="none"/>
                <w:lang w:val="en-US" w:eastAsia="zh-CN" w:bidi="ar-SA"/>
              </w:rPr>
            </w:pPr>
            <w:r>
              <w:rPr>
                <w:rFonts w:hint="eastAsia" w:ascii="Times New Roman" w:hAnsi="Times New Roman" w:eastAsia="宋体" w:cstheme="minorBidi"/>
                <w:b/>
                <w:bCs/>
                <w:color w:val="auto"/>
                <w:kern w:val="0"/>
                <w:sz w:val="21"/>
                <w:szCs w:val="21"/>
                <w:highlight w:val="none"/>
                <w:lang w:val="en-US" w:eastAsia="zh-CN" w:bidi="ar-SA"/>
              </w:rPr>
              <w:t>/</w:t>
            </w:r>
          </w:p>
        </w:tc>
        <w:tc>
          <w:tcPr>
            <w:tcW w:w="540" w:type="pct"/>
            <w:noWrap w:val="0"/>
            <w:vAlign w:val="center"/>
          </w:tcPr>
          <w:p w14:paraId="78EAB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606" w:type="pct"/>
            <w:noWrap w:val="0"/>
            <w:vAlign w:val="center"/>
          </w:tcPr>
          <w:p w14:paraId="404C8F4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387EE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0.9t/a</w:t>
            </w:r>
          </w:p>
        </w:tc>
        <w:tc>
          <w:tcPr>
            <w:tcW w:w="576" w:type="pct"/>
            <w:shd w:val="clear" w:color="auto" w:fill="auto"/>
            <w:noWrap w:val="0"/>
            <w:vAlign w:val="center"/>
          </w:tcPr>
          <w:p w14:paraId="6C4A8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r>
      <w:tr w14:paraId="763F5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730A154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13C58DC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打磨金属屑</w:t>
            </w:r>
          </w:p>
        </w:tc>
        <w:tc>
          <w:tcPr>
            <w:tcW w:w="516" w:type="pct"/>
            <w:shd w:val="clear" w:color="auto" w:fill="auto"/>
            <w:noWrap w:val="0"/>
            <w:vAlign w:val="center"/>
          </w:tcPr>
          <w:p w14:paraId="4CEA8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24" w:type="pct"/>
            <w:shd w:val="clear" w:color="auto" w:fill="auto"/>
            <w:noWrap w:val="0"/>
            <w:vAlign w:val="center"/>
          </w:tcPr>
          <w:p w14:paraId="11EA3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77" w:type="pct"/>
            <w:noWrap w:val="0"/>
            <w:vAlign w:val="center"/>
          </w:tcPr>
          <w:p w14:paraId="2951BA6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heme="minorBidi"/>
                <w:b/>
                <w:bCs/>
                <w:color w:val="auto"/>
                <w:kern w:val="0"/>
                <w:sz w:val="21"/>
                <w:szCs w:val="21"/>
                <w:highlight w:val="none"/>
                <w:lang w:val="en-US" w:eastAsia="zh-CN" w:bidi="ar-SA"/>
              </w:rPr>
            </w:pPr>
            <w:r>
              <w:rPr>
                <w:rFonts w:hint="eastAsia" w:ascii="Times New Roman" w:hAnsi="Times New Roman" w:eastAsia="宋体" w:cstheme="minorBidi"/>
                <w:b/>
                <w:bCs/>
                <w:color w:val="auto"/>
                <w:kern w:val="0"/>
                <w:sz w:val="21"/>
                <w:szCs w:val="21"/>
                <w:highlight w:val="none"/>
                <w:lang w:val="en-US" w:eastAsia="zh-CN" w:bidi="ar-SA"/>
              </w:rPr>
              <w:t>/</w:t>
            </w:r>
          </w:p>
        </w:tc>
        <w:tc>
          <w:tcPr>
            <w:tcW w:w="540" w:type="pct"/>
            <w:noWrap w:val="0"/>
            <w:vAlign w:val="center"/>
          </w:tcPr>
          <w:p w14:paraId="073AA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606" w:type="pct"/>
            <w:noWrap w:val="0"/>
            <w:vAlign w:val="center"/>
          </w:tcPr>
          <w:p w14:paraId="39557D7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77798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76" w:type="pct"/>
            <w:shd w:val="clear" w:color="auto" w:fill="auto"/>
            <w:noWrap w:val="0"/>
            <w:vAlign w:val="center"/>
          </w:tcPr>
          <w:p w14:paraId="3FA37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r>
      <w:tr w14:paraId="2134C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755B51B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eastAsia" w:ascii="Times New Roman" w:hAnsi="Times New Roman" w:eastAsia="宋体" w:cs="宋体"/>
                <w:b/>
                <w:bCs/>
                <w:snapToGrid w:val="0"/>
                <w:color w:val="auto"/>
                <w:kern w:val="21"/>
                <w:sz w:val="21"/>
                <w:szCs w:val="21"/>
                <w:highlight w:val="none"/>
              </w:rPr>
            </w:pPr>
          </w:p>
        </w:tc>
        <w:tc>
          <w:tcPr>
            <w:tcW w:w="637" w:type="pct"/>
            <w:noWrap w:val="0"/>
            <w:vAlign w:val="center"/>
          </w:tcPr>
          <w:p w14:paraId="0BE78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不合格品</w:t>
            </w:r>
          </w:p>
        </w:tc>
        <w:tc>
          <w:tcPr>
            <w:tcW w:w="516" w:type="pct"/>
            <w:shd w:val="clear" w:color="auto" w:fill="auto"/>
            <w:noWrap w:val="0"/>
            <w:vAlign w:val="center"/>
          </w:tcPr>
          <w:p w14:paraId="2D76A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4t/a</w:t>
            </w:r>
          </w:p>
        </w:tc>
        <w:tc>
          <w:tcPr>
            <w:tcW w:w="524" w:type="pct"/>
            <w:shd w:val="clear" w:color="auto" w:fill="auto"/>
            <w:noWrap w:val="0"/>
            <w:vAlign w:val="center"/>
          </w:tcPr>
          <w:p w14:paraId="00D17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4t/a</w:t>
            </w:r>
          </w:p>
        </w:tc>
        <w:tc>
          <w:tcPr>
            <w:tcW w:w="577" w:type="pct"/>
            <w:noWrap w:val="0"/>
            <w:vAlign w:val="center"/>
          </w:tcPr>
          <w:p w14:paraId="28C2177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heme="minorBidi"/>
                <w:b/>
                <w:bCs/>
                <w:color w:val="auto"/>
                <w:kern w:val="0"/>
                <w:sz w:val="21"/>
                <w:szCs w:val="21"/>
                <w:highlight w:val="none"/>
                <w:lang w:val="en-US" w:eastAsia="zh-CN" w:bidi="ar-SA"/>
              </w:rPr>
            </w:pPr>
            <w:r>
              <w:rPr>
                <w:rFonts w:hint="eastAsia" w:ascii="Times New Roman" w:hAnsi="Times New Roman" w:eastAsia="宋体" w:cstheme="minorBidi"/>
                <w:b/>
                <w:bCs/>
                <w:color w:val="auto"/>
                <w:kern w:val="0"/>
                <w:sz w:val="21"/>
                <w:szCs w:val="21"/>
                <w:highlight w:val="none"/>
                <w:lang w:val="en-US" w:eastAsia="zh-CN" w:bidi="ar-SA"/>
              </w:rPr>
              <w:t>/</w:t>
            </w:r>
          </w:p>
        </w:tc>
        <w:tc>
          <w:tcPr>
            <w:tcW w:w="540" w:type="pct"/>
            <w:noWrap w:val="0"/>
            <w:vAlign w:val="center"/>
          </w:tcPr>
          <w:p w14:paraId="75547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c>
          <w:tcPr>
            <w:tcW w:w="606" w:type="pct"/>
            <w:noWrap w:val="0"/>
            <w:vAlign w:val="center"/>
          </w:tcPr>
          <w:p w14:paraId="4F6430D3">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640D2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20t/a</w:t>
            </w:r>
          </w:p>
        </w:tc>
        <w:tc>
          <w:tcPr>
            <w:tcW w:w="576" w:type="pct"/>
            <w:shd w:val="clear" w:color="auto" w:fill="auto"/>
            <w:noWrap w:val="0"/>
            <w:vAlign w:val="center"/>
          </w:tcPr>
          <w:p w14:paraId="17222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+16t/a</w:t>
            </w:r>
          </w:p>
        </w:tc>
      </w:tr>
      <w:tr w14:paraId="4ABD0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3DFAFE8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3A3EA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除尘灰</w:t>
            </w:r>
          </w:p>
        </w:tc>
        <w:tc>
          <w:tcPr>
            <w:tcW w:w="516" w:type="pct"/>
            <w:shd w:val="clear" w:color="auto" w:fill="auto"/>
            <w:noWrap w:val="0"/>
            <w:vAlign w:val="center"/>
          </w:tcPr>
          <w:p w14:paraId="41DA7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0.354</w:t>
            </w:r>
            <w:r>
              <w:rPr>
                <w:rFonts w:hint="default" w:ascii="Times New Roman" w:hAnsi="Times New Roman" w:eastAsia="宋体"/>
                <w:b/>
                <w:bCs/>
                <w:color w:val="auto"/>
                <w:sz w:val="21"/>
                <w:szCs w:val="21"/>
                <w:highlight w:val="none"/>
                <w:lang w:val="en-US" w:eastAsia="zh-CN"/>
              </w:rPr>
              <w:t>t/a</w:t>
            </w:r>
          </w:p>
        </w:tc>
        <w:tc>
          <w:tcPr>
            <w:tcW w:w="524" w:type="pct"/>
            <w:shd w:val="clear" w:color="auto" w:fill="auto"/>
            <w:noWrap w:val="0"/>
            <w:vAlign w:val="center"/>
          </w:tcPr>
          <w:p w14:paraId="2BFC810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0.354</w:t>
            </w:r>
            <w:r>
              <w:rPr>
                <w:rFonts w:hint="default" w:ascii="Times New Roman" w:hAnsi="Times New Roman" w:eastAsia="宋体"/>
                <w:b/>
                <w:bCs/>
                <w:color w:val="auto"/>
                <w:sz w:val="21"/>
                <w:szCs w:val="21"/>
                <w:highlight w:val="none"/>
                <w:lang w:val="en-US" w:eastAsia="zh-CN"/>
              </w:rPr>
              <w:t>t/a</w:t>
            </w:r>
          </w:p>
        </w:tc>
        <w:tc>
          <w:tcPr>
            <w:tcW w:w="577" w:type="pct"/>
            <w:noWrap w:val="0"/>
            <w:vAlign w:val="center"/>
          </w:tcPr>
          <w:p w14:paraId="0D0D0E2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color w:val="auto"/>
                <w:kern w:val="0"/>
                <w:sz w:val="21"/>
                <w:szCs w:val="21"/>
                <w:highlight w:val="none"/>
                <w:lang w:val="en-US" w:eastAsia="zh-CN" w:bidi="ar"/>
              </w:rPr>
              <w:t>/</w:t>
            </w:r>
          </w:p>
        </w:tc>
        <w:tc>
          <w:tcPr>
            <w:tcW w:w="540" w:type="pct"/>
            <w:noWrap w:val="0"/>
            <w:vAlign w:val="center"/>
          </w:tcPr>
          <w:p w14:paraId="1CE79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2.017</w:t>
            </w:r>
            <w:r>
              <w:rPr>
                <w:rFonts w:hint="default" w:ascii="Times New Roman" w:hAnsi="Times New Roman" w:eastAsia="宋体"/>
                <w:b/>
                <w:bCs/>
                <w:color w:val="auto"/>
                <w:sz w:val="21"/>
                <w:szCs w:val="21"/>
                <w:highlight w:val="none"/>
                <w:lang w:val="en-US" w:eastAsia="zh-CN"/>
              </w:rPr>
              <w:t>t/a</w:t>
            </w:r>
          </w:p>
        </w:tc>
        <w:tc>
          <w:tcPr>
            <w:tcW w:w="606" w:type="pct"/>
            <w:noWrap w:val="0"/>
            <w:vAlign w:val="center"/>
          </w:tcPr>
          <w:p w14:paraId="65EE9A9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60DFB79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2.371</w:t>
            </w:r>
            <w:r>
              <w:rPr>
                <w:rFonts w:hint="default" w:ascii="Times New Roman" w:hAnsi="Times New Roman" w:eastAsia="宋体"/>
                <w:b/>
                <w:bCs/>
                <w:color w:val="auto"/>
                <w:sz w:val="21"/>
                <w:szCs w:val="21"/>
                <w:highlight w:val="none"/>
                <w:lang w:val="en-US" w:eastAsia="zh-CN"/>
              </w:rPr>
              <w:t>t/a</w:t>
            </w:r>
          </w:p>
        </w:tc>
        <w:tc>
          <w:tcPr>
            <w:tcW w:w="576" w:type="pct"/>
            <w:shd w:val="clear" w:color="auto" w:fill="auto"/>
            <w:noWrap w:val="0"/>
            <w:vAlign w:val="center"/>
          </w:tcPr>
          <w:p w14:paraId="49F39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b/>
                <w:bCs/>
                <w:color w:val="auto"/>
                <w:sz w:val="21"/>
                <w:szCs w:val="21"/>
                <w:highlight w:val="none"/>
                <w:lang w:val="en-US" w:eastAsia="zh-CN"/>
              </w:rPr>
              <w:t>+2.017</w:t>
            </w:r>
            <w:r>
              <w:rPr>
                <w:rFonts w:hint="default" w:ascii="Times New Roman" w:hAnsi="Times New Roman" w:eastAsia="宋体"/>
                <w:b/>
                <w:bCs/>
                <w:color w:val="auto"/>
                <w:sz w:val="21"/>
                <w:szCs w:val="21"/>
                <w:highlight w:val="none"/>
                <w:lang w:val="en-US" w:eastAsia="zh-CN"/>
              </w:rPr>
              <w:t>t/a</w:t>
            </w:r>
          </w:p>
        </w:tc>
      </w:tr>
      <w:tr w14:paraId="3DE33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384C50F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3752472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废钢丸</w:t>
            </w:r>
          </w:p>
        </w:tc>
        <w:tc>
          <w:tcPr>
            <w:tcW w:w="516" w:type="pct"/>
            <w:shd w:val="clear" w:color="auto" w:fill="auto"/>
            <w:noWrap w:val="0"/>
            <w:vAlign w:val="center"/>
          </w:tcPr>
          <w:p w14:paraId="17E21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w:t>
            </w:r>
          </w:p>
        </w:tc>
        <w:tc>
          <w:tcPr>
            <w:tcW w:w="524" w:type="pct"/>
            <w:shd w:val="clear" w:color="auto" w:fill="auto"/>
            <w:noWrap w:val="0"/>
            <w:vAlign w:val="center"/>
          </w:tcPr>
          <w:p w14:paraId="36E658E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w:t>
            </w:r>
          </w:p>
        </w:tc>
        <w:tc>
          <w:tcPr>
            <w:tcW w:w="577" w:type="pct"/>
            <w:noWrap w:val="0"/>
            <w:vAlign w:val="center"/>
          </w:tcPr>
          <w:p w14:paraId="3042C164">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noWrap w:val="0"/>
            <w:vAlign w:val="center"/>
          </w:tcPr>
          <w:p w14:paraId="4F50B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0.2t/a</w:t>
            </w:r>
          </w:p>
        </w:tc>
        <w:tc>
          <w:tcPr>
            <w:tcW w:w="606" w:type="pct"/>
            <w:noWrap w:val="0"/>
            <w:vAlign w:val="center"/>
          </w:tcPr>
          <w:p w14:paraId="46DC479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rPr>
            </w:pPr>
            <w:r>
              <w:rPr>
                <w:rFonts w:hint="eastAsia" w:ascii="Times New Roman" w:cs="宋体"/>
                <w:b/>
                <w:bCs/>
                <w:snapToGrid w:val="0"/>
                <w:color w:val="auto"/>
                <w:kern w:val="21"/>
                <w:sz w:val="21"/>
                <w:szCs w:val="21"/>
                <w:highlight w:val="none"/>
                <w:lang w:val="en-US" w:eastAsia="zh-CN"/>
              </w:rPr>
              <w:t>0</w:t>
            </w:r>
          </w:p>
        </w:tc>
        <w:tc>
          <w:tcPr>
            <w:tcW w:w="599" w:type="pct"/>
            <w:noWrap w:val="0"/>
            <w:vAlign w:val="center"/>
          </w:tcPr>
          <w:p w14:paraId="21B5D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0.2t/a</w:t>
            </w:r>
          </w:p>
        </w:tc>
        <w:tc>
          <w:tcPr>
            <w:tcW w:w="576" w:type="pct"/>
            <w:shd w:val="clear" w:color="auto" w:fill="auto"/>
            <w:noWrap w:val="0"/>
            <w:vAlign w:val="center"/>
          </w:tcPr>
          <w:p w14:paraId="30320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+0.2t/a</w:t>
            </w:r>
          </w:p>
        </w:tc>
      </w:tr>
      <w:tr w14:paraId="3DEEE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4036191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244D4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废包装</w:t>
            </w:r>
          </w:p>
        </w:tc>
        <w:tc>
          <w:tcPr>
            <w:tcW w:w="516" w:type="pct"/>
            <w:shd w:val="clear" w:color="auto" w:fill="auto"/>
            <w:noWrap w:val="0"/>
            <w:vAlign w:val="center"/>
          </w:tcPr>
          <w:p w14:paraId="55E93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w:t>
            </w:r>
          </w:p>
        </w:tc>
        <w:tc>
          <w:tcPr>
            <w:tcW w:w="524" w:type="pct"/>
            <w:shd w:val="clear" w:color="auto" w:fill="auto"/>
            <w:noWrap w:val="0"/>
            <w:vAlign w:val="center"/>
          </w:tcPr>
          <w:p w14:paraId="5A02C16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0</w:t>
            </w:r>
          </w:p>
        </w:tc>
        <w:tc>
          <w:tcPr>
            <w:tcW w:w="577" w:type="pct"/>
            <w:noWrap w:val="0"/>
            <w:vAlign w:val="center"/>
          </w:tcPr>
          <w:p w14:paraId="206A9BE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shd w:val="clear" w:color="auto" w:fill="auto"/>
            <w:noWrap w:val="0"/>
            <w:vAlign w:val="center"/>
          </w:tcPr>
          <w:p w14:paraId="07131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theme="minorBidi"/>
                <w:b/>
                <w:bCs/>
                <w:color w:val="auto"/>
                <w:kern w:val="2"/>
                <w:sz w:val="21"/>
                <w:szCs w:val="21"/>
                <w:highlight w:val="none"/>
                <w:lang w:val="en-US" w:eastAsia="zh-CN" w:bidi="ar-SA"/>
              </w:rPr>
            </w:pPr>
            <w:r>
              <w:rPr>
                <w:rFonts w:hint="eastAsia" w:ascii="Times New Roman" w:hAnsi="Times New Roman" w:eastAsia="宋体"/>
                <w:b/>
                <w:bCs/>
                <w:color w:val="auto"/>
                <w:sz w:val="21"/>
                <w:szCs w:val="21"/>
                <w:highlight w:val="none"/>
                <w:lang w:val="en-US" w:eastAsia="zh-CN"/>
              </w:rPr>
              <w:t>0.1t/a</w:t>
            </w:r>
          </w:p>
        </w:tc>
        <w:tc>
          <w:tcPr>
            <w:tcW w:w="606" w:type="pct"/>
            <w:shd w:val="clear" w:color="auto" w:fill="auto"/>
            <w:noWrap w:val="0"/>
            <w:vAlign w:val="center"/>
          </w:tcPr>
          <w:p w14:paraId="4B258F9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rPr>
              <w:t>0</w:t>
            </w:r>
          </w:p>
        </w:tc>
        <w:tc>
          <w:tcPr>
            <w:tcW w:w="599" w:type="pct"/>
            <w:shd w:val="clear" w:color="auto" w:fill="auto"/>
            <w:noWrap w:val="0"/>
            <w:vAlign w:val="center"/>
          </w:tcPr>
          <w:p w14:paraId="6FE462E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theme="minorBidi"/>
                <w:b/>
                <w:bCs/>
                <w:color w:val="auto"/>
                <w:kern w:val="2"/>
                <w:sz w:val="21"/>
                <w:szCs w:val="21"/>
                <w:highlight w:val="none"/>
                <w:lang w:val="en-US" w:eastAsia="zh-CN" w:bidi="ar-SA"/>
              </w:rPr>
            </w:pPr>
            <w:r>
              <w:rPr>
                <w:rFonts w:hint="eastAsia" w:ascii="Times New Roman" w:hAnsi="Times New Roman" w:eastAsia="宋体"/>
                <w:b/>
                <w:bCs/>
                <w:color w:val="auto"/>
                <w:sz w:val="21"/>
                <w:szCs w:val="21"/>
                <w:highlight w:val="none"/>
                <w:lang w:val="en-US" w:eastAsia="zh-CN"/>
              </w:rPr>
              <w:t>0.1t/a</w:t>
            </w:r>
          </w:p>
        </w:tc>
        <w:tc>
          <w:tcPr>
            <w:tcW w:w="576" w:type="pct"/>
            <w:shd w:val="clear" w:color="auto" w:fill="auto"/>
            <w:noWrap w:val="0"/>
            <w:vAlign w:val="center"/>
          </w:tcPr>
          <w:p w14:paraId="63E8D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theme="minorBidi"/>
                <w:b/>
                <w:bCs/>
                <w:color w:val="auto"/>
                <w:kern w:val="2"/>
                <w:sz w:val="21"/>
                <w:szCs w:val="21"/>
                <w:highlight w:val="none"/>
                <w:lang w:val="en-US" w:eastAsia="zh-CN" w:bidi="ar-SA"/>
              </w:rPr>
            </w:pPr>
            <w:r>
              <w:rPr>
                <w:rFonts w:hint="eastAsia" w:ascii="Times New Roman" w:hAnsi="Times New Roman" w:eastAsia="宋体"/>
                <w:b/>
                <w:bCs/>
                <w:color w:val="auto"/>
                <w:sz w:val="21"/>
                <w:szCs w:val="21"/>
                <w:highlight w:val="none"/>
                <w:lang w:val="en-US" w:eastAsia="zh-CN"/>
              </w:rPr>
              <w:t>+0.1t/a</w:t>
            </w:r>
          </w:p>
        </w:tc>
      </w:tr>
      <w:tr w14:paraId="68E65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14:paraId="0723C0BA">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r>
              <w:rPr>
                <w:rFonts w:hint="eastAsia" w:ascii="Times New Roman" w:hAnsi="Times New Roman" w:eastAsia="宋体" w:cs="宋体"/>
                <w:b/>
                <w:bCs/>
                <w:snapToGrid w:val="0"/>
                <w:color w:val="auto"/>
                <w:kern w:val="21"/>
                <w:sz w:val="21"/>
                <w:szCs w:val="21"/>
                <w:highlight w:val="none"/>
              </w:rPr>
              <w:t>危险废物</w:t>
            </w:r>
          </w:p>
        </w:tc>
        <w:tc>
          <w:tcPr>
            <w:tcW w:w="637" w:type="pct"/>
            <w:noWrap w:val="0"/>
            <w:vAlign w:val="center"/>
          </w:tcPr>
          <w:p w14:paraId="7AD88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废切削液</w:t>
            </w:r>
          </w:p>
        </w:tc>
        <w:tc>
          <w:tcPr>
            <w:tcW w:w="516" w:type="pct"/>
            <w:shd w:val="clear" w:color="auto" w:fill="auto"/>
            <w:noWrap w:val="0"/>
            <w:vAlign w:val="center"/>
          </w:tcPr>
          <w:p w14:paraId="47C91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0.3t/a</w:t>
            </w:r>
          </w:p>
        </w:tc>
        <w:tc>
          <w:tcPr>
            <w:tcW w:w="524" w:type="pct"/>
            <w:shd w:val="clear" w:color="auto" w:fill="auto"/>
            <w:noWrap w:val="0"/>
            <w:vAlign w:val="center"/>
          </w:tcPr>
          <w:p w14:paraId="2B6CF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0.3t/a</w:t>
            </w:r>
          </w:p>
        </w:tc>
        <w:tc>
          <w:tcPr>
            <w:tcW w:w="577" w:type="pct"/>
            <w:noWrap w:val="0"/>
            <w:vAlign w:val="center"/>
          </w:tcPr>
          <w:p w14:paraId="53524A1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bidi="ar"/>
              </w:rPr>
              <w:t>/</w:t>
            </w:r>
          </w:p>
        </w:tc>
        <w:tc>
          <w:tcPr>
            <w:tcW w:w="540" w:type="pct"/>
            <w:noWrap w:val="0"/>
            <w:vAlign w:val="center"/>
          </w:tcPr>
          <w:p w14:paraId="785F9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606" w:type="pct"/>
            <w:noWrap w:val="0"/>
            <w:vAlign w:val="center"/>
          </w:tcPr>
          <w:p w14:paraId="206B313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1D50E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0.3t/a</w:t>
            </w:r>
          </w:p>
        </w:tc>
        <w:tc>
          <w:tcPr>
            <w:tcW w:w="576" w:type="pct"/>
            <w:shd w:val="clear" w:color="auto" w:fill="auto"/>
            <w:noWrap w:val="0"/>
            <w:vAlign w:val="center"/>
          </w:tcPr>
          <w:p w14:paraId="7E44D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w:t>
            </w:r>
          </w:p>
        </w:tc>
      </w:tr>
      <w:tr w14:paraId="3F05A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07386226">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00245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含油铁屑</w:t>
            </w:r>
          </w:p>
        </w:tc>
        <w:tc>
          <w:tcPr>
            <w:tcW w:w="516" w:type="pct"/>
            <w:shd w:val="clear" w:color="auto" w:fill="auto"/>
            <w:noWrap w:val="0"/>
            <w:vAlign w:val="center"/>
          </w:tcPr>
          <w:p w14:paraId="495CB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1t/a</w:t>
            </w:r>
          </w:p>
        </w:tc>
        <w:tc>
          <w:tcPr>
            <w:tcW w:w="524" w:type="pct"/>
            <w:shd w:val="clear" w:color="auto" w:fill="auto"/>
            <w:noWrap w:val="0"/>
            <w:vAlign w:val="center"/>
          </w:tcPr>
          <w:p w14:paraId="3F65C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1t/a</w:t>
            </w:r>
          </w:p>
        </w:tc>
        <w:tc>
          <w:tcPr>
            <w:tcW w:w="577" w:type="pct"/>
            <w:noWrap w:val="0"/>
            <w:vAlign w:val="center"/>
          </w:tcPr>
          <w:p w14:paraId="78AC66F1">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noWrap w:val="0"/>
            <w:vAlign w:val="center"/>
          </w:tcPr>
          <w:p w14:paraId="7BC67BF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606" w:type="pct"/>
            <w:noWrap w:val="0"/>
            <w:vAlign w:val="center"/>
          </w:tcPr>
          <w:p w14:paraId="62E1477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bidi="ar-SA"/>
              </w:rPr>
              <w:t>0</w:t>
            </w:r>
          </w:p>
        </w:tc>
        <w:tc>
          <w:tcPr>
            <w:tcW w:w="599" w:type="pct"/>
            <w:noWrap w:val="0"/>
            <w:vAlign w:val="center"/>
          </w:tcPr>
          <w:p w14:paraId="6E650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1t/a</w:t>
            </w:r>
          </w:p>
        </w:tc>
        <w:tc>
          <w:tcPr>
            <w:tcW w:w="576" w:type="pct"/>
            <w:shd w:val="clear" w:color="auto" w:fill="auto"/>
            <w:noWrap w:val="0"/>
            <w:vAlign w:val="center"/>
          </w:tcPr>
          <w:p w14:paraId="0E782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r>
      <w:tr w14:paraId="22674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77A8F9A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3FD23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废机油</w:t>
            </w:r>
          </w:p>
        </w:tc>
        <w:tc>
          <w:tcPr>
            <w:tcW w:w="516" w:type="pct"/>
            <w:shd w:val="clear" w:color="auto" w:fill="auto"/>
            <w:noWrap w:val="0"/>
            <w:vAlign w:val="center"/>
          </w:tcPr>
          <w:p w14:paraId="0278E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0.3t/a</w:t>
            </w:r>
          </w:p>
        </w:tc>
        <w:tc>
          <w:tcPr>
            <w:tcW w:w="524" w:type="pct"/>
            <w:shd w:val="clear" w:color="auto" w:fill="auto"/>
            <w:noWrap w:val="0"/>
            <w:vAlign w:val="center"/>
          </w:tcPr>
          <w:p w14:paraId="6E219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0.3t/a</w:t>
            </w:r>
          </w:p>
        </w:tc>
        <w:tc>
          <w:tcPr>
            <w:tcW w:w="577" w:type="pct"/>
            <w:noWrap w:val="0"/>
            <w:vAlign w:val="center"/>
          </w:tcPr>
          <w:p w14:paraId="2732BB9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bidi="ar"/>
              </w:rPr>
              <w:t>/</w:t>
            </w:r>
          </w:p>
        </w:tc>
        <w:tc>
          <w:tcPr>
            <w:tcW w:w="540" w:type="pct"/>
            <w:noWrap w:val="0"/>
            <w:vAlign w:val="center"/>
          </w:tcPr>
          <w:p w14:paraId="71B55D6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c>
          <w:tcPr>
            <w:tcW w:w="606" w:type="pct"/>
            <w:noWrap w:val="0"/>
            <w:vAlign w:val="center"/>
          </w:tcPr>
          <w:p w14:paraId="3266343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46BA3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0.4t/a</w:t>
            </w:r>
          </w:p>
        </w:tc>
        <w:tc>
          <w:tcPr>
            <w:tcW w:w="576" w:type="pct"/>
            <w:shd w:val="clear" w:color="auto" w:fill="auto"/>
            <w:noWrap w:val="0"/>
            <w:vAlign w:val="center"/>
          </w:tcPr>
          <w:p w14:paraId="1A839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r>
      <w:tr w14:paraId="303D7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noWrap w:val="0"/>
            <w:vAlign w:val="center"/>
          </w:tcPr>
          <w:p w14:paraId="324ADF30">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noWrap w:val="0"/>
            <w:vAlign w:val="center"/>
          </w:tcPr>
          <w:p w14:paraId="3D78E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废液压油</w:t>
            </w:r>
          </w:p>
        </w:tc>
        <w:tc>
          <w:tcPr>
            <w:tcW w:w="516" w:type="pct"/>
            <w:shd w:val="clear" w:color="auto" w:fill="auto"/>
            <w:noWrap w:val="0"/>
            <w:vAlign w:val="center"/>
          </w:tcPr>
          <w:p w14:paraId="20FED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24" w:type="pct"/>
            <w:shd w:val="clear" w:color="auto" w:fill="auto"/>
            <w:noWrap w:val="0"/>
            <w:vAlign w:val="center"/>
          </w:tcPr>
          <w:p w14:paraId="11EE3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77" w:type="pct"/>
            <w:noWrap w:val="0"/>
            <w:vAlign w:val="center"/>
          </w:tcPr>
          <w:p w14:paraId="44615138">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w:t>
            </w:r>
          </w:p>
        </w:tc>
        <w:tc>
          <w:tcPr>
            <w:tcW w:w="540" w:type="pct"/>
            <w:noWrap w:val="0"/>
            <w:vAlign w:val="center"/>
          </w:tcPr>
          <w:p w14:paraId="6B7A0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606" w:type="pct"/>
            <w:noWrap w:val="0"/>
            <w:vAlign w:val="center"/>
          </w:tcPr>
          <w:p w14:paraId="4239093D">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noWrap w:val="0"/>
            <w:vAlign w:val="center"/>
          </w:tcPr>
          <w:p w14:paraId="54A94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0.5t/a</w:t>
            </w:r>
          </w:p>
        </w:tc>
        <w:tc>
          <w:tcPr>
            <w:tcW w:w="576" w:type="pct"/>
            <w:shd w:val="clear" w:color="auto" w:fill="auto"/>
            <w:noWrap w:val="0"/>
            <w:vAlign w:val="center"/>
          </w:tcPr>
          <w:p w14:paraId="75B13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r>
      <w:tr w14:paraId="27B40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6424A1A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vAlign w:val="center"/>
          </w:tcPr>
          <w:p w14:paraId="2B54E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废油桶</w:t>
            </w:r>
          </w:p>
        </w:tc>
        <w:tc>
          <w:tcPr>
            <w:tcW w:w="516" w:type="pct"/>
            <w:shd w:val="clear" w:color="auto" w:fill="auto"/>
            <w:vAlign w:val="center"/>
          </w:tcPr>
          <w:p w14:paraId="344E2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524" w:type="pct"/>
            <w:shd w:val="clear" w:color="auto" w:fill="auto"/>
            <w:vAlign w:val="center"/>
          </w:tcPr>
          <w:p w14:paraId="64F03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577" w:type="pct"/>
            <w:vAlign w:val="center"/>
          </w:tcPr>
          <w:p w14:paraId="475BA1B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w:t>
            </w:r>
          </w:p>
        </w:tc>
        <w:tc>
          <w:tcPr>
            <w:tcW w:w="540" w:type="pct"/>
            <w:vAlign w:val="center"/>
          </w:tcPr>
          <w:p w14:paraId="338D2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606" w:type="pct"/>
            <w:vAlign w:val="center"/>
          </w:tcPr>
          <w:p w14:paraId="642FCDB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vAlign w:val="center"/>
          </w:tcPr>
          <w:p w14:paraId="75FF5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0.04t/a</w:t>
            </w:r>
          </w:p>
        </w:tc>
        <w:tc>
          <w:tcPr>
            <w:tcW w:w="576" w:type="pct"/>
            <w:shd w:val="clear" w:color="auto" w:fill="auto"/>
            <w:vAlign w:val="center"/>
          </w:tcPr>
          <w:p w14:paraId="3391F2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r>
      <w:tr w14:paraId="2FA70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A11449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vAlign w:val="center"/>
          </w:tcPr>
          <w:p w14:paraId="2F9D5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空压机含油废水</w:t>
            </w:r>
          </w:p>
        </w:tc>
        <w:tc>
          <w:tcPr>
            <w:tcW w:w="516" w:type="pct"/>
            <w:shd w:val="clear" w:color="auto" w:fill="auto"/>
            <w:vAlign w:val="center"/>
          </w:tcPr>
          <w:p w14:paraId="0CBDE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524" w:type="pct"/>
            <w:shd w:val="clear" w:color="auto" w:fill="auto"/>
            <w:vAlign w:val="center"/>
          </w:tcPr>
          <w:p w14:paraId="29849C2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577" w:type="pct"/>
            <w:vAlign w:val="center"/>
          </w:tcPr>
          <w:p w14:paraId="3FF19669">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vAlign w:val="center"/>
          </w:tcPr>
          <w:p w14:paraId="25937B9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c>
          <w:tcPr>
            <w:tcW w:w="606" w:type="pct"/>
            <w:vAlign w:val="center"/>
          </w:tcPr>
          <w:p w14:paraId="58C8F20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bidi="ar-SA"/>
              </w:rPr>
              <w:t>0</w:t>
            </w:r>
          </w:p>
        </w:tc>
        <w:tc>
          <w:tcPr>
            <w:tcW w:w="599" w:type="pct"/>
            <w:vAlign w:val="center"/>
          </w:tcPr>
          <w:p w14:paraId="7FF0BD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0.04t/a</w:t>
            </w:r>
          </w:p>
        </w:tc>
        <w:tc>
          <w:tcPr>
            <w:tcW w:w="576" w:type="pct"/>
            <w:shd w:val="clear" w:color="auto" w:fill="auto"/>
            <w:vAlign w:val="center"/>
          </w:tcPr>
          <w:p w14:paraId="6E9F6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+0.02t/a</w:t>
            </w:r>
          </w:p>
        </w:tc>
      </w:tr>
      <w:tr w14:paraId="0E42C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2A4D7025">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vAlign w:val="center"/>
          </w:tcPr>
          <w:p w14:paraId="22964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废活性炭</w:t>
            </w:r>
          </w:p>
        </w:tc>
        <w:tc>
          <w:tcPr>
            <w:tcW w:w="516" w:type="pct"/>
            <w:shd w:val="clear" w:color="auto" w:fill="auto"/>
            <w:vAlign w:val="center"/>
          </w:tcPr>
          <w:p w14:paraId="11995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524" w:type="pct"/>
            <w:shd w:val="clear" w:color="auto" w:fill="auto"/>
            <w:vAlign w:val="center"/>
          </w:tcPr>
          <w:p w14:paraId="4B97B80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577" w:type="pct"/>
            <w:vAlign w:val="center"/>
          </w:tcPr>
          <w:p w14:paraId="074CD6C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vAlign w:val="center"/>
          </w:tcPr>
          <w:p w14:paraId="265D634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c>
          <w:tcPr>
            <w:tcW w:w="606" w:type="pct"/>
            <w:vAlign w:val="center"/>
          </w:tcPr>
          <w:p w14:paraId="26BCE8E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bidi="ar-SA"/>
              </w:rPr>
              <w:t>0</w:t>
            </w:r>
          </w:p>
        </w:tc>
        <w:tc>
          <w:tcPr>
            <w:tcW w:w="599" w:type="pct"/>
            <w:vAlign w:val="center"/>
          </w:tcPr>
          <w:p w14:paraId="23C882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c>
          <w:tcPr>
            <w:tcW w:w="576" w:type="pct"/>
            <w:shd w:val="clear" w:color="auto" w:fill="auto"/>
            <w:vAlign w:val="center"/>
          </w:tcPr>
          <w:p w14:paraId="10029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r>
      <w:tr w14:paraId="1B824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4D4C0C6F">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vAlign w:val="center"/>
          </w:tcPr>
          <w:p w14:paraId="096795D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废过滤棉</w:t>
            </w:r>
          </w:p>
        </w:tc>
        <w:tc>
          <w:tcPr>
            <w:tcW w:w="516" w:type="pct"/>
            <w:shd w:val="clear" w:color="auto" w:fill="auto"/>
            <w:vAlign w:val="center"/>
          </w:tcPr>
          <w:p w14:paraId="62AB7E4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524" w:type="pct"/>
            <w:shd w:val="clear" w:color="auto" w:fill="auto"/>
            <w:vAlign w:val="center"/>
          </w:tcPr>
          <w:p w14:paraId="227ACC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w:t>
            </w:r>
          </w:p>
        </w:tc>
        <w:tc>
          <w:tcPr>
            <w:tcW w:w="577" w:type="pct"/>
            <w:vAlign w:val="center"/>
          </w:tcPr>
          <w:p w14:paraId="2F1837A7">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cs="宋体"/>
                <w:b/>
                <w:bCs/>
                <w:color w:val="auto"/>
                <w:kern w:val="0"/>
                <w:sz w:val="21"/>
                <w:szCs w:val="21"/>
                <w:highlight w:val="none"/>
                <w:lang w:val="en-US" w:eastAsia="zh-CN" w:bidi="ar"/>
              </w:rPr>
            </w:pPr>
            <w:r>
              <w:rPr>
                <w:rFonts w:hint="eastAsia" w:ascii="Times New Roman" w:cs="宋体"/>
                <w:b/>
                <w:bCs/>
                <w:color w:val="auto"/>
                <w:kern w:val="0"/>
                <w:sz w:val="21"/>
                <w:szCs w:val="21"/>
                <w:highlight w:val="none"/>
                <w:lang w:val="en-US" w:eastAsia="zh-CN" w:bidi="ar"/>
              </w:rPr>
              <w:t>/</w:t>
            </w:r>
          </w:p>
        </w:tc>
        <w:tc>
          <w:tcPr>
            <w:tcW w:w="540" w:type="pct"/>
            <w:vAlign w:val="center"/>
          </w:tcPr>
          <w:p w14:paraId="288D62D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0.05t/a</w:t>
            </w:r>
          </w:p>
        </w:tc>
        <w:tc>
          <w:tcPr>
            <w:tcW w:w="606" w:type="pct"/>
            <w:vAlign w:val="center"/>
          </w:tcPr>
          <w:p w14:paraId="6DA71542">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cs="宋体"/>
                <w:b/>
                <w:bCs/>
                <w:snapToGrid w:val="0"/>
                <w:color w:val="auto"/>
                <w:kern w:val="21"/>
                <w:sz w:val="21"/>
                <w:szCs w:val="21"/>
                <w:highlight w:val="none"/>
                <w:lang w:val="en-US" w:eastAsia="zh-CN" w:bidi="ar-SA"/>
              </w:rPr>
            </w:pPr>
            <w:r>
              <w:rPr>
                <w:rFonts w:hint="eastAsia" w:ascii="Times New Roman" w:cs="宋体"/>
                <w:b/>
                <w:bCs/>
                <w:snapToGrid w:val="0"/>
                <w:color w:val="auto"/>
                <w:kern w:val="21"/>
                <w:sz w:val="21"/>
                <w:szCs w:val="21"/>
                <w:highlight w:val="none"/>
                <w:lang w:val="en-US" w:eastAsia="zh-CN" w:bidi="ar-SA"/>
              </w:rPr>
              <w:t>0</w:t>
            </w:r>
          </w:p>
        </w:tc>
        <w:tc>
          <w:tcPr>
            <w:tcW w:w="599" w:type="pct"/>
            <w:vAlign w:val="center"/>
          </w:tcPr>
          <w:p w14:paraId="1F263E9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0.05t/a</w:t>
            </w:r>
          </w:p>
        </w:tc>
        <w:tc>
          <w:tcPr>
            <w:tcW w:w="576" w:type="pct"/>
            <w:shd w:val="clear" w:color="auto" w:fill="auto"/>
            <w:vAlign w:val="center"/>
          </w:tcPr>
          <w:p w14:paraId="542B0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0.05t/a</w:t>
            </w:r>
          </w:p>
        </w:tc>
      </w:tr>
      <w:tr w14:paraId="04CF8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300451C">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right="0" w:firstLine="0" w:firstLineChars="0"/>
              <w:jc w:val="center"/>
              <w:textAlignment w:val="auto"/>
              <w:rPr>
                <w:rFonts w:hint="default" w:ascii="Times New Roman" w:hAnsi="Times New Roman" w:eastAsia="宋体" w:cs="宋体"/>
                <w:b/>
                <w:bCs/>
                <w:snapToGrid w:val="0"/>
                <w:color w:val="auto"/>
                <w:kern w:val="21"/>
                <w:sz w:val="21"/>
                <w:szCs w:val="21"/>
                <w:highlight w:val="none"/>
              </w:rPr>
            </w:pPr>
          </w:p>
        </w:tc>
        <w:tc>
          <w:tcPr>
            <w:tcW w:w="637" w:type="pct"/>
            <w:vAlign w:val="center"/>
          </w:tcPr>
          <w:p w14:paraId="35152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含油废棉纱手套</w:t>
            </w:r>
          </w:p>
        </w:tc>
        <w:tc>
          <w:tcPr>
            <w:tcW w:w="516" w:type="pct"/>
            <w:shd w:val="clear" w:color="auto" w:fill="auto"/>
            <w:vAlign w:val="center"/>
          </w:tcPr>
          <w:p w14:paraId="21E80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c>
          <w:tcPr>
            <w:tcW w:w="524" w:type="pct"/>
            <w:shd w:val="clear" w:color="auto" w:fill="auto"/>
            <w:vAlign w:val="center"/>
          </w:tcPr>
          <w:p w14:paraId="51AE7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0.1t/a</w:t>
            </w:r>
          </w:p>
        </w:tc>
        <w:tc>
          <w:tcPr>
            <w:tcW w:w="577" w:type="pct"/>
            <w:vAlign w:val="center"/>
          </w:tcPr>
          <w:p w14:paraId="63934DDB">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w:t>
            </w:r>
          </w:p>
        </w:tc>
        <w:tc>
          <w:tcPr>
            <w:tcW w:w="540" w:type="pct"/>
            <w:vAlign w:val="center"/>
          </w:tcPr>
          <w:p w14:paraId="7588F1C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0.05t/a</w:t>
            </w:r>
          </w:p>
        </w:tc>
        <w:tc>
          <w:tcPr>
            <w:tcW w:w="606" w:type="pct"/>
            <w:vAlign w:val="center"/>
          </w:tcPr>
          <w:p w14:paraId="37E0C16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eastAsia" w:ascii="Times New Roman" w:hAnsi="Times New Roman" w:eastAsia="宋体" w:cs="宋体"/>
                <w:b/>
                <w:bCs/>
                <w:snapToGrid w:val="0"/>
                <w:color w:val="auto"/>
                <w:kern w:val="21"/>
                <w:sz w:val="21"/>
                <w:szCs w:val="21"/>
                <w:highlight w:val="none"/>
                <w:lang w:val="en-US" w:eastAsia="zh-CN" w:bidi="ar-SA"/>
              </w:rPr>
            </w:pPr>
            <w:r>
              <w:rPr>
                <w:rFonts w:hint="eastAsia" w:ascii="Times New Roman" w:hAnsi="Times New Roman" w:eastAsia="宋体" w:cs="宋体"/>
                <w:b/>
                <w:bCs/>
                <w:snapToGrid w:val="0"/>
                <w:color w:val="auto"/>
                <w:kern w:val="21"/>
                <w:sz w:val="21"/>
                <w:szCs w:val="21"/>
                <w:highlight w:val="none"/>
                <w:lang w:val="en-US" w:eastAsia="zh-CN"/>
              </w:rPr>
              <w:t>0</w:t>
            </w:r>
          </w:p>
        </w:tc>
        <w:tc>
          <w:tcPr>
            <w:tcW w:w="599" w:type="pct"/>
            <w:vAlign w:val="center"/>
          </w:tcPr>
          <w:p w14:paraId="5A53D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0.15t/a</w:t>
            </w:r>
          </w:p>
        </w:tc>
        <w:tc>
          <w:tcPr>
            <w:tcW w:w="576" w:type="pct"/>
            <w:shd w:val="clear" w:color="auto" w:fill="auto"/>
            <w:vAlign w:val="center"/>
          </w:tcPr>
          <w:p w14:paraId="40700C9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+0.05t/a</w:t>
            </w:r>
          </w:p>
        </w:tc>
      </w:tr>
    </w:tbl>
    <w:p w14:paraId="23B16781">
      <w:pPr>
        <w:pStyle w:val="3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both"/>
        <w:textAlignment w:val="auto"/>
        <w:rPr>
          <w:rFonts w:hint="eastAsia" w:ascii="Times New Roman" w:hAnsi="Times New Roman"/>
          <w:snapToGrid w:val="0"/>
          <w:color w:val="auto"/>
          <w:spacing w:val="-6"/>
          <w:kern w:val="21"/>
          <w:szCs w:val="21"/>
          <w:highlight w:val="none"/>
          <w:lang w:val="en-US" w:eastAsia="zh-CN"/>
        </w:rPr>
        <w:sectPr>
          <w:footerReference r:id="rId6" w:type="default"/>
          <w:pgSz w:w="16838" w:h="11906" w:orient="landscape"/>
          <w:pgMar w:top="1514" w:right="1440" w:bottom="1344"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ascii="Times New Roman" w:hAnsi="Times New Roman"/>
          <w:snapToGrid w:val="0"/>
          <w:color w:val="auto"/>
          <w:kern w:val="21"/>
          <w:szCs w:val="21"/>
          <w:highlight w:val="none"/>
        </w:rPr>
        <w:t>注：</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3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③</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4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④</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5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⑤</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7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⑦</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p>
    <w:p w14:paraId="496F6BDF">
      <w:pPr>
        <w:rPr>
          <w:rFonts w:hint="default" w:ascii="Times New Roman" w:hAnsi="Times New Roman"/>
          <w:snapToGrid w:val="0"/>
          <w:color w:val="auto"/>
          <w:spacing w:val="-6"/>
          <w:kern w:val="21"/>
          <w:szCs w:val="21"/>
          <w:highlight w:val="none"/>
          <w:lang w:val="en-US" w:eastAsia="zh-CN"/>
        </w:rPr>
      </w:pPr>
      <w:r>
        <w:drawing>
          <wp:inline distT="0" distB="0" distL="114300" distR="114300">
            <wp:extent cx="5861685" cy="8581390"/>
            <wp:effectExtent l="0" t="0" r="5715"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7"/>
                    <a:stretch>
                      <a:fillRect/>
                    </a:stretch>
                  </pic:blipFill>
                  <pic:spPr>
                    <a:xfrm>
                      <a:off x="0" y="0"/>
                      <a:ext cx="5861685" cy="8581390"/>
                    </a:xfrm>
                    <a:prstGeom prst="rect">
                      <a:avLst/>
                    </a:prstGeom>
                    <a:noFill/>
                    <a:ln>
                      <a:noFill/>
                    </a:ln>
                  </pic:spPr>
                </pic:pic>
              </a:graphicData>
            </a:graphic>
          </wp:inline>
        </w:drawing>
      </w:r>
    </w:p>
    <w:sectPr>
      <w:pgSz w:w="11906" w:h="16838"/>
      <w:pgMar w:top="1440" w:right="1344" w:bottom="1440" w:left="1514" w:header="851" w:footer="992" w:gutter="0"/>
      <w:paperSrc/>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TimesNewRomanPSMT">
    <w:altName w:val="Times New Roman"/>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597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posOffset>2742565</wp:posOffset>
              </wp:positionH>
              <wp:positionV relativeFrom="paragraph">
                <wp:posOffset>-25400</wp:posOffset>
              </wp:positionV>
              <wp:extent cx="50673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67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85F56">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b w:val="0"/>
                              <w:bCs w:val="0"/>
                              <w:sz w:val="24"/>
                              <w:szCs w:val="24"/>
                              <w:lang w:eastAsia="zh-CN"/>
                            </w:rPr>
                          </w:pPr>
                          <w:r>
                            <w:rPr>
                              <w:rFonts w:hint="eastAsia" w:ascii="Times New Roman" w:hAnsi="Times New Roman"/>
                              <w:b w:val="0"/>
                              <w:bCs w:val="0"/>
                              <w:sz w:val="24"/>
                              <w:szCs w:val="24"/>
                              <w:lang w:val="en-US" w:eastAsia="zh-CN"/>
                            </w:rPr>
                            <w:t>Ⅰ</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95pt;margin-top:-2pt;height:144pt;width:39.9pt;mso-position-horizontal-relative:margin;z-index:251659264;mso-width-relative:page;mso-height-relative:page;" filled="f" stroked="f" coordsize="21600,21600" o:gfxdata="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IZRj2QAAAAoBAAAPAAAAAAAAAAEAIAAAACIAAABkcnMvZG93&#10;bnJldi54bWxQSwECFAAUAAAACACHTuJARJ/fvDgCAABiBAAADgAAAAAAAAABACAAAAAoAQAAZHJz&#10;L2Uyb0RvYy54bWxQSwUGAAAAAAYABgBZAQAA0gUAAAAA&#10;">
              <v:fill on="f" focussize="0,0"/>
              <v:stroke on="f" weight="0.5pt"/>
              <v:imagedata o:title=""/>
              <o:lock v:ext="edit" aspectratio="f"/>
              <v:textbox inset="0mm,0mm,0mm,0mm" style="mso-fit-shape-to-text:t;">
                <w:txbxContent>
                  <w:p w14:paraId="38C85F56">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b w:val="0"/>
                        <w:bCs w:val="0"/>
                        <w:sz w:val="24"/>
                        <w:szCs w:val="24"/>
                        <w:lang w:eastAsia="zh-CN"/>
                      </w:rPr>
                    </w:pPr>
                    <w:r>
                      <w:rPr>
                        <w:rFonts w:hint="eastAsia" w:ascii="Times New Roman" w:hAnsi="Times New Roman"/>
                        <w:b w:val="0"/>
                        <w:bCs w:val="0"/>
                        <w:sz w:val="24"/>
                        <w:szCs w:val="24"/>
                        <w:lang w:val="en-US" w:eastAsia="zh-CN"/>
                      </w:rPr>
                      <w:t>Ⅰ</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2AFBF">
    <w:pPr>
      <w:pStyle w:val="13"/>
    </w:pPr>
    <w:r>
      <w:rPr>
        <w:sz w:val="18"/>
      </w:rPr>
      <mc:AlternateContent>
        <mc:Choice Requires="wps">
          <w:drawing>
            <wp:anchor distT="0" distB="0" distL="114300" distR="114300" simplePos="0" relativeHeight="251661312" behindDoc="0" locked="0" layoutInCell="1" allowOverlap="1">
              <wp:simplePos x="0" y="0"/>
              <wp:positionH relativeFrom="margin">
                <wp:posOffset>2742565</wp:posOffset>
              </wp:positionH>
              <wp:positionV relativeFrom="paragraph">
                <wp:posOffset>-25400</wp:posOffset>
              </wp:positionV>
              <wp:extent cx="50673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067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654">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b w:val="0"/>
                              <w:bCs w:val="0"/>
                              <w:sz w:val="24"/>
                              <w:szCs w:val="24"/>
                              <w:lang w:eastAsia="zh-CN"/>
                            </w:rPr>
                          </w:pPr>
                          <w:r>
                            <w:rPr>
                              <w:rFonts w:hint="eastAsia" w:ascii="Times New Roman" w:hAnsi="Times New Roman"/>
                              <w:b w:val="0"/>
                              <w:bCs w:val="0"/>
                              <w:sz w:val="24"/>
                              <w:szCs w:val="24"/>
                              <w:lang w:val="en-US" w:eastAsia="zh-CN"/>
                            </w:rPr>
                            <w:t>Ⅱ</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95pt;margin-top:-2pt;height:144pt;width:39.9pt;mso-position-horizontal-relative:margin;z-index:251661312;mso-width-relative:page;mso-height-relative:page;" filled="f" stroked="f" coordsize="21600,21600" o:gfxdata="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IZRj2QAAAAoBAAAPAAAAAAAAAAEAIAAAACIAAABkcnMvZG93&#10;bnJldi54bWxQSwECFAAUAAAACACHTuJAk9+mhTgCAABiBAAADgAAAAAAAAABACAAAAAoAQAAZHJz&#10;L2Uyb0RvYy54bWxQSwUGAAAAAAYABgBZAQAA0gUAAAAA&#10;">
              <v:fill on="f" focussize="0,0"/>
              <v:stroke on="f" weight="0.5pt"/>
              <v:imagedata o:title=""/>
              <o:lock v:ext="edit" aspectratio="f"/>
              <v:textbox inset="0mm,0mm,0mm,0mm" style="mso-fit-shape-to-text:t;">
                <w:txbxContent>
                  <w:p w14:paraId="436B3654">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b w:val="0"/>
                        <w:bCs w:val="0"/>
                        <w:sz w:val="24"/>
                        <w:szCs w:val="24"/>
                        <w:lang w:eastAsia="zh-CN"/>
                      </w:rPr>
                    </w:pPr>
                    <w:r>
                      <w:rPr>
                        <w:rFonts w:hint="eastAsia" w:ascii="Times New Roman" w:hAnsi="Times New Roman"/>
                        <w:b w:val="0"/>
                        <w:bCs w:val="0"/>
                        <w:sz w:val="24"/>
                        <w:szCs w:val="24"/>
                        <w:lang w:val="en-US" w:eastAsia="zh-CN"/>
                      </w:rPr>
                      <w:t>Ⅱ</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5474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posOffset>2742565</wp:posOffset>
              </wp:positionH>
              <wp:positionV relativeFrom="paragraph">
                <wp:posOffset>-25400</wp:posOffset>
              </wp:positionV>
              <wp:extent cx="50673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67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7BAF2">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95pt;margin-top:-2pt;height:144pt;width:39.9pt;mso-position-horizontal-relative:margin;z-index:251660288;mso-width-relative:page;mso-height-relative:page;" filled="f" stroked="f" coordsize="21600,21600" o:gfxdata="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IZRj2QAAAAoBAAAPAAAAAAAAAAEAIAAAACIAAABkcnMvZG93&#10;bnJldi54bWxQSwECFAAUAAAACACHTuJANPzDQDgCAABiBAAADgAAAAAAAAABACAAAAAoAQAAZHJz&#10;L2Uyb0RvYy54bWxQSwUGAAAAAAYABgBZAQAA0gUAAAAA&#10;">
              <v:fill on="f" focussize="0,0"/>
              <v:stroke on="f" weight="0.5pt"/>
              <v:imagedata o:title=""/>
              <o:lock v:ext="edit" aspectratio="f"/>
              <v:textbox inset="0mm,0mm,0mm,0mm" style="mso-fit-shape-to-text:t;">
                <w:txbxContent>
                  <w:p w14:paraId="67C7BAF2">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04724">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C0EC0"/>
    <w:multiLevelType w:val="singleLevel"/>
    <w:tmpl w:val="8A0C0EC0"/>
    <w:lvl w:ilvl="0" w:tentative="0">
      <w:start w:val="1"/>
      <w:numFmt w:val="decimal"/>
      <w:lvlText w:val="%1."/>
      <w:lvlJc w:val="left"/>
      <w:pPr>
        <w:tabs>
          <w:tab w:val="left" w:pos="312"/>
        </w:tabs>
      </w:pPr>
    </w:lvl>
  </w:abstractNum>
  <w:abstractNum w:abstractNumId="1">
    <w:nsid w:val="993ABDE9"/>
    <w:multiLevelType w:val="singleLevel"/>
    <w:tmpl w:val="993ABDE9"/>
    <w:lvl w:ilvl="0" w:tentative="0">
      <w:start w:val="1"/>
      <w:numFmt w:val="decimal"/>
      <w:suff w:val="nothing"/>
      <w:lvlText w:val="%1、"/>
      <w:lvlJc w:val="left"/>
    </w:lvl>
  </w:abstractNum>
  <w:abstractNum w:abstractNumId="2">
    <w:nsid w:val="AC3FAE71"/>
    <w:multiLevelType w:val="singleLevel"/>
    <w:tmpl w:val="AC3FAE71"/>
    <w:lvl w:ilvl="0" w:tentative="0">
      <w:start w:val="1"/>
      <w:numFmt w:val="bullet"/>
      <w:lvlText w:val=""/>
      <w:lvlJc w:val="left"/>
      <w:pPr>
        <w:ind w:left="420" w:hanging="420"/>
      </w:pPr>
      <w:rPr>
        <w:rFonts w:hint="default" w:ascii="Wingdings" w:hAnsi="Wingdings"/>
      </w:rPr>
    </w:lvl>
  </w:abstractNum>
  <w:abstractNum w:abstractNumId="3">
    <w:nsid w:val="D5412BB8"/>
    <w:multiLevelType w:val="singleLevel"/>
    <w:tmpl w:val="D5412BB8"/>
    <w:lvl w:ilvl="0" w:tentative="0">
      <w:start w:val="1"/>
      <w:numFmt w:val="decimal"/>
      <w:lvlText w:val="%1."/>
      <w:lvlJc w:val="left"/>
      <w:pPr>
        <w:tabs>
          <w:tab w:val="left" w:pos="312"/>
        </w:tabs>
      </w:pPr>
    </w:lvl>
  </w:abstractNum>
  <w:abstractNum w:abstractNumId="4">
    <w:nsid w:val="0732809E"/>
    <w:multiLevelType w:val="singleLevel"/>
    <w:tmpl w:val="0732809E"/>
    <w:lvl w:ilvl="0" w:tentative="0">
      <w:start w:val="1"/>
      <w:numFmt w:val="decimal"/>
      <w:lvlText w:val="%1."/>
      <w:lvlJc w:val="left"/>
      <w:pPr>
        <w:tabs>
          <w:tab w:val="left" w:pos="312"/>
        </w:tabs>
      </w:pPr>
    </w:lvl>
  </w:abstractNum>
  <w:abstractNum w:abstractNumId="5">
    <w:nsid w:val="23AF70FD"/>
    <w:multiLevelType w:val="singleLevel"/>
    <w:tmpl w:val="23AF70FD"/>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6">
    <w:nsid w:val="7223DCE3"/>
    <w:multiLevelType w:val="singleLevel"/>
    <w:tmpl w:val="7223DCE3"/>
    <w:lvl w:ilvl="0" w:tentative="0">
      <w:start w:val="1"/>
      <w:numFmt w:val="bullet"/>
      <w:lvlText w:val=""/>
      <w:lvlJc w:val="left"/>
      <w:pPr>
        <w:ind w:left="420" w:hanging="420"/>
      </w:pPr>
      <w:rPr>
        <w:rFonts w:hint="default" w:ascii="Wingdings" w:hAnsi="Wingdings"/>
      </w:rPr>
    </w:lvl>
  </w:abstractNum>
  <w:num w:numId="1">
    <w:abstractNumId w:val="5"/>
  </w:num>
  <w:num w:numId="2">
    <w:abstractNumId w:val="4"/>
  </w:num>
  <w:num w:numId="3">
    <w:abstractNumId w:val="3"/>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4ZWJiMTk3ZDc4ZDhiMGI4MzhlOGUxZDFjZTNmNGUifQ=="/>
  </w:docVars>
  <w:rsids>
    <w:rsidRoot w:val="59432FD2"/>
    <w:rsid w:val="00053F92"/>
    <w:rsid w:val="0011760F"/>
    <w:rsid w:val="008322BB"/>
    <w:rsid w:val="0089540A"/>
    <w:rsid w:val="01072267"/>
    <w:rsid w:val="01437051"/>
    <w:rsid w:val="015152F8"/>
    <w:rsid w:val="016C6E37"/>
    <w:rsid w:val="01D505DE"/>
    <w:rsid w:val="01DE4F25"/>
    <w:rsid w:val="01F276D2"/>
    <w:rsid w:val="01F57643"/>
    <w:rsid w:val="02314B61"/>
    <w:rsid w:val="025B5E97"/>
    <w:rsid w:val="02624152"/>
    <w:rsid w:val="0297204E"/>
    <w:rsid w:val="02B26E88"/>
    <w:rsid w:val="02BF0D61"/>
    <w:rsid w:val="02C44E0D"/>
    <w:rsid w:val="02E334E5"/>
    <w:rsid w:val="030F4150"/>
    <w:rsid w:val="031217FD"/>
    <w:rsid w:val="031A4A2D"/>
    <w:rsid w:val="033F2F13"/>
    <w:rsid w:val="034D4E02"/>
    <w:rsid w:val="037D61DE"/>
    <w:rsid w:val="03967E96"/>
    <w:rsid w:val="03B66B3A"/>
    <w:rsid w:val="03D177FD"/>
    <w:rsid w:val="045A1585"/>
    <w:rsid w:val="04A71B2E"/>
    <w:rsid w:val="04C9670A"/>
    <w:rsid w:val="05071DB4"/>
    <w:rsid w:val="05214BE3"/>
    <w:rsid w:val="05341DD6"/>
    <w:rsid w:val="05427A88"/>
    <w:rsid w:val="05AA02EA"/>
    <w:rsid w:val="05ED58B4"/>
    <w:rsid w:val="060D0FFA"/>
    <w:rsid w:val="064650C7"/>
    <w:rsid w:val="065C6991"/>
    <w:rsid w:val="067D59FE"/>
    <w:rsid w:val="06A04125"/>
    <w:rsid w:val="06A80EB6"/>
    <w:rsid w:val="06E10084"/>
    <w:rsid w:val="06E20D47"/>
    <w:rsid w:val="0730192B"/>
    <w:rsid w:val="074A3B33"/>
    <w:rsid w:val="075515E9"/>
    <w:rsid w:val="07A34FF1"/>
    <w:rsid w:val="07AC3A8E"/>
    <w:rsid w:val="07FF744E"/>
    <w:rsid w:val="084542FA"/>
    <w:rsid w:val="087B41C0"/>
    <w:rsid w:val="088968DD"/>
    <w:rsid w:val="08A74FB5"/>
    <w:rsid w:val="08CF72C6"/>
    <w:rsid w:val="08F403BC"/>
    <w:rsid w:val="08FD4BD5"/>
    <w:rsid w:val="09006494"/>
    <w:rsid w:val="09075A53"/>
    <w:rsid w:val="0920478D"/>
    <w:rsid w:val="09246605"/>
    <w:rsid w:val="09657E30"/>
    <w:rsid w:val="09955E1A"/>
    <w:rsid w:val="09972CBF"/>
    <w:rsid w:val="09C1299A"/>
    <w:rsid w:val="09E42637"/>
    <w:rsid w:val="09ED2E9B"/>
    <w:rsid w:val="0A310FDA"/>
    <w:rsid w:val="0A924302"/>
    <w:rsid w:val="0ABA6B90"/>
    <w:rsid w:val="0AED7922"/>
    <w:rsid w:val="0B3F14D4"/>
    <w:rsid w:val="0B3F4299"/>
    <w:rsid w:val="0B472961"/>
    <w:rsid w:val="0B7A250D"/>
    <w:rsid w:val="0B8B45C5"/>
    <w:rsid w:val="0B980BE5"/>
    <w:rsid w:val="0BC67500"/>
    <w:rsid w:val="0C3A2BCE"/>
    <w:rsid w:val="0C450D6C"/>
    <w:rsid w:val="0C48260B"/>
    <w:rsid w:val="0C651B4A"/>
    <w:rsid w:val="0CAA3BC4"/>
    <w:rsid w:val="0CC33225"/>
    <w:rsid w:val="0D2A2B52"/>
    <w:rsid w:val="0D2D5468"/>
    <w:rsid w:val="0D4525A2"/>
    <w:rsid w:val="0DBA1AAF"/>
    <w:rsid w:val="0E26003F"/>
    <w:rsid w:val="0E2A1FC8"/>
    <w:rsid w:val="0E356576"/>
    <w:rsid w:val="0E6354DA"/>
    <w:rsid w:val="0E7742F1"/>
    <w:rsid w:val="0EAA1260"/>
    <w:rsid w:val="0F0071CD"/>
    <w:rsid w:val="0F57387A"/>
    <w:rsid w:val="0FAD1102"/>
    <w:rsid w:val="0FB75ADD"/>
    <w:rsid w:val="0FBD54FC"/>
    <w:rsid w:val="0FDA5C70"/>
    <w:rsid w:val="0FF80960"/>
    <w:rsid w:val="1006130B"/>
    <w:rsid w:val="102C164B"/>
    <w:rsid w:val="1097590F"/>
    <w:rsid w:val="10DB1CB0"/>
    <w:rsid w:val="11047F88"/>
    <w:rsid w:val="1110186D"/>
    <w:rsid w:val="1131366D"/>
    <w:rsid w:val="113B6AD9"/>
    <w:rsid w:val="114F7F97"/>
    <w:rsid w:val="116D2210"/>
    <w:rsid w:val="116F37FB"/>
    <w:rsid w:val="11701DC9"/>
    <w:rsid w:val="117B5139"/>
    <w:rsid w:val="11B84B99"/>
    <w:rsid w:val="11CA3CC3"/>
    <w:rsid w:val="11D20C23"/>
    <w:rsid w:val="11E76422"/>
    <w:rsid w:val="1235718D"/>
    <w:rsid w:val="12575356"/>
    <w:rsid w:val="12891287"/>
    <w:rsid w:val="129D771A"/>
    <w:rsid w:val="12BB2F1D"/>
    <w:rsid w:val="12CB18A0"/>
    <w:rsid w:val="130328E2"/>
    <w:rsid w:val="131955DF"/>
    <w:rsid w:val="133828A6"/>
    <w:rsid w:val="13BA3984"/>
    <w:rsid w:val="13CE1647"/>
    <w:rsid w:val="13D22566"/>
    <w:rsid w:val="13DA543F"/>
    <w:rsid w:val="13E7095B"/>
    <w:rsid w:val="13E70E2E"/>
    <w:rsid w:val="14225C3D"/>
    <w:rsid w:val="142676D5"/>
    <w:rsid w:val="14477D6F"/>
    <w:rsid w:val="14481D3D"/>
    <w:rsid w:val="144C103D"/>
    <w:rsid w:val="144D4C62"/>
    <w:rsid w:val="14576279"/>
    <w:rsid w:val="14830684"/>
    <w:rsid w:val="1485628D"/>
    <w:rsid w:val="148A7C64"/>
    <w:rsid w:val="149B39D2"/>
    <w:rsid w:val="14A718D7"/>
    <w:rsid w:val="14A75934"/>
    <w:rsid w:val="14C52A4A"/>
    <w:rsid w:val="14CB5B87"/>
    <w:rsid w:val="153951E6"/>
    <w:rsid w:val="154F6D36"/>
    <w:rsid w:val="15D31197"/>
    <w:rsid w:val="15E45152"/>
    <w:rsid w:val="15F4486A"/>
    <w:rsid w:val="16585B40"/>
    <w:rsid w:val="16B07EDF"/>
    <w:rsid w:val="16CF7BB0"/>
    <w:rsid w:val="16DC74A2"/>
    <w:rsid w:val="172D2A2F"/>
    <w:rsid w:val="17DB07D7"/>
    <w:rsid w:val="17ED4832"/>
    <w:rsid w:val="18097A97"/>
    <w:rsid w:val="189D5A8C"/>
    <w:rsid w:val="18D771EB"/>
    <w:rsid w:val="19265A82"/>
    <w:rsid w:val="19285D6D"/>
    <w:rsid w:val="19567F39"/>
    <w:rsid w:val="19631874"/>
    <w:rsid w:val="197E67D1"/>
    <w:rsid w:val="19C5529B"/>
    <w:rsid w:val="1A0B783C"/>
    <w:rsid w:val="1A25318C"/>
    <w:rsid w:val="1A3B010B"/>
    <w:rsid w:val="1A6C5716"/>
    <w:rsid w:val="1A9315F3"/>
    <w:rsid w:val="1AAD645B"/>
    <w:rsid w:val="1AB34182"/>
    <w:rsid w:val="1AE50ED5"/>
    <w:rsid w:val="1AEE0919"/>
    <w:rsid w:val="1AF8344E"/>
    <w:rsid w:val="1AFF4CA5"/>
    <w:rsid w:val="1B242214"/>
    <w:rsid w:val="1B410951"/>
    <w:rsid w:val="1BFB31F6"/>
    <w:rsid w:val="1C121F5C"/>
    <w:rsid w:val="1C44743E"/>
    <w:rsid w:val="1C4B07BF"/>
    <w:rsid w:val="1C4B5294"/>
    <w:rsid w:val="1C7F4184"/>
    <w:rsid w:val="1CA23D6F"/>
    <w:rsid w:val="1D201627"/>
    <w:rsid w:val="1D24677C"/>
    <w:rsid w:val="1D41732E"/>
    <w:rsid w:val="1D4806BC"/>
    <w:rsid w:val="1D493750"/>
    <w:rsid w:val="1DA95085"/>
    <w:rsid w:val="1DB44EAA"/>
    <w:rsid w:val="1DD7559C"/>
    <w:rsid w:val="1DE27A9B"/>
    <w:rsid w:val="1E396257"/>
    <w:rsid w:val="1E401394"/>
    <w:rsid w:val="1E7135D0"/>
    <w:rsid w:val="1EA21FDF"/>
    <w:rsid w:val="1EEA3E98"/>
    <w:rsid w:val="1EFB4FE8"/>
    <w:rsid w:val="1EFC5B76"/>
    <w:rsid w:val="1F4B6242"/>
    <w:rsid w:val="1F503858"/>
    <w:rsid w:val="1F521022"/>
    <w:rsid w:val="1F670A9D"/>
    <w:rsid w:val="1FB635F7"/>
    <w:rsid w:val="202C43E4"/>
    <w:rsid w:val="203A702A"/>
    <w:rsid w:val="204C5B97"/>
    <w:rsid w:val="206E2046"/>
    <w:rsid w:val="211344C0"/>
    <w:rsid w:val="217A4BBD"/>
    <w:rsid w:val="21862017"/>
    <w:rsid w:val="21C978F2"/>
    <w:rsid w:val="21D51EED"/>
    <w:rsid w:val="21FC1A76"/>
    <w:rsid w:val="222D60D3"/>
    <w:rsid w:val="223B69ED"/>
    <w:rsid w:val="228F46A5"/>
    <w:rsid w:val="22A04AF7"/>
    <w:rsid w:val="22AD0665"/>
    <w:rsid w:val="22C00CF5"/>
    <w:rsid w:val="22FE16EC"/>
    <w:rsid w:val="23140EEC"/>
    <w:rsid w:val="23157720"/>
    <w:rsid w:val="23303578"/>
    <w:rsid w:val="23AC6A02"/>
    <w:rsid w:val="23F70746"/>
    <w:rsid w:val="2422439F"/>
    <w:rsid w:val="24424E18"/>
    <w:rsid w:val="24743B45"/>
    <w:rsid w:val="24EA2C30"/>
    <w:rsid w:val="24FC4CE5"/>
    <w:rsid w:val="25457290"/>
    <w:rsid w:val="254C6FAD"/>
    <w:rsid w:val="255C0ABF"/>
    <w:rsid w:val="2579278C"/>
    <w:rsid w:val="25AB3597"/>
    <w:rsid w:val="25E43467"/>
    <w:rsid w:val="26263565"/>
    <w:rsid w:val="265754CC"/>
    <w:rsid w:val="265A6D6B"/>
    <w:rsid w:val="266516BA"/>
    <w:rsid w:val="268E4D63"/>
    <w:rsid w:val="269229A8"/>
    <w:rsid w:val="26975780"/>
    <w:rsid w:val="270F6E0D"/>
    <w:rsid w:val="27105248"/>
    <w:rsid w:val="273332C4"/>
    <w:rsid w:val="275E042F"/>
    <w:rsid w:val="27642C26"/>
    <w:rsid w:val="27653C19"/>
    <w:rsid w:val="277567C0"/>
    <w:rsid w:val="277D1809"/>
    <w:rsid w:val="27871DE1"/>
    <w:rsid w:val="2790513A"/>
    <w:rsid w:val="27D175DC"/>
    <w:rsid w:val="28151FC1"/>
    <w:rsid w:val="28212236"/>
    <w:rsid w:val="28381C5F"/>
    <w:rsid w:val="28417C31"/>
    <w:rsid w:val="288B3B53"/>
    <w:rsid w:val="28B26B0F"/>
    <w:rsid w:val="28B93C10"/>
    <w:rsid w:val="28D73993"/>
    <w:rsid w:val="29694E58"/>
    <w:rsid w:val="296D0CD1"/>
    <w:rsid w:val="2996455E"/>
    <w:rsid w:val="29A75078"/>
    <w:rsid w:val="29E90B31"/>
    <w:rsid w:val="29F92BBD"/>
    <w:rsid w:val="29FF7471"/>
    <w:rsid w:val="2A0B4A8F"/>
    <w:rsid w:val="2A1C74B2"/>
    <w:rsid w:val="2A1D2496"/>
    <w:rsid w:val="2A21637A"/>
    <w:rsid w:val="2A2878AC"/>
    <w:rsid w:val="2A2B739C"/>
    <w:rsid w:val="2A6C7EF6"/>
    <w:rsid w:val="2A8B4C8A"/>
    <w:rsid w:val="2ADD37A4"/>
    <w:rsid w:val="2B121E9A"/>
    <w:rsid w:val="2B91654B"/>
    <w:rsid w:val="2BBE50F8"/>
    <w:rsid w:val="2C484A78"/>
    <w:rsid w:val="2C700C92"/>
    <w:rsid w:val="2C7728FD"/>
    <w:rsid w:val="2CED77DE"/>
    <w:rsid w:val="2CF54038"/>
    <w:rsid w:val="2D1E6D44"/>
    <w:rsid w:val="2D811081"/>
    <w:rsid w:val="2DDC0906"/>
    <w:rsid w:val="2E0C3DEB"/>
    <w:rsid w:val="2E272F6B"/>
    <w:rsid w:val="2E62055B"/>
    <w:rsid w:val="2E652751"/>
    <w:rsid w:val="2E841394"/>
    <w:rsid w:val="2E8928E3"/>
    <w:rsid w:val="2F281646"/>
    <w:rsid w:val="2F2F5238"/>
    <w:rsid w:val="2F3A598B"/>
    <w:rsid w:val="2FEE3B30"/>
    <w:rsid w:val="2FF558A8"/>
    <w:rsid w:val="30234671"/>
    <w:rsid w:val="30422D49"/>
    <w:rsid w:val="30532F8E"/>
    <w:rsid w:val="3062163D"/>
    <w:rsid w:val="3093171A"/>
    <w:rsid w:val="316311C9"/>
    <w:rsid w:val="31FA3731"/>
    <w:rsid w:val="320F30FF"/>
    <w:rsid w:val="321330B3"/>
    <w:rsid w:val="321B497C"/>
    <w:rsid w:val="328E083B"/>
    <w:rsid w:val="32AB72CC"/>
    <w:rsid w:val="32B326B3"/>
    <w:rsid w:val="32D2023D"/>
    <w:rsid w:val="32DF2AD1"/>
    <w:rsid w:val="33226BEB"/>
    <w:rsid w:val="332D08D7"/>
    <w:rsid w:val="33505FAA"/>
    <w:rsid w:val="335A6721"/>
    <w:rsid w:val="336B0809"/>
    <w:rsid w:val="33770F5C"/>
    <w:rsid w:val="33865643"/>
    <w:rsid w:val="33A866C0"/>
    <w:rsid w:val="33C817B8"/>
    <w:rsid w:val="34392647"/>
    <w:rsid w:val="34483255"/>
    <w:rsid w:val="348479D5"/>
    <w:rsid w:val="34993154"/>
    <w:rsid w:val="34BE1E25"/>
    <w:rsid w:val="34F62354"/>
    <w:rsid w:val="35133C86"/>
    <w:rsid w:val="35335662"/>
    <w:rsid w:val="355500F2"/>
    <w:rsid w:val="3587712D"/>
    <w:rsid w:val="35D206ED"/>
    <w:rsid w:val="35DA288A"/>
    <w:rsid w:val="35E46651"/>
    <w:rsid w:val="35E84251"/>
    <w:rsid w:val="362C73AC"/>
    <w:rsid w:val="3641614E"/>
    <w:rsid w:val="368D0A96"/>
    <w:rsid w:val="36D66244"/>
    <w:rsid w:val="371A717A"/>
    <w:rsid w:val="37511204"/>
    <w:rsid w:val="37647A49"/>
    <w:rsid w:val="37AF5A96"/>
    <w:rsid w:val="37C86D9B"/>
    <w:rsid w:val="37FE1C4C"/>
    <w:rsid w:val="38303DCF"/>
    <w:rsid w:val="38C63216"/>
    <w:rsid w:val="399F2FBB"/>
    <w:rsid w:val="39B867CF"/>
    <w:rsid w:val="39B90520"/>
    <w:rsid w:val="39E64FFB"/>
    <w:rsid w:val="39E82BB3"/>
    <w:rsid w:val="39F63EFF"/>
    <w:rsid w:val="3A7A59B6"/>
    <w:rsid w:val="3AA0523C"/>
    <w:rsid w:val="3ADB1DC4"/>
    <w:rsid w:val="3AFB681C"/>
    <w:rsid w:val="3B506C62"/>
    <w:rsid w:val="3B892174"/>
    <w:rsid w:val="3B912DD7"/>
    <w:rsid w:val="3B9308FD"/>
    <w:rsid w:val="3BAB0EC3"/>
    <w:rsid w:val="3C09351D"/>
    <w:rsid w:val="3C1934F8"/>
    <w:rsid w:val="3CA3496E"/>
    <w:rsid w:val="3CE37662"/>
    <w:rsid w:val="3CFB49AC"/>
    <w:rsid w:val="3D1B607F"/>
    <w:rsid w:val="3D2C2DB7"/>
    <w:rsid w:val="3D51281E"/>
    <w:rsid w:val="3D632551"/>
    <w:rsid w:val="3DAC2770"/>
    <w:rsid w:val="3E330175"/>
    <w:rsid w:val="3E38233A"/>
    <w:rsid w:val="3E62602A"/>
    <w:rsid w:val="3E6E1261"/>
    <w:rsid w:val="3EA846BF"/>
    <w:rsid w:val="3ECA2A1D"/>
    <w:rsid w:val="3EE6343A"/>
    <w:rsid w:val="3F081602"/>
    <w:rsid w:val="3F0D2EBA"/>
    <w:rsid w:val="3F3D0D89"/>
    <w:rsid w:val="3F4546EB"/>
    <w:rsid w:val="3F5860E5"/>
    <w:rsid w:val="3FFB24B0"/>
    <w:rsid w:val="4002773F"/>
    <w:rsid w:val="403C5F3C"/>
    <w:rsid w:val="40821EB1"/>
    <w:rsid w:val="40E65973"/>
    <w:rsid w:val="40F36398"/>
    <w:rsid w:val="411C0B2E"/>
    <w:rsid w:val="41866FFD"/>
    <w:rsid w:val="41F5422C"/>
    <w:rsid w:val="42075BA1"/>
    <w:rsid w:val="42632909"/>
    <w:rsid w:val="4344711A"/>
    <w:rsid w:val="436B215F"/>
    <w:rsid w:val="43E07893"/>
    <w:rsid w:val="43F108B7"/>
    <w:rsid w:val="43F92C8E"/>
    <w:rsid w:val="4413082D"/>
    <w:rsid w:val="44611A27"/>
    <w:rsid w:val="4475773A"/>
    <w:rsid w:val="44BB2B9C"/>
    <w:rsid w:val="44BC7116"/>
    <w:rsid w:val="44C63AF1"/>
    <w:rsid w:val="44E673BF"/>
    <w:rsid w:val="450E5498"/>
    <w:rsid w:val="457A4B71"/>
    <w:rsid w:val="45FA4F7F"/>
    <w:rsid w:val="46146ADE"/>
    <w:rsid w:val="46333408"/>
    <w:rsid w:val="4689107F"/>
    <w:rsid w:val="46B362F7"/>
    <w:rsid w:val="46C16C66"/>
    <w:rsid w:val="46E67CE2"/>
    <w:rsid w:val="46FA3F26"/>
    <w:rsid w:val="471E03DE"/>
    <w:rsid w:val="472D26D5"/>
    <w:rsid w:val="47411B55"/>
    <w:rsid w:val="474A246F"/>
    <w:rsid w:val="479E36FE"/>
    <w:rsid w:val="479F28C2"/>
    <w:rsid w:val="47A0687C"/>
    <w:rsid w:val="47DA45FF"/>
    <w:rsid w:val="47EB02A8"/>
    <w:rsid w:val="489D100D"/>
    <w:rsid w:val="489F2FD7"/>
    <w:rsid w:val="48D93007"/>
    <w:rsid w:val="48F047E2"/>
    <w:rsid w:val="490A06B4"/>
    <w:rsid w:val="49897E4A"/>
    <w:rsid w:val="49A34401"/>
    <w:rsid w:val="4A2B194F"/>
    <w:rsid w:val="4A2C72C0"/>
    <w:rsid w:val="4A821FE5"/>
    <w:rsid w:val="4AC05487"/>
    <w:rsid w:val="4ADB406F"/>
    <w:rsid w:val="4AED2F52"/>
    <w:rsid w:val="4B08335B"/>
    <w:rsid w:val="4B19711F"/>
    <w:rsid w:val="4B4A76A9"/>
    <w:rsid w:val="4BD242D1"/>
    <w:rsid w:val="4BF61160"/>
    <w:rsid w:val="4C387642"/>
    <w:rsid w:val="4CBB2BD7"/>
    <w:rsid w:val="4CD3324F"/>
    <w:rsid w:val="4D0061B1"/>
    <w:rsid w:val="4D023B34"/>
    <w:rsid w:val="4D6D0D6D"/>
    <w:rsid w:val="4D994499"/>
    <w:rsid w:val="4DB43081"/>
    <w:rsid w:val="4DC40DEA"/>
    <w:rsid w:val="4DDC25D7"/>
    <w:rsid w:val="4DF25957"/>
    <w:rsid w:val="4E016CE7"/>
    <w:rsid w:val="4E270FC7"/>
    <w:rsid w:val="4E314D77"/>
    <w:rsid w:val="4E435B17"/>
    <w:rsid w:val="4E797E26"/>
    <w:rsid w:val="4EBE0A4E"/>
    <w:rsid w:val="4F033A9A"/>
    <w:rsid w:val="4F4514B9"/>
    <w:rsid w:val="4F666482"/>
    <w:rsid w:val="4F7A4CC0"/>
    <w:rsid w:val="4F870321"/>
    <w:rsid w:val="4FB76E58"/>
    <w:rsid w:val="501E5109"/>
    <w:rsid w:val="50230A6C"/>
    <w:rsid w:val="5044333E"/>
    <w:rsid w:val="50464E42"/>
    <w:rsid w:val="504A7CCC"/>
    <w:rsid w:val="50740CF9"/>
    <w:rsid w:val="508C7456"/>
    <w:rsid w:val="509F0570"/>
    <w:rsid w:val="50C64592"/>
    <w:rsid w:val="50FB388D"/>
    <w:rsid w:val="51463FEC"/>
    <w:rsid w:val="515B3813"/>
    <w:rsid w:val="51FC1166"/>
    <w:rsid w:val="52020133"/>
    <w:rsid w:val="521142C4"/>
    <w:rsid w:val="52263E21"/>
    <w:rsid w:val="52383B54"/>
    <w:rsid w:val="52593581"/>
    <w:rsid w:val="528559C7"/>
    <w:rsid w:val="529169C4"/>
    <w:rsid w:val="52E52E33"/>
    <w:rsid w:val="536A5F90"/>
    <w:rsid w:val="536F7A4A"/>
    <w:rsid w:val="53B8538B"/>
    <w:rsid w:val="54001406"/>
    <w:rsid w:val="540964D0"/>
    <w:rsid w:val="54853CAF"/>
    <w:rsid w:val="54C57ACE"/>
    <w:rsid w:val="54C73958"/>
    <w:rsid w:val="54D25A42"/>
    <w:rsid w:val="54E104D3"/>
    <w:rsid w:val="54E24C3E"/>
    <w:rsid w:val="54FD7021"/>
    <w:rsid w:val="5503669C"/>
    <w:rsid w:val="551B77FE"/>
    <w:rsid w:val="55515659"/>
    <w:rsid w:val="5684380C"/>
    <w:rsid w:val="56E20BD2"/>
    <w:rsid w:val="56F52014"/>
    <w:rsid w:val="572F5526"/>
    <w:rsid w:val="573B211D"/>
    <w:rsid w:val="576D604E"/>
    <w:rsid w:val="57715EA0"/>
    <w:rsid w:val="5776389C"/>
    <w:rsid w:val="57913CD7"/>
    <w:rsid w:val="57C245EC"/>
    <w:rsid w:val="57FB7AFE"/>
    <w:rsid w:val="584F3E1B"/>
    <w:rsid w:val="58632745"/>
    <w:rsid w:val="5864418B"/>
    <w:rsid w:val="58AB24D3"/>
    <w:rsid w:val="58C93BEA"/>
    <w:rsid w:val="58E65EC9"/>
    <w:rsid w:val="59432FD2"/>
    <w:rsid w:val="594B5A6F"/>
    <w:rsid w:val="59545718"/>
    <w:rsid w:val="595B0854"/>
    <w:rsid w:val="59E52814"/>
    <w:rsid w:val="59F9246F"/>
    <w:rsid w:val="5A861180"/>
    <w:rsid w:val="5A8C2C8F"/>
    <w:rsid w:val="5B17428E"/>
    <w:rsid w:val="5B417F1E"/>
    <w:rsid w:val="5B597015"/>
    <w:rsid w:val="5B6102EF"/>
    <w:rsid w:val="5B951B8F"/>
    <w:rsid w:val="5BB31314"/>
    <w:rsid w:val="5BF40AEC"/>
    <w:rsid w:val="5C0827EA"/>
    <w:rsid w:val="5C2B0170"/>
    <w:rsid w:val="5C733286"/>
    <w:rsid w:val="5CB14C2F"/>
    <w:rsid w:val="5D0C0E5A"/>
    <w:rsid w:val="5D2C58CF"/>
    <w:rsid w:val="5D752101"/>
    <w:rsid w:val="5D9669D9"/>
    <w:rsid w:val="5E05075A"/>
    <w:rsid w:val="5E201093"/>
    <w:rsid w:val="5E5341F0"/>
    <w:rsid w:val="5E706136"/>
    <w:rsid w:val="5E8E666A"/>
    <w:rsid w:val="5E940365"/>
    <w:rsid w:val="5E950D16"/>
    <w:rsid w:val="5E9661F5"/>
    <w:rsid w:val="5E993BCD"/>
    <w:rsid w:val="5E9C37CB"/>
    <w:rsid w:val="5F69359F"/>
    <w:rsid w:val="5F763632"/>
    <w:rsid w:val="5FB213EA"/>
    <w:rsid w:val="5FDC5FF4"/>
    <w:rsid w:val="602E338E"/>
    <w:rsid w:val="60485D7E"/>
    <w:rsid w:val="60491AD3"/>
    <w:rsid w:val="605F444D"/>
    <w:rsid w:val="60807703"/>
    <w:rsid w:val="60A81950"/>
    <w:rsid w:val="60AF592A"/>
    <w:rsid w:val="60C17B45"/>
    <w:rsid w:val="6154583C"/>
    <w:rsid w:val="61B825BC"/>
    <w:rsid w:val="61BF2C52"/>
    <w:rsid w:val="61FB0E26"/>
    <w:rsid w:val="620F4DEC"/>
    <w:rsid w:val="62347FA2"/>
    <w:rsid w:val="62404A8B"/>
    <w:rsid w:val="62791D4B"/>
    <w:rsid w:val="62AF14B9"/>
    <w:rsid w:val="62D10E17"/>
    <w:rsid w:val="62DD052C"/>
    <w:rsid w:val="62EF05ED"/>
    <w:rsid w:val="62F15D85"/>
    <w:rsid w:val="63251A0D"/>
    <w:rsid w:val="638D1F52"/>
    <w:rsid w:val="63A453F3"/>
    <w:rsid w:val="63A70B3A"/>
    <w:rsid w:val="63B05C41"/>
    <w:rsid w:val="64177A6E"/>
    <w:rsid w:val="642301C1"/>
    <w:rsid w:val="642A77A1"/>
    <w:rsid w:val="64736E98"/>
    <w:rsid w:val="64800B74"/>
    <w:rsid w:val="64B61035"/>
    <w:rsid w:val="64EB797F"/>
    <w:rsid w:val="65404DA2"/>
    <w:rsid w:val="65DF6369"/>
    <w:rsid w:val="662B7A83"/>
    <w:rsid w:val="662C3C0B"/>
    <w:rsid w:val="664B13E6"/>
    <w:rsid w:val="6650370B"/>
    <w:rsid w:val="666B5E4F"/>
    <w:rsid w:val="667016B7"/>
    <w:rsid w:val="668803EF"/>
    <w:rsid w:val="66B61212"/>
    <w:rsid w:val="66C942E8"/>
    <w:rsid w:val="66F72C2F"/>
    <w:rsid w:val="672633AB"/>
    <w:rsid w:val="67380427"/>
    <w:rsid w:val="673E6D00"/>
    <w:rsid w:val="67C7218E"/>
    <w:rsid w:val="68550B65"/>
    <w:rsid w:val="6856322D"/>
    <w:rsid w:val="68914EB4"/>
    <w:rsid w:val="68CD4B9F"/>
    <w:rsid w:val="692364F5"/>
    <w:rsid w:val="69355B0B"/>
    <w:rsid w:val="69502D4F"/>
    <w:rsid w:val="695F2778"/>
    <w:rsid w:val="69B471CE"/>
    <w:rsid w:val="6A121EDE"/>
    <w:rsid w:val="6A352BFB"/>
    <w:rsid w:val="6A7061D6"/>
    <w:rsid w:val="6A7259FE"/>
    <w:rsid w:val="6A7A48B2"/>
    <w:rsid w:val="6AB30379"/>
    <w:rsid w:val="6ADB5DB0"/>
    <w:rsid w:val="6ADF0BB9"/>
    <w:rsid w:val="6AFC5C0F"/>
    <w:rsid w:val="6B3D1F73"/>
    <w:rsid w:val="6B5C74E2"/>
    <w:rsid w:val="6B824366"/>
    <w:rsid w:val="6B87197D"/>
    <w:rsid w:val="6B9D4684"/>
    <w:rsid w:val="6BD9385B"/>
    <w:rsid w:val="6C236D92"/>
    <w:rsid w:val="6C301509"/>
    <w:rsid w:val="6C6A2978"/>
    <w:rsid w:val="6CAE4771"/>
    <w:rsid w:val="6CF40DC4"/>
    <w:rsid w:val="6D0F4639"/>
    <w:rsid w:val="6D107750"/>
    <w:rsid w:val="6D17512A"/>
    <w:rsid w:val="6D6C707E"/>
    <w:rsid w:val="6D77157D"/>
    <w:rsid w:val="6DF60F92"/>
    <w:rsid w:val="6E2B01CE"/>
    <w:rsid w:val="6E533D98"/>
    <w:rsid w:val="6E5408EB"/>
    <w:rsid w:val="6E5F098F"/>
    <w:rsid w:val="6E9028F6"/>
    <w:rsid w:val="6F08033E"/>
    <w:rsid w:val="6F644F94"/>
    <w:rsid w:val="6FAC7C04"/>
    <w:rsid w:val="6FD11419"/>
    <w:rsid w:val="6FD5355F"/>
    <w:rsid w:val="7080699B"/>
    <w:rsid w:val="70EF1C35"/>
    <w:rsid w:val="71397275"/>
    <w:rsid w:val="714902BE"/>
    <w:rsid w:val="71535E5D"/>
    <w:rsid w:val="71B32570"/>
    <w:rsid w:val="71BB5EDC"/>
    <w:rsid w:val="71C31235"/>
    <w:rsid w:val="71C34D91"/>
    <w:rsid w:val="72347A3D"/>
    <w:rsid w:val="723F63AD"/>
    <w:rsid w:val="727D7636"/>
    <w:rsid w:val="72995E06"/>
    <w:rsid w:val="72A52AD4"/>
    <w:rsid w:val="73117D7E"/>
    <w:rsid w:val="7327796A"/>
    <w:rsid w:val="733D31FE"/>
    <w:rsid w:val="7366593F"/>
    <w:rsid w:val="739F66EC"/>
    <w:rsid w:val="73DA21D9"/>
    <w:rsid w:val="744D73A7"/>
    <w:rsid w:val="745A113A"/>
    <w:rsid w:val="745A3A51"/>
    <w:rsid w:val="74654825"/>
    <w:rsid w:val="74B77C0A"/>
    <w:rsid w:val="752D2DAE"/>
    <w:rsid w:val="75344045"/>
    <w:rsid w:val="756B5E6B"/>
    <w:rsid w:val="75EE7D64"/>
    <w:rsid w:val="762229CE"/>
    <w:rsid w:val="76692C0E"/>
    <w:rsid w:val="76B72856"/>
    <w:rsid w:val="76ED5F8C"/>
    <w:rsid w:val="76FA0DEC"/>
    <w:rsid w:val="77173AF0"/>
    <w:rsid w:val="771F44CD"/>
    <w:rsid w:val="775D02F8"/>
    <w:rsid w:val="77634E80"/>
    <w:rsid w:val="776B561E"/>
    <w:rsid w:val="77784870"/>
    <w:rsid w:val="77AE3DED"/>
    <w:rsid w:val="77C71A27"/>
    <w:rsid w:val="783D222D"/>
    <w:rsid w:val="786170B2"/>
    <w:rsid w:val="78866B18"/>
    <w:rsid w:val="7896539C"/>
    <w:rsid w:val="78DD4C01"/>
    <w:rsid w:val="790068CB"/>
    <w:rsid w:val="79077C59"/>
    <w:rsid w:val="790955F7"/>
    <w:rsid w:val="79102392"/>
    <w:rsid w:val="794669D3"/>
    <w:rsid w:val="794C0316"/>
    <w:rsid w:val="795850C6"/>
    <w:rsid w:val="7A8719DC"/>
    <w:rsid w:val="7A88366E"/>
    <w:rsid w:val="7ABE07EB"/>
    <w:rsid w:val="7AC74081"/>
    <w:rsid w:val="7B0D3426"/>
    <w:rsid w:val="7B4C4049"/>
    <w:rsid w:val="7B562F57"/>
    <w:rsid w:val="7B690757"/>
    <w:rsid w:val="7B784E3E"/>
    <w:rsid w:val="7C09018C"/>
    <w:rsid w:val="7C456945"/>
    <w:rsid w:val="7C5E4757"/>
    <w:rsid w:val="7CC43D31"/>
    <w:rsid w:val="7CEF723D"/>
    <w:rsid w:val="7D060228"/>
    <w:rsid w:val="7D455C33"/>
    <w:rsid w:val="7D6815C0"/>
    <w:rsid w:val="7D781125"/>
    <w:rsid w:val="7D883F06"/>
    <w:rsid w:val="7DAC5379"/>
    <w:rsid w:val="7DB0632D"/>
    <w:rsid w:val="7DED3EC4"/>
    <w:rsid w:val="7E16192F"/>
    <w:rsid w:val="7E311DCB"/>
    <w:rsid w:val="7E4952DC"/>
    <w:rsid w:val="7E747D04"/>
    <w:rsid w:val="7E9975A5"/>
    <w:rsid w:val="7EB106DC"/>
    <w:rsid w:val="7EBC7738"/>
    <w:rsid w:val="7EC32874"/>
    <w:rsid w:val="7ED07423"/>
    <w:rsid w:val="7EE3571E"/>
    <w:rsid w:val="7EEA5C45"/>
    <w:rsid w:val="7F196938"/>
    <w:rsid w:val="7F1A527D"/>
    <w:rsid w:val="7F2826D7"/>
    <w:rsid w:val="7F6C6A68"/>
    <w:rsid w:val="7F8F09A8"/>
    <w:rsid w:val="7FB34697"/>
    <w:rsid w:val="7FC03CF4"/>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unhideWhenUsed/>
    <w:qFormat/>
    <w:uiPriority w:val="0"/>
    <w:pPr>
      <w:keepNext/>
      <w:keepLines/>
      <w:ind w:firstLine="600" w:firstLineChars="200"/>
      <w:outlineLvl w:val="1"/>
    </w:pPr>
    <w:rPr>
      <w:rFonts w:cs="Times New Roman"/>
      <w:b/>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sz w:val="28"/>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unhideWhenUsed/>
    <w:qFormat/>
    <w:uiPriority w:val="0"/>
    <w:pPr>
      <w:adjustRightInd w:val="0"/>
      <w:snapToGrid w:val="0"/>
      <w:spacing w:line="360" w:lineRule="auto"/>
      <w:ind w:firstLine="420" w:firstLineChars="200"/>
    </w:pPr>
    <w:rPr>
      <w:rFonts w:ascii="Times New Roman" w:hAnsi="Times New Roman" w:eastAsia="宋体" w:cs="Times New Roman"/>
      <w:kern w:val="0"/>
    </w:rPr>
  </w:style>
  <w:style w:type="paragraph" w:styleId="8">
    <w:name w:val="caption"/>
    <w:basedOn w:val="4"/>
    <w:next w:val="1"/>
    <w:unhideWhenUsed/>
    <w:qFormat/>
    <w:uiPriority w:val="0"/>
    <w:pPr>
      <w:topLinePunct/>
      <w:spacing w:beforeLines="50" w:line="240" w:lineRule="auto"/>
      <w:jc w:val="center"/>
    </w:pPr>
    <w:rPr>
      <w:rFonts w:ascii="Times New Roman" w:hAnsi="Times New Roman"/>
      <w:sz w:val="21"/>
    </w:rPr>
  </w:style>
  <w:style w:type="paragraph" w:styleId="9">
    <w:name w:val="Body Text"/>
    <w:basedOn w:val="1"/>
    <w:next w:val="1"/>
    <w:qFormat/>
    <w:uiPriority w:val="0"/>
    <w:pPr>
      <w:widowControl/>
      <w:snapToGrid w:val="0"/>
      <w:spacing w:before="60" w:after="160" w:line="259" w:lineRule="auto"/>
      <w:ind w:right="113"/>
    </w:pPr>
    <w:rPr>
      <w:kern w:val="0"/>
      <w:sz w:val="18"/>
      <w:szCs w:val="20"/>
    </w:rPr>
  </w:style>
  <w:style w:type="paragraph" w:styleId="10">
    <w:name w:val="Body Text Indent"/>
    <w:basedOn w:val="1"/>
    <w:qFormat/>
    <w:uiPriority w:val="0"/>
    <w:pPr>
      <w:spacing w:after="120"/>
      <w:ind w:left="420" w:leftChars="200"/>
    </w:pPr>
    <w:rPr>
      <w:kern w:val="0"/>
      <w:szCs w:val="20"/>
    </w:rPr>
  </w:style>
  <w:style w:type="paragraph" w:styleId="11">
    <w:name w:val="List Bullet 5"/>
    <w:basedOn w:val="1"/>
    <w:qFormat/>
    <w:uiPriority w:val="0"/>
    <w:pPr>
      <w:numPr>
        <w:ilvl w:val="0"/>
        <w:numId w:val="1"/>
      </w:numPr>
    </w:pPr>
  </w:style>
  <w:style w:type="paragraph" w:styleId="12">
    <w:name w:val="Body Text Indent 2"/>
    <w:basedOn w:val="1"/>
    <w:next w:val="1"/>
    <w:qFormat/>
    <w:uiPriority w:val="0"/>
    <w:pPr>
      <w:spacing w:after="120" w:afterLines="0" w:line="480" w:lineRule="auto"/>
      <w:ind w:left="420" w:leftChars="2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able of figures"/>
    <w:basedOn w:val="1"/>
    <w:next w:val="1"/>
    <w:qFormat/>
    <w:uiPriority w:val="0"/>
    <w:pPr>
      <w:topLinePunct/>
      <w:spacing w:line="240" w:lineRule="exact"/>
      <w:ind w:firstLine="0" w:firstLineChars="0"/>
    </w:pPr>
    <w:rPr>
      <w:rFonts w:ascii="宋体" w:hAnsi="宋体"/>
      <w:sz w:val="21"/>
      <w:szCs w:val="21"/>
    </w:rPr>
  </w:style>
  <w:style w:type="paragraph" w:styleId="17">
    <w:name w:val="Body Text 2"/>
    <w:basedOn w:val="1"/>
    <w:qFormat/>
    <w:uiPriority w:val="0"/>
    <w:pPr>
      <w:spacing w:after="120" w:line="480" w:lineRule="auto"/>
      <w:ind w:firstLine="480" w:firstLineChars="200"/>
    </w:pPr>
    <w:rPr>
      <w:sz w:val="24"/>
      <w:szCs w:val="24"/>
    </w:r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qFormat/>
    <w:uiPriority w:val="0"/>
    <w:pPr>
      <w:spacing w:before="240" w:after="60"/>
      <w:jc w:val="center"/>
      <w:outlineLvl w:val="0"/>
    </w:pPr>
    <w:rPr>
      <w:b/>
      <w:bCs/>
      <w:sz w:val="32"/>
      <w:szCs w:val="32"/>
    </w:rPr>
  </w:style>
  <w:style w:type="paragraph" w:styleId="20">
    <w:name w:val="Body Text First Indent"/>
    <w:basedOn w:val="9"/>
    <w:qFormat/>
    <w:uiPriority w:val="0"/>
    <w:pPr>
      <w:adjustRightInd w:val="0"/>
      <w:spacing w:after="120" w:line="360" w:lineRule="auto"/>
      <w:ind w:firstLine="420"/>
      <w:jc w:val="both"/>
      <w:textAlignment w:val="baseline"/>
    </w:pPr>
    <w:rPr>
      <w:rFonts w:ascii="宋体"/>
      <w:kern w:val="0"/>
      <w:sz w:val="24"/>
      <w:szCs w:val="20"/>
    </w:rPr>
  </w:style>
  <w:style w:type="paragraph" w:styleId="21">
    <w:name w:val="Body Text First Indent 2"/>
    <w:basedOn w:val="10"/>
    <w:next w:val="1"/>
    <w:unhideWhenUsed/>
    <w:qFormat/>
    <w:uiPriority w:val="99"/>
    <w:pPr>
      <w:spacing w:after="120" w:line="360" w:lineRule="auto"/>
      <w:ind w:left="420" w:leftChars="200" w:firstLine="210"/>
    </w:pPr>
    <w:rPr>
      <w:rFonts w:ascii="Times New Roman" w:hAnsi="Times New Roman" w:eastAsia="楷体_GB2312"/>
      <w:spacing w:val="0"/>
      <w:kern w:val="2"/>
      <w:sz w:val="28"/>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Emphasis"/>
    <w:basedOn w:val="24"/>
    <w:qFormat/>
    <w:uiPriority w:val="0"/>
    <w:rPr>
      <w:i/>
    </w:rPr>
  </w:style>
  <w:style w:type="paragraph" w:customStyle="1" w:styleId="27">
    <w:name w:val="Default"/>
    <w:basedOn w:val="28"/>
    <w:qFormat/>
    <w:uiPriority w:val="99"/>
    <w:pPr>
      <w:widowControl w:val="0"/>
      <w:autoSpaceDE w:val="0"/>
      <w:autoSpaceDN w:val="0"/>
      <w:adjustRightInd w:val="0"/>
    </w:pPr>
    <w:rPr>
      <w:rFonts w:ascii="方正小标宋_GBK" w:hAnsi="方正小标宋_GBK" w:eastAsia="方正小标宋_GBK" w:cs="Times New Roman"/>
      <w:color w:val="000000"/>
      <w:sz w:val="24"/>
      <w:szCs w:val="22"/>
      <w:lang w:val="en-US" w:eastAsia="zh-CN" w:bidi="ar-SA"/>
    </w:rPr>
  </w:style>
  <w:style w:type="paragraph" w:customStyle="1" w:styleId="28">
    <w:name w:val="纯文本1"/>
    <w:basedOn w:val="1"/>
    <w:qFormat/>
    <w:uiPriority w:val="0"/>
    <w:pPr>
      <w:adjustRightInd w:val="0"/>
    </w:pPr>
    <w:rPr>
      <w:rFonts w:hAnsi="Courier New"/>
      <w:szCs w:val="20"/>
    </w:rPr>
  </w:style>
  <w:style w:type="paragraph" w:customStyle="1" w:styleId="29">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0">
    <w:name w:val="正文样式"/>
    <w:basedOn w:val="1"/>
    <w:qFormat/>
    <w:uiPriority w:val="0"/>
    <w:pPr>
      <w:ind w:right="0" w:firstLine="480" w:firstLineChars="200"/>
    </w:pPr>
    <w:rPr>
      <w:rFonts w:ascii="Times New Roman" w:hAnsi="Times New Roman" w:eastAsia="宋体" w:cs="Times New Roman"/>
      <w:spacing w:val="0"/>
    </w:rPr>
  </w:style>
  <w:style w:type="paragraph" w:customStyle="1" w:styleId="31">
    <w:name w:val="表头"/>
    <w:basedOn w:val="9"/>
    <w:qFormat/>
    <w:uiPriority w:val="0"/>
    <w:pPr>
      <w:adjustRightInd w:val="0"/>
      <w:snapToGrid w:val="0"/>
      <w:spacing w:line="400" w:lineRule="exact"/>
      <w:jc w:val="center"/>
    </w:pPr>
    <w:rPr>
      <w:rFonts w:eastAsia="宋体"/>
      <w:b/>
      <w:szCs w:val="24"/>
    </w:rPr>
  </w:style>
  <w:style w:type="paragraph" w:customStyle="1" w:styleId="3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表格"/>
    <w:basedOn w:val="7"/>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格"/>
    <w:basedOn w:val="1"/>
    <w:qFormat/>
    <w:uiPriority w:val="0"/>
    <w:pPr>
      <w:widowControl/>
      <w:spacing w:beforeLines="10"/>
      <w:jc w:val="center"/>
    </w:pPr>
    <w:rPr>
      <w:rFonts w:cs="宋体"/>
      <w:szCs w:val="21"/>
    </w:rPr>
  </w:style>
  <w:style w:type="paragraph" w:customStyle="1" w:styleId="36">
    <w:name w:val="表格体"/>
    <w:basedOn w:val="1"/>
    <w:qFormat/>
    <w:uiPriority w:val="0"/>
    <w:pPr>
      <w:jc w:val="center"/>
    </w:pPr>
    <w:rPr>
      <w:szCs w:val="18"/>
    </w:rPr>
  </w:style>
  <w:style w:type="paragraph" w:customStyle="1" w:styleId="37">
    <w:name w:val="正文 首行缩进:  2 字符"/>
    <w:basedOn w:val="1"/>
    <w:qFormat/>
    <w:uiPriority w:val="0"/>
    <w:pPr>
      <w:spacing w:line="360" w:lineRule="auto"/>
      <w:ind w:firstLine="480" w:firstLineChars="200"/>
    </w:pPr>
    <w:rPr>
      <w:sz w:val="24"/>
    </w:rPr>
  </w:style>
  <w:style w:type="paragraph" w:customStyle="1" w:styleId="38">
    <w:name w:val="A这篇正文"/>
    <w:basedOn w:val="1"/>
    <w:link w:val="41"/>
    <w:autoRedefine/>
    <w:qFormat/>
    <w:uiPriority w:val="0"/>
    <w:pPr>
      <w:widowControl/>
      <w:ind w:firstLine="480" w:firstLineChars="200"/>
    </w:pPr>
    <w:rPr>
      <w:rFonts w:cs="宋体"/>
      <w:kern w:val="0"/>
    </w:rPr>
  </w:style>
  <w:style w:type="paragraph" w:customStyle="1" w:styleId="39">
    <w:name w:val="这个题注"/>
    <w:basedOn w:val="1"/>
    <w:autoRedefine/>
    <w:qFormat/>
    <w:uiPriority w:val="0"/>
    <w:pPr>
      <w:spacing w:beforeLines="50" w:line="240" w:lineRule="auto"/>
      <w:jc w:val="center"/>
    </w:pPr>
    <w:rPr>
      <w:rFonts w:eastAsia="黑体" w:cs="Times New Roman"/>
      <w:sz w:val="21"/>
    </w:rPr>
  </w:style>
  <w:style w:type="paragraph" w:customStyle="1" w:styleId="40">
    <w:name w:val="图注"/>
    <w:basedOn w:val="1"/>
    <w:next w:val="38"/>
    <w:autoRedefine/>
    <w:qFormat/>
    <w:uiPriority w:val="0"/>
    <w:pPr>
      <w:spacing w:afterLines="50"/>
      <w:jc w:val="center"/>
    </w:pPr>
    <w:rPr>
      <w:rFonts w:eastAsia="黑体"/>
      <w:sz w:val="21"/>
    </w:rPr>
  </w:style>
  <w:style w:type="character" w:customStyle="1" w:styleId="41">
    <w:name w:val="这篇正文 Char"/>
    <w:link w:val="38"/>
    <w:autoRedefine/>
    <w:qFormat/>
    <w:uiPriority w:val="0"/>
    <w:rPr>
      <w:rFonts w:cs="宋体"/>
      <w:kern w:val="0"/>
    </w:rPr>
  </w:style>
  <w:style w:type="paragraph" w:customStyle="1" w:styleId="42">
    <w:name w:val="表格格式"/>
    <w:basedOn w:val="1"/>
    <w:autoRedefine/>
    <w:qFormat/>
    <w:uiPriority w:val="0"/>
    <w:pPr>
      <w:spacing w:line="240" w:lineRule="auto"/>
      <w:ind w:firstLine="0" w:firstLineChars="0"/>
      <w:jc w:val="center"/>
    </w:pPr>
    <w:rPr>
      <w:sz w:val="21"/>
    </w:rPr>
  </w:style>
  <w:style w:type="paragraph" w:customStyle="1" w:styleId="43">
    <w:name w:val="大表大字"/>
    <w:basedOn w:val="1"/>
    <w:autoRedefine/>
    <w:qFormat/>
    <w:uiPriority w:val="0"/>
    <w:pPr>
      <w:widowControl/>
      <w:spacing w:beforeLines="30" w:afterLines="30" w:line="264" w:lineRule="auto"/>
      <w:jc w:val="center"/>
    </w:pPr>
    <w:rPr>
      <w:rFonts w:cs="Times New Roman"/>
      <w:kern w:val="0"/>
    </w:rPr>
  </w:style>
  <w:style w:type="paragraph" w:customStyle="1" w:styleId="44">
    <w:name w:val="L正文"/>
    <w:basedOn w:val="1"/>
    <w:autoRedefine/>
    <w:qFormat/>
    <w:uiPriority w:val="0"/>
    <w:pPr>
      <w:adjustRightInd w:val="0"/>
      <w:snapToGrid w:val="0"/>
      <w:spacing w:line="360" w:lineRule="auto"/>
      <w:ind w:firstLine="200" w:firstLineChars="200"/>
    </w:pPr>
    <w:rPr>
      <w:sz w:val="24"/>
    </w:rPr>
  </w:style>
  <w:style w:type="paragraph" w:customStyle="1" w:styleId="45">
    <w:name w:val="表格文字"/>
    <w:basedOn w:val="31"/>
    <w:autoRedefine/>
    <w:qFormat/>
    <w:uiPriority w:val="0"/>
    <w:pPr>
      <w:adjustRightInd w:val="0"/>
      <w:spacing w:line="360" w:lineRule="auto"/>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6268</Words>
  <Characters>7171</Characters>
  <Lines>0</Lines>
  <Paragraphs>0</Paragraphs>
  <TotalTime>89</TotalTime>
  <ScaleCrop>false</ScaleCrop>
  <LinksUpToDate>false</LinksUpToDate>
  <CharactersWithSpaces>7276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2021-12-29T02:18:00Z</dcterms:created>
  <dc:creator>Hello Jerry∼</dc:creator>
  <cp:lastModifiedBy>作者</cp:lastModifiedBy>
  <dcterms:modified xsi:type="dcterms:W3CDTF">2024-12-06T05:29:17Z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5B8A83B0C1A648179D006C76D0D182CA</vt:lpwstr>
  </property>
</Properties>
</file>