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42ED3">
      <w:pPr>
        <w:rPr>
          <w:rFonts w:ascii="FangSong_GB2312" w:hAnsi="FangSong_GB2312" w:eastAsia="FangSong_GB2312" w:cs="FangSong_GB2312"/>
          <w:sz w:val="36"/>
          <w:szCs w:val="36"/>
        </w:rPr>
      </w:pPr>
      <w:bookmarkStart w:id="0" w:name="_Hlk81844614"/>
    </w:p>
    <w:p w14:paraId="46D779EC">
      <w:pPr>
        <w:rPr>
          <w:rFonts w:ascii="FangSong_GB2312" w:hAnsi="FangSong_GB2312" w:eastAsia="FangSong_GB2312" w:cs="FangSong_GB2312"/>
          <w:sz w:val="36"/>
          <w:szCs w:val="36"/>
        </w:rPr>
      </w:pPr>
    </w:p>
    <w:p w14:paraId="3BD912D5">
      <w:pPr>
        <w:rPr>
          <w:rFonts w:ascii="FangSong_GB2312" w:hAnsi="FangSong_GB2312" w:eastAsia="FangSong_GB2312" w:cs="FangSong_GB2312"/>
          <w:sz w:val="36"/>
          <w:szCs w:val="36"/>
        </w:rPr>
      </w:pPr>
    </w:p>
    <w:p w14:paraId="11E1B2E9">
      <w:pPr>
        <w:pStyle w:val="28"/>
      </w:pPr>
      <w:r>
        <w:rPr>
          <w:rFonts w:hint="eastAsia"/>
        </w:rPr>
        <w:t>建设项目环境影响报告表</w:t>
      </w:r>
    </w:p>
    <w:p w14:paraId="53C07693">
      <w:pPr>
        <w:adjustRightInd w:val="0"/>
        <w:snapToGrid w:val="0"/>
        <w:spacing w:before="192" w:beforeLines="80"/>
        <w:jc w:val="center"/>
        <w:rPr>
          <w:rFonts w:ascii="KaiTi_GB2312" w:eastAsia="KaiTi_GB2312"/>
          <w:bCs/>
          <w:sz w:val="48"/>
          <w:szCs w:val="48"/>
        </w:rPr>
      </w:pPr>
      <w:r>
        <w:rPr>
          <w:rFonts w:hint="eastAsia" w:ascii="KaiTi_GB2312" w:eastAsia="KaiTi_GB2312"/>
          <w:bCs/>
          <w:sz w:val="48"/>
          <w:szCs w:val="48"/>
        </w:rPr>
        <w:t>（污染影响类）</w:t>
      </w:r>
    </w:p>
    <w:p w14:paraId="1181389E">
      <w:pPr>
        <w:ind w:firstLine="1040"/>
        <w:rPr>
          <w:rFonts w:ascii="STFangsong" w:hAnsi="STFangsong" w:eastAsia="STFangsong" w:cs="STFangsong"/>
          <w:kern w:val="44"/>
          <w:sz w:val="44"/>
          <w:szCs w:val="44"/>
        </w:rPr>
      </w:pPr>
    </w:p>
    <w:p w14:paraId="27178C24">
      <w:pPr>
        <w:jc w:val="center"/>
        <w:rPr>
          <w:rFonts w:eastAsia="仿宋"/>
          <w:sz w:val="52"/>
          <w:szCs w:val="52"/>
        </w:rPr>
      </w:pPr>
    </w:p>
    <w:p w14:paraId="3931A92A">
      <w:pPr>
        <w:ind w:firstLine="1040"/>
        <w:rPr>
          <w:rFonts w:eastAsia="仿宋"/>
          <w:sz w:val="44"/>
          <w:szCs w:val="44"/>
        </w:rPr>
      </w:pPr>
    </w:p>
    <w:p w14:paraId="5577243B">
      <w:pPr>
        <w:ind w:firstLine="1040"/>
        <w:rPr>
          <w:rFonts w:eastAsia="仿宋"/>
          <w:sz w:val="44"/>
          <w:szCs w:val="44"/>
        </w:rPr>
      </w:pPr>
    </w:p>
    <w:p w14:paraId="05FA1C0C">
      <w:pPr>
        <w:ind w:firstLine="1040"/>
        <w:rPr>
          <w:rFonts w:eastAsia="仿宋"/>
          <w:color w:val="auto"/>
          <w:sz w:val="44"/>
          <w:szCs w:val="44"/>
        </w:rPr>
      </w:pPr>
    </w:p>
    <w:p w14:paraId="1CFA0EEA">
      <w:pPr>
        <w:ind w:firstLine="1040"/>
        <w:rPr>
          <w:rFonts w:eastAsia="仿宋"/>
          <w:color w:val="auto"/>
          <w:sz w:val="44"/>
          <w:szCs w:val="44"/>
        </w:rPr>
      </w:pPr>
    </w:p>
    <w:p w14:paraId="1B51792B">
      <w:pPr>
        <w:adjustRightInd w:val="0"/>
        <w:snapToGrid w:val="0"/>
        <w:spacing w:line="288" w:lineRule="auto"/>
        <w:ind w:firstLine="640"/>
        <w:rPr>
          <w:color w:val="auto"/>
          <w:sz w:val="32"/>
          <w:szCs w:val="32"/>
          <w:u w:val="single"/>
        </w:rPr>
      </w:pPr>
      <w:r>
        <w:rPr>
          <w:color w:val="auto"/>
          <w:sz w:val="32"/>
          <w:szCs w:val="32"/>
        </w:rPr>
        <w:t>项目名称：</w:t>
      </w:r>
      <w:r>
        <w:rPr>
          <w:rFonts w:hint="eastAsia"/>
          <w:color w:val="auto"/>
          <w:sz w:val="32"/>
          <w:szCs w:val="32"/>
          <w:u w:val="single"/>
        </w:rPr>
        <w:t>重型电驱桥</w:t>
      </w:r>
      <w:r>
        <w:rPr>
          <w:rFonts w:hint="eastAsia"/>
          <w:color w:val="auto"/>
          <w:sz w:val="32"/>
          <w:szCs w:val="32"/>
          <w:u w:val="single"/>
          <w:lang w:eastAsia="zh-CN"/>
        </w:rPr>
        <w:t>（</w:t>
      </w:r>
      <w:r>
        <w:rPr>
          <w:rFonts w:hint="eastAsia"/>
          <w:color w:val="auto"/>
          <w:sz w:val="32"/>
          <w:szCs w:val="32"/>
          <w:u w:val="single"/>
          <w:lang w:val="en-US" w:eastAsia="zh-CN"/>
        </w:rPr>
        <w:t>二期</w:t>
      </w:r>
      <w:r>
        <w:rPr>
          <w:rFonts w:hint="eastAsia"/>
          <w:color w:val="auto"/>
          <w:sz w:val="32"/>
          <w:szCs w:val="32"/>
          <w:u w:val="single"/>
          <w:lang w:eastAsia="zh-CN"/>
        </w:rPr>
        <w:t>）、</w:t>
      </w:r>
      <w:r>
        <w:rPr>
          <w:rFonts w:hint="eastAsia"/>
          <w:color w:val="auto"/>
          <w:sz w:val="32"/>
          <w:szCs w:val="32"/>
          <w:u w:val="single"/>
        </w:rPr>
        <w:t>氢瓶瓶口阀</w:t>
      </w:r>
      <w:r>
        <w:rPr>
          <w:rFonts w:hint="eastAsia"/>
          <w:color w:val="auto"/>
          <w:sz w:val="32"/>
          <w:szCs w:val="32"/>
          <w:u w:val="single"/>
          <w:lang w:val="en-US" w:eastAsia="zh-CN"/>
        </w:rPr>
        <w:t>/</w:t>
      </w:r>
      <w:r>
        <w:rPr>
          <w:rFonts w:hint="eastAsia"/>
          <w:color w:val="auto"/>
          <w:sz w:val="32"/>
          <w:szCs w:val="32"/>
          <w:u w:val="single"/>
        </w:rPr>
        <w:t>瓶底阀项目</w:t>
      </w:r>
    </w:p>
    <w:p w14:paraId="7850D1DF">
      <w:pPr>
        <w:adjustRightInd w:val="0"/>
        <w:snapToGrid w:val="0"/>
        <w:spacing w:line="288" w:lineRule="auto"/>
        <w:ind w:firstLine="640"/>
        <w:rPr>
          <w:rFonts w:hint="default" w:ascii="FangSong_GB2312" w:eastAsia="宋体"/>
          <w:sz w:val="32"/>
          <w:szCs w:val="32"/>
          <w:u w:val="single"/>
          <w:lang w:val="en-US" w:eastAsia="zh-CN"/>
        </w:rPr>
      </w:pPr>
      <w:r>
        <w:rPr>
          <w:sz w:val="32"/>
          <w:szCs w:val="32"/>
        </w:rPr>
        <w:t>建设单位（盖章）：</w:t>
      </w:r>
      <w:bookmarkStart w:id="1" w:name="_Hlk92300513"/>
      <w:r>
        <w:rPr>
          <w:rFonts w:hint="eastAsia"/>
          <w:sz w:val="32"/>
          <w:szCs w:val="32"/>
          <w:u w:val="single"/>
        </w:rPr>
        <w:t>博世氢动力系统（重庆）有限公司</w:t>
      </w:r>
      <w:bookmarkEnd w:id="1"/>
      <w:r>
        <w:rPr>
          <w:rFonts w:hint="eastAsia"/>
          <w:sz w:val="32"/>
          <w:szCs w:val="32"/>
          <w:u w:val="single"/>
          <w:lang w:val="en-US" w:eastAsia="zh-CN"/>
        </w:rPr>
        <w:t xml:space="preserve">   </w:t>
      </w:r>
    </w:p>
    <w:p w14:paraId="10330A6D">
      <w:pPr>
        <w:adjustRightInd w:val="0"/>
        <w:snapToGrid w:val="0"/>
        <w:spacing w:line="288" w:lineRule="auto"/>
        <w:ind w:firstLine="640"/>
        <w:rPr>
          <w:rFonts w:ascii="宋体" w:hAnsi="宋体"/>
          <w:sz w:val="32"/>
          <w:szCs w:val="32"/>
          <w:u w:val="single"/>
        </w:rPr>
      </w:pPr>
      <w:r>
        <w:rPr>
          <w:rFonts w:hint="eastAsia" w:ascii="宋体" w:hAnsi="宋体"/>
          <w:sz w:val="32"/>
          <w:szCs w:val="32"/>
        </w:rPr>
        <w:t>编制日期：</w:t>
      </w:r>
      <w:r>
        <w:rPr>
          <w:rFonts w:ascii="宋体" w:hAnsi="宋体"/>
          <w:sz w:val="32"/>
          <w:szCs w:val="32"/>
          <w:u w:val="single"/>
        </w:rPr>
        <w:t>202</w:t>
      </w:r>
      <w:r>
        <w:rPr>
          <w:rFonts w:hint="eastAsia" w:ascii="宋体" w:hAnsi="宋体"/>
          <w:sz w:val="32"/>
          <w:szCs w:val="32"/>
          <w:u w:val="single"/>
          <w:lang w:val="en-US" w:eastAsia="zh-CN"/>
        </w:rPr>
        <w:t>5</w:t>
      </w:r>
      <w:r>
        <w:rPr>
          <w:rFonts w:ascii="宋体" w:hAnsi="宋体"/>
          <w:sz w:val="32"/>
          <w:szCs w:val="32"/>
          <w:u w:val="single"/>
        </w:rPr>
        <w:t>年</w:t>
      </w:r>
      <w:r>
        <w:rPr>
          <w:rFonts w:hint="eastAsia" w:ascii="宋体" w:hAnsi="宋体"/>
          <w:sz w:val="32"/>
          <w:szCs w:val="32"/>
          <w:u w:val="single"/>
          <w:lang w:val="en-US" w:eastAsia="zh-CN"/>
        </w:rPr>
        <w:t>3</w:t>
      </w:r>
      <w:r>
        <w:rPr>
          <w:rFonts w:ascii="宋体" w:hAnsi="宋体"/>
          <w:sz w:val="32"/>
          <w:szCs w:val="32"/>
          <w:u w:val="single"/>
        </w:rPr>
        <w:t>月</w:t>
      </w:r>
    </w:p>
    <w:p w14:paraId="38DC7F7A">
      <w:pPr>
        <w:adjustRightInd w:val="0"/>
        <w:snapToGrid w:val="0"/>
        <w:spacing w:line="288" w:lineRule="auto"/>
        <w:ind w:firstLine="1040"/>
        <w:rPr>
          <w:rFonts w:ascii="FangSong_GB2312" w:eastAsia="FangSong_GB2312"/>
          <w:sz w:val="36"/>
          <w:szCs w:val="36"/>
          <w:u w:val="single"/>
        </w:rPr>
      </w:pPr>
      <w:bookmarkStart w:id="2" w:name="_Hlk57884087"/>
    </w:p>
    <w:p w14:paraId="7F97DE8C">
      <w:pPr>
        <w:adjustRightInd w:val="0"/>
        <w:snapToGrid w:val="0"/>
        <w:spacing w:line="288" w:lineRule="auto"/>
        <w:ind w:firstLine="1040"/>
        <w:rPr>
          <w:rFonts w:ascii="FangSong_GB2312" w:eastAsia="FangSong_GB2312"/>
          <w:sz w:val="36"/>
          <w:szCs w:val="36"/>
        </w:rPr>
      </w:pPr>
    </w:p>
    <w:p w14:paraId="156F1910">
      <w:pPr>
        <w:adjustRightInd w:val="0"/>
        <w:snapToGrid w:val="0"/>
        <w:spacing w:line="288" w:lineRule="auto"/>
        <w:ind w:firstLine="1040"/>
        <w:rPr>
          <w:rFonts w:ascii="FangSong_GB2312" w:eastAsia="FangSong_GB2312"/>
          <w:sz w:val="36"/>
          <w:szCs w:val="36"/>
        </w:rPr>
      </w:pPr>
    </w:p>
    <w:p w14:paraId="180598AE">
      <w:pPr>
        <w:adjustRightInd w:val="0"/>
        <w:snapToGrid w:val="0"/>
        <w:spacing w:line="288" w:lineRule="auto"/>
        <w:ind w:firstLine="1040"/>
        <w:rPr>
          <w:rFonts w:ascii="FangSong_GB2312" w:eastAsia="FangSong_GB2312"/>
          <w:sz w:val="36"/>
          <w:szCs w:val="36"/>
        </w:rPr>
      </w:pPr>
    </w:p>
    <w:p w14:paraId="75155624">
      <w:pPr>
        <w:adjustRightInd w:val="0"/>
        <w:snapToGrid w:val="0"/>
        <w:spacing w:line="288" w:lineRule="auto"/>
        <w:ind w:firstLine="1040"/>
        <w:rPr>
          <w:rFonts w:ascii="FangSong_GB2312" w:eastAsia="FangSong_GB2312"/>
          <w:sz w:val="36"/>
          <w:szCs w:val="36"/>
        </w:rPr>
      </w:pPr>
    </w:p>
    <w:bookmarkEnd w:id="2"/>
    <w:p w14:paraId="321ED814">
      <w:pPr>
        <w:adjustRightInd w:val="0"/>
        <w:snapToGrid w:val="0"/>
        <w:spacing w:line="288" w:lineRule="auto"/>
        <w:jc w:val="center"/>
        <w:rPr>
          <w:sz w:val="36"/>
          <w:szCs w:val="36"/>
        </w:rPr>
      </w:pPr>
      <w:r>
        <w:rPr>
          <w:sz w:val="36"/>
          <w:szCs w:val="36"/>
        </w:rPr>
        <w:t>中华人民共和国生态环境部制</w:t>
      </w:r>
    </w:p>
    <w:bookmarkEnd w:id="0"/>
    <w:p w14:paraId="55966E0A">
      <w:pPr>
        <w:adjustRightInd w:val="0"/>
        <w:snapToGrid w:val="0"/>
        <w:spacing w:line="288" w:lineRule="auto"/>
        <w:ind w:firstLine="1040"/>
        <w:rPr>
          <w:rFonts w:ascii="FangSong_GB2312" w:eastAsia="FangSong_GB2312"/>
          <w:sz w:val="36"/>
          <w:szCs w:val="36"/>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490E8464">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30"/>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86"/>
        <w:gridCol w:w="1746"/>
        <w:gridCol w:w="2086"/>
        <w:gridCol w:w="3252"/>
      </w:tblGrid>
      <w:tr w14:paraId="48825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786" w:type="dxa"/>
            <w:tcMar>
              <w:top w:w="16" w:type="dxa"/>
              <w:left w:w="16" w:type="dxa"/>
              <w:right w:w="16" w:type="dxa"/>
            </w:tcMar>
            <w:vAlign w:val="center"/>
          </w:tcPr>
          <w:p w14:paraId="36DC027A">
            <w:pPr>
              <w:pStyle w:val="81"/>
              <w:rPr>
                <w:color w:val="auto"/>
                <w:sz w:val="26"/>
              </w:rPr>
            </w:pPr>
            <w:r>
              <w:rPr>
                <w:color w:val="auto"/>
                <w:sz w:val="26"/>
              </w:rPr>
              <w:t>建设项目名称</w:t>
            </w:r>
          </w:p>
        </w:tc>
        <w:tc>
          <w:tcPr>
            <w:tcW w:w="7084" w:type="dxa"/>
            <w:gridSpan w:val="3"/>
            <w:vAlign w:val="center"/>
          </w:tcPr>
          <w:p w14:paraId="208D8023">
            <w:pPr>
              <w:pStyle w:val="81"/>
              <w:rPr>
                <w:color w:val="auto"/>
                <w:sz w:val="26"/>
              </w:rPr>
            </w:pPr>
            <w:bookmarkStart w:id="3" w:name="_Hlk185322027"/>
            <w:r>
              <w:rPr>
                <w:rFonts w:hint="eastAsia"/>
                <w:color w:val="auto"/>
                <w:sz w:val="26"/>
              </w:rPr>
              <w:t>重型电驱桥</w:t>
            </w:r>
            <w:r>
              <w:rPr>
                <w:rFonts w:hint="eastAsia"/>
                <w:color w:val="auto"/>
                <w:sz w:val="26"/>
                <w:lang w:eastAsia="zh-CN"/>
              </w:rPr>
              <w:t>（</w:t>
            </w:r>
            <w:r>
              <w:rPr>
                <w:rFonts w:hint="eastAsia"/>
                <w:color w:val="auto"/>
                <w:sz w:val="26"/>
                <w:lang w:val="en-US" w:eastAsia="zh-CN"/>
              </w:rPr>
              <w:t>二期</w:t>
            </w:r>
            <w:r>
              <w:rPr>
                <w:rFonts w:hint="eastAsia"/>
                <w:color w:val="auto"/>
                <w:sz w:val="26"/>
                <w:lang w:eastAsia="zh-CN"/>
              </w:rPr>
              <w:t>）、</w:t>
            </w:r>
            <w:r>
              <w:rPr>
                <w:rFonts w:hint="eastAsia"/>
                <w:color w:val="auto"/>
                <w:sz w:val="26"/>
              </w:rPr>
              <w:t>氢瓶瓶口阀</w:t>
            </w:r>
            <w:r>
              <w:rPr>
                <w:rFonts w:hint="eastAsia"/>
                <w:color w:val="auto"/>
                <w:sz w:val="26"/>
                <w:lang w:val="en-US" w:eastAsia="zh-CN"/>
              </w:rPr>
              <w:t>/</w:t>
            </w:r>
            <w:r>
              <w:rPr>
                <w:rFonts w:hint="eastAsia"/>
                <w:color w:val="auto"/>
                <w:sz w:val="26"/>
              </w:rPr>
              <w:t>瓶底阀项目</w:t>
            </w:r>
            <w:bookmarkEnd w:id="3"/>
          </w:p>
        </w:tc>
      </w:tr>
      <w:tr w14:paraId="10820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86" w:type="dxa"/>
            <w:tcMar>
              <w:top w:w="16" w:type="dxa"/>
              <w:left w:w="16" w:type="dxa"/>
              <w:right w:w="16" w:type="dxa"/>
            </w:tcMar>
            <w:vAlign w:val="center"/>
          </w:tcPr>
          <w:p w14:paraId="05A5F267">
            <w:pPr>
              <w:pStyle w:val="81"/>
              <w:rPr>
                <w:color w:val="auto"/>
                <w:sz w:val="26"/>
              </w:rPr>
            </w:pPr>
            <w:r>
              <w:rPr>
                <w:color w:val="auto"/>
                <w:sz w:val="26"/>
              </w:rPr>
              <w:t>项目代码</w:t>
            </w:r>
          </w:p>
        </w:tc>
        <w:tc>
          <w:tcPr>
            <w:tcW w:w="7084" w:type="dxa"/>
            <w:gridSpan w:val="3"/>
            <w:vAlign w:val="center"/>
          </w:tcPr>
          <w:p w14:paraId="014F474B">
            <w:pPr>
              <w:pStyle w:val="81"/>
              <w:rPr>
                <w:color w:val="auto"/>
                <w:sz w:val="26"/>
              </w:rPr>
            </w:pPr>
            <w:r>
              <w:rPr>
                <w:color w:val="auto"/>
                <w:sz w:val="26"/>
              </w:rPr>
              <w:t>2311-500107-07-02-135848</w:t>
            </w:r>
          </w:p>
          <w:p w14:paraId="285B2270">
            <w:pPr>
              <w:pStyle w:val="81"/>
              <w:rPr>
                <w:color w:val="auto"/>
                <w:sz w:val="26"/>
              </w:rPr>
            </w:pPr>
            <w:r>
              <w:rPr>
                <w:color w:val="auto"/>
                <w:sz w:val="26"/>
              </w:rPr>
              <w:t>2410-500107-07-02-676777</w:t>
            </w:r>
          </w:p>
        </w:tc>
      </w:tr>
      <w:tr w14:paraId="3B0C3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786" w:type="dxa"/>
            <w:tcMar>
              <w:top w:w="16" w:type="dxa"/>
              <w:left w:w="16" w:type="dxa"/>
              <w:right w:w="16" w:type="dxa"/>
            </w:tcMar>
            <w:vAlign w:val="center"/>
          </w:tcPr>
          <w:p w14:paraId="3918D3F5">
            <w:pPr>
              <w:pStyle w:val="81"/>
              <w:rPr>
                <w:color w:val="auto"/>
                <w:sz w:val="26"/>
              </w:rPr>
            </w:pPr>
            <w:r>
              <w:rPr>
                <w:color w:val="auto"/>
                <w:sz w:val="26"/>
              </w:rPr>
              <w:t>建设单位联系人</w:t>
            </w:r>
          </w:p>
        </w:tc>
        <w:tc>
          <w:tcPr>
            <w:tcW w:w="1746" w:type="dxa"/>
            <w:vAlign w:val="center"/>
          </w:tcPr>
          <w:p w14:paraId="4235F102">
            <w:pPr>
              <w:pStyle w:val="81"/>
              <w:rPr>
                <w:color w:val="auto"/>
                <w:sz w:val="26"/>
              </w:rPr>
            </w:pPr>
            <w:r>
              <w:rPr>
                <w:rFonts w:hint="eastAsia"/>
                <w:color w:val="auto"/>
                <w:sz w:val="26"/>
              </w:rPr>
              <w:t>刘洁</w:t>
            </w:r>
          </w:p>
        </w:tc>
        <w:tc>
          <w:tcPr>
            <w:tcW w:w="2086" w:type="dxa"/>
            <w:vAlign w:val="center"/>
          </w:tcPr>
          <w:p w14:paraId="79B09807">
            <w:pPr>
              <w:pStyle w:val="81"/>
              <w:rPr>
                <w:color w:val="auto"/>
                <w:sz w:val="26"/>
              </w:rPr>
            </w:pPr>
            <w:r>
              <w:rPr>
                <w:rFonts w:hint="eastAsia"/>
                <w:color w:val="auto"/>
                <w:sz w:val="24"/>
              </w:rPr>
              <w:t>联系方式</w:t>
            </w:r>
          </w:p>
        </w:tc>
        <w:tc>
          <w:tcPr>
            <w:tcW w:w="3252" w:type="dxa"/>
            <w:vAlign w:val="center"/>
          </w:tcPr>
          <w:p w14:paraId="6B748922">
            <w:pPr>
              <w:pStyle w:val="81"/>
              <w:rPr>
                <w:color w:val="auto"/>
                <w:sz w:val="26"/>
              </w:rPr>
            </w:pPr>
            <w:r>
              <w:rPr>
                <w:rFonts w:hint="eastAsia"/>
                <w:color w:val="auto"/>
                <w:sz w:val="26"/>
              </w:rPr>
              <w:t>15111916642</w:t>
            </w:r>
          </w:p>
        </w:tc>
      </w:tr>
      <w:tr w14:paraId="789B5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786" w:type="dxa"/>
            <w:tcMar>
              <w:top w:w="16" w:type="dxa"/>
              <w:left w:w="16" w:type="dxa"/>
              <w:right w:w="16" w:type="dxa"/>
            </w:tcMar>
            <w:vAlign w:val="center"/>
          </w:tcPr>
          <w:p w14:paraId="2247D9EB">
            <w:pPr>
              <w:pStyle w:val="81"/>
              <w:rPr>
                <w:color w:val="auto"/>
                <w:sz w:val="26"/>
              </w:rPr>
            </w:pPr>
            <w:r>
              <w:rPr>
                <w:color w:val="auto"/>
                <w:sz w:val="26"/>
              </w:rPr>
              <w:t>建设地点</w:t>
            </w:r>
          </w:p>
        </w:tc>
        <w:tc>
          <w:tcPr>
            <w:tcW w:w="7084" w:type="dxa"/>
            <w:gridSpan w:val="3"/>
            <w:vAlign w:val="center"/>
          </w:tcPr>
          <w:p w14:paraId="54404D86">
            <w:pPr>
              <w:widowControl/>
              <w:jc w:val="left"/>
              <w:rPr>
                <w:color w:val="auto"/>
                <w:sz w:val="26"/>
              </w:rPr>
            </w:pPr>
            <w:r>
              <w:rPr>
                <w:color w:val="auto"/>
                <w:sz w:val="26"/>
                <w:szCs w:val="26"/>
              </w:rPr>
              <w:t>重庆市九龙坡区陶家镇铜陶北路125号和126号</w:t>
            </w:r>
            <w:r>
              <w:rPr>
                <w:rFonts w:hint="eastAsia"/>
                <w:color w:val="auto"/>
                <w:sz w:val="26"/>
                <w:szCs w:val="26"/>
              </w:rPr>
              <w:t>（西彭工业园区陶家组团L17-02/02地块及L15-03/02）</w:t>
            </w:r>
          </w:p>
        </w:tc>
      </w:tr>
      <w:tr w14:paraId="4B2D9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1786" w:type="dxa"/>
            <w:tcMar>
              <w:top w:w="16" w:type="dxa"/>
              <w:left w:w="16" w:type="dxa"/>
              <w:right w:w="16" w:type="dxa"/>
            </w:tcMar>
            <w:vAlign w:val="center"/>
          </w:tcPr>
          <w:p w14:paraId="7AF646F2">
            <w:pPr>
              <w:pStyle w:val="81"/>
              <w:rPr>
                <w:color w:val="auto"/>
                <w:sz w:val="26"/>
              </w:rPr>
            </w:pPr>
            <w:r>
              <w:rPr>
                <w:color w:val="auto"/>
                <w:sz w:val="26"/>
              </w:rPr>
              <w:t>地理坐标</w:t>
            </w:r>
          </w:p>
        </w:tc>
        <w:tc>
          <w:tcPr>
            <w:tcW w:w="7084" w:type="dxa"/>
            <w:gridSpan w:val="3"/>
            <w:vAlign w:val="center"/>
          </w:tcPr>
          <w:p w14:paraId="1B651EF8">
            <w:pPr>
              <w:pStyle w:val="81"/>
              <w:rPr>
                <w:color w:val="auto"/>
                <w:sz w:val="26"/>
              </w:rPr>
            </w:pPr>
            <w:r>
              <w:rPr>
                <w:color w:val="auto"/>
                <w:sz w:val="26"/>
              </w:rPr>
              <w:t>106°21′22.153″，29°21′20.560″</w:t>
            </w:r>
          </w:p>
        </w:tc>
      </w:tr>
      <w:tr w14:paraId="221E4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86" w:type="dxa"/>
            <w:tcMar>
              <w:top w:w="16" w:type="dxa"/>
              <w:left w:w="16" w:type="dxa"/>
              <w:right w:w="16" w:type="dxa"/>
            </w:tcMar>
            <w:vAlign w:val="center"/>
          </w:tcPr>
          <w:p w14:paraId="7AA8D27A">
            <w:pPr>
              <w:pStyle w:val="81"/>
              <w:rPr>
                <w:color w:val="auto"/>
                <w:sz w:val="26"/>
              </w:rPr>
            </w:pPr>
            <w:r>
              <w:rPr>
                <w:color w:val="auto"/>
                <w:sz w:val="26"/>
              </w:rPr>
              <w:t>国民经济</w:t>
            </w:r>
          </w:p>
          <w:p w14:paraId="765FD89E">
            <w:pPr>
              <w:pStyle w:val="81"/>
              <w:rPr>
                <w:color w:val="auto"/>
                <w:sz w:val="26"/>
              </w:rPr>
            </w:pPr>
            <w:r>
              <w:rPr>
                <w:color w:val="auto"/>
                <w:sz w:val="26"/>
              </w:rPr>
              <w:t>行业类别</w:t>
            </w:r>
          </w:p>
        </w:tc>
        <w:tc>
          <w:tcPr>
            <w:tcW w:w="1746" w:type="dxa"/>
            <w:vAlign w:val="center"/>
          </w:tcPr>
          <w:p w14:paraId="07446E4A">
            <w:pPr>
              <w:rPr>
                <w:color w:val="auto"/>
              </w:rPr>
            </w:pPr>
            <w:r>
              <w:rPr>
                <w:color w:val="auto"/>
                <w:sz w:val="26"/>
              </w:rPr>
              <w:t>C3670汽车零部件及配件制造</w:t>
            </w:r>
          </w:p>
        </w:tc>
        <w:tc>
          <w:tcPr>
            <w:tcW w:w="2086" w:type="dxa"/>
            <w:vAlign w:val="center"/>
          </w:tcPr>
          <w:p w14:paraId="1D67C5B8">
            <w:pPr>
              <w:pStyle w:val="81"/>
              <w:rPr>
                <w:color w:val="auto"/>
                <w:sz w:val="26"/>
              </w:rPr>
            </w:pPr>
            <w:bookmarkStart w:id="4" w:name="_Hlk49843745"/>
            <w:r>
              <w:rPr>
                <w:color w:val="auto"/>
                <w:sz w:val="26"/>
              </w:rPr>
              <w:t>建设项目</w:t>
            </w:r>
          </w:p>
          <w:p w14:paraId="1CF830C3">
            <w:pPr>
              <w:pStyle w:val="81"/>
              <w:rPr>
                <w:color w:val="auto"/>
                <w:sz w:val="26"/>
              </w:rPr>
            </w:pPr>
            <w:r>
              <w:rPr>
                <w:color w:val="auto"/>
                <w:sz w:val="26"/>
              </w:rPr>
              <w:t>行业类别</w:t>
            </w:r>
            <w:bookmarkEnd w:id="4"/>
          </w:p>
        </w:tc>
        <w:tc>
          <w:tcPr>
            <w:tcW w:w="3252" w:type="dxa"/>
            <w:vAlign w:val="center"/>
          </w:tcPr>
          <w:p w14:paraId="34D1DE23">
            <w:pPr>
              <w:rPr>
                <w:color w:val="auto"/>
              </w:rPr>
            </w:pPr>
            <w:r>
              <w:rPr>
                <w:color w:val="auto"/>
                <w:sz w:val="26"/>
              </w:rPr>
              <w:t>三十三、汽车制造业36汽车零部件及配件制造367</w:t>
            </w:r>
          </w:p>
        </w:tc>
      </w:tr>
      <w:tr w14:paraId="62D35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86" w:type="dxa"/>
            <w:tcMar>
              <w:top w:w="16" w:type="dxa"/>
              <w:left w:w="16" w:type="dxa"/>
              <w:right w:w="16" w:type="dxa"/>
            </w:tcMar>
            <w:vAlign w:val="center"/>
          </w:tcPr>
          <w:p w14:paraId="76E8730A">
            <w:pPr>
              <w:pStyle w:val="81"/>
              <w:rPr>
                <w:color w:val="auto"/>
                <w:sz w:val="26"/>
              </w:rPr>
            </w:pPr>
            <w:r>
              <w:rPr>
                <w:color w:val="auto"/>
                <w:sz w:val="26"/>
              </w:rPr>
              <w:t>建设性质</w:t>
            </w:r>
          </w:p>
        </w:tc>
        <w:tc>
          <w:tcPr>
            <w:tcW w:w="1746" w:type="dxa"/>
            <w:vAlign w:val="center"/>
          </w:tcPr>
          <w:p w14:paraId="62B2A1BA">
            <w:pPr>
              <w:rPr>
                <w:color w:val="auto"/>
                <w:sz w:val="26"/>
              </w:rPr>
            </w:pPr>
            <w:r>
              <w:rPr>
                <w:color w:val="auto"/>
                <w:sz w:val="26"/>
              </w:rPr>
              <w:sym w:font="Wingdings 2" w:char="00A3"/>
            </w:r>
            <w:r>
              <w:rPr>
                <w:color w:val="auto"/>
                <w:sz w:val="26"/>
              </w:rPr>
              <w:t>新建（迁建）</w:t>
            </w:r>
          </w:p>
          <w:p w14:paraId="6E745B1E">
            <w:pPr>
              <w:rPr>
                <w:color w:val="auto"/>
                <w:sz w:val="26"/>
              </w:rPr>
            </w:pPr>
            <w:r>
              <w:rPr>
                <w:color w:val="auto"/>
                <w:sz w:val="26"/>
              </w:rPr>
              <w:t>□改建</w:t>
            </w:r>
          </w:p>
          <w:p w14:paraId="61FDECBA">
            <w:pPr>
              <w:rPr>
                <w:color w:val="auto"/>
                <w:sz w:val="26"/>
              </w:rPr>
            </w:pPr>
            <w:r>
              <w:rPr>
                <w:rFonts w:ascii="Segoe UI Symbol" w:hAnsi="Segoe UI Symbol" w:cs="Segoe UI Symbol"/>
                <w:color w:val="auto"/>
                <w:sz w:val="26"/>
              </w:rPr>
              <w:t>☑</w:t>
            </w:r>
            <w:r>
              <w:rPr>
                <w:color w:val="auto"/>
                <w:sz w:val="26"/>
              </w:rPr>
              <w:t>扩建</w:t>
            </w:r>
          </w:p>
          <w:p w14:paraId="18742DB0">
            <w:pPr>
              <w:rPr>
                <w:color w:val="auto"/>
                <w:sz w:val="26"/>
              </w:rPr>
            </w:pPr>
            <w:r>
              <w:rPr>
                <w:rFonts w:hint="eastAsia" w:ascii="Segoe UI Symbol" w:hAnsi="Segoe UI Symbol" w:cs="Segoe UI Symbol"/>
                <w:color w:val="auto"/>
                <w:sz w:val="26"/>
                <w:lang w:eastAsia="zh-CN"/>
              </w:rPr>
              <w:t>□</w:t>
            </w:r>
            <w:r>
              <w:rPr>
                <w:color w:val="auto"/>
                <w:sz w:val="26"/>
              </w:rPr>
              <w:t>技术改造</w:t>
            </w:r>
          </w:p>
        </w:tc>
        <w:tc>
          <w:tcPr>
            <w:tcW w:w="2086" w:type="dxa"/>
            <w:vAlign w:val="center"/>
          </w:tcPr>
          <w:p w14:paraId="733841F4">
            <w:pPr>
              <w:pStyle w:val="81"/>
              <w:rPr>
                <w:color w:val="auto"/>
                <w:sz w:val="26"/>
              </w:rPr>
            </w:pPr>
            <w:r>
              <w:rPr>
                <w:color w:val="auto"/>
                <w:sz w:val="26"/>
              </w:rPr>
              <w:t>建设项目</w:t>
            </w:r>
          </w:p>
          <w:p w14:paraId="467FABD5">
            <w:pPr>
              <w:pStyle w:val="81"/>
              <w:rPr>
                <w:color w:val="auto"/>
                <w:sz w:val="26"/>
              </w:rPr>
            </w:pPr>
            <w:r>
              <w:rPr>
                <w:color w:val="auto"/>
                <w:sz w:val="26"/>
              </w:rPr>
              <w:t>申报情形</w:t>
            </w:r>
          </w:p>
        </w:tc>
        <w:tc>
          <w:tcPr>
            <w:tcW w:w="3252" w:type="dxa"/>
            <w:vAlign w:val="center"/>
          </w:tcPr>
          <w:p w14:paraId="5ECD3B38">
            <w:pPr>
              <w:rPr>
                <w:color w:val="auto"/>
                <w:sz w:val="26"/>
              </w:rPr>
            </w:pPr>
            <w:r>
              <w:rPr>
                <w:color w:val="auto"/>
                <w:sz w:val="26"/>
              </w:rPr>
              <w:sym w:font="Wingdings 2" w:char="F052"/>
            </w:r>
            <w:r>
              <w:rPr>
                <w:color w:val="auto"/>
                <w:sz w:val="26"/>
              </w:rPr>
              <w:t>首次申报项目</w:t>
            </w:r>
          </w:p>
          <w:p w14:paraId="43186680">
            <w:pPr>
              <w:rPr>
                <w:color w:val="auto"/>
                <w:sz w:val="26"/>
              </w:rPr>
            </w:pPr>
            <w:r>
              <w:rPr>
                <w:color w:val="auto"/>
                <w:sz w:val="26"/>
              </w:rPr>
              <w:t>□不予批准后再次申报项目</w:t>
            </w:r>
          </w:p>
          <w:p w14:paraId="7478EACF">
            <w:pPr>
              <w:rPr>
                <w:color w:val="auto"/>
                <w:sz w:val="26"/>
              </w:rPr>
            </w:pPr>
            <w:r>
              <w:rPr>
                <w:color w:val="auto"/>
                <w:sz w:val="26"/>
              </w:rPr>
              <w:sym w:font="Wingdings 2" w:char="00A3"/>
            </w:r>
            <w:r>
              <w:rPr>
                <w:color w:val="auto"/>
                <w:sz w:val="26"/>
              </w:rPr>
              <w:t>超五年重新审核项目</w:t>
            </w:r>
          </w:p>
          <w:p w14:paraId="676B11C9">
            <w:pPr>
              <w:rPr>
                <w:color w:val="auto"/>
                <w:sz w:val="26"/>
              </w:rPr>
            </w:pPr>
            <w:r>
              <w:rPr>
                <w:color w:val="auto"/>
                <w:sz w:val="26"/>
              </w:rPr>
              <w:t>□重大变动重新报批项目</w:t>
            </w:r>
          </w:p>
        </w:tc>
      </w:tr>
      <w:tr w14:paraId="02E24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786" w:type="dxa"/>
            <w:tcMar>
              <w:top w:w="16" w:type="dxa"/>
              <w:left w:w="16" w:type="dxa"/>
              <w:right w:w="16" w:type="dxa"/>
            </w:tcMar>
            <w:vAlign w:val="center"/>
          </w:tcPr>
          <w:p w14:paraId="0A5FB53B">
            <w:pPr>
              <w:pStyle w:val="81"/>
              <w:rPr>
                <w:color w:val="auto"/>
                <w:sz w:val="26"/>
              </w:rPr>
            </w:pPr>
            <w:r>
              <w:rPr>
                <w:color w:val="auto"/>
                <w:sz w:val="26"/>
              </w:rPr>
              <w:t>项目审批（核准/备案）部门（选填）</w:t>
            </w:r>
          </w:p>
        </w:tc>
        <w:tc>
          <w:tcPr>
            <w:tcW w:w="1746" w:type="dxa"/>
            <w:vAlign w:val="center"/>
          </w:tcPr>
          <w:p w14:paraId="40966727">
            <w:pPr>
              <w:rPr>
                <w:color w:val="auto"/>
                <w:sz w:val="26"/>
              </w:rPr>
            </w:pPr>
            <w:r>
              <w:rPr>
                <w:color w:val="auto"/>
                <w:sz w:val="26"/>
              </w:rPr>
              <w:t>重庆市九龙坡区发展和改革委员会</w:t>
            </w:r>
          </w:p>
        </w:tc>
        <w:tc>
          <w:tcPr>
            <w:tcW w:w="2086" w:type="dxa"/>
            <w:vAlign w:val="center"/>
          </w:tcPr>
          <w:p w14:paraId="6379CEE3">
            <w:pPr>
              <w:pStyle w:val="81"/>
              <w:rPr>
                <w:color w:val="auto"/>
                <w:sz w:val="26"/>
              </w:rPr>
            </w:pPr>
            <w:r>
              <w:rPr>
                <w:color w:val="auto"/>
                <w:sz w:val="26"/>
              </w:rPr>
              <w:t>项目审批（核准/</w:t>
            </w:r>
          </w:p>
          <w:p w14:paraId="677C6D89">
            <w:pPr>
              <w:pStyle w:val="81"/>
              <w:rPr>
                <w:color w:val="auto"/>
                <w:sz w:val="26"/>
              </w:rPr>
            </w:pPr>
            <w:r>
              <w:rPr>
                <w:color w:val="auto"/>
                <w:sz w:val="26"/>
              </w:rPr>
              <w:t>备案）文号（选填）</w:t>
            </w:r>
          </w:p>
        </w:tc>
        <w:tc>
          <w:tcPr>
            <w:tcW w:w="3252" w:type="dxa"/>
            <w:vAlign w:val="center"/>
          </w:tcPr>
          <w:p w14:paraId="4A9E4D35">
            <w:pPr>
              <w:pStyle w:val="81"/>
              <w:rPr>
                <w:color w:val="auto"/>
                <w:sz w:val="26"/>
              </w:rPr>
            </w:pPr>
            <w:r>
              <w:rPr>
                <w:color w:val="auto"/>
                <w:sz w:val="26"/>
              </w:rPr>
              <w:t>2311-500107-07-02-135848</w:t>
            </w:r>
          </w:p>
          <w:p w14:paraId="270A8168">
            <w:pPr>
              <w:pStyle w:val="81"/>
              <w:rPr>
                <w:color w:val="auto"/>
                <w:sz w:val="26"/>
              </w:rPr>
            </w:pPr>
            <w:r>
              <w:rPr>
                <w:color w:val="auto"/>
                <w:sz w:val="26"/>
              </w:rPr>
              <w:t>2410-500107-07-02-676777</w:t>
            </w:r>
          </w:p>
        </w:tc>
      </w:tr>
      <w:tr w14:paraId="651CA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1786" w:type="dxa"/>
            <w:tcMar>
              <w:top w:w="16" w:type="dxa"/>
              <w:left w:w="16" w:type="dxa"/>
              <w:right w:w="16" w:type="dxa"/>
            </w:tcMar>
            <w:vAlign w:val="center"/>
          </w:tcPr>
          <w:p w14:paraId="1DFA7034">
            <w:pPr>
              <w:pStyle w:val="81"/>
              <w:rPr>
                <w:color w:val="auto"/>
                <w:sz w:val="26"/>
              </w:rPr>
            </w:pPr>
            <w:r>
              <w:rPr>
                <w:color w:val="auto"/>
                <w:sz w:val="26"/>
              </w:rPr>
              <w:t>总投资（万元）</w:t>
            </w:r>
          </w:p>
        </w:tc>
        <w:tc>
          <w:tcPr>
            <w:tcW w:w="1746" w:type="dxa"/>
            <w:vAlign w:val="center"/>
          </w:tcPr>
          <w:p w14:paraId="60CAF58D">
            <w:pPr>
              <w:pStyle w:val="81"/>
              <w:rPr>
                <w:color w:val="auto"/>
                <w:sz w:val="26"/>
              </w:rPr>
            </w:pPr>
            <w:r>
              <w:rPr>
                <w:color w:val="auto"/>
                <w:sz w:val="26"/>
              </w:rPr>
              <w:t>1</w:t>
            </w:r>
            <w:r>
              <w:rPr>
                <w:rFonts w:hint="eastAsia"/>
                <w:color w:val="auto"/>
                <w:sz w:val="26"/>
              </w:rPr>
              <w:t>1</w:t>
            </w:r>
            <w:r>
              <w:rPr>
                <w:color w:val="auto"/>
                <w:sz w:val="26"/>
              </w:rPr>
              <w:t>000</w:t>
            </w:r>
          </w:p>
        </w:tc>
        <w:tc>
          <w:tcPr>
            <w:tcW w:w="2086" w:type="dxa"/>
            <w:tcMar>
              <w:top w:w="16" w:type="dxa"/>
              <w:left w:w="16" w:type="dxa"/>
              <w:right w:w="16" w:type="dxa"/>
            </w:tcMar>
            <w:vAlign w:val="center"/>
          </w:tcPr>
          <w:p w14:paraId="42D0B495">
            <w:pPr>
              <w:pStyle w:val="81"/>
              <w:rPr>
                <w:color w:val="auto"/>
                <w:sz w:val="26"/>
              </w:rPr>
            </w:pPr>
            <w:r>
              <w:rPr>
                <w:color w:val="auto"/>
                <w:sz w:val="26"/>
              </w:rPr>
              <w:t>环保投资（万元）</w:t>
            </w:r>
          </w:p>
        </w:tc>
        <w:tc>
          <w:tcPr>
            <w:tcW w:w="3252" w:type="dxa"/>
            <w:vAlign w:val="center"/>
          </w:tcPr>
          <w:p w14:paraId="3F3E5095">
            <w:pPr>
              <w:pStyle w:val="81"/>
              <w:rPr>
                <w:rFonts w:hint="default" w:eastAsia="宋体"/>
                <w:color w:val="auto"/>
                <w:sz w:val="26"/>
                <w:lang w:val="en-US" w:eastAsia="zh-CN"/>
              </w:rPr>
            </w:pPr>
            <w:r>
              <w:rPr>
                <w:rFonts w:hint="eastAsia"/>
                <w:color w:val="auto"/>
                <w:sz w:val="26"/>
                <w:lang w:val="en-US" w:eastAsia="zh-CN"/>
              </w:rPr>
              <w:t>20</w:t>
            </w:r>
          </w:p>
        </w:tc>
      </w:tr>
      <w:tr w14:paraId="05D57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786" w:type="dxa"/>
            <w:tcMar>
              <w:top w:w="16" w:type="dxa"/>
              <w:left w:w="16" w:type="dxa"/>
              <w:right w:w="16" w:type="dxa"/>
            </w:tcMar>
            <w:vAlign w:val="center"/>
          </w:tcPr>
          <w:p w14:paraId="41344E42">
            <w:pPr>
              <w:pStyle w:val="81"/>
              <w:rPr>
                <w:color w:val="auto"/>
                <w:sz w:val="26"/>
              </w:rPr>
            </w:pPr>
            <w:r>
              <w:rPr>
                <w:color w:val="auto"/>
                <w:sz w:val="26"/>
              </w:rPr>
              <w:t>环保投资占比（%）</w:t>
            </w:r>
          </w:p>
        </w:tc>
        <w:tc>
          <w:tcPr>
            <w:tcW w:w="1746" w:type="dxa"/>
            <w:vAlign w:val="center"/>
          </w:tcPr>
          <w:p w14:paraId="13B9AB48">
            <w:pPr>
              <w:pStyle w:val="81"/>
              <w:rPr>
                <w:color w:val="auto"/>
                <w:sz w:val="26"/>
              </w:rPr>
            </w:pPr>
            <w:r>
              <w:rPr>
                <w:color w:val="auto"/>
                <w:sz w:val="26"/>
              </w:rPr>
              <w:t>0.</w:t>
            </w:r>
            <w:r>
              <w:rPr>
                <w:rFonts w:hint="eastAsia"/>
                <w:color w:val="auto"/>
                <w:sz w:val="26"/>
                <w:lang w:val="en-US" w:eastAsia="zh-CN"/>
              </w:rPr>
              <w:t>18</w:t>
            </w:r>
            <w:r>
              <w:rPr>
                <w:color w:val="auto"/>
                <w:sz w:val="26"/>
              </w:rPr>
              <w:t>%</w:t>
            </w:r>
          </w:p>
        </w:tc>
        <w:tc>
          <w:tcPr>
            <w:tcW w:w="2086" w:type="dxa"/>
            <w:tcMar>
              <w:top w:w="16" w:type="dxa"/>
              <w:left w:w="16" w:type="dxa"/>
              <w:right w:w="16" w:type="dxa"/>
            </w:tcMar>
            <w:vAlign w:val="center"/>
          </w:tcPr>
          <w:p w14:paraId="0629F6E7">
            <w:pPr>
              <w:pStyle w:val="81"/>
              <w:rPr>
                <w:color w:val="auto"/>
                <w:sz w:val="26"/>
              </w:rPr>
            </w:pPr>
            <w:r>
              <w:rPr>
                <w:color w:val="auto"/>
                <w:sz w:val="26"/>
              </w:rPr>
              <w:t>施工工期</w:t>
            </w:r>
          </w:p>
        </w:tc>
        <w:tc>
          <w:tcPr>
            <w:tcW w:w="3252" w:type="dxa"/>
            <w:vAlign w:val="center"/>
          </w:tcPr>
          <w:p w14:paraId="35CA46A0">
            <w:pPr>
              <w:pStyle w:val="81"/>
              <w:rPr>
                <w:color w:val="auto"/>
                <w:sz w:val="26"/>
              </w:rPr>
            </w:pPr>
            <w:r>
              <w:rPr>
                <w:rFonts w:hint="eastAsia"/>
                <w:color w:val="auto"/>
                <w:sz w:val="26"/>
              </w:rPr>
              <w:t>5</w:t>
            </w:r>
            <w:r>
              <w:rPr>
                <w:color w:val="auto"/>
                <w:sz w:val="26"/>
              </w:rPr>
              <w:t>个月</w:t>
            </w:r>
          </w:p>
        </w:tc>
      </w:tr>
      <w:tr w14:paraId="10AF8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86" w:type="dxa"/>
            <w:tcMar>
              <w:top w:w="16" w:type="dxa"/>
              <w:left w:w="16" w:type="dxa"/>
              <w:right w:w="16" w:type="dxa"/>
            </w:tcMar>
            <w:vAlign w:val="center"/>
          </w:tcPr>
          <w:p w14:paraId="27913D11">
            <w:pPr>
              <w:pStyle w:val="81"/>
              <w:rPr>
                <w:color w:val="auto"/>
                <w:sz w:val="26"/>
              </w:rPr>
            </w:pPr>
            <w:r>
              <w:rPr>
                <w:color w:val="auto"/>
                <w:sz w:val="26"/>
              </w:rPr>
              <w:t>是否开工建设</w:t>
            </w:r>
          </w:p>
        </w:tc>
        <w:tc>
          <w:tcPr>
            <w:tcW w:w="1746" w:type="dxa"/>
            <w:vAlign w:val="center"/>
          </w:tcPr>
          <w:p w14:paraId="2B8438B2">
            <w:pPr>
              <w:rPr>
                <w:color w:val="auto"/>
                <w:sz w:val="26"/>
              </w:rPr>
            </w:pPr>
            <w:r>
              <w:rPr>
                <w:color w:val="auto"/>
                <w:sz w:val="26"/>
              </w:rPr>
              <w:sym w:font="Wingdings 2" w:char="0052"/>
            </w:r>
            <w:r>
              <w:rPr>
                <w:color w:val="auto"/>
                <w:sz w:val="26"/>
              </w:rPr>
              <w:t>否</w:t>
            </w:r>
          </w:p>
          <w:p w14:paraId="568CC02B">
            <w:pPr>
              <w:rPr>
                <w:color w:val="auto"/>
                <w:sz w:val="26"/>
              </w:rPr>
            </w:pPr>
            <w:r>
              <w:rPr>
                <w:color w:val="auto"/>
                <w:sz w:val="26"/>
              </w:rPr>
              <w:sym w:font="Wingdings 2" w:char="00A3"/>
            </w:r>
            <w:r>
              <w:rPr>
                <w:color w:val="auto"/>
                <w:sz w:val="26"/>
              </w:rPr>
              <w:t>是：</w:t>
            </w:r>
          </w:p>
        </w:tc>
        <w:tc>
          <w:tcPr>
            <w:tcW w:w="2086" w:type="dxa"/>
            <w:tcMar>
              <w:top w:w="16" w:type="dxa"/>
              <w:left w:w="16" w:type="dxa"/>
              <w:right w:w="16" w:type="dxa"/>
            </w:tcMar>
            <w:vAlign w:val="center"/>
          </w:tcPr>
          <w:p w14:paraId="79F554D0">
            <w:pPr>
              <w:pStyle w:val="81"/>
              <w:rPr>
                <w:color w:val="auto"/>
                <w:spacing w:val="-6"/>
                <w:sz w:val="26"/>
              </w:rPr>
            </w:pPr>
            <w:r>
              <w:rPr>
                <w:color w:val="auto"/>
                <w:spacing w:val="-6"/>
                <w:sz w:val="26"/>
              </w:rPr>
              <w:t>用地（用海）</w:t>
            </w:r>
          </w:p>
          <w:p w14:paraId="4412DF53">
            <w:pPr>
              <w:pStyle w:val="81"/>
              <w:rPr>
                <w:color w:val="auto"/>
                <w:sz w:val="26"/>
              </w:rPr>
            </w:pPr>
            <w:r>
              <w:rPr>
                <w:color w:val="auto"/>
                <w:spacing w:val="-6"/>
                <w:sz w:val="26"/>
              </w:rPr>
              <w:t>面积（m²）</w:t>
            </w:r>
          </w:p>
        </w:tc>
        <w:tc>
          <w:tcPr>
            <w:tcW w:w="3252" w:type="dxa"/>
            <w:vAlign w:val="center"/>
          </w:tcPr>
          <w:p w14:paraId="01BCEDD6">
            <w:pPr>
              <w:pStyle w:val="81"/>
              <w:rPr>
                <w:color w:val="auto"/>
                <w:sz w:val="26"/>
              </w:rPr>
            </w:pPr>
            <w:r>
              <w:rPr>
                <w:color w:val="auto"/>
                <w:sz w:val="26"/>
              </w:rPr>
              <w:t>不新增用地</w:t>
            </w:r>
          </w:p>
        </w:tc>
      </w:tr>
      <w:tr w14:paraId="7B637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6" w:type="dxa"/>
            <w:vAlign w:val="center"/>
          </w:tcPr>
          <w:p w14:paraId="68CD8BA7">
            <w:pPr>
              <w:pStyle w:val="81"/>
              <w:rPr>
                <w:color w:val="auto"/>
                <w:kern w:val="0"/>
                <w:sz w:val="26"/>
              </w:rPr>
            </w:pPr>
            <w:r>
              <w:rPr>
                <w:color w:val="auto"/>
                <w:kern w:val="0"/>
                <w:sz w:val="26"/>
              </w:rPr>
              <w:t>专项评价设置情况</w:t>
            </w:r>
          </w:p>
        </w:tc>
        <w:tc>
          <w:tcPr>
            <w:tcW w:w="7084" w:type="dxa"/>
            <w:gridSpan w:val="3"/>
            <w:vAlign w:val="center"/>
          </w:tcPr>
          <w:p w14:paraId="72D14046">
            <w:pPr>
              <w:pStyle w:val="82"/>
              <w:spacing w:line="460" w:lineRule="exact"/>
              <w:ind w:firstLine="520"/>
              <w:rPr>
                <w:rFonts w:ascii="Times New Roman" w:hAnsi="Times New Roman" w:eastAsia="宋体" w:cs="Times New Roman"/>
                <w:bCs/>
                <w:color w:val="auto"/>
                <w:kern w:val="0"/>
                <w:sz w:val="26"/>
                <w:szCs w:val="21"/>
                <w:lang w:val="en-US" w:eastAsia="zh-CN" w:bidi="ar-SA"/>
              </w:rPr>
            </w:pPr>
            <w:r>
              <w:rPr>
                <w:rFonts w:ascii="Times New Roman" w:hAnsi="Times New Roman" w:eastAsia="宋体" w:cs="Times New Roman"/>
                <w:bCs/>
                <w:color w:val="auto"/>
                <w:kern w:val="0"/>
                <w:sz w:val="26"/>
                <w:szCs w:val="21"/>
                <w:lang w:val="en-US" w:eastAsia="zh-CN" w:bidi="ar-SA"/>
              </w:rPr>
              <w:t>根据《建设项目环境影响报告表编制技术指南（污染影响类）（试行）》表1-1，本项目无需设置专项评价，对照情况见下表1</w:t>
            </w:r>
            <w:r>
              <w:rPr>
                <w:rFonts w:hint="eastAsia" w:ascii="Times New Roman" w:hAnsi="Times New Roman" w:eastAsia="宋体" w:cs="Times New Roman"/>
                <w:bCs/>
                <w:color w:val="auto"/>
                <w:kern w:val="0"/>
                <w:sz w:val="26"/>
                <w:szCs w:val="21"/>
                <w:lang w:val="en-US" w:eastAsia="zh-CN" w:bidi="ar-SA"/>
              </w:rPr>
              <w:t>.1</w:t>
            </w:r>
            <w:r>
              <w:rPr>
                <w:rFonts w:ascii="Times New Roman" w:hAnsi="Times New Roman" w:eastAsia="宋体" w:cs="Times New Roman"/>
                <w:bCs/>
                <w:color w:val="auto"/>
                <w:kern w:val="0"/>
                <w:sz w:val="26"/>
                <w:szCs w:val="21"/>
                <w:lang w:val="en-US" w:eastAsia="zh-CN" w:bidi="ar-SA"/>
              </w:rPr>
              <w:t>-1：</w:t>
            </w:r>
          </w:p>
          <w:p w14:paraId="08D6873C">
            <w:pPr>
              <w:pStyle w:val="81"/>
              <w:rPr>
                <w:rFonts w:hint="eastAsia" w:ascii="Times New Roman" w:hAnsi="Times New Roman" w:eastAsia="宋体" w:cs="Times New Roman"/>
                <w:bCs/>
                <w:color w:val="auto"/>
                <w:spacing w:val="-11"/>
                <w:kern w:val="2"/>
                <w:sz w:val="26"/>
                <w:szCs w:val="72"/>
                <w:lang w:val="en-US" w:eastAsia="zh-CN" w:bidi="ar-SA"/>
              </w:rPr>
            </w:pPr>
            <w:r>
              <w:rPr>
                <w:rFonts w:hint="eastAsia" w:ascii="Times New Roman" w:hAnsi="Times New Roman" w:eastAsia="宋体" w:cs="Times New Roman"/>
                <w:bCs/>
                <w:color w:val="auto"/>
                <w:spacing w:val="-11"/>
                <w:kern w:val="2"/>
                <w:sz w:val="26"/>
                <w:szCs w:val="72"/>
                <w:lang w:val="en-US" w:eastAsia="zh-CN" w:bidi="ar-SA"/>
              </w:rPr>
              <w:t>表1.1-1</w:t>
            </w:r>
            <w:r>
              <w:rPr>
                <w:rFonts w:hint="eastAsia" w:cs="Times New Roman"/>
                <w:bCs/>
                <w:color w:val="auto"/>
                <w:spacing w:val="-11"/>
                <w:kern w:val="2"/>
                <w:sz w:val="26"/>
                <w:szCs w:val="72"/>
                <w:lang w:val="en-US" w:eastAsia="zh-CN" w:bidi="ar-SA"/>
              </w:rPr>
              <w:t xml:space="preserve">  </w:t>
            </w:r>
            <w:r>
              <w:rPr>
                <w:rFonts w:hint="eastAsia" w:ascii="Times New Roman" w:hAnsi="Times New Roman" w:eastAsia="宋体" w:cs="Times New Roman"/>
                <w:bCs/>
                <w:color w:val="auto"/>
                <w:spacing w:val="-11"/>
                <w:kern w:val="2"/>
                <w:sz w:val="26"/>
                <w:szCs w:val="72"/>
                <w:lang w:val="en-US" w:eastAsia="zh-CN" w:bidi="ar-SA"/>
              </w:rPr>
              <w:t>专项评价设置原则对照表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308"/>
              <w:gridCol w:w="2805"/>
            </w:tblGrid>
            <w:tr w14:paraId="24E9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07" w:type="dxa"/>
                  <w:noWrap w:val="0"/>
                  <w:vAlign w:val="center"/>
                </w:tcPr>
                <w:p w14:paraId="1AFDD6C8">
                  <w:pPr>
                    <w:spacing w:line="320" w:lineRule="exact"/>
                    <w:jc w:val="center"/>
                    <w:rPr>
                      <w:color w:val="auto"/>
                      <w:sz w:val="22"/>
                      <w:szCs w:val="22"/>
                    </w:rPr>
                  </w:pPr>
                  <w:r>
                    <w:rPr>
                      <w:color w:val="auto"/>
                      <w:sz w:val="22"/>
                      <w:szCs w:val="22"/>
                    </w:rPr>
                    <w:t>类别</w:t>
                  </w:r>
                </w:p>
              </w:tc>
              <w:tc>
                <w:tcPr>
                  <w:tcW w:w="3675" w:type="dxa"/>
                  <w:noWrap w:val="0"/>
                  <w:vAlign w:val="center"/>
                </w:tcPr>
                <w:p w14:paraId="24115D4E">
                  <w:pPr>
                    <w:spacing w:line="320" w:lineRule="exact"/>
                    <w:jc w:val="center"/>
                    <w:rPr>
                      <w:color w:val="auto"/>
                      <w:sz w:val="22"/>
                      <w:szCs w:val="22"/>
                    </w:rPr>
                  </w:pPr>
                  <w:r>
                    <w:rPr>
                      <w:color w:val="auto"/>
                      <w:sz w:val="22"/>
                      <w:szCs w:val="22"/>
                    </w:rPr>
                    <w:t>设置原则</w:t>
                  </w:r>
                </w:p>
              </w:tc>
              <w:tc>
                <w:tcPr>
                  <w:tcW w:w="3112" w:type="dxa"/>
                  <w:noWrap w:val="0"/>
                  <w:vAlign w:val="center"/>
                </w:tcPr>
                <w:p w14:paraId="68A1580C">
                  <w:pPr>
                    <w:spacing w:line="320" w:lineRule="exact"/>
                    <w:jc w:val="center"/>
                    <w:rPr>
                      <w:color w:val="auto"/>
                      <w:sz w:val="22"/>
                      <w:szCs w:val="22"/>
                    </w:rPr>
                  </w:pPr>
                  <w:r>
                    <w:rPr>
                      <w:color w:val="auto"/>
                      <w:sz w:val="22"/>
                      <w:szCs w:val="22"/>
                    </w:rPr>
                    <w:t>本项目设置情况</w:t>
                  </w:r>
                </w:p>
              </w:tc>
            </w:tr>
            <w:tr w14:paraId="4681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07" w:type="dxa"/>
                  <w:noWrap w:val="0"/>
                  <w:vAlign w:val="center"/>
                </w:tcPr>
                <w:p w14:paraId="6C315BD0">
                  <w:pPr>
                    <w:spacing w:line="320" w:lineRule="exact"/>
                    <w:jc w:val="center"/>
                    <w:rPr>
                      <w:color w:val="auto"/>
                      <w:sz w:val="22"/>
                      <w:szCs w:val="22"/>
                    </w:rPr>
                  </w:pPr>
                  <w:r>
                    <w:rPr>
                      <w:color w:val="auto"/>
                      <w:sz w:val="22"/>
                      <w:szCs w:val="22"/>
                    </w:rPr>
                    <w:t>大气</w:t>
                  </w:r>
                </w:p>
              </w:tc>
              <w:tc>
                <w:tcPr>
                  <w:tcW w:w="3675" w:type="dxa"/>
                  <w:noWrap w:val="0"/>
                  <w:vAlign w:val="center"/>
                </w:tcPr>
                <w:p w14:paraId="673FC34C">
                  <w:pPr>
                    <w:widowControl/>
                    <w:spacing w:line="320" w:lineRule="exact"/>
                    <w:rPr>
                      <w:color w:val="auto"/>
                      <w:sz w:val="22"/>
                      <w:szCs w:val="22"/>
                    </w:rPr>
                  </w:pPr>
                  <w:r>
                    <w:rPr>
                      <w:color w:val="auto"/>
                      <w:kern w:val="0"/>
                      <w:sz w:val="22"/>
                      <w:szCs w:val="22"/>
                      <w:lang w:bidi="ar"/>
                    </w:rPr>
                    <w:t>排放废气含有毒有害污染物、二噁英、苯并〔a〕芘、氰化物、氯气且厂界外500米范围内有环境空气保护目标的建设项目。</w:t>
                  </w:r>
                </w:p>
              </w:tc>
              <w:tc>
                <w:tcPr>
                  <w:tcW w:w="3112" w:type="dxa"/>
                  <w:noWrap w:val="0"/>
                  <w:vAlign w:val="center"/>
                </w:tcPr>
                <w:p w14:paraId="194C4BAF">
                  <w:pPr>
                    <w:widowControl/>
                    <w:spacing w:line="320" w:lineRule="exact"/>
                    <w:rPr>
                      <w:color w:val="auto"/>
                      <w:sz w:val="22"/>
                      <w:szCs w:val="22"/>
                    </w:rPr>
                  </w:pPr>
                  <w:r>
                    <w:rPr>
                      <w:color w:val="auto"/>
                      <w:kern w:val="0"/>
                      <w:sz w:val="22"/>
                      <w:szCs w:val="22"/>
                      <w:lang w:bidi="ar"/>
                    </w:rPr>
                    <w:t>本项目排放废气未涉及有毒有害污染物、二噁英、苯并〔a〕芘、氰化物、氯气，不设置大气专项。</w:t>
                  </w:r>
                </w:p>
              </w:tc>
            </w:tr>
            <w:tr w14:paraId="4417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07" w:type="dxa"/>
                  <w:noWrap w:val="0"/>
                  <w:vAlign w:val="center"/>
                </w:tcPr>
                <w:p w14:paraId="57590E35">
                  <w:pPr>
                    <w:spacing w:line="320" w:lineRule="exact"/>
                    <w:jc w:val="center"/>
                    <w:rPr>
                      <w:color w:val="auto"/>
                      <w:sz w:val="22"/>
                      <w:szCs w:val="22"/>
                    </w:rPr>
                  </w:pPr>
                  <w:r>
                    <w:rPr>
                      <w:color w:val="auto"/>
                      <w:sz w:val="22"/>
                      <w:szCs w:val="22"/>
                    </w:rPr>
                    <w:t>地表水</w:t>
                  </w:r>
                </w:p>
              </w:tc>
              <w:tc>
                <w:tcPr>
                  <w:tcW w:w="3675" w:type="dxa"/>
                  <w:noWrap w:val="0"/>
                  <w:vAlign w:val="center"/>
                </w:tcPr>
                <w:p w14:paraId="039C3E48">
                  <w:pPr>
                    <w:widowControl/>
                    <w:spacing w:line="320" w:lineRule="exact"/>
                    <w:rPr>
                      <w:color w:val="auto"/>
                      <w:sz w:val="22"/>
                      <w:szCs w:val="22"/>
                    </w:rPr>
                  </w:pPr>
                  <w:r>
                    <w:rPr>
                      <w:color w:val="auto"/>
                      <w:kern w:val="0"/>
                      <w:sz w:val="22"/>
                      <w:szCs w:val="22"/>
                      <w:lang w:bidi="ar"/>
                    </w:rPr>
                    <w:t>新增工业废水直排建设项目（槽罐车外送污水处理厂的除外）；新增废水直排的污水集中处理厂。</w:t>
                  </w:r>
                </w:p>
              </w:tc>
              <w:tc>
                <w:tcPr>
                  <w:tcW w:w="3112" w:type="dxa"/>
                  <w:noWrap w:val="0"/>
                  <w:vAlign w:val="center"/>
                </w:tcPr>
                <w:p w14:paraId="4F3741FC">
                  <w:pPr>
                    <w:widowControl/>
                    <w:spacing w:line="320" w:lineRule="exact"/>
                    <w:rPr>
                      <w:color w:val="auto"/>
                      <w:sz w:val="22"/>
                      <w:szCs w:val="22"/>
                    </w:rPr>
                  </w:pPr>
                  <w:r>
                    <w:rPr>
                      <w:color w:val="auto"/>
                      <w:sz w:val="22"/>
                      <w:szCs w:val="22"/>
                      <w:lang w:bidi="en-US"/>
                    </w:rPr>
                    <w:t>新增废水依托现有的</w:t>
                  </w:r>
                  <w:r>
                    <w:rPr>
                      <w:rFonts w:hint="eastAsia"/>
                      <w:color w:val="auto"/>
                      <w:sz w:val="22"/>
                      <w:szCs w:val="22"/>
                      <w:lang w:bidi="en-US"/>
                    </w:rPr>
                    <w:t>污水处理设施</w:t>
                  </w:r>
                  <w:r>
                    <w:rPr>
                      <w:color w:val="auto"/>
                      <w:sz w:val="22"/>
                      <w:szCs w:val="22"/>
                      <w:lang w:bidi="en-US"/>
                    </w:rPr>
                    <w:t>（</w:t>
                  </w:r>
                  <w:r>
                    <w:rPr>
                      <w:rFonts w:hint="eastAsia"/>
                      <w:color w:val="auto"/>
                      <w:sz w:val="22"/>
                      <w:szCs w:val="22"/>
                      <w:lang w:bidi="en-US"/>
                    </w:rPr>
                    <w:t>东地块</w:t>
                  </w:r>
                  <w:r>
                    <w:rPr>
                      <w:color w:val="auto"/>
                      <w:sz w:val="22"/>
                      <w:szCs w:val="22"/>
                      <w:lang w:bidi="en-US"/>
                    </w:rPr>
                    <w:t>处理规模</w:t>
                  </w:r>
                  <w:r>
                    <w:rPr>
                      <w:rFonts w:hint="eastAsia"/>
                      <w:color w:val="auto"/>
                      <w:sz w:val="22"/>
                      <w:szCs w:val="22"/>
                      <w:lang w:val="en-US" w:eastAsia="zh-CN" w:bidi="en-US"/>
                    </w:rPr>
                    <w:t>50</w:t>
                  </w:r>
                  <w:r>
                    <w:rPr>
                      <w:color w:val="auto"/>
                      <w:sz w:val="22"/>
                      <w:szCs w:val="22"/>
                      <w:lang w:bidi="en-US"/>
                    </w:rPr>
                    <w:t>m</w:t>
                  </w:r>
                  <w:r>
                    <w:rPr>
                      <w:color w:val="auto"/>
                      <w:sz w:val="22"/>
                      <w:szCs w:val="22"/>
                      <w:vertAlign w:val="superscript"/>
                      <w:lang w:bidi="en-US"/>
                    </w:rPr>
                    <w:t>3</w:t>
                  </w:r>
                  <w:r>
                    <w:rPr>
                      <w:color w:val="auto"/>
                      <w:sz w:val="22"/>
                      <w:szCs w:val="22"/>
                      <w:lang w:bidi="en-US"/>
                    </w:rPr>
                    <w:t>/d</w:t>
                  </w:r>
                  <w:r>
                    <w:rPr>
                      <w:rFonts w:hint="eastAsia"/>
                      <w:color w:val="auto"/>
                      <w:sz w:val="22"/>
                      <w:szCs w:val="22"/>
                      <w:lang w:bidi="en-US"/>
                    </w:rPr>
                    <w:t>，西地块</w:t>
                  </w:r>
                  <w:r>
                    <w:rPr>
                      <w:color w:val="auto"/>
                      <w:sz w:val="22"/>
                      <w:szCs w:val="22"/>
                      <w:lang w:bidi="en-US"/>
                    </w:rPr>
                    <w:t>处理规模</w:t>
                  </w:r>
                  <w:r>
                    <w:rPr>
                      <w:rFonts w:hint="eastAsia"/>
                      <w:color w:val="auto"/>
                      <w:sz w:val="22"/>
                      <w:szCs w:val="22"/>
                      <w:lang w:val="en-US" w:eastAsia="zh-CN" w:bidi="en-US"/>
                    </w:rPr>
                    <w:t>4</w:t>
                  </w:r>
                  <w:r>
                    <w:rPr>
                      <w:rFonts w:hint="eastAsia"/>
                      <w:color w:val="auto"/>
                      <w:sz w:val="22"/>
                      <w:szCs w:val="22"/>
                      <w:lang w:bidi="en-US"/>
                    </w:rPr>
                    <w:t>0</w:t>
                  </w:r>
                  <w:r>
                    <w:rPr>
                      <w:color w:val="auto"/>
                      <w:sz w:val="22"/>
                      <w:szCs w:val="22"/>
                      <w:lang w:bidi="en-US"/>
                    </w:rPr>
                    <w:t>m</w:t>
                  </w:r>
                  <w:r>
                    <w:rPr>
                      <w:color w:val="auto"/>
                      <w:sz w:val="22"/>
                      <w:szCs w:val="22"/>
                      <w:vertAlign w:val="superscript"/>
                      <w:lang w:bidi="en-US"/>
                    </w:rPr>
                    <w:t>3</w:t>
                  </w:r>
                  <w:r>
                    <w:rPr>
                      <w:color w:val="auto"/>
                      <w:sz w:val="22"/>
                      <w:szCs w:val="22"/>
                      <w:lang w:bidi="en-US"/>
                    </w:rPr>
                    <w:t>/d）处理后</w:t>
                  </w:r>
                  <w:r>
                    <w:rPr>
                      <w:rFonts w:hint="eastAsia"/>
                      <w:color w:val="auto"/>
                      <w:sz w:val="22"/>
                      <w:szCs w:val="22"/>
                      <w:lang w:bidi="en-US"/>
                    </w:rPr>
                    <w:t>达《污水综合排放标准》（GB8978-1996）三级排放标准后进入陶家工业污水处理厂</w:t>
                  </w:r>
                  <w:r>
                    <w:rPr>
                      <w:color w:val="auto"/>
                      <w:sz w:val="22"/>
                      <w:szCs w:val="22"/>
                      <w:lang w:bidi="en-US"/>
                    </w:rPr>
                    <w:t>，属于间接排放。因此不设置地表水专项。</w:t>
                  </w:r>
                </w:p>
              </w:tc>
            </w:tr>
            <w:tr w14:paraId="295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noWrap w:val="0"/>
                  <w:vAlign w:val="center"/>
                </w:tcPr>
                <w:p w14:paraId="12604037">
                  <w:pPr>
                    <w:spacing w:line="320" w:lineRule="exact"/>
                    <w:jc w:val="center"/>
                    <w:rPr>
                      <w:color w:val="auto"/>
                      <w:sz w:val="22"/>
                      <w:szCs w:val="22"/>
                    </w:rPr>
                  </w:pPr>
                  <w:r>
                    <w:rPr>
                      <w:color w:val="auto"/>
                      <w:sz w:val="22"/>
                      <w:szCs w:val="22"/>
                    </w:rPr>
                    <w:t>环境风险</w:t>
                  </w:r>
                </w:p>
              </w:tc>
              <w:tc>
                <w:tcPr>
                  <w:tcW w:w="3675" w:type="dxa"/>
                  <w:noWrap w:val="0"/>
                  <w:vAlign w:val="center"/>
                </w:tcPr>
                <w:p w14:paraId="35AB029F">
                  <w:pPr>
                    <w:widowControl/>
                    <w:spacing w:line="320" w:lineRule="exact"/>
                    <w:rPr>
                      <w:color w:val="auto"/>
                      <w:sz w:val="22"/>
                      <w:szCs w:val="22"/>
                    </w:rPr>
                  </w:pPr>
                  <w:r>
                    <w:rPr>
                      <w:color w:val="auto"/>
                      <w:kern w:val="0"/>
                      <w:sz w:val="22"/>
                      <w:szCs w:val="22"/>
                      <w:lang w:bidi="ar"/>
                    </w:rPr>
                    <w:t>有毒有害和易燃易爆危险物质存储量超过临界量的建设项目。</w:t>
                  </w:r>
                </w:p>
              </w:tc>
              <w:tc>
                <w:tcPr>
                  <w:tcW w:w="3112" w:type="dxa"/>
                  <w:noWrap w:val="0"/>
                  <w:vAlign w:val="center"/>
                </w:tcPr>
                <w:p w14:paraId="2FEE2066">
                  <w:pPr>
                    <w:spacing w:line="320" w:lineRule="exact"/>
                    <w:rPr>
                      <w:color w:val="auto"/>
                      <w:sz w:val="22"/>
                      <w:szCs w:val="22"/>
                    </w:rPr>
                  </w:pPr>
                  <w:r>
                    <w:rPr>
                      <w:color w:val="auto"/>
                      <w:sz w:val="22"/>
                      <w:szCs w:val="22"/>
                    </w:rPr>
                    <w:t>项目有毒有害和易燃易爆危险物质存储量未超过临界量，Q值为＜1，不设置</w:t>
                  </w:r>
                  <w:r>
                    <w:rPr>
                      <w:color w:val="auto"/>
                      <w:kern w:val="0"/>
                      <w:sz w:val="22"/>
                      <w:szCs w:val="22"/>
                      <w:lang w:bidi="ar"/>
                    </w:rPr>
                    <w:t>环境风险专项。</w:t>
                  </w:r>
                </w:p>
              </w:tc>
            </w:tr>
            <w:tr w14:paraId="5986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07" w:type="dxa"/>
                  <w:noWrap w:val="0"/>
                  <w:vAlign w:val="center"/>
                </w:tcPr>
                <w:p w14:paraId="029BDF24">
                  <w:pPr>
                    <w:spacing w:line="320" w:lineRule="exact"/>
                    <w:jc w:val="center"/>
                    <w:rPr>
                      <w:color w:val="auto"/>
                      <w:sz w:val="22"/>
                      <w:szCs w:val="22"/>
                    </w:rPr>
                  </w:pPr>
                  <w:r>
                    <w:rPr>
                      <w:color w:val="auto"/>
                      <w:sz w:val="22"/>
                      <w:szCs w:val="22"/>
                    </w:rPr>
                    <w:t>生态</w:t>
                  </w:r>
                </w:p>
              </w:tc>
              <w:tc>
                <w:tcPr>
                  <w:tcW w:w="3675" w:type="dxa"/>
                  <w:noWrap w:val="0"/>
                  <w:vAlign w:val="center"/>
                </w:tcPr>
                <w:p w14:paraId="0540E0EA">
                  <w:pPr>
                    <w:widowControl/>
                    <w:spacing w:line="320" w:lineRule="exact"/>
                    <w:rPr>
                      <w:color w:val="auto"/>
                      <w:kern w:val="0"/>
                      <w:sz w:val="22"/>
                      <w:szCs w:val="22"/>
                      <w:lang w:bidi="ar"/>
                    </w:rPr>
                  </w:pPr>
                  <w:r>
                    <w:rPr>
                      <w:color w:val="auto"/>
                      <w:kern w:val="0"/>
                      <w:sz w:val="22"/>
                      <w:szCs w:val="22"/>
                      <w:lang w:bidi="ar"/>
                    </w:rPr>
                    <w:t>取水口下游500米范围内有重要水生生物的自然产卵场、索饵场、越冬场和洄游通道的新增河道取水的污染类建设项目。</w:t>
                  </w:r>
                </w:p>
              </w:tc>
              <w:tc>
                <w:tcPr>
                  <w:tcW w:w="3112" w:type="dxa"/>
                  <w:noWrap w:val="0"/>
                  <w:vAlign w:val="center"/>
                </w:tcPr>
                <w:p w14:paraId="09BC9506">
                  <w:pPr>
                    <w:spacing w:line="320" w:lineRule="exact"/>
                    <w:rPr>
                      <w:color w:val="auto"/>
                      <w:sz w:val="22"/>
                      <w:szCs w:val="22"/>
                    </w:rPr>
                  </w:pPr>
                  <w:r>
                    <w:rPr>
                      <w:color w:val="auto"/>
                      <w:sz w:val="22"/>
                      <w:szCs w:val="22"/>
                    </w:rPr>
                    <w:t>项目不属于新增河道取水的污染类建设项目，不设置生态专项。</w:t>
                  </w:r>
                </w:p>
              </w:tc>
            </w:tr>
            <w:tr w14:paraId="0F16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07" w:type="dxa"/>
                  <w:noWrap w:val="0"/>
                  <w:vAlign w:val="center"/>
                </w:tcPr>
                <w:p w14:paraId="7A56B58E">
                  <w:pPr>
                    <w:spacing w:line="320" w:lineRule="exact"/>
                    <w:jc w:val="center"/>
                    <w:rPr>
                      <w:color w:val="auto"/>
                      <w:sz w:val="22"/>
                      <w:szCs w:val="22"/>
                    </w:rPr>
                  </w:pPr>
                  <w:r>
                    <w:rPr>
                      <w:color w:val="auto"/>
                      <w:sz w:val="22"/>
                      <w:szCs w:val="22"/>
                    </w:rPr>
                    <w:t>海洋</w:t>
                  </w:r>
                </w:p>
              </w:tc>
              <w:tc>
                <w:tcPr>
                  <w:tcW w:w="3675" w:type="dxa"/>
                  <w:noWrap w:val="0"/>
                  <w:vAlign w:val="center"/>
                </w:tcPr>
                <w:p w14:paraId="5B6C375D">
                  <w:pPr>
                    <w:widowControl/>
                    <w:spacing w:line="320" w:lineRule="exact"/>
                    <w:rPr>
                      <w:color w:val="auto"/>
                      <w:kern w:val="0"/>
                      <w:sz w:val="22"/>
                      <w:szCs w:val="22"/>
                      <w:lang w:bidi="ar"/>
                    </w:rPr>
                  </w:pPr>
                  <w:r>
                    <w:rPr>
                      <w:color w:val="auto"/>
                      <w:kern w:val="0"/>
                      <w:sz w:val="22"/>
                      <w:szCs w:val="22"/>
                      <w:lang w:bidi="ar"/>
                    </w:rPr>
                    <w:t>直接向海洋排放污染物的海洋工程建设项目。</w:t>
                  </w:r>
                </w:p>
              </w:tc>
              <w:tc>
                <w:tcPr>
                  <w:tcW w:w="3112" w:type="dxa"/>
                  <w:noWrap w:val="0"/>
                  <w:vAlign w:val="center"/>
                </w:tcPr>
                <w:p w14:paraId="1D0B99DA">
                  <w:pPr>
                    <w:spacing w:line="320" w:lineRule="exact"/>
                    <w:rPr>
                      <w:color w:val="auto"/>
                      <w:sz w:val="22"/>
                      <w:szCs w:val="22"/>
                    </w:rPr>
                  </w:pPr>
                  <w:r>
                    <w:rPr>
                      <w:color w:val="auto"/>
                      <w:sz w:val="22"/>
                      <w:szCs w:val="22"/>
                    </w:rPr>
                    <w:t>项目不属于向海洋排放污染物的海洋工程建设项目，不设置海洋专项评价。</w:t>
                  </w:r>
                </w:p>
              </w:tc>
            </w:tr>
          </w:tbl>
          <w:p w14:paraId="08429E96">
            <w:pPr>
              <w:pStyle w:val="81"/>
              <w:rPr>
                <w:color w:val="auto"/>
                <w:sz w:val="26"/>
              </w:rPr>
            </w:pPr>
          </w:p>
        </w:tc>
      </w:tr>
      <w:tr w14:paraId="44B53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86" w:type="dxa"/>
            <w:vAlign w:val="center"/>
          </w:tcPr>
          <w:p w14:paraId="62E19CDF">
            <w:pPr>
              <w:pStyle w:val="81"/>
              <w:rPr>
                <w:color w:val="auto"/>
                <w:kern w:val="0"/>
                <w:sz w:val="26"/>
              </w:rPr>
            </w:pPr>
            <w:r>
              <w:rPr>
                <w:color w:val="auto"/>
                <w:sz w:val="26"/>
              </w:rPr>
              <w:t>规划情况</w:t>
            </w:r>
          </w:p>
        </w:tc>
        <w:tc>
          <w:tcPr>
            <w:tcW w:w="7084" w:type="dxa"/>
            <w:gridSpan w:val="3"/>
            <w:vAlign w:val="center"/>
          </w:tcPr>
          <w:p w14:paraId="626F3C8A">
            <w:pPr>
              <w:pStyle w:val="82"/>
              <w:spacing w:line="460" w:lineRule="exact"/>
              <w:ind w:firstLine="520"/>
              <w:rPr>
                <w:color w:val="auto"/>
                <w:kern w:val="0"/>
                <w:szCs w:val="21"/>
              </w:rPr>
            </w:pPr>
            <w:r>
              <w:rPr>
                <w:color w:val="auto"/>
                <w:kern w:val="0"/>
                <w:szCs w:val="21"/>
              </w:rPr>
              <w:t>2022年6月，重庆西彭工业园区管理委员会组织编制了《重庆西彭工业园区规划》，根据规划，西彭园区包括西彭产业区组团、陶家产业区组团和铜罐驿产业区组团，涉及原西彭园区A、B、C、D、F、J、L七个标准分区及原九龙园区C区肖家河以南区域。本项目位于重庆西彭工业园区陶家产业区组团内，该项目所在区域属于重庆西彭工业园区规划。</w:t>
            </w:r>
          </w:p>
        </w:tc>
      </w:tr>
      <w:tr w14:paraId="5537A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86" w:type="dxa"/>
            <w:vAlign w:val="center"/>
          </w:tcPr>
          <w:p w14:paraId="7A5FB8BD">
            <w:pPr>
              <w:pStyle w:val="81"/>
              <w:rPr>
                <w:color w:val="auto"/>
                <w:kern w:val="0"/>
                <w:sz w:val="26"/>
              </w:rPr>
            </w:pPr>
            <w:r>
              <w:rPr>
                <w:color w:val="auto"/>
                <w:sz w:val="26"/>
              </w:rPr>
              <w:t>规划环境影响评价情况</w:t>
            </w:r>
          </w:p>
        </w:tc>
        <w:tc>
          <w:tcPr>
            <w:tcW w:w="7084" w:type="dxa"/>
            <w:gridSpan w:val="3"/>
            <w:vAlign w:val="center"/>
          </w:tcPr>
          <w:p w14:paraId="3FDCFEEA">
            <w:pPr>
              <w:pStyle w:val="82"/>
              <w:spacing w:line="460" w:lineRule="exact"/>
              <w:ind w:firstLine="520"/>
              <w:rPr>
                <w:color w:val="auto"/>
              </w:rPr>
            </w:pPr>
            <w:r>
              <w:rPr>
                <w:color w:val="auto"/>
              </w:rPr>
              <w:t>规划环评名称：</w:t>
            </w:r>
            <w:r>
              <w:rPr>
                <w:rFonts w:hint="eastAsia"/>
                <w:color w:val="auto"/>
              </w:rPr>
              <w:t>《</w:t>
            </w:r>
            <w:r>
              <w:rPr>
                <w:color w:val="auto"/>
              </w:rPr>
              <w:t>重庆西彭工业园区规划环境影响报告书</w:t>
            </w:r>
            <w:r>
              <w:rPr>
                <w:rFonts w:hint="eastAsia"/>
                <w:color w:val="auto"/>
              </w:rPr>
              <w:t>》；</w:t>
            </w:r>
          </w:p>
          <w:p w14:paraId="10FF4824">
            <w:pPr>
              <w:pStyle w:val="82"/>
              <w:spacing w:line="460" w:lineRule="exact"/>
              <w:ind w:firstLine="520"/>
              <w:rPr>
                <w:color w:val="auto"/>
              </w:rPr>
            </w:pPr>
            <w:r>
              <w:rPr>
                <w:color w:val="auto"/>
              </w:rPr>
              <w:t>召集审查机关：重庆市生态环境局；</w:t>
            </w:r>
          </w:p>
          <w:p w14:paraId="7C00F2FB">
            <w:pPr>
              <w:pStyle w:val="82"/>
              <w:spacing w:line="460" w:lineRule="exact"/>
              <w:ind w:firstLine="520"/>
              <w:rPr>
                <w:color w:val="auto"/>
              </w:rPr>
            </w:pPr>
            <w:r>
              <w:rPr>
                <w:color w:val="auto"/>
              </w:rPr>
              <w:t>规划环评审查意见文号及审查时间：《重庆市生态环境局关于重庆西彭工业园区规划环境影响报告书审查意见的函》（渝环函〔2023〕439号）</w:t>
            </w:r>
            <w:r>
              <w:rPr>
                <w:rFonts w:hint="eastAsia"/>
                <w:color w:val="auto"/>
              </w:rPr>
              <w:t>。</w:t>
            </w:r>
          </w:p>
        </w:tc>
      </w:tr>
      <w:tr w14:paraId="293C8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86" w:type="dxa"/>
            <w:vAlign w:val="center"/>
          </w:tcPr>
          <w:p w14:paraId="4217BCE9">
            <w:pPr>
              <w:pStyle w:val="81"/>
              <w:rPr>
                <w:color w:val="auto"/>
                <w:kern w:val="0"/>
                <w:sz w:val="26"/>
              </w:rPr>
            </w:pPr>
            <w:r>
              <w:rPr>
                <w:color w:val="auto"/>
                <w:kern w:val="0"/>
                <w:sz w:val="26"/>
              </w:rPr>
              <w:t>规划及规划环境影响评价符合性分析</w:t>
            </w:r>
          </w:p>
        </w:tc>
        <w:tc>
          <w:tcPr>
            <w:tcW w:w="7084" w:type="dxa"/>
            <w:gridSpan w:val="3"/>
            <w:vAlign w:val="center"/>
          </w:tcPr>
          <w:p w14:paraId="7FD1F419">
            <w:pPr>
              <w:pStyle w:val="82"/>
              <w:ind w:firstLine="522"/>
              <w:rPr>
                <w:b/>
                <w:bCs w:val="0"/>
                <w:color w:val="auto"/>
              </w:rPr>
            </w:pPr>
            <w:r>
              <w:rPr>
                <w:b/>
                <w:bCs w:val="0"/>
                <w:color w:val="auto"/>
              </w:rPr>
              <w:t>1.1与园区规划符合性分析</w:t>
            </w:r>
          </w:p>
          <w:p w14:paraId="51B08583">
            <w:pPr>
              <w:pStyle w:val="82"/>
              <w:spacing w:line="460" w:lineRule="exact"/>
              <w:ind w:firstLine="520"/>
              <w:rPr>
                <w:color w:val="auto"/>
              </w:rPr>
            </w:pPr>
            <w:r>
              <w:rPr>
                <w:rFonts w:hint="eastAsia"/>
                <w:color w:val="auto"/>
              </w:rPr>
              <w:t>（1）项目与西彭工业园区土地利用规划符合性分析</w:t>
            </w:r>
          </w:p>
          <w:p w14:paraId="585C74E6">
            <w:pPr>
              <w:pStyle w:val="82"/>
              <w:spacing w:line="460" w:lineRule="exact"/>
              <w:ind w:firstLine="520"/>
              <w:rPr>
                <w:color w:val="auto"/>
              </w:rPr>
            </w:pPr>
            <w:r>
              <w:rPr>
                <w:rFonts w:hint="eastAsia"/>
                <w:color w:val="auto"/>
              </w:rPr>
              <w:t>拟建项目位于</w:t>
            </w:r>
            <w:r>
              <w:rPr>
                <w:color w:val="auto"/>
              </w:rPr>
              <w:t>西彭工业园区陶家组团地块</w:t>
            </w:r>
            <w:r>
              <w:rPr>
                <w:rFonts w:hint="eastAsia"/>
                <w:color w:val="auto"/>
              </w:rPr>
              <w:t>，根据园区土地利用规划（见附图</w:t>
            </w:r>
            <w:r>
              <w:rPr>
                <w:rFonts w:hint="eastAsia"/>
                <w:color w:val="auto"/>
                <w:lang w:val="en-US" w:eastAsia="zh-CN"/>
              </w:rPr>
              <w:t>6</w:t>
            </w:r>
            <w:r>
              <w:rPr>
                <w:rFonts w:hint="eastAsia"/>
                <w:color w:val="auto"/>
              </w:rPr>
              <w:t>），其用地性质为工业用地（M），项目用地符合区域土地利用规划。</w:t>
            </w:r>
          </w:p>
          <w:p w14:paraId="53955244">
            <w:pPr>
              <w:pStyle w:val="82"/>
              <w:spacing w:line="460" w:lineRule="exact"/>
              <w:ind w:firstLine="520"/>
              <w:rPr>
                <w:color w:val="auto"/>
              </w:rPr>
            </w:pPr>
            <w:r>
              <w:rPr>
                <w:rFonts w:hint="eastAsia"/>
                <w:color w:val="auto"/>
              </w:rPr>
              <w:t>（2）与西彭工业园区产业定位及产业布局符合性分析</w:t>
            </w:r>
          </w:p>
          <w:p w14:paraId="2FB580B3">
            <w:pPr>
              <w:pStyle w:val="82"/>
              <w:spacing w:line="460" w:lineRule="exact"/>
              <w:ind w:firstLine="520"/>
              <w:rPr>
                <w:color w:val="auto"/>
              </w:rPr>
            </w:pPr>
            <w:r>
              <w:rPr>
                <w:color w:val="auto"/>
              </w:rPr>
              <w:t>本项目位于西彭工业园区陶家组团地块，</w:t>
            </w:r>
            <w:r>
              <w:rPr>
                <w:rFonts w:hint="eastAsia"/>
                <w:color w:val="auto"/>
              </w:rPr>
              <w:t>西地块编号L15-03/02、东地块编号L17-02/02</w:t>
            </w:r>
            <w:r>
              <w:rPr>
                <w:color w:val="auto"/>
              </w:rPr>
              <w:t>。西彭工业园区陶家组团主导产业为新能源、装备制造、新材料。新能源重点发展氢燃料电池商用整车、氢燃料电池核心关键零部件等；装备制造重点发展通机及农机；新材料重点发展先进有色合金材料。西彭工业园区范围内禁止新引入木质家具制造、报废汽车拆解，玻璃制造（除光伏玻璃外）项目。本项目属于</w:t>
            </w:r>
            <w:r>
              <w:rPr>
                <w:rFonts w:hint="eastAsia"/>
                <w:color w:val="auto"/>
              </w:rPr>
              <w:t>“</w:t>
            </w:r>
            <w:r>
              <w:rPr>
                <w:color w:val="auto"/>
              </w:rPr>
              <w:t>汽车零部件及配件制造</w:t>
            </w:r>
            <w:r>
              <w:rPr>
                <w:rFonts w:hint="eastAsia"/>
                <w:color w:val="auto"/>
              </w:rPr>
              <w:t>”</w:t>
            </w:r>
            <w:r>
              <w:rPr>
                <w:color w:val="auto"/>
              </w:rPr>
              <w:t>，符合园区产业定位。</w:t>
            </w:r>
          </w:p>
          <w:p w14:paraId="4DD8B1B1">
            <w:pPr>
              <w:pStyle w:val="82"/>
              <w:ind w:firstLine="522"/>
              <w:rPr>
                <w:b/>
                <w:bCs w:val="0"/>
                <w:color w:val="auto"/>
              </w:rPr>
            </w:pPr>
            <w:r>
              <w:rPr>
                <w:b/>
                <w:bCs w:val="0"/>
                <w:color w:val="auto"/>
              </w:rPr>
              <w:t>1.2</w:t>
            </w:r>
            <w:r>
              <w:rPr>
                <w:rFonts w:hint="eastAsia"/>
                <w:b/>
                <w:bCs w:val="0"/>
                <w:color w:val="auto"/>
              </w:rPr>
              <w:t>与重庆西彭工业园区规划环境影响评价审查意见的符合性分析</w:t>
            </w:r>
          </w:p>
          <w:p w14:paraId="00DEDAFE">
            <w:pPr>
              <w:pStyle w:val="82"/>
              <w:spacing w:line="460" w:lineRule="exact"/>
              <w:ind w:firstLine="520"/>
              <w:rPr>
                <w:color w:val="auto"/>
              </w:rPr>
            </w:pPr>
            <w:r>
              <w:rPr>
                <w:rFonts w:hint="eastAsia"/>
                <w:color w:val="auto"/>
              </w:rPr>
              <w:t>本项目与《重庆市生态环境局关于重庆西彭工业园区规划环境影响报告书审查意见的函》</w:t>
            </w:r>
            <w:r>
              <w:rPr>
                <w:rFonts w:hint="eastAsia"/>
                <w:color w:val="auto"/>
                <w:lang w:eastAsia="zh-CN"/>
              </w:rPr>
              <w:t>（渝环函〔2023</w:t>
            </w:r>
            <w:r>
              <w:rPr>
                <w:rFonts w:hint="eastAsia"/>
                <w:color w:val="auto"/>
              </w:rPr>
              <w:t>〕</w:t>
            </w:r>
            <w:r>
              <w:rPr>
                <w:rFonts w:hint="eastAsia"/>
                <w:color w:val="auto"/>
                <w:lang w:eastAsia="zh-CN"/>
              </w:rPr>
              <w:t>439号）</w:t>
            </w:r>
            <w:r>
              <w:rPr>
                <w:rFonts w:hint="eastAsia"/>
                <w:color w:val="auto"/>
              </w:rPr>
              <w:t>的符合性分析见下表：</w:t>
            </w:r>
          </w:p>
          <w:p w14:paraId="3696418A">
            <w:pPr>
              <w:pStyle w:val="82"/>
              <w:spacing w:line="460" w:lineRule="exact"/>
              <w:ind w:firstLine="0" w:firstLineChars="0"/>
              <w:jc w:val="center"/>
              <w:rPr>
                <w:color w:val="auto"/>
                <w:spacing w:val="-11"/>
              </w:rPr>
            </w:pPr>
            <w:r>
              <w:rPr>
                <w:rFonts w:hint="eastAsia"/>
                <w:color w:val="auto"/>
                <w:spacing w:val="-11"/>
              </w:rPr>
              <w:t>表1.2-1</w:t>
            </w:r>
            <w:r>
              <w:rPr>
                <w:rFonts w:hint="eastAsia"/>
                <w:color w:val="auto"/>
                <w:spacing w:val="-11"/>
                <w:lang w:val="en-US" w:eastAsia="zh-CN"/>
              </w:rPr>
              <w:t xml:space="preserve">  </w:t>
            </w:r>
            <w:r>
              <w:rPr>
                <w:rFonts w:hint="eastAsia"/>
                <w:color w:val="auto"/>
                <w:spacing w:val="-11"/>
              </w:rPr>
              <w:t>与园区规划环评相关结论及审查意见函符合性分析表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100"/>
              <w:gridCol w:w="1670"/>
              <w:gridCol w:w="909"/>
            </w:tblGrid>
            <w:tr w14:paraId="4427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9" w:type="dxa"/>
                  <w:vAlign w:val="center"/>
                </w:tcPr>
                <w:p w14:paraId="15E5F394">
                  <w:pPr>
                    <w:adjustRightInd w:val="0"/>
                    <w:snapToGrid w:val="0"/>
                    <w:spacing w:line="320" w:lineRule="exact"/>
                    <w:jc w:val="center"/>
                    <w:rPr>
                      <w:color w:val="auto"/>
                      <w:sz w:val="22"/>
                      <w:szCs w:val="22"/>
                    </w:rPr>
                  </w:pPr>
                  <w:r>
                    <w:rPr>
                      <w:rFonts w:hint="eastAsia"/>
                      <w:bCs/>
                      <w:color w:val="auto"/>
                      <w:sz w:val="22"/>
                      <w:szCs w:val="22"/>
                    </w:rPr>
                    <w:t>项目</w:t>
                  </w:r>
                </w:p>
              </w:tc>
              <w:tc>
                <w:tcPr>
                  <w:tcW w:w="3100" w:type="dxa"/>
                  <w:vAlign w:val="center"/>
                </w:tcPr>
                <w:p w14:paraId="7D7EADC5">
                  <w:pPr>
                    <w:adjustRightInd w:val="0"/>
                    <w:snapToGrid w:val="0"/>
                    <w:spacing w:line="320" w:lineRule="exact"/>
                    <w:jc w:val="center"/>
                    <w:rPr>
                      <w:color w:val="auto"/>
                      <w:sz w:val="22"/>
                      <w:szCs w:val="22"/>
                    </w:rPr>
                  </w:pPr>
                  <w:r>
                    <w:rPr>
                      <w:rFonts w:hint="eastAsia"/>
                      <w:bCs/>
                      <w:color w:val="auto"/>
                      <w:sz w:val="22"/>
                      <w:szCs w:val="22"/>
                    </w:rPr>
                    <w:t>要求内容</w:t>
                  </w:r>
                </w:p>
              </w:tc>
              <w:tc>
                <w:tcPr>
                  <w:tcW w:w="1670" w:type="dxa"/>
                  <w:vAlign w:val="center"/>
                </w:tcPr>
                <w:p w14:paraId="57E5BBB5">
                  <w:pPr>
                    <w:adjustRightInd w:val="0"/>
                    <w:snapToGrid w:val="0"/>
                    <w:spacing w:line="320" w:lineRule="exact"/>
                    <w:jc w:val="center"/>
                    <w:rPr>
                      <w:color w:val="auto"/>
                      <w:sz w:val="22"/>
                      <w:szCs w:val="22"/>
                    </w:rPr>
                  </w:pPr>
                  <w:r>
                    <w:rPr>
                      <w:rFonts w:hint="eastAsia"/>
                      <w:color w:val="auto"/>
                      <w:sz w:val="22"/>
                      <w:szCs w:val="22"/>
                    </w:rPr>
                    <w:t>要求分析</w:t>
                  </w:r>
                </w:p>
              </w:tc>
              <w:tc>
                <w:tcPr>
                  <w:tcW w:w="909" w:type="dxa"/>
                  <w:vAlign w:val="center"/>
                </w:tcPr>
                <w:p w14:paraId="37F828B0">
                  <w:pPr>
                    <w:adjustRightInd w:val="0"/>
                    <w:snapToGrid w:val="0"/>
                    <w:spacing w:line="320" w:lineRule="exact"/>
                    <w:jc w:val="center"/>
                    <w:rPr>
                      <w:color w:val="auto"/>
                      <w:sz w:val="22"/>
                      <w:szCs w:val="22"/>
                    </w:rPr>
                  </w:pPr>
                  <w:r>
                    <w:rPr>
                      <w:rFonts w:hint="eastAsia"/>
                      <w:color w:val="auto"/>
                      <w:sz w:val="22"/>
                      <w:szCs w:val="22"/>
                    </w:rPr>
                    <w:t>符合性</w:t>
                  </w:r>
                </w:p>
              </w:tc>
            </w:tr>
            <w:tr w14:paraId="2390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9" w:type="dxa"/>
                  <w:vAlign w:val="center"/>
                </w:tcPr>
                <w:p w14:paraId="4ED2625B">
                  <w:pPr>
                    <w:adjustRightInd w:val="0"/>
                    <w:snapToGrid w:val="0"/>
                    <w:spacing w:line="320" w:lineRule="exact"/>
                    <w:rPr>
                      <w:color w:val="auto"/>
                      <w:sz w:val="22"/>
                      <w:szCs w:val="22"/>
                    </w:rPr>
                  </w:pPr>
                  <w:r>
                    <w:rPr>
                      <w:rFonts w:hint="eastAsia"/>
                      <w:color w:val="auto"/>
                      <w:sz w:val="22"/>
                      <w:szCs w:val="22"/>
                    </w:rPr>
                    <w:t>严格生态环境准入</w:t>
                  </w:r>
                </w:p>
              </w:tc>
              <w:tc>
                <w:tcPr>
                  <w:tcW w:w="3100" w:type="dxa"/>
                  <w:vAlign w:val="center"/>
                </w:tcPr>
                <w:p w14:paraId="6C6FEF10">
                  <w:pPr>
                    <w:adjustRightInd w:val="0"/>
                    <w:snapToGrid w:val="0"/>
                    <w:spacing w:line="320" w:lineRule="exact"/>
                    <w:rPr>
                      <w:color w:val="auto"/>
                      <w:sz w:val="22"/>
                      <w:szCs w:val="22"/>
                    </w:rPr>
                  </w:pPr>
                  <w:r>
                    <w:rPr>
                      <w:rFonts w:hint="eastAsia"/>
                      <w:color w:val="auto"/>
                      <w:sz w:val="22"/>
                      <w:szCs w:val="22"/>
                    </w:rPr>
                    <w:t>强化规划环评与“三线一单”生态环境分区管控要求、国土空间“三区三线”等成果衔接，主要管控措施应符合重庆市及九龙坡区“三线一单”生态环境分区管控要求。规划区入驻项目应满足相关产业政策和环境准入要求以及《报告书》提出的生态环境管控要求。</w:t>
                  </w:r>
                </w:p>
              </w:tc>
              <w:tc>
                <w:tcPr>
                  <w:tcW w:w="1670" w:type="dxa"/>
                  <w:vAlign w:val="center"/>
                </w:tcPr>
                <w:p w14:paraId="55D740EC">
                  <w:pPr>
                    <w:adjustRightInd w:val="0"/>
                    <w:snapToGrid w:val="0"/>
                    <w:spacing w:line="320" w:lineRule="exact"/>
                    <w:rPr>
                      <w:color w:val="auto"/>
                      <w:sz w:val="22"/>
                      <w:szCs w:val="22"/>
                    </w:rPr>
                  </w:pPr>
                  <w:r>
                    <w:rPr>
                      <w:rFonts w:hint="eastAsia"/>
                      <w:color w:val="auto"/>
                      <w:sz w:val="22"/>
                      <w:szCs w:val="22"/>
                    </w:rPr>
                    <w:t>项目满足相关产业政策和环境准入要求以及规划环评报告书提出的生态环境管控要求。</w:t>
                  </w:r>
                </w:p>
              </w:tc>
              <w:tc>
                <w:tcPr>
                  <w:tcW w:w="909" w:type="dxa"/>
                  <w:vAlign w:val="center"/>
                </w:tcPr>
                <w:p w14:paraId="62C8D423">
                  <w:pPr>
                    <w:adjustRightInd w:val="0"/>
                    <w:snapToGrid w:val="0"/>
                    <w:spacing w:line="320" w:lineRule="exact"/>
                    <w:jc w:val="center"/>
                    <w:rPr>
                      <w:color w:val="auto"/>
                      <w:sz w:val="22"/>
                      <w:szCs w:val="22"/>
                    </w:rPr>
                  </w:pPr>
                  <w:r>
                    <w:rPr>
                      <w:rFonts w:hint="eastAsia"/>
                      <w:color w:val="auto"/>
                      <w:sz w:val="22"/>
                      <w:szCs w:val="22"/>
                    </w:rPr>
                    <w:t>符合</w:t>
                  </w:r>
                </w:p>
              </w:tc>
            </w:tr>
            <w:tr w14:paraId="3162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dxa"/>
                  <w:vAlign w:val="center"/>
                </w:tcPr>
                <w:p w14:paraId="1A10710F">
                  <w:pPr>
                    <w:adjustRightInd w:val="0"/>
                    <w:snapToGrid w:val="0"/>
                    <w:spacing w:line="320" w:lineRule="exact"/>
                    <w:rPr>
                      <w:color w:val="auto"/>
                      <w:sz w:val="22"/>
                      <w:szCs w:val="22"/>
                    </w:rPr>
                  </w:pPr>
                  <w:r>
                    <w:rPr>
                      <w:rFonts w:hint="eastAsia"/>
                      <w:color w:val="auto"/>
                      <w:sz w:val="22"/>
                      <w:szCs w:val="22"/>
                    </w:rPr>
                    <w:t>强化空间布局约束</w:t>
                  </w:r>
                </w:p>
              </w:tc>
              <w:tc>
                <w:tcPr>
                  <w:tcW w:w="3100" w:type="dxa"/>
                  <w:vAlign w:val="center"/>
                </w:tcPr>
                <w:p w14:paraId="254EB490">
                  <w:pPr>
                    <w:adjustRightInd w:val="0"/>
                    <w:snapToGrid w:val="0"/>
                    <w:spacing w:line="320" w:lineRule="exact"/>
                    <w:rPr>
                      <w:color w:val="auto"/>
                      <w:sz w:val="22"/>
                      <w:szCs w:val="22"/>
                    </w:rPr>
                  </w:pPr>
                  <w:r>
                    <w:rPr>
                      <w:rFonts w:hint="eastAsia"/>
                      <w:color w:val="auto"/>
                      <w:sz w:val="22"/>
                      <w:szCs w:val="22"/>
                    </w:rPr>
                    <w:t>开发建设应符合《中华人民共和国长江保护法》等法律法规以及关于沿江产业布局的相关规定。合理布局有环境防护距离要求的建设项目，其环境防护距离原则上应控制在园区规划边界或用地红线内。邻近渝西中学的未开发工业用地与渝西中学之间以及邻近居住用地的未开发工业地块（A31/04、A33/04、A34/04、A32/04、A30-1-1/06）与居住用地之间均应设置不少于100米环境防护距离，后续应根据项目环评确定拟建项目环境防护距离是否满足要求。与居住用地相邻的规划工业用地（A31/04、A33/04、A34/04、A30-1-1/06）及东北侧规划科研用地兼一类工业用地（C61-1/01、C61-4/01、C61-5/01、C62-1/01、C62-3/01、C63-1/01、C63-2/01）后续不宜布局高噪声以及涉及喷漆、酸洗、熔炼等异</w:t>
                  </w:r>
                </w:p>
                <w:p w14:paraId="6E421DED">
                  <w:pPr>
                    <w:adjustRightInd w:val="0"/>
                    <w:snapToGrid w:val="0"/>
                    <w:spacing w:line="320" w:lineRule="exact"/>
                    <w:rPr>
                      <w:color w:val="auto"/>
                      <w:sz w:val="22"/>
                      <w:szCs w:val="22"/>
                    </w:rPr>
                  </w:pPr>
                  <w:r>
                    <w:rPr>
                      <w:rFonts w:hint="eastAsia"/>
                      <w:color w:val="auto"/>
                      <w:sz w:val="22"/>
                      <w:szCs w:val="22"/>
                    </w:rPr>
                    <w:t>味明显的生产项目。规划区禁止新建、扩建排放废水中含重金属（铬、镉、汞、砷、铅等重金属）、剧毒物质和持久性有机污染物的工业项目。</w:t>
                  </w:r>
                </w:p>
              </w:tc>
              <w:tc>
                <w:tcPr>
                  <w:tcW w:w="1670" w:type="dxa"/>
                  <w:vAlign w:val="center"/>
                </w:tcPr>
                <w:p w14:paraId="791B187C">
                  <w:pPr>
                    <w:adjustRightInd w:val="0"/>
                    <w:snapToGrid w:val="0"/>
                    <w:spacing w:line="320" w:lineRule="exact"/>
                    <w:rPr>
                      <w:color w:val="auto"/>
                      <w:sz w:val="22"/>
                      <w:szCs w:val="22"/>
                    </w:rPr>
                  </w:pPr>
                  <w:r>
                    <w:rPr>
                      <w:rFonts w:hint="eastAsia"/>
                      <w:color w:val="auto"/>
                      <w:sz w:val="22"/>
                      <w:szCs w:val="22"/>
                    </w:rPr>
                    <w:t>项目位于</w:t>
                  </w:r>
                  <w:r>
                    <w:rPr>
                      <w:color w:val="auto"/>
                      <w:sz w:val="22"/>
                      <w:szCs w:val="22"/>
                    </w:rPr>
                    <w:t>西彭工业园区陶家组团地块</w:t>
                  </w:r>
                  <w:r>
                    <w:rPr>
                      <w:rFonts w:hint="eastAsia"/>
                      <w:color w:val="auto"/>
                      <w:sz w:val="22"/>
                      <w:szCs w:val="22"/>
                    </w:rPr>
                    <w:t>，不位于以上地块。项目不排放含重金属（铬、镉、汞、砷、铅等重金属）、剧毒物质和持久性有机污染物的废水。</w:t>
                  </w:r>
                </w:p>
              </w:tc>
              <w:tc>
                <w:tcPr>
                  <w:tcW w:w="909" w:type="dxa"/>
                  <w:vAlign w:val="center"/>
                </w:tcPr>
                <w:p w14:paraId="6852F11B">
                  <w:pPr>
                    <w:adjustRightInd w:val="0"/>
                    <w:snapToGrid w:val="0"/>
                    <w:spacing w:line="320" w:lineRule="exact"/>
                    <w:jc w:val="center"/>
                    <w:rPr>
                      <w:color w:val="auto"/>
                      <w:sz w:val="22"/>
                      <w:szCs w:val="22"/>
                    </w:rPr>
                  </w:pPr>
                  <w:r>
                    <w:rPr>
                      <w:rFonts w:hint="eastAsia"/>
                      <w:color w:val="auto"/>
                      <w:sz w:val="22"/>
                      <w:szCs w:val="22"/>
                    </w:rPr>
                    <w:t>符合</w:t>
                  </w:r>
                </w:p>
              </w:tc>
            </w:tr>
            <w:tr w14:paraId="65AD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9" w:type="dxa"/>
                  <w:vAlign w:val="center"/>
                </w:tcPr>
                <w:p w14:paraId="1CD648EC">
                  <w:pPr>
                    <w:adjustRightInd w:val="0"/>
                    <w:snapToGrid w:val="0"/>
                    <w:spacing w:line="320" w:lineRule="exact"/>
                    <w:rPr>
                      <w:color w:val="auto"/>
                      <w:sz w:val="22"/>
                      <w:szCs w:val="22"/>
                    </w:rPr>
                  </w:pPr>
                  <w:r>
                    <w:rPr>
                      <w:rFonts w:hint="eastAsia"/>
                      <w:color w:val="auto"/>
                      <w:sz w:val="22"/>
                      <w:szCs w:val="22"/>
                    </w:rPr>
                    <w:t>加强污染排放管控</w:t>
                  </w:r>
                </w:p>
              </w:tc>
              <w:tc>
                <w:tcPr>
                  <w:tcW w:w="3100" w:type="dxa"/>
                  <w:vAlign w:val="center"/>
                </w:tcPr>
                <w:p w14:paraId="3ECA169F">
                  <w:pPr>
                    <w:adjustRightInd w:val="0"/>
                    <w:snapToGrid w:val="0"/>
                    <w:spacing w:line="320" w:lineRule="exact"/>
                    <w:rPr>
                      <w:color w:val="auto"/>
                      <w:sz w:val="22"/>
                      <w:szCs w:val="22"/>
                    </w:rPr>
                  </w:pPr>
                  <w:r>
                    <w:rPr>
                      <w:rFonts w:hint="eastAsia"/>
                      <w:color w:val="auto"/>
                      <w:sz w:val="22"/>
                      <w:szCs w:val="22"/>
                    </w:rPr>
                    <w:t>规划实施排放的主要污染物及特征污染物排放量不得突破《报告书》确定的总量管控指标。</w:t>
                  </w:r>
                </w:p>
                <w:p w14:paraId="0190DFCA">
                  <w:pPr>
                    <w:adjustRightInd w:val="0"/>
                    <w:snapToGrid w:val="0"/>
                    <w:spacing w:line="320" w:lineRule="exact"/>
                    <w:rPr>
                      <w:color w:val="auto"/>
                      <w:sz w:val="22"/>
                      <w:szCs w:val="22"/>
                    </w:rPr>
                  </w:pPr>
                  <w:r>
                    <w:rPr>
                      <w:rFonts w:hint="eastAsia"/>
                      <w:color w:val="auto"/>
                      <w:sz w:val="22"/>
                      <w:szCs w:val="22"/>
                    </w:rPr>
                    <w:t>1.水污染物排放管控。</w:t>
                  </w:r>
                </w:p>
                <w:p w14:paraId="5D21B851">
                  <w:pPr>
                    <w:adjustRightInd w:val="0"/>
                    <w:snapToGrid w:val="0"/>
                    <w:spacing w:line="320" w:lineRule="exact"/>
                    <w:rPr>
                      <w:color w:val="auto"/>
                      <w:sz w:val="22"/>
                      <w:szCs w:val="22"/>
                    </w:rPr>
                  </w:pPr>
                  <w:r>
                    <w:rPr>
                      <w:rFonts w:hint="eastAsia"/>
                      <w:color w:val="auto"/>
                      <w:sz w:val="22"/>
                      <w:szCs w:val="22"/>
                    </w:rPr>
                    <w:t>规划区排水系统采用雨、污分流制，加快实施污水处理厂扩建和提标改造，完善雨水、污水管网建设，确保雨污分流、污废水得到有效收集处理。持续推进清洁生产审核，工业企业应采用先进的生产工艺，减少新鲜水消耗和废水排放。</w:t>
                  </w:r>
                </w:p>
                <w:p w14:paraId="11646472">
                  <w:pPr>
                    <w:adjustRightInd w:val="0"/>
                    <w:snapToGrid w:val="0"/>
                    <w:spacing w:line="320" w:lineRule="exact"/>
                    <w:rPr>
                      <w:color w:val="auto"/>
                      <w:sz w:val="22"/>
                      <w:szCs w:val="22"/>
                    </w:rPr>
                  </w:pPr>
                  <w:r>
                    <w:rPr>
                      <w:rFonts w:hint="eastAsia"/>
                      <w:color w:val="auto"/>
                      <w:sz w:val="22"/>
                      <w:szCs w:val="22"/>
                    </w:rPr>
                    <w:t>陶家组团生活区污水收集进入陶家镇生活污水处理厂处理达《城镇污水处理厂污染物排放标准》（GB18918-2002）一级A标后排入大溪河；工业区废水经企业预处理达接管要求后排入陶家工业污水处理厂处理达《城镇污水处理厂污染物排放标准》（GB18918-2002）一级A标准后排入杨柳曲河再汇入大溪河（其中COD、NH</w:t>
                  </w:r>
                  <w:r>
                    <w:rPr>
                      <w:rFonts w:hint="eastAsia"/>
                      <w:color w:val="auto"/>
                      <w:sz w:val="22"/>
                      <w:szCs w:val="22"/>
                      <w:vertAlign w:val="subscript"/>
                    </w:rPr>
                    <w:t>3</w:t>
                  </w:r>
                  <w:r>
                    <w:rPr>
                      <w:rFonts w:hint="eastAsia"/>
                      <w:color w:val="auto"/>
                      <w:sz w:val="22"/>
                      <w:szCs w:val="22"/>
                    </w:rPr>
                    <w:t>-N、TP达《地表水环境质量标准》（GB3838-2002）Ⅳ类标准）。</w:t>
                  </w:r>
                </w:p>
                <w:p w14:paraId="238EEB4C">
                  <w:pPr>
                    <w:adjustRightInd w:val="0"/>
                    <w:snapToGrid w:val="0"/>
                    <w:spacing w:line="320" w:lineRule="exact"/>
                    <w:rPr>
                      <w:color w:val="auto"/>
                      <w:sz w:val="22"/>
                      <w:szCs w:val="22"/>
                    </w:rPr>
                  </w:pPr>
                  <w:r>
                    <w:rPr>
                      <w:rFonts w:hint="eastAsia"/>
                      <w:color w:val="auto"/>
                      <w:sz w:val="22"/>
                      <w:szCs w:val="22"/>
                    </w:rPr>
                    <w:t>2.大气污染物排放管控。</w:t>
                  </w:r>
                </w:p>
                <w:p w14:paraId="3CE77BEC">
                  <w:pPr>
                    <w:adjustRightInd w:val="0"/>
                    <w:snapToGrid w:val="0"/>
                    <w:spacing w:line="320" w:lineRule="exact"/>
                    <w:rPr>
                      <w:color w:val="auto"/>
                      <w:sz w:val="22"/>
                      <w:szCs w:val="22"/>
                    </w:rPr>
                  </w:pPr>
                  <w:r>
                    <w:rPr>
                      <w:rFonts w:hint="eastAsia"/>
                      <w:color w:val="auto"/>
                      <w:sz w:val="22"/>
                      <w:szCs w:val="22"/>
                    </w:rPr>
                    <w:t>优化能源结构，严格落实清洁能源计划，鼓励使用天然气、电等清洁能源。燃气锅炉应采用低氮燃烧工艺。加强工业企业大气污染综合治理，各入驻企业应采取有效的废气处理措施，确保工艺废气稳定达标排放并满足总量控制要求。涉及挥发性有机物排放的项目应从源头加强控制，优先使用低（无）VOCs含量的原辅料，并按照相关要求采用先进生产技术、高效工艺，减少工艺过程无组织排放，严格按照国家及重庆市关于挥发性有机物治理的相关要求落实污染防治措施。严格控制工业企业粉尘无组织排放，加强工业企业臭气等异味气体的污染防治，确保厂界达标，避免对周边环境敏感点造成影响。新、建扩建涉及喷漆、酸洗等异味气体排放的生产项目应远离居住、学校等人口密集区。</w:t>
                  </w:r>
                </w:p>
                <w:p w14:paraId="52FE628F">
                  <w:pPr>
                    <w:adjustRightInd w:val="0"/>
                    <w:snapToGrid w:val="0"/>
                    <w:spacing w:line="320" w:lineRule="exact"/>
                    <w:rPr>
                      <w:color w:val="auto"/>
                      <w:sz w:val="22"/>
                      <w:szCs w:val="22"/>
                    </w:rPr>
                  </w:pPr>
                  <w:r>
                    <w:rPr>
                      <w:rFonts w:hint="eastAsia"/>
                      <w:color w:val="auto"/>
                      <w:sz w:val="22"/>
                      <w:szCs w:val="22"/>
                    </w:rPr>
                    <w:t>3.工业固废排放管控。</w:t>
                  </w:r>
                </w:p>
                <w:p w14:paraId="4A10DFA9">
                  <w:pPr>
                    <w:adjustRightInd w:val="0"/>
                    <w:snapToGrid w:val="0"/>
                    <w:spacing w:line="320" w:lineRule="exact"/>
                    <w:rPr>
                      <w:color w:val="auto"/>
                      <w:sz w:val="22"/>
                      <w:szCs w:val="22"/>
                    </w:rPr>
                  </w:pPr>
                  <w:r>
                    <w:rPr>
                      <w:rFonts w:hint="eastAsia"/>
                      <w:color w:val="auto"/>
                      <w:sz w:val="22"/>
                      <w:szCs w:val="22"/>
                    </w:rPr>
                    <w:t>加强一般工业固体废物综合利用和处置，鼓励企业自行回收利用一般工业固体废物，按资源化、减量化、无害化方式妥善收集、处置固体废物，加大包装材料的回收和循环使用。危险废物产生单位严格落实危险废物环境管理制度，做好危险废物管理计划和管理台账，对项目危险废物收集、贮存、运输、利用、处置各环节进行全过程环境监管。严格按照《危险废物贮存污染控制标准》（GB18597-2023）等有关规定，设置危险废物暂存场所，并按照规定设置危险废物识别标志。危险废物转移应严格执行《危险废物转移管理办法》(生态环境部公安部交通运输部部令第23号)相关要求。</w:t>
                  </w:r>
                </w:p>
                <w:p w14:paraId="6212A87E">
                  <w:pPr>
                    <w:adjustRightInd w:val="0"/>
                    <w:snapToGrid w:val="0"/>
                    <w:spacing w:line="320" w:lineRule="exact"/>
                    <w:rPr>
                      <w:color w:val="auto"/>
                      <w:sz w:val="22"/>
                      <w:szCs w:val="22"/>
                    </w:rPr>
                  </w:pPr>
                  <w:r>
                    <w:rPr>
                      <w:rFonts w:hint="eastAsia"/>
                      <w:color w:val="auto"/>
                      <w:sz w:val="22"/>
                      <w:szCs w:val="22"/>
                    </w:rPr>
                    <w:t>4.噪声污染管控。</w:t>
                  </w:r>
                </w:p>
                <w:p w14:paraId="4EFAEEDB">
                  <w:pPr>
                    <w:adjustRightInd w:val="0"/>
                    <w:snapToGrid w:val="0"/>
                    <w:spacing w:line="320" w:lineRule="exact"/>
                    <w:rPr>
                      <w:color w:val="auto"/>
                      <w:sz w:val="22"/>
                      <w:szCs w:val="22"/>
                    </w:rPr>
                  </w:pPr>
                  <w:r>
                    <w:rPr>
                      <w:rFonts w:hint="eastAsia"/>
                      <w:color w:val="auto"/>
                      <w:sz w:val="22"/>
                      <w:szCs w:val="22"/>
                    </w:rPr>
                    <w:t>合理布局企业噪声源，高噪声源企业选址和布局尽量远离居住、学校等声环境敏感区；工业企业选择低噪声设备，采取消声、隔声、减振等措施，确保厂界噪声达标。加强运输车辆的管理，合理规划区域运输线路和时间,减轻运输过程对沿线居民的影响。</w:t>
                  </w:r>
                </w:p>
                <w:p w14:paraId="0E95DB3C">
                  <w:pPr>
                    <w:adjustRightInd w:val="0"/>
                    <w:snapToGrid w:val="0"/>
                    <w:spacing w:line="320" w:lineRule="exact"/>
                    <w:rPr>
                      <w:color w:val="auto"/>
                      <w:sz w:val="22"/>
                      <w:szCs w:val="22"/>
                    </w:rPr>
                  </w:pPr>
                  <w:r>
                    <w:rPr>
                      <w:rFonts w:hint="eastAsia"/>
                      <w:color w:val="auto"/>
                      <w:sz w:val="22"/>
                      <w:szCs w:val="22"/>
                    </w:rPr>
                    <w:t>5.土壤、地下水污染风险防控。</w:t>
                  </w:r>
                </w:p>
                <w:p w14:paraId="272016D1">
                  <w:pPr>
                    <w:adjustRightInd w:val="0"/>
                    <w:snapToGrid w:val="0"/>
                    <w:spacing w:line="320" w:lineRule="exact"/>
                    <w:rPr>
                      <w:color w:val="auto"/>
                      <w:sz w:val="22"/>
                      <w:szCs w:val="22"/>
                    </w:rPr>
                  </w:pPr>
                  <w:r>
                    <w:rPr>
                      <w:rFonts w:hint="eastAsia"/>
                      <w:color w:val="auto"/>
                      <w:sz w:val="22"/>
                      <w:szCs w:val="22"/>
                    </w:rPr>
                    <w:t>按源头防控的原则，可能产生地下水、土壤污染的企业，应严格落实分区、分级防渗措施，防范规划实施对土壤、地下水环境造成污染。定期开展土壤、地下水跟踪监测，根据监测结果完善污染防控措施，确保规划区土壤、地下水环境质量不恶化。</w:t>
                  </w:r>
                </w:p>
                <w:p w14:paraId="4BDF5B76">
                  <w:pPr>
                    <w:adjustRightInd w:val="0"/>
                    <w:snapToGrid w:val="0"/>
                    <w:spacing w:line="320" w:lineRule="exact"/>
                    <w:rPr>
                      <w:color w:val="auto"/>
                      <w:sz w:val="22"/>
                      <w:szCs w:val="22"/>
                    </w:rPr>
                  </w:pPr>
                  <w:r>
                    <w:rPr>
                      <w:rFonts w:hint="eastAsia"/>
                      <w:color w:val="auto"/>
                      <w:sz w:val="22"/>
                      <w:szCs w:val="22"/>
                    </w:rPr>
                    <w:t>6.碳排放管控。</w:t>
                  </w:r>
                </w:p>
                <w:p w14:paraId="738FF1F4">
                  <w:pPr>
                    <w:adjustRightInd w:val="0"/>
                    <w:snapToGrid w:val="0"/>
                    <w:spacing w:line="320" w:lineRule="exact"/>
                    <w:rPr>
                      <w:color w:val="auto"/>
                      <w:sz w:val="22"/>
                      <w:szCs w:val="22"/>
                    </w:rPr>
                  </w:pPr>
                  <w:r>
                    <w:rPr>
                      <w:rFonts w:hint="eastAsia"/>
                      <w:color w:val="auto"/>
                      <w:sz w:val="22"/>
                      <w:szCs w:val="22"/>
                    </w:rPr>
                    <w:t>按照碳达峰、碳中和相关政策要求，统筹抓好碳排放控制管理和生态环境保护工作，推动实现减污降碳。督促规划区企业采用先进的生产工艺，提高能源综合利用效率，从源头减少和控制温室气体排放，推动减污降碳协同共治，促进规划区产业绿色低碳循环发展。</w:t>
                  </w:r>
                </w:p>
              </w:tc>
              <w:tc>
                <w:tcPr>
                  <w:tcW w:w="1670" w:type="dxa"/>
                  <w:vAlign w:val="center"/>
                </w:tcPr>
                <w:p w14:paraId="4B3599FB">
                  <w:pPr>
                    <w:adjustRightInd w:val="0"/>
                    <w:snapToGrid w:val="0"/>
                    <w:spacing w:line="320" w:lineRule="exact"/>
                    <w:rPr>
                      <w:color w:val="auto"/>
                      <w:sz w:val="22"/>
                      <w:szCs w:val="22"/>
                    </w:rPr>
                  </w:pPr>
                  <w:r>
                    <w:rPr>
                      <w:rFonts w:hint="eastAsia"/>
                      <w:color w:val="auto"/>
                      <w:sz w:val="22"/>
                      <w:szCs w:val="22"/>
                    </w:rPr>
                    <w:t>1.项目废水经污水处理装置处理达《污水综合排放标准》（GB8978-1996）三级标准后，再经园区污水管网进入陶家工业污水处理厂（原九龙园区L分区污水处理厂）处理达标后排放。</w:t>
                  </w:r>
                </w:p>
                <w:p w14:paraId="70279DD6">
                  <w:pPr>
                    <w:adjustRightInd w:val="0"/>
                    <w:snapToGrid w:val="0"/>
                    <w:spacing w:line="320" w:lineRule="exact"/>
                    <w:rPr>
                      <w:color w:val="auto"/>
                      <w:sz w:val="22"/>
                      <w:szCs w:val="22"/>
                    </w:rPr>
                  </w:pPr>
                  <w:r>
                    <w:rPr>
                      <w:rFonts w:hint="eastAsia"/>
                      <w:color w:val="auto"/>
                      <w:sz w:val="22"/>
                      <w:szCs w:val="22"/>
                    </w:rPr>
                    <w:t>2.使用清洁能源电能，废气经污染治理措施处理后，能实现达标排放，满足总量控制要求。不涉及喷漆、酸洗等异味气体排放。</w:t>
                  </w:r>
                </w:p>
                <w:p w14:paraId="3A9D9559">
                  <w:pPr>
                    <w:adjustRightInd w:val="0"/>
                    <w:snapToGrid w:val="0"/>
                    <w:spacing w:line="320" w:lineRule="exact"/>
                    <w:rPr>
                      <w:color w:val="auto"/>
                      <w:sz w:val="22"/>
                      <w:szCs w:val="22"/>
                    </w:rPr>
                  </w:pPr>
                  <w:r>
                    <w:rPr>
                      <w:rFonts w:hint="eastAsia"/>
                      <w:color w:val="auto"/>
                      <w:sz w:val="22"/>
                      <w:szCs w:val="22"/>
                    </w:rPr>
                    <w:t>3.能妥善收集、处置固体废物。一般工业固废可由废品回收站回收等方式处置。危险废物分类收集，定期交有相应危废处理资质的单位处置，严格落实危险废物环境管理制度等。生活垃圾由环卫部门统一清运。餐厨垃圾有资质单位清运。</w:t>
                  </w:r>
                </w:p>
                <w:p w14:paraId="1FF0EC07">
                  <w:pPr>
                    <w:adjustRightInd w:val="0"/>
                    <w:snapToGrid w:val="0"/>
                    <w:spacing w:line="320" w:lineRule="exact"/>
                    <w:rPr>
                      <w:color w:val="auto"/>
                      <w:sz w:val="22"/>
                      <w:szCs w:val="22"/>
                    </w:rPr>
                  </w:pPr>
                  <w:r>
                    <w:rPr>
                      <w:rFonts w:hint="eastAsia"/>
                      <w:color w:val="auto"/>
                      <w:sz w:val="22"/>
                      <w:szCs w:val="22"/>
                    </w:rPr>
                    <w:t>4.项目周边无声环境保护目标。尽量选用低噪声设备，采取消声、隔声、减振等措施，确保场界噪声达标。</w:t>
                  </w:r>
                </w:p>
                <w:p w14:paraId="1C8BC7B5">
                  <w:pPr>
                    <w:adjustRightInd w:val="0"/>
                    <w:snapToGrid w:val="0"/>
                    <w:spacing w:line="320" w:lineRule="exact"/>
                    <w:rPr>
                      <w:color w:val="auto"/>
                      <w:sz w:val="22"/>
                      <w:szCs w:val="22"/>
                    </w:rPr>
                  </w:pPr>
                  <w:r>
                    <w:rPr>
                      <w:rFonts w:hint="eastAsia"/>
                      <w:color w:val="auto"/>
                      <w:sz w:val="22"/>
                      <w:szCs w:val="22"/>
                    </w:rPr>
                    <w:t>5.做好分区、分级防控工作。</w:t>
                  </w:r>
                </w:p>
                <w:p w14:paraId="0B99DEE8">
                  <w:pPr>
                    <w:adjustRightInd w:val="0"/>
                    <w:snapToGrid w:val="0"/>
                    <w:spacing w:line="320" w:lineRule="exact"/>
                    <w:rPr>
                      <w:color w:val="auto"/>
                      <w:sz w:val="22"/>
                      <w:szCs w:val="22"/>
                    </w:rPr>
                  </w:pPr>
                  <w:r>
                    <w:rPr>
                      <w:rFonts w:hint="eastAsia"/>
                      <w:color w:val="auto"/>
                      <w:sz w:val="22"/>
                      <w:szCs w:val="22"/>
                    </w:rPr>
                    <w:t>6.项目仅涉及用电，属于清洁能源，符合产业绿色低碳循环发展。</w:t>
                  </w:r>
                </w:p>
              </w:tc>
              <w:tc>
                <w:tcPr>
                  <w:tcW w:w="909" w:type="dxa"/>
                  <w:vAlign w:val="center"/>
                </w:tcPr>
                <w:p w14:paraId="110137AA">
                  <w:pPr>
                    <w:adjustRightInd w:val="0"/>
                    <w:snapToGrid w:val="0"/>
                    <w:spacing w:line="320" w:lineRule="exact"/>
                    <w:jc w:val="center"/>
                    <w:rPr>
                      <w:color w:val="auto"/>
                      <w:sz w:val="22"/>
                      <w:szCs w:val="22"/>
                    </w:rPr>
                  </w:pPr>
                  <w:r>
                    <w:rPr>
                      <w:rFonts w:hint="eastAsia"/>
                      <w:color w:val="auto"/>
                      <w:sz w:val="22"/>
                      <w:szCs w:val="22"/>
                    </w:rPr>
                    <w:t>符合</w:t>
                  </w:r>
                </w:p>
              </w:tc>
            </w:tr>
            <w:tr w14:paraId="59FE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9" w:type="dxa"/>
                  <w:vAlign w:val="center"/>
                </w:tcPr>
                <w:p w14:paraId="0939C7E0">
                  <w:pPr>
                    <w:adjustRightInd w:val="0"/>
                    <w:snapToGrid w:val="0"/>
                    <w:spacing w:line="320" w:lineRule="exact"/>
                    <w:rPr>
                      <w:color w:val="auto"/>
                      <w:sz w:val="22"/>
                      <w:szCs w:val="22"/>
                    </w:rPr>
                  </w:pPr>
                  <w:r>
                    <w:rPr>
                      <w:rFonts w:hint="eastAsia"/>
                      <w:color w:val="auto"/>
                      <w:sz w:val="22"/>
                      <w:szCs w:val="22"/>
                    </w:rPr>
                    <w:t>环境风险防控</w:t>
                  </w:r>
                </w:p>
              </w:tc>
              <w:tc>
                <w:tcPr>
                  <w:tcW w:w="3100" w:type="dxa"/>
                  <w:vAlign w:val="center"/>
                </w:tcPr>
                <w:p w14:paraId="0DAE42B6">
                  <w:pPr>
                    <w:adjustRightInd w:val="0"/>
                    <w:snapToGrid w:val="0"/>
                    <w:spacing w:line="320" w:lineRule="exact"/>
                    <w:rPr>
                      <w:color w:val="auto"/>
                      <w:sz w:val="22"/>
                      <w:szCs w:val="22"/>
                    </w:rPr>
                  </w:pPr>
                  <w:r>
                    <w:rPr>
                      <w:rFonts w:hint="eastAsia"/>
                      <w:color w:val="auto"/>
                      <w:sz w:val="22"/>
                      <w:szCs w:val="22"/>
                    </w:rPr>
                    <w:t>规划区应建立健全环境风险防范体系，强化园区层面环境风险防范措施，原则上2023年底前建成金竹沟闸坝，全面提升环境风险防范和事故应急处置能力，保障环境安全。园区管理部门应加强对企业环境风险的监督管理，相关企业应严格落实各项环境风险防范措施，防范突发性环境风险事故发生。沿长江岸线一公里范围内的规划仓储用地（A72-1/04、A90-1/04、A88/02、A87-1/03、A101/01、A99/01、A102/01、A104/01、A103/01、A105/01、F40-1/02、F41-1/01地块）后续应禁止新引入从事危险化学品存储的项目，危险化学品及危险废物的运输路线应避开紧临长江的道路。</w:t>
                  </w:r>
                </w:p>
              </w:tc>
              <w:tc>
                <w:tcPr>
                  <w:tcW w:w="1670" w:type="dxa"/>
                  <w:vAlign w:val="center"/>
                </w:tcPr>
                <w:p w14:paraId="79E8EB8E">
                  <w:pPr>
                    <w:adjustRightInd w:val="0"/>
                    <w:snapToGrid w:val="0"/>
                    <w:spacing w:line="320" w:lineRule="exact"/>
                    <w:rPr>
                      <w:color w:val="auto"/>
                      <w:sz w:val="22"/>
                      <w:szCs w:val="22"/>
                    </w:rPr>
                  </w:pPr>
                  <w:r>
                    <w:rPr>
                      <w:rFonts w:hint="eastAsia"/>
                      <w:color w:val="auto"/>
                      <w:sz w:val="22"/>
                      <w:szCs w:val="22"/>
                    </w:rPr>
                    <w:t>项目西地块编号L15-03/02、东地块编号L17-02/02，项目不属于沿长江岸线一公里范围内的规划仓储用地，企业已落实突发环境事件风险评估制度，并完成风险评估和应急预案备案。</w:t>
                  </w:r>
                </w:p>
              </w:tc>
              <w:tc>
                <w:tcPr>
                  <w:tcW w:w="909" w:type="dxa"/>
                  <w:vAlign w:val="center"/>
                </w:tcPr>
                <w:p w14:paraId="49762DA7">
                  <w:pPr>
                    <w:adjustRightInd w:val="0"/>
                    <w:snapToGrid w:val="0"/>
                    <w:spacing w:line="320" w:lineRule="exact"/>
                    <w:rPr>
                      <w:color w:val="auto"/>
                      <w:sz w:val="22"/>
                      <w:szCs w:val="22"/>
                    </w:rPr>
                  </w:pPr>
                  <w:r>
                    <w:rPr>
                      <w:rFonts w:hint="eastAsia"/>
                      <w:color w:val="auto"/>
                      <w:sz w:val="22"/>
                      <w:szCs w:val="22"/>
                    </w:rPr>
                    <w:t>符合</w:t>
                  </w:r>
                </w:p>
              </w:tc>
            </w:tr>
            <w:tr w14:paraId="6A8C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9" w:type="dxa"/>
                  <w:vAlign w:val="center"/>
                </w:tcPr>
                <w:p w14:paraId="052058F9">
                  <w:pPr>
                    <w:adjustRightInd w:val="0"/>
                    <w:snapToGrid w:val="0"/>
                    <w:spacing w:line="320" w:lineRule="exact"/>
                    <w:rPr>
                      <w:color w:val="auto"/>
                      <w:sz w:val="22"/>
                      <w:szCs w:val="22"/>
                    </w:rPr>
                  </w:pPr>
                  <w:r>
                    <w:rPr>
                      <w:rFonts w:hint="eastAsia"/>
                      <w:color w:val="auto"/>
                      <w:sz w:val="22"/>
                      <w:szCs w:val="22"/>
                    </w:rPr>
                    <w:t>规范环境管理</w:t>
                  </w:r>
                </w:p>
              </w:tc>
              <w:tc>
                <w:tcPr>
                  <w:tcW w:w="3100" w:type="dxa"/>
                  <w:vAlign w:val="center"/>
                </w:tcPr>
                <w:p w14:paraId="04401244">
                  <w:pPr>
                    <w:adjustRightInd w:val="0"/>
                    <w:snapToGrid w:val="0"/>
                    <w:spacing w:line="320" w:lineRule="exact"/>
                    <w:rPr>
                      <w:color w:val="auto"/>
                      <w:sz w:val="22"/>
                      <w:szCs w:val="22"/>
                    </w:rPr>
                  </w:pPr>
                  <w:r>
                    <w:rPr>
                      <w:rFonts w:hint="eastAsia"/>
                      <w:color w:val="auto"/>
                      <w:sz w:val="22"/>
                      <w:szCs w:val="22"/>
                    </w:rPr>
                    <w:t>加强日常环境监管，执行建设项目环境影响评价和固定污染源排污许可制度。规划区应建立环境空气、地表水、地下水、土壤等环境要素的监控体系，落实环境跟踪监测计划，适时开展环境影响跟踪评价。规划的实施范围、适用期限、规模、结构和布局等方面发生重大调整或修订的，应重新进行环境影响评价。</w:t>
                  </w:r>
                </w:p>
                <w:p w14:paraId="471B2964">
                  <w:pPr>
                    <w:adjustRightInd w:val="0"/>
                    <w:snapToGrid w:val="0"/>
                    <w:spacing w:line="320" w:lineRule="exact"/>
                    <w:rPr>
                      <w:color w:val="auto"/>
                      <w:sz w:val="22"/>
                      <w:szCs w:val="22"/>
                    </w:rPr>
                  </w:pPr>
                  <w:r>
                    <w:rPr>
                      <w:rFonts w:hint="eastAsia"/>
                      <w:color w:val="auto"/>
                      <w:sz w:val="22"/>
                      <w:szCs w:val="22"/>
                    </w:rPr>
                    <w:t>规划区内后续拟引入的建设项目，应结合规划环评提出的指导意见做好环境影响评价工作，加强与规划环评的联动，严格生态环境准入要求，重点做好工程分析、污染物允许排放量测算和环保措施可行性论证等内容。对与规划主导产业定位相符的建设项目，环境政策符合性、环境现状调查等内容可适当简化。</w:t>
                  </w:r>
                </w:p>
              </w:tc>
              <w:tc>
                <w:tcPr>
                  <w:tcW w:w="1670" w:type="dxa"/>
                  <w:vAlign w:val="center"/>
                </w:tcPr>
                <w:p w14:paraId="59FFB554">
                  <w:pPr>
                    <w:adjustRightInd w:val="0"/>
                    <w:snapToGrid w:val="0"/>
                    <w:spacing w:line="320" w:lineRule="exact"/>
                    <w:rPr>
                      <w:color w:val="auto"/>
                      <w:sz w:val="22"/>
                      <w:szCs w:val="22"/>
                    </w:rPr>
                  </w:pPr>
                  <w:r>
                    <w:rPr>
                      <w:rFonts w:hint="eastAsia"/>
                      <w:color w:val="auto"/>
                      <w:sz w:val="22"/>
                      <w:szCs w:val="22"/>
                    </w:rPr>
                    <w:t>项目严格执行建设项目环境影响评价和固定污染源排污许可制度。</w:t>
                  </w:r>
                </w:p>
              </w:tc>
              <w:tc>
                <w:tcPr>
                  <w:tcW w:w="909" w:type="dxa"/>
                  <w:vAlign w:val="center"/>
                </w:tcPr>
                <w:p w14:paraId="44E4A38E">
                  <w:pPr>
                    <w:adjustRightInd w:val="0"/>
                    <w:snapToGrid w:val="0"/>
                    <w:spacing w:line="320" w:lineRule="exact"/>
                    <w:rPr>
                      <w:color w:val="auto"/>
                      <w:sz w:val="22"/>
                      <w:szCs w:val="22"/>
                    </w:rPr>
                  </w:pPr>
                  <w:r>
                    <w:rPr>
                      <w:rFonts w:hint="eastAsia"/>
                      <w:color w:val="auto"/>
                      <w:sz w:val="22"/>
                      <w:szCs w:val="22"/>
                    </w:rPr>
                    <w:t>符合</w:t>
                  </w:r>
                </w:p>
              </w:tc>
            </w:tr>
          </w:tbl>
          <w:p w14:paraId="50809B94">
            <w:pPr>
              <w:pStyle w:val="82"/>
              <w:spacing w:line="460" w:lineRule="exact"/>
              <w:ind w:firstLine="520"/>
              <w:rPr>
                <w:color w:val="auto"/>
              </w:rPr>
            </w:pPr>
          </w:p>
        </w:tc>
      </w:tr>
      <w:tr w14:paraId="78FB5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86" w:type="dxa"/>
            <w:vAlign w:val="center"/>
          </w:tcPr>
          <w:p w14:paraId="19434EA5">
            <w:pPr>
              <w:pStyle w:val="81"/>
              <w:rPr>
                <w:color w:val="auto"/>
                <w:sz w:val="26"/>
              </w:rPr>
            </w:pPr>
            <w:r>
              <w:rPr>
                <w:color w:val="auto"/>
                <w:sz w:val="26"/>
              </w:rPr>
              <w:t>其他符合性分析</w:t>
            </w:r>
          </w:p>
        </w:tc>
        <w:tc>
          <w:tcPr>
            <w:tcW w:w="7084" w:type="dxa"/>
            <w:gridSpan w:val="3"/>
            <w:vAlign w:val="center"/>
          </w:tcPr>
          <w:p w14:paraId="0413171D">
            <w:pPr>
              <w:pStyle w:val="82"/>
              <w:ind w:firstLine="522"/>
              <w:rPr>
                <w:b/>
                <w:bCs w:val="0"/>
                <w:color w:val="auto"/>
              </w:rPr>
            </w:pPr>
            <w:r>
              <w:rPr>
                <w:b/>
                <w:bCs w:val="0"/>
                <w:color w:val="auto"/>
              </w:rPr>
              <w:t>1.2.1</w:t>
            </w:r>
            <w:r>
              <w:rPr>
                <w:rFonts w:hint="eastAsia"/>
                <w:b/>
                <w:color w:val="auto"/>
                <w:sz w:val="24"/>
              </w:rPr>
              <w:t>与“三线一单”生态环境分区</w:t>
            </w:r>
            <w:r>
              <w:rPr>
                <w:rFonts w:hint="eastAsia"/>
                <w:b/>
                <w:color w:val="auto"/>
                <w:sz w:val="24"/>
                <w:lang w:val="en-US" w:eastAsia="zh-CN"/>
              </w:rPr>
              <w:t>管控</w:t>
            </w:r>
            <w:r>
              <w:rPr>
                <w:rFonts w:hint="eastAsia"/>
                <w:b/>
                <w:color w:val="auto"/>
                <w:sz w:val="24"/>
              </w:rPr>
              <w:t>符合性分析</w:t>
            </w:r>
          </w:p>
          <w:p w14:paraId="39B3F983">
            <w:pPr>
              <w:pStyle w:val="82"/>
              <w:spacing w:line="460" w:lineRule="exact"/>
              <w:ind w:firstLine="520"/>
              <w:rPr>
                <w:color w:val="auto"/>
              </w:rPr>
            </w:pPr>
            <w:r>
              <w:rPr>
                <w:rFonts w:hint="eastAsia"/>
                <w:color w:val="auto"/>
              </w:rPr>
              <w:t>根据重庆市生态环境局关于印发《重庆市“三线一单”生态环境分区管控调整方案（2023年）》的通知</w:t>
            </w:r>
            <w:r>
              <w:rPr>
                <w:rFonts w:hint="eastAsia"/>
                <w:color w:val="auto"/>
                <w:lang w:eastAsia="zh-CN"/>
              </w:rPr>
              <w:t>（</w:t>
            </w:r>
            <w:r>
              <w:rPr>
                <w:rFonts w:hint="eastAsia"/>
                <w:color w:val="auto"/>
              </w:rPr>
              <w:t>渝环规〔2024〕2号</w:t>
            </w:r>
            <w:r>
              <w:rPr>
                <w:rFonts w:hint="eastAsia"/>
                <w:color w:val="auto"/>
                <w:lang w:eastAsia="zh-CN"/>
              </w:rPr>
              <w:t>）</w:t>
            </w:r>
            <w:r>
              <w:rPr>
                <w:rFonts w:hint="eastAsia"/>
                <w:color w:val="auto"/>
                <w:lang w:val="en-US" w:eastAsia="zh-CN"/>
              </w:rPr>
              <w:t>及重庆市九龙坡区生态环境准入清单总体管控要求（2023年）</w:t>
            </w:r>
            <w:r>
              <w:rPr>
                <w:rFonts w:hint="eastAsia"/>
                <w:color w:val="auto"/>
              </w:rPr>
              <w:t>的要求，优先保护单元突出系统性保护，保持空间格局基本稳定，部分单元对生态保护红线予以整合；重点管控单元突出精细化管理，空间格局与环境治理格局相匹配，部分单元根据产业园区和城镇开发边界进行细分；一般管控单元保持基本稳定，为经济社会发展和生态环境保护预留空间。</w:t>
            </w:r>
          </w:p>
          <w:p w14:paraId="00B63675">
            <w:pPr>
              <w:pStyle w:val="82"/>
              <w:spacing w:line="460" w:lineRule="exact"/>
              <w:ind w:firstLine="520"/>
              <w:rPr>
                <w:color w:val="auto"/>
              </w:rPr>
            </w:pPr>
            <w:r>
              <w:rPr>
                <w:rFonts w:hint="eastAsia"/>
                <w:color w:val="auto"/>
              </w:rPr>
              <w:t>（1）生态保护红线</w:t>
            </w:r>
          </w:p>
          <w:p w14:paraId="67D4FCDF">
            <w:pPr>
              <w:pStyle w:val="82"/>
              <w:spacing w:line="460" w:lineRule="exact"/>
              <w:ind w:firstLine="520"/>
              <w:rPr>
                <w:color w:val="auto"/>
              </w:rPr>
            </w:pPr>
            <w:r>
              <w:rPr>
                <w:rFonts w:hint="eastAsia"/>
                <w:color w:val="auto"/>
              </w:rPr>
              <w:t>本项目位于</w:t>
            </w:r>
            <w:r>
              <w:rPr>
                <w:color w:val="auto"/>
              </w:rPr>
              <w:t>西彭工业园区陶家组团地块</w:t>
            </w:r>
            <w:r>
              <w:rPr>
                <w:rFonts w:hint="eastAsia"/>
                <w:color w:val="auto"/>
              </w:rPr>
              <w:t>，地理位置见附图1。本项目不在生态保护红线范围内，与九龙坡区生态保护红线位置关系见附图</w:t>
            </w:r>
            <w:r>
              <w:rPr>
                <w:rFonts w:hint="eastAsia"/>
                <w:color w:val="auto"/>
                <w:lang w:val="en-US" w:eastAsia="zh-CN"/>
              </w:rPr>
              <w:t>7</w:t>
            </w:r>
            <w:r>
              <w:rPr>
                <w:rFonts w:hint="eastAsia"/>
                <w:color w:val="auto"/>
              </w:rPr>
              <w:t>，根据重庆市生态环境局“三线一单”智检系统</w:t>
            </w:r>
            <w:r>
              <w:rPr>
                <w:rFonts w:hint="eastAsia"/>
                <w:color w:val="auto"/>
                <w:lang w:val="en-US" w:eastAsia="zh-CN"/>
              </w:rPr>
              <w:t>202</w:t>
            </w:r>
            <w:r>
              <w:rPr>
                <w:rFonts w:hint="eastAsia"/>
                <w:color w:val="auto"/>
              </w:rPr>
              <w:t>，根据重庆市生态环境局“三线一单”智检系统</w:t>
            </w:r>
            <w:r>
              <w:rPr>
                <w:rFonts w:hint="eastAsia"/>
                <w:color w:val="auto"/>
                <w:lang w:val="en-US" w:eastAsia="zh-CN"/>
              </w:rPr>
              <w:t>2025年1月2日</w:t>
            </w:r>
            <w:r>
              <w:rPr>
                <w:rFonts w:hint="eastAsia"/>
                <w:color w:val="auto"/>
              </w:rPr>
              <w:t>出具的检测分析报告（见附件</w:t>
            </w:r>
            <w:r>
              <w:rPr>
                <w:rFonts w:hint="eastAsia"/>
                <w:color w:val="auto"/>
                <w:lang w:val="en-US" w:eastAsia="zh-CN"/>
              </w:rPr>
              <w:t>6</w:t>
            </w:r>
            <w:r>
              <w:rPr>
                <w:rFonts w:hint="eastAsia"/>
                <w:color w:val="auto"/>
              </w:rPr>
              <w:t>），本项目所在地环境管控单元属九龙坡区工业城镇重点管控单元-九龙西城片区（环境管控单元编码ZH50010720002），</w:t>
            </w:r>
            <w:r>
              <w:rPr>
                <w:rFonts w:hint="eastAsia"/>
                <w:color w:val="auto"/>
                <w:lang w:val="en-US" w:eastAsia="zh-CN"/>
              </w:rPr>
              <w:t>以及九龙坡区重点管控单元-长江丰收坝九龙坡段（</w:t>
            </w:r>
            <w:r>
              <w:rPr>
                <w:rFonts w:hint="eastAsia"/>
                <w:color w:val="auto"/>
              </w:rPr>
              <w:t>环境管控单元编码ZH50010720004</w:t>
            </w:r>
            <w:r>
              <w:rPr>
                <w:rFonts w:hint="eastAsia"/>
                <w:color w:val="auto"/>
                <w:lang w:val="en-US" w:eastAsia="zh-CN"/>
              </w:rPr>
              <w:t>）。</w:t>
            </w:r>
            <w:r>
              <w:rPr>
                <w:rFonts w:hint="eastAsia"/>
                <w:color w:val="auto"/>
              </w:rPr>
              <w:t>符合性分析见表1.2-1。</w:t>
            </w:r>
          </w:p>
          <w:p w14:paraId="22BE02E8">
            <w:pPr>
              <w:pStyle w:val="82"/>
              <w:spacing w:line="460" w:lineRule="exact"/>
              <w:ind w:firstLine="520"/>
              <w:rPr>
                <w:color w:val="auto"/>
              </w:rPr>
            </w:pPr>
            <w:r>
              <w:rPr>
                <w:rFonts w:hint="eastAsia"/>
                <w:color w:val="auto"/>
              </w:rPr>
              <w:t>（2）环境质量底线</w:t>
            </w:r>
          </w:p>
          <w:p w14:paraId="3918E57E">
            <w:pPr>
              <w:pStyle w:val="82"/>
              <w:spacing w:line="460" w:lineRule="exact"/>
              <w:ind w:firstLine="520"/>
              <w:rPr>
                <w:rFonts w:hint="eastAsia"/>
                <w:color w:val="auto"/>
                <w:lang w:eastAsia="zh-CN"/>
              </w:rPr>
            </w:pPr>
            <w:r>
              <w:rPr>
                <w:rFonts w:hint="eastAsia"/>
                <w:color w:val="auto"/>
              </w:rPr>
              <w:t>根据《2023年重庆市生态环境状况公报》，2023年重庆市九龙坡区环境空气中可吸入颗粒物（PM</w:t>
            </w:r>
            <w:r>
              <w:rPr>
                <w:rFonts w:hint="eastAsia"/>
                <w:color w:val="auto"/>
                <w:vertAlign w:val="subscript"/>
              </w:rPr>
              <w:t>10</w:t>
            </w:r>
            <w:r>
              <w:rPr>
                <w:rFonts w:hint="eastAsia"/>
                <w:color w:val="auto"/>
              </w:rPr>
              <w:t>）、二氧化硫（SO</w:t>
            </w:r>
            <w:r>
              <w:rPr>
                <w:rFonts w:hint="eastAsia"/>
                <w:color w:val="auto"/>
                <w:vertAlign w:val="subscript"/>
              </w:rPr>
              <w:t>2</w:t>
            </w:r>
            <w:r>
              <w:rPr>
                <w:rFonts w:hint="eastAsia"/>
                <w:color w:val="auto"/>
              </w:rPr>
              <w:t>）、臭氧（O</w:t>
            </w:r>
            <w:r>
              <w:rPr>
                <w:rFonts w:hint="eastAsia"/>
                <w:color w:val="auto"/>
                <w:vertAlign w:val="subscript"/>
              </w:rPr>
              <w:t>3</w:t>
            </w:r>
            <w:r>
              <w:rPr>
                <w:rFonts w:hint="eastAsia"/>
                <w:color w:val="auto"/>
              </w:rPr>
              <w:t>）和一氧化碳（CO）浓度达到《环境空气质量标准》（GB3095-2012）二级标准，二氧化氮（NO</w:t>
            </w:r>
            <w:r>
              <w:rPr>
                <w:rFonts w:hint="eastAsia"/>
                <w:color w:val="auto"/>
                <w:vertAlign w:val="subscript"/>
              </w:rPr>
              <w:t>2</w:t>
            </w:r>
            <w:r>
              <w:rPr>
                <w:rFonts w:hint="eastAsia"/>
                <w:color w:val="auto"/>
              </w:rPr>
              <w:t>）、细颗粒物（PM</w:t>
            </w:r>
            <w:r>
              <w:rPr>
                <w:rFonts w:hint="eastAsia"/>
                <w:color w:val="auto"/>
                <w:vertAlign w:val="subscript"/>
              </w:rPr>
              <w:t>2.5</w:t>
            </w:r>
            <w:r>
              <w:rPr>
                <w:rFonts w:hint="eastAsia"/>
                <w:color w:val="auto"/>
              </w:rPr>
              <w:t>）未能达到《环境空气质量标准》（GB3095-2012）二级标准</w:t>
            </w:r>
            <w:r>
              <w:rPr>
                <w:rFonts w:hint="eastAsia"/>
                <w:color w:val="auto"/>
                <w:lang w:eastAsia="zh-CN"/>
              </w:rPr>
              <w:t>，</w:t>
            </w:r>
            <w:r>
              <w:rPr>
                <w:rFonts w:hint="eastAsia"/>
                <w:color w:val="auto"/>
              </w:rPr>
              <w:t>项目所在评价区域为环境空气质量不达标区</w:t>
            </w:r>
            <w:r>
              <w:rPr>
                <w:rFonts w:hint="eastAsia"/>
                <w:color w:val="auto"/>
                <w:lang w:eastAsia="zh-CN"/>
              </w:rPr>
              <w:t>。</w:t>
            </w:r>
            <w:r>
              <w:rPr>
                <w:rFonts w:hint="eastAsia"/>
                <w:color w:val="auto"/>
              </w:rPr>
              <w:t>根据《重庆市生态环境状况公报》（202</w:t>
            </w:r>
            <w:r>
              <w:rPr>
                <w:rFonts w:hint="eastAsia"/>
                <w:color w:val="auto"/>
                <w:lang w:val="en-US" w:eastAsia="zh-CN"/>
              </w:rPr>
              <w:t>3</w:t>
            </w:r>
            <w:r>
              <w:rPr>
                <w:rFonts w:hint="eastAsia"/>
                <w:color w:val="auto"/>
              </w:rPr>
              <w:t>年），重庆将采取一系列措施，减少主要大气污染物排放量，主要包含</w:t>
            </w:r>
            <w:r>
              <w:rPr>
                <w:rFonts w:hint="eastAsia"/>
                <w:color w:val="auto"/>
                <w:lang w:val="en-US" w:eastAsia="zh-CN"/>
              </w:rPr>
              <w:t>以柴油车整治和纯电动车推广为重点深化交通污染控制；以工业废气深度治理为重点深化工业污染控制；以绿色示范创建和落实“十项规定”为重点深化扬尘污染控制；以餐饮油烟、露天焚烧管控为重点深化生活污染控制；以督导帮扶和区域联防联控为重点提高污染应对能力</w:t>
            </w:r>
            <w:r>
              <w:rPr>
                <w:rFonts w:hint="eastAsia"/>
                <w:color w:val="auto"/>
              </w:rPr>
              <w:t>。在执行相应的整治措施后，可改善区域环境</w:t>
            </w:r>
            <w:r>
              <w:rPr>
                <w:rFonts w:hint="eastAsia"/>
                <w:color w:val="auto"/>
                <w:lang w:eastAsia="zh-CN"/>
              </w:rPr>
              <w:t>。</w:t>
            </w:r>
          </w:p>
          <w:p w14:paraId="1583CBD3">
            <w:pPr>
              <w:pStyle w:val="82"/>
              <w:spacing w:line="460" w:lineRule="exact"/>
              <w:ind w:firstLine="520"/>
              <w:rPr>
                <w:color w:val="auto"/>
              </w:rPr>
            </w:pPr>
            <w:r>
              <w:rPr>
                <w:rFonts w:hint="eastAsia"/>
                <w:color w:val="auto"/>
              </w:rPr>
              <w:t>本项目属于长江流域，所在区域长江新瓦房—大溪河口段水域范围属II类水域，大溪河口~明月沱段属III类水域。根据2024年1月重庆市水环境质量状况可知：项目所在区域长江段丰收坝水质满足II类水域标准要求。</w:t>
            </w:r>
          </w:p>
          <w:p w14:paraId="4900F580">
            <w:pPr>
              <w:pStyle w:val="82"/>
              <w:spacing w:line="460" w:lineRule="exact"/>
              <w:ind w:firstLine="520"/>
              <w:rPr>
                <w:color w:val="auto"/>
              </w:rPr>
            </w:pPr>
            <w:r>
              <w:rPr>
                <w:rFonts w:hint="eastAsia"/>
                <w:color w:val="auto"/>
              </w:rPr>
              <w:t>本项目产生的污染物均能做到达标排放或妥善处置，对区域环境影响较小，项目建设不会突破项目所在地的环境质量底线，符合环境质量底线要求。</w:t>
            </w:r>
          </w:p>
          <w:p w14:paraId="55EE998F">
            <w:pPr>
              <w:pStyle w:val="82"/>
              <w:spacing w:line="460" w:lineRule="exact"/>
              <w:ind w:firstLine="520"/>
              <w:rPr>
                <w:color w:val="auto"/>
              </w:rPr>
            </w:pPr>
            <w:r>
              <w:rPr>
                <w:rFonts w:hint="eastAsia"/>
                <w:color w:val="auto"/>
              </w:rPr>
              <w:t>（3）资源利用上线</w:t>
            </w:r>
          </w:p>
          <w:p w14:paraId="3564F2B5">
            <w:pPr>
              <w:pStyle w:val="82"/>
              <w:spacing w:line="460" w:lineRule="exact"/>
              <w:ind w:firstLine="520"/>
              <w:rPr>
                <w:color w:val="auto"/>
              </w:rPr>
            </w:pPr>
            <w:r>
              <w:rPr>
                <w:rFonts w:hint="eastAsia"/>
                <w:color w:val="auto"/>
              </w:rPr>
              <w:t>项目主要用电作为清洁能源，本项目符合资源利用上线要求。</w:t>
            </w:r>
          </w:p>
          <w:p w14:paraId="3A1B7FD0">
            <w:pPr>
              <w:pStyle w:val="82"/>
              <w:spacing w:line="460" w:lineRule="exact"/>
              <w:ind w:firstLine="520"/>
              <w:rPr>
                <w:color w:val="auto"/>
              </w:rPr>
            </w:pPr>
            <w:r>
              <w:rPr>
                <w:rFonts w:hint="eastAsia"/>
                <w:color w:val="auto"/>
              </w:rPr>
              <w:t>（4）环境准入负面清单</w:t>
            </w:r>
          </w:p>
          <w:p w14:paraId="1F476C0F">
            <w:pPr>
              <w:pStyle w:val="82"/>
              <w:spacing w:line="460" w:lineRule="exact"/>
              <w:ind w:firstLine="520"/>
              <w:rPr>
                <w:color w:val="auto"/>
              </w:rPr>
            </w:pPr>
            <w:r>
              <w:rPr>
                <w:rFonts w:hint="eastAsia"/>
                <w:color w:val="auto"/>
              </w:rPr>
              <w:t>本项目属于《产业结构调整指导目录（2024年本）》鼓励类项目，不涉及生态保护红线，不属于《长江经济带战略环境评价重庆市九龙坡区生态环境准入清单》中禁止建设的项目，本项目满足环境准入条件。</w:t>
            </w:r>
          </w:p>
          <w:p w14:paraId="1F9D1692">
            <w:pPr>
              <w:pStyle w:val="82"/>
              <w:spacing w:line="460" w:lineRule="exact"/>
              <w:ind w:firstLine="520"/>
              <w:rPr>
                <w:color w:val="auto"/>
              </w:rPr>
            </w:pPr>
            <w:r>
              <w:rPr>
                <w:rFonts w:hint="eastAsia"/>
                <w:color w:val="auto"/>
              </w:rPr>
              <w:t>综上所述，本项目建设符合“三线一单”相关要求。</w:t>
            </w:r>
          </w:p>
          <w:p w14:paraId="49B4A6A3">
            <w:pPr>
              <w:pStyle w:val="82"/>
              <w:spacing w:line="460" w:lineRule="exact"/>
              <w:ind w:firstLine="520"/>
              <w:rPr>
                <w:color w:val="auto"/>
              </w:rPr>
            </w:pPr>
            <w:r>
              <w:rPr>
                <w:rFonts w:hint="eastAsia"/>
                <w:color w:val="auto"/>
              </w:rPr>
              <w:t>拟建项目与“三线一单”管控要求符合性分析见表1.4-1。</w:t>
            </w:r>
          </w:p>
        </w:tc>
      </w:tr>
    </w:tbl>
    <w:p w14:paraId="5B14165D">
      <w:pPr>
        <w:spacing w:line="360" w:lineRule="auto"/>
        <w:outlineLvl w:val="0"/>
        <w:rPr>
          <w:rFonts w:eastAsia="黑体"/>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2"/>
      </w:tblGrid>
      <w:tr w14:paraId="59D6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2" w:type="dxa"/>
          </w:tcPr>
          <w:p w14:paraId="695DA166">
            <w:pPr>
              <w:pStyle w:val="149"/>
            </w:pPr>
          </w:p>
          <w:p w14:paraId="1E4A98CD">
            <w:pPr>
              <w:pStyle w:val="82"/>
              <w:spacing w:line="460" w:lineRule="exact"/>
              <w:ind w:firstLine="0" w:firstLineChars="0"/>
              <w:jc w:val="center"/>
              <w:rPr>
                <w:sz w:val="24"/>
              </w:rPr>
            </w:pPr>
            <w:r>
              <w:rPr>
                <w:rFonts w:hint="eastAsia"/>
                <w:szCs w:val="26"/>
              </w:rPr>
              <w:t>表1.</w:t>
            </w:r>
            <w:r>
              <w:rPr>
                <w:szCs w:val="26"/>
              </w:rPr>
              <w:t>2-</w:t>
            </w:r>
            <w:r>
              <w:rPr>
                <w:rFonts w:hint="eastAsia"/>
                <w:szCs w:val="26"/>
              </w:rPr>
              <w:t>2</w:t>
            </w:r>
            <w:r>
              <w:rPr>
                <w:rFonts w:hint="eastAsia"/>
                <w:szCs w:val="26"/>
                <w:lang w:val="en-US" w:eastAsia="zh-CN"/>
              </w:rPr>
              <w:t xml:space="preserve">  </w:t>
            </w:r>
            <w:r>
              <w:rPr>
                <w:rFonts w:hint="eastAsia"/>
                <w:szCs w:val="26"/>
              </w:rPr>
              <w:t>建设项目与“三线一单”管控要求的符合性分析表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743"/>
              <w:gridCol w:w="6287"/>
              <w:gridCol w:w="2170"/>
              <w:gridCol w:w="2106"/>
            </w:tblGrid>
            <w:tr w14:paraId="0336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14:paraId="4155F46C">
                  <w:pPr>
                    <w:pStyle w:val="41"/>
                    <w:rPr>
                      <w:sz w:val="22"/>
                      <w:szCs w:val="22"/>
                    </w:rPr>
                  </w:pPr>
                  <w:r>
                    <w:rPr>
                      <w:rFonts w:hint="eastAsia"/>
                      <w:sz w:val="22"/>
                      <w:szCs w:val="22"/>
                    </w:rPr>
                    <w:t>管控要求层级</w:t>
                  </w:r>
                </w:p>
              </w:tc>
              <w:tc>
                <w:tcPr>
                  <w:tcW w:w="1743" w:type="dxa"/>
                  <w:vAlign w:val="center"/>
                </w:tcPr>
                <w:p w14:paraId="109AB8EC">
                  <w:pPr>
                    <w:pStyle w:val="41"/>
                    <w:rPr>
                      <w:sz w:val="22"/>
                      <w:szCs w:val="22"/>
                    </w:rPr>
                  </w:pPr>
                  <w:r>
                    <w:rPr>
                      <w:rFonts w:hint="eastAsia"/>
                      <w:sz w:val="22"/>
                      <w:szCs w:val="22"/>
                    </w:rPr>
                    <w:t>管控类型</w:t>
                  </w:r>
                </w:p>
              </w:tc>
              <w:tc>
                <w:tcPr>
                  <w:tcW w:w="6287" w:type="dxa"/>
                  <w:vAlign w:val="center"/>
                </w:tcPr>
                <w:p w14:paraId="3E3B535F">
                  <w:pPr>
                    <w:pStyle w:val="41"/>
                    <w:rPr>
                      <w:sz w:val="22"/>
                      <w:szCs w:val="22"/>
                    </w:rPr>
                  </w:pPr>
                  <w:r>
                    <w:rPr>
                      <w:rFonts w:hint="eastAsia"/>
                      <w:sz w:val="22"/>
                      <w:szCs w:val="22"/>
                    </w:rPr>
                    <w:t>管控要求</w:t>
                  </w:r>
                </w:p>
              </w:tc>
              <w:tc>
                <w:tcPr>
                  <w:tcW w:w="2170" w:type="dxa"/>
                  <w:vAlign w:val="center"/>
                </w:tcPr>
                <w:p w14:paraId="07EF5CC6">
                  <w:pPr>
                    <w:pStyle w:val="41"/>
                    <w:rPr>
                      <w:sz w:val="22"/>
                      <w:szCs w:val="22"/>
                    </w:rPr>
                  </w:pPr>
                  <w:r>
                    <w:rPr>
                      <w:rFonts w:hint="eastAsia"/>
                      <w:sz w:val="22"/>
                      <w:szCs w:val="22"/>
                    </w:rPr>
                    <w:t>建设项目相关情况</w:t>
                  </w:r>
                </w:p>
              </w:tc>
              <w:tc>
                <w:tcPr>
                  <w:tcW w:w="2106" w:type="dxa"/>
                  <w:vAlign w:val="center"/>
                </w:tcPr>
                <w:p w14:paraId="710AE8CC">
                  <w:pPr>
                    <w:pStyle w:val="41"/>
                    <w:rPr>
                      <w:sz w:val="22"/>
                      <w:szCs w:val="22"/>
                    </w:rPr>
                  </w:pPr>
                  <w:r>
                    <w:rPr>
                      <w:rFonts w:hint="eastAsia"/>
                      <w:sz w:val="22"/>
                      <w:szCs w:val="22"/>
                    </w:rPr>
                    <w:t>符合性分析结论</w:t>
                  </w:r>
                </w:p>
              </w:tc>
            </w:tr>
            <w:tr w14:paraId="7D88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restart"/>
                  <w:vAlign w:val="center"/>
                </w:tcPr>
                <w:p w14:paraId="67E12997">
                  <w:pPr>
                    <w:pStyle w:val="41"/>
                    <w:rPr>
                      <w:sz w:val="22"/>
                      <w:szCs w:val="22"/>
                    </w:rPr>
                  </w:pPr>
                  <w:r>
                    <w:rPr>
                      <w:rFonts w:hint="eastAsia"/>
                      <w:sz w:val="22"/>
                      <w:szCs w:val="22"/>
                    </w:rPr>
                    <w:t>全市总体管控要求</w:t>
                  </w:r>
                </w:p>
              </w:tc>
              <w:tc>
                <w:tcPr>
                  <w:tcW w:w="1743" w:type="dxa"/>
                  <w:vMerge w:val="restart"/>
                  <w:vAlign w:val="center"/>
                </w:tcPr>
                <w:p w14:paraId="4B74F6BE">
                  <w:pPr>
                    <w:pStyle w:val="41"/>
                    <w:rPr>
                      <w:sz w:val="22"/>
                      <w:szCs w:val="22"/>
                    </w:rPr>
                  </w:pPr>
                  <w:r>
                    <w:rPr>
                      <w:rFonts w:hint="eastAsia"/>
                      <w:sz w:val="22"/>
                      <w:szCs w:val="22"/>
                    </w:rPr>
                    <w:t>空间布局约束</w:t>
                  </w:r>
                </w:p>
              </w:tc>
              <w:tc>
                <w:tcPr>
                  <w:tcW w:w="6287" w:type="dxa"/>
                  <w:vAlign w:val="center"/>
                </w:tcPr>
                <w:p w14:paraId="66055792">
                  <w:pPr>
                    <w:pStyle w:val="41"/>
                    <w:rPr>
                      <w:sz w:val="22"/>
                      <w:szCs w:val="22"/>
                    </w:rPr>
                  </w:pPr>
                  <w:r>
                    <w:rPr>
                      <w:rFonts w:hint="eastAsia"/>
                      <w:sz w:val="22"/>
                      <w:szCs w:val="22"/>
                    </w:rPr>
                    <w:t>第一条</w:t>
                  </w:r>
                  <w:r>
                    <w:rPr>
                      <w:sz w:val="22"/>
                      <w:szCs w:val="22"/>
                    </w:rPr>
                    <w:t>深入贯彻习近平生态文明思想，筑牢长江上游重要生态屏障，推动优势区域重点发展、生态功能区重点保护、城乡融合发展，优化重点区域、流域、产业的空间布局。</w:t>
                  </w:r>
                </w:p>
              </w:tc>
              <w:tc>
                <w:tcPr>
                  <w:tcW w:w="2170" w:type="dxa"/>
                  <w:vAlign w:val="center"/>
                </w:tcPr>
                <w:p w14:paraId="66EFCB9A">
                  <w:pPr>
                    <w:pStyle w:val="41"/>
                    <w:rPr>
                      <w:sz w:val="22"/>
                      <w:szCs w:val="22"/>
                    </w:rPr>
                  </w:pPr>
                  <w:r>
                    <w:rPr>
                      <w:rFonts w:hint="eastAsia"/>
                      <w:sz w:val="22"/>
                      <w:szCs w:val="22"/>
                    </w:rPr>
                    <w:t>/</w:t>
                  </w:r>
                </w:p>
              </w:tc>
              <w:tc>
                <w:tcPr>
                  <w:tcW w:w="2106" w:type="dxa"/>
                  <w:vAlign w:val="center"/>
                </w:tcPr>
                <w:p w14:paraId="3A745BB6">
                  <w:pPr>
                    <w:pStyle w:val="41"/>
                    <w:rPr>
                      <w:sz w:val="22"/>
                      <w:szCs w:val="22"/>
                    </w:rPr>
                  </w:pPr>
                  <w:r>
                    <w:rPr>
                      <w:rFonts w:hint="eastAsia"/>
                      <w:sz w:val="22"/>
                      <w:szCs w:val="22"/>
                    </w:rPr>
                    <w:t>符合</w:t>
                  </w:r>
                </w:p>
              </w:tc>
            </w:tr>
            <w:tr w14:paraId="1894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71E988F6">
                  <w:pPr>
                    <w:pStyle w:val="41"/>
                    <w:rPr>
                      <w:sz w:val="22"/>
                      <w:szCs w:val="22"/>
                    </w:rPr>
                  </w:pPr>
                </w:p>
              </w:tc>
              <w:tc>
                <w:tcPr>
                  <w:tcW w:w="1743" w:type="dxa"/>
                  <w:vMerge w:val="continue"/>
                  <w:vAlign w:val="center"/>
                </w:tcPr>
                <w:p w14:paraId="5FE65614">
                  <w:pPr>
                    <w:pStyle w:val="41"/>
                    <w:rPr>
                      <w:sz w:val="22"/>
                      <w:szCs w:val="22"/>
                    </w:rPr>
                  </w:pPr>
                </w:p>
              </w:tc>
              <w:tc>
                <w:tcPr>
                  <w:tcW w:w="6287" w:type="dxa"/>
                  <w:vAlign w:val="center"/>
                </w:tcPr>
                <w:p w14:paraId="7BA58E53">
                  <w:pPr>
                    <w:pStyle w:val="41"/>
                    <w:rPr>
                      <w:sz w:val="22"/>
                      <w:szCs w:val="22"/>
                    </w:rPr>
                  </w:pPr>
                  <w:r>
                    <w:rPr>
                      <w:rFonts w:hint="eastAsia"/>
                      <w:sz w:val="22"/>
                      <w:szCs w:val="22"/>
                    </w:rPr>
                    <w:t>第二条</w:t>
                  </w:r>
                  <w:r>
                    <w:rPr>
                      <w:sz w:val="22"/>
                      <w:szCs w:val="22"/>
                    </w:rPr>
                    <w:t>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2170" w:type="dxa"/>
                  <w:vAlign w:val="center"/>
                </w:tcPr>
                <w:p w14:paraId="6BFCC1BB">
                  <w:pPr>
                    <w:pStyle w:val="41"/>
                    <w:rPr>
                      <w:sz w:val="22"/>
                      <w:szCs w:val="22"/>
                    </w:rPr>
                  </w:pPr>
                  <w:r>
                    <w:rPr>
                      <w:rFonts w:hint="eastAsia"/>
                      <w:sz w:val="22"/>
                      <w:szCs w:val="22"/>
                    </w:rPr>
                    <w:t>本项目不属于化工项目，本项目所在地不属于</w:t>
                  </w:r>
                  <w:r>
                    <w:rPr>
                      <w:sz w:val="22"/>
                      <w:szCs w:val="22"/>
                    </w:rPr>
                    <w:t>长江干流岸线三公里范围内和重要支流岸线一公里范围内</w:t>
                  </w:r>
                </w:p>
              </w:tc>
              <w:tc>
                <w:tcPr>
                  <w:tcW w:w="2106" w:type="dxa"/>
                  <w:vAlign w:val="center"/>
                </w:tcPr>
                <w:p w14:paraId="48EAC3D0">
                  <w:pPr>
                    <w:pStyle w:val="41"/>
                    <w:rPr>
                      <w:sz w:val="22"/>
                      <w:szCs w:val="22"/>
                    </w:rPr>
                  </w:pPr>
                  <w:r>
                    <w:rPr>
                      <w:rFonts w:hint="eastAsia"/>
                      <w:sz w:val="22"/>
                      <w:szCs w:val="22"/>
                    </w:rPr>
                    <w:t>符合</w:t>
                  </w:r>
                </w:p>
              </w:tc>
            </w:tr>
            <w:tr w14:paraId="799F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7544A669">
                  <w:pPr>
                    <w:pStyle w:val="41"/>
                    <w:rPr>
                      <w:sz w:val="22"/>
                      <w:szCs w:val="22"/>
                    </w:rPr>
                  </w:pPr>
                </w:p>
              </w:tc>
              <w:tc>
                <w:tcPr>
                  <w:tcW w:w="1743" w:type="dxa"/>
                  <w:vMerge w:val="continue"/>
                  <w:vAlign w:val="center"/>
                </w:tcPr>
                <w:p w14:paraId="7C1C87CE">
                  <w:pPr>
                    <w:pStyle w:val="41"/>
                    <w:rPr>
                      <w:sz w:val="22"/>
                      <w:szCs w:val="22"/>
                    </w:rPr>
                  </w:pPr>
                </w:p>
              </w:tc>
              <w:tc>
                <w:tcPr>
                  <w:tcW w:w="6287" w:type="dxa"/>
                  <w:vAlign w:val="center"/>
                </w:tcPr>
                <w:p w14:paraId="6D6D143C">
                  <w:pPr>
                    <w:pStyle w:val="41"/>
                    <w:rPr>
                      <w:sz w:val="22"/>
                      <w:szCs w:val="22"/>
                    </w:rPr>
                  </w:pPr>
                  <w:r>
                    <w:rPr>
                      <w:rFonts w:hint="eastAsia"/>
                      <w:sz w:val="22"/>
                      <w:szCs w:val="22"/>
                    </w:rPr>
                    <w:t>第三条</w:t>
                  </w:r>
                  <w:r>
                    <w:rPr>
                      <w:sz w:val="22"/>
                      <w:szCs w:val="22"/>
                    </w:rPr>
                    <w:t>禁止在合规园区外新建、扩建钢铁、石化、化工、焦化、建材、有色、制浆造纸等高污染项目（高污染项目严格按照《环境保护综合名录》</w:t>
                  </w:r>
                  <w:r>
                    <w:rPr>
                      <w:rFonts w:hint="eastAsia"/>
                      <w:sz w:val="22"/>
                      <w:szCs w:val="22"/>
                      <w:lang w:eastAsia="zh-CN"/>
                    </w:rPr>
                    <w:t>“</w:t>
                  </w:r>
                  <w:r>
                    <w:rPr>
                      <w:sz w:val="22"/>
                      <w:szCs w:val="22"/>
                    </w:rPr>
                    <w:t>高污染</w:t>
                  </w:r>
                  <w:r>
                    <w:rPr>
                      <w:rFonts w:hint="eastAsia"/>
                      <w:sz w:val="22"/>
                      <w:szCs w:val="22"/>
                      <w:lang w:eastAsia="zh-CN"/>
                    </w:rPr>
                    <w:t>”</w:t>
                  </w:r>
                  <w:r>
                    <w:rPr>
                      <w:sz w:val="22"/>
                      <w:szCs w:val="22"/>
                    </w:rPr>
                    <w:t>产品名录执行）。禁止新建、扩建不符合国家石化、现代煤化工等产业布局规划的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2170" w:type="dxa"/>
                  <w:vAlign w:val="center"/>
                </w:tcPr>
                <w:p w14:paraId="4D08A27C">
                  <w:pPr>
                    <w:pStyle w:val="41"/>
                    <w:rPr>
                      <w:sz w:val="22"/>
                      <w:szCs w:val="22"/>
                    </w:rPr>
                  </w:pPr>
                  <w:r>
                    <w:rPr>
                      <w:rFonts w:hint="eastAsia"/>
                      <w:sz w:val="22"/>
                      <w:szCs w:val="22"/>
                    </w:rPr>
                    <w:t>本项目不属于</w:t>
                  </w:r>
                  <w:r>
                    <w:rPr>
                      <w:sz w:val="22"/>
                      <w:szCs w:val="22"/>
                    </w:rPr>
                    <w:t>钢铁、石化、化工、焦化、建材、有色、制浆造纸等高污染项目</w:t>
                  </w:r>
                  <w:r>
                    <w:rPr>
                      <w:rFonts w:hint="eastAsia"/>
                      <w:sz w:val="22"/>
                      <w:szCs w:val="22"/>
                    </w:rPr>
                    <w:t>，不属于</w:t>
                  </w:r>
                  <w:r>
                    <w:rPr>
                      <w:rFonts w:hint="eastAsia"/>
                      <w:sz w:val="22"/>
                      <w:szCs w:val="22"/>
                      <w:lang w:eastAsia="zh-CN"/>
                    </w:rPr>
                    <w:t>“</w:t>
                  </w:r>
                  <w:r>
                    <w:rPr>
                      <w:sz w:val="22"/>
                      <w:szCs w:val="22"/>
                    </w:rPr>
                    <w:t>两高</w:t>
                  </w:r>
                  <w:r>
                    <w:rPr>
                      <w:rFonts w:hint="eastAsia"/>
                      <w:sz w:val="22"/>
                      <w:szCs w:val="22"/>
                      <w:lang w:eastAsia="zh-CN"/>
                    </w:rPr>
                    <w:t>”</w:t>
                  </w:r>
                  <w:r>
                    <w:rPr>
                      <w:sz w:val="22"/>
                      <w:szCs w:val="22"/>
                    </w:rPr>
                    <w:t>项目</w:t>
                  </w:r>
                </w:p>
              </w:tc>
              <w:tc>
                <w:tcPr>
                  <w:tcW w:w="2106" w:type="dxa"/>
                  <w:vAlign w:val="center"/>
                </w:tcPr>
                <w:p w14:paraId="7088F67A">
                  <w:pPr>
                    <w:pStyle w:val="41"/>
                    <w:rPr>
                      <w:sz w:val="22"/>
                      <w:szCs w:val="22"/>
                    </w:rPr>
                  </w:pPr>
                  <w:r>
                    <w:rPr>
                      <w:rFonts w:hint="eastAsia"/>
                      <w:sz w:val="22"/>
                      <w:szCs w:val="22"/>
                    </w:rPr>
                    <w:t>符合</w:t>
                  </w:r>
                </w:p>
              </w:tc>
            </w:tr>
            <w:tr w14:paraId="2B47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2BED102F">
                  <w:pPr>
                    <w:pStyle w:val="41"/>
                    <w:rPr>
                      <w:sz w:val="22"/>
                      <w:szCs w:val="22"/>
                    </w:rPr>
                  </w:pPr>
                </w:p>
              </w:tc>
              <w:tc>
                <w:tcPr>
                  <w:tcW w:w="1743" w:type="dxa"/>
                  <w:vMerge w:val="continue"/>
                  <w:vAlign w:val="center"/>
                </w:tcPr>
                <w:p w14:paraId="43E95D5B">
                  <w:pPr>
                    <w:pStyle w:val="41"/>
                    <w:rPr>
                      <w:sz w:val="22"/>
                      <w:szCs w:val="22"/>
                    </w:rPr>
                  </w:pPr>
                </w:p>
              </w:tc>
              <w:tc>
                <w:tcPr>
                  <w:tcW w:w="6287" w:type="dxa"/>
                  <w:vAlign w:val="center"/>
                </w:tcPr>
                <w:p w14:paraId="7B697D5A">
                  <w:pPr>
                    <w:pStyle w:val="41"/>
                    <w:rPr>
                      <w:sz w:val="22"/>
                      <w:szCs w:val="22"/>
                    </w:rPr>
                  </w:pPr>
                  <w:r>
                    <w:rPr>
                      <w:rFonts w:hint="eastAsia"/>
                      <w:sz w:val="22"/>
                      <w:szCs w:val="22"/>
                    </w:rPr>
                    <w:t>第四条</w:t>
                  </w:r>
                  <w:r>
                    <w:rPr>
                      <w:sz w:val="22"/>
                      <w:szCs w:val="22"/>
                    </w:rPr>
                    <w:t>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2170" w:type="dxa"/>
                  <w:vAlign w:val="center"/>
                </w:tcPr>
                <w:p w14:paraId="4051517E">
                  <w:pPr>
                    <w:pStyle w:val="41"/>
                    <w:rPr>
                      <w:sz w:val="22"/>
                      <w:szCs w:val="22"/>
                    </w:rPr>
                  </w:pPr>
                  <w:r>
                    <w:rPr>
                      <w:rFonts w:hint="eastAsia"/>
                      <w:sz w:val="22"/>
                      <w:szCs w:val="22"/>
                    </w:rPr>
                    <w:t>本项目不属于</w:t>
                  </w:r>
                  <w:r>
                    <w:rPr>
                      <w:sz w:val="22"/>
                      <w:szCs w:val="22"/>
                    </w:rPr>
                    <w:t>高耗能、高排放、低水平项目</w:t>
                  </w:r>
                  <w:r>
                    <w:rPr>
                      <w:rFonts w:hint="eastAsia"/>
                      <w:sz w:val="22"/>
                      <w:szCs w:val="22"/>
                    </w:rPr>
                    <w:t>。</w:t>
                  </w:r>
                </w:p>
              </w:tc>
              <w:tc>
                <w:tcPr>
                  <w:tcW w:w="2106" w:type="dxa"/>
                  <w:vAlign w:val="center"/>
                </w:tcPr>
                <w:p w14:paraId="3C65D825">
                  <w:pPr>
                    <w:pStyle w:val="41"/>
                    <w:rPr>
                      <w:sz w:val="22"/>
                      <w:szCs w:val="22"/>
                    </w:rPr>
                  </w:pPr>
                  <w:r>
                    <w:rPr>
                      <w:rFonts w:hint="eastAsia"/>
                      <w:sz w:val="22"/>
                      <w:szCs w:val="22"/>
                    </w:rPr>
                    <w:t>符合</w:t>
                  </w:r>
                </w:p>
              </w:tc>
            </w:tr>
            <w:tr w14:paraId="7159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68AD470F">
                  <w:pPr>
                    <w:pStyle w:val="41"/>
                    <w:rPr>
                      <w:sz w:val="22"/>
                      <w:szCs w:val="22"/>
                    </w:rPr>
                  </w:pPr>
                </w:p>
              </w:tc>
              <w:tc>
                <w:tcPr>
                  <w:tcW w:w="1743" w:type="dxa"/>
                  <w:vMerge w:val="continue"/>
                  <w:vAlign w:val="center"/>
                </w:tcPr>
                <w:p w14:paraId="58DB0B94">
                  <w:pPr>
                    <w:pStyle w:val="41"/>
                    <w:rPr>
                      <w:sz w:val="22"/>
                      <w:szCs w:val="22"/>
                    </w:rPr>
                  </w:pPr>
                </w:p>
              </w:tc>
              <w:tc>
                <w:tcPr>
                  <w:tcW w:w="6287" w:type="dxa"/>
                  <w:vAlign w:val="center"/>
                </w:tcPr>
                <w:p w14:paraId="6CFA72BC">
                  <w:pPr>
                    <w:pStyle w:val="41"/>
                    <w:rPr>
                      <w:sz w:val="22"/>
                      <w:szCs w:val="22"/>
                    </w:rPr>
                  </w:pPr>
                  <w:r>
                    <w:rPr>
                      <w:sz w:val="22"/>
                      <w:szCs w:val="22"/>
                    </w:rPr>
                    <w:t>第五条新建、扩建有色金属冶炼、电镀、铅蓄电池等企业应布设在依法合规设立并经过规划环评的产业园区。</w:t>
                  </w:r>
                </w:p>
              </w:tc>
              <w:tc>
                <w:tcPr>
                  <w:tcW w:w="2170" w:type="dxa"/>
                  <w:vAlign w:val="center"/>
                </w:tcPr>
                <w:p w14:paraId="644861B8">
                  <w:pPr>
                    <w:pStyle w:val="41"/>
                    <w:rPr>
                      <w:sz w:val="22"/>
                      <w:szCs w:val="22"/>
                    </w:rPr>
                  </w:pPr>
                  <w:r>
                    <w:rPr>
                      <w:rFonts w:hint="eastAsia"/>
                      <w:sz w:val="22"/>
                      <w:szCs w:val="22"/>
                    </w:rPr>
                    <w:t>本项目不属于</w:t>
                  </w:r>
                  <w:r>
                    <w:rPr>
                      <w:sz w:val="22"/>
                      <w:szCs w:val="22"/>
                    </w:rPr>
                    <w:t>新建、扩建有色金属冶炼、电镀、铅蓄电池等企业</w:t>
                  </w:r>
                </w:p>
              </w:tc>
              <w:tc>
                <w:tcPr>
                  <w:tcW w:w="2106" w:type="dxa"/>
                  <w:vAlign w:val="center"/>
                </w:tcPr>
                <w:p w14:paraId="7B84FC2F">
                  <w:pPr>
                    <w:pStyle w:val="41"/>
                    <w:rPr>
                      <w:sz w:val="22"/>
                      <w:szCs w:val="22"/>
                    </w:rPr>
                  </w:pPr>
                  <w:r>
                    <w:rPr>
                      <w:rFonts w:hint="eastAsia"/>
                      <w:sz w:val="22"/>
                      <w:szCs w:val="22"/>
                    </w:rPr>
                    <w:t>符合</w:t>
                  </w:r>
                </w:p>
              </w:tc>
            </w:tr>
            <w:tr w14:paraId="3F51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vMerge w:val="continue"/>
                  <w:vAlign w:val="center"/>
                </w:tcPr>
                <w:p w14:paraId="6F2B591B">
                  <w:pPr>
                    <w:pStyle w:val="41"/>
                    <w:rPr>
                      <w:sz w:val="22"/>
                      <w:szCs w:val="22"/>
                    </w:rPr>
                  </w:pPr>
                </w:p>
              </w:tc>
              <w:tc>
                <w:tcPr>
                  <w:tcW w:w="1743" w:type="dxa"/>
                  <w:vMerge w:val="continue"/>
                  <w:vAlign w:val="center"/>
                </w:tcPr>
                <w:p w14:paraId="1B65A2B8">
                  <w:pPr>
                    <w:pStyle w:val="41"/>
                    <w:rPr>
                      <w:sz w:val="22"/>
                      <w:szCs w:val="22"/>
                    </w:rPr>
                  </w:pPr>
                </w:p>
              </w:tc>
              <w:tc>
                <w:tcPr>
                  <w:tcW w:w="6287" w:type="dxa"/>
                  <w:vAlign w:val="center"/>
                </w:tcPr>
                <w:p w14:paraId="05AE0688">
                  <w:pPr>
                    <w:pStyle w:val="41"/>
                    <w:rPr>
                      <w:sz w:val="22"/>
                      <w:szCs w:val="22"/>
                    </w:rPr>
                  </w:pPr>
                  <w:r>
                    <w:rPr>
                      <w:sz w:val="22"/>
                      <w:szCs w:val="22"/>
                    </w:rPr>
                    <w:t>第六条涉及环境防护距离的工业企业或项目应通过选址或调整布局原则上将环境防护距离控制在园区边界或用地红线内，提前合理规划项目地块布置、预防环境风险。</w:t>
                  </w:r>
                </w:p>
              </w:tc>
              <w:tc>
                <w:tcPr>
                  <w:tcW w:w="2170" w:type="dxa"/>
                  <w:vAlign w:val="center"/>
                </w:tcPr>
                <w:p w14:paraId="7C1AA559">
                  <w:pPr>
                    <w:pStyle w:val="41"/>
                    <w:rPr>
                      <w:sz w:val="22"/>
                      <w:szCs w:val="22"/>
                    </w:rPr>
                  </w:pPr>
                  <w:r>
                    <w:rPr>
                      <w:rFonts w:hint="eastAsia"/>
                      <w:sz w:val="22"/>
                      <w:szCs w:val="22"/>
                    </w:rPr>
                    <w:t>本项目不</w:t>
                  </w:r>
                  <w:r>
                    <w:rPr>
                      <w:sz w:val="22"/>
                      <w:szCs w:val="22"/>
                    </w:rPr>
                    <w:t>涉及环境防护距离</w:t>
                  </w:r>
                </w:p>
              </w:tc>
              <w:tc>
                <w:tcPr>
                  <w:tcW w:w="2106" w:type="dxa"/>
                  <w:vAlign w:val="center"/>
                </w:tcPr>
                <w:p w14:paraId="4A833CEB">
                  <w:pPr>
                    <w:pStyle w:val="41"/>
                    <w:rPr>
                      <w:sz w:val="22"/>
                      <w:szCs w:val="22"/>
                    </w:rPr>
                  </w:pPr>
                  <w:r>
                    <w:rPr>
                      <w:rFonts w:hint="eastAsia"/>
                      <w:sz w:val="22"/>
                      <w:szCs w:val="22"/>
                    </w:rPr>
                    <w:t>符合</w:t>
                  </w:r>
                </w:p>
              </w:tc>
            </w:tr>
            <w:tr w14:paraId="629A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178701AF">
                  <w:pPr>
                    <w:pStyle w:val="41"/>
                    <w:rPr>
                      <w:sz w:val="22"/>
                      <w:szCs w:val="22"/>
                    </w:rPr>
                  </w:pPr>
                </w:p>
              </w:tc>
              <w:tc>
                <w:tcPr>
                  <w:tcW w:w="1743" w:type="dxa"/>
                  <w:vMerge w:val="continue"/>
                  <w:vAlign w:val="center"/>
                </w:tcPr>
                <w:p w14:paraId="4E046249">
                  <w:pPr>
                    <w:pStyle w:val="41"/>
                    <w:rPr>
                      <w:sz w:val="22"/>
                      <w:szCs w:val="22"/>
                    </w:rPr>
                  </w:pPr>
                </w:p>
              </w:tc>
              <w:tc>
                <w:tcPr>
                  <w:tcW w:w="6287" w:type="dxa"/>
                  <w:vAlign w:val="center"/>
                </w:tcPr>
                <w:p w14:paraId="60BC36B5">
                  <w:pPr>
                    <w:pStyle w:val="41"/>
                    <w:rPr>
                      <w:sz w:val="22"/>
                      <w:szCs w:val="22"/>
                    </w:rPr>
                  </w:pPr>
                  <w:r>
                    <w:rPr>
                      <w:sz w:val="22"/>
                      <w:szCs w:val="22"/>
                    </w:rPr>
                    <w:t>第七条有效规范空间开发秩序，合理控制空间开发强度，切实将各类开发活动限制在资源环境承载能力之内，为构建高效协调可持续的国土空间开发格局奠定坚实基础。</w:t>
                  </w:r>
                </w:p>
              </w:tc>
              <w:tc>
                <w:tcPr>
                  <w:tcW w:w="2170" w:type="dxa"/>
                  <w:vAlign w:val="center"/>
                </w:tcPr>
                <w:p w14:paraId="7D5265DB">
                  <w:pPr>
                    <w:pStyle w:val="41"/>
                    <w:rPr>
                      <w:sz w:val="22"/>
                      <w:szCs w:val="22"/>
                      <w:highlight w:val="yellow"/>
                    </w:rPr>
                  </w:pPr>
                  <w:r>
                    <w:rPr>
                      <w:rFonts w:hint="eastAsia"/>
                      <w:sz w:val="22"/>
                      <w:szCs w:val="22"/>
                    </w:rPr>
                    <w:t>本项目位于工业园区，</w:t>
                  </w:r>
                  <w:r>
                    <w:rPr>
                      <w:sz w:val="22"/>
                      <w:szCs w:val="22"/>
                    </w:rPr>
                    <w:t>开发活动限制在资源环境承载能力之内</w:t>
                  </w:r>
                </w:p>
              </w:tc>
              <w:tc>
                <w:tcPr>
                  <w:tcW w:w="2106" w:type="dxa"/>
                  <w:vAlign w:val="center"/>
                </w:tcPr>
                <w:p w14:paraId="2CC7855C">
                  <w:pPr>
                    <w:pStyle w:val="41"/>
                    <w:rPr>
                      <w:sz w:val="22"/>
                      <w:szCs w:val="22"/>
                    </w:rPr>
                  </w:pPr>
                </w:p>
              </w:tc>
            </w:tr>
            <w:tr w14:paraId="23B2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5FC3E0DC">
                  <w:pPr>
                    <w:pStyle w:val="41"/>
                    <w:rPr>
                      <w:sz w:val="22"/>
                      <w:szCs w:val="22"/>
                    </w:rPr>
                  </w:pPr>
                </w:p>
              </w:tc>
              <w:tc>
                <w:tcPr>
                  <w:tcW w:w="1743" w:type="dxa"/>
                  <w:vMerge w:val="restart"/>
                  <w:vAlign w:val="center"/>
                </w:tcPr>
                <w:p w14:paraId="3942BF72">
                  <w:pPr>
                    <w:pStyle w:val="41"/>
                    <w:rPr>
                      <w:sz w:val="22"/>
                      <w:szCs w:val="22"/>
                    </w:rPr>
                  </w:pPr>
                  <w:r>
                    <w:rPr>
                      <w:rFonts w:hint="eastAsia"/>
                      <w:sz w:val="22"/>
                      <w:szCs w:val="22"/>
                    </w:rPr>
                    <w:t>污染物排放管控</w:t>
                  </w:r>
                </w:p>
              </w:tc>
              <w:tc>
                <w:tcPr>
                  <w:tcW w:w="6287" w:type="dxa"/>
                  <w:vAlign w:val="center"/>
                </w:tcPr>
                <w:p w14:paraId="2C9CE0E1">
                  <w:pPr>
                    <w:pStyle w:val="41"/>
                    <w:rPr>
                      <w:sz w:val="22"/>
                      <w:szCs w:val="22"/>
                    </w:rPr>
                  </w:pPr>
                  <w:r>
                    <w:rPr>
                      <w:rFonts w:hint="eastAsia"/>
                      <w:sz w:val="22"/>
                      <w:szCs w:val="22"/>
                    </w:rPr>
                    <w:t>第八条</w:t>
                  </w:r>
                  <w:r>
                    <w:rPr>
                      <w:sz w:val="22"/>
                      <w:szCs w:val="22"/>
                    </w:rPr>
                    <w:t>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w:t>
                  </w:r>
                  <w:r>
                    <w:rPr>
                      <w:rFonts w:hint="eastAsia"/>
                      <w:sz w:val="22"/>
                      <w:szCs w:val="22"/>
                    </w:rPr>
                    <w:t>A</w:t>
                  </w:r>
                  <w:r>
                    <w:rPr>
                      <w:sz w:val="22"/>
                      <w:szCs w:val="22"/>
                    </w:rPr>
                    <w:t>级指标要求。</w:t>
                  </w:r>
                </w:p>
              </w:tc>
              <w:tc>
                <w:tcPr>
                  <w:tcW w:w="2170" w:type="dxa"/>
                  <w:vAlign w:val="center"/>
                </w:tcPr>
                <w:p w14:paraId="075822D3">
                  <w:pPr>
                    <w:pStyle w:val="41"/>
                    <w:rPr>
                      <w:sz w:val="22"/>
                      <w:szCs w:val="22"/>
                    </w:rPr>
                  </w:pPr>
                  <w:r>
                    <w:rPr>
                      <w:rFonts w:hint="eastAsia"/>
                      <w:sz w:val="22"/>
                      <w:szCs w:val="22"/>
                    </w:rPr>
                    <w:t>本项目不属于</w:t>
                  </w:r>
                  <w:r>
                    <w:rPr>
                      <w:sz w:val="22"/>
                      <w:szCs w:val="22"/>
                    </w:rPr>
                    <w:t>石化、煤化工、燃煤发电（含热电）、钢铁、有色金属冶炼、制浆造纸</w:t>
                  </w:r>
                  <w:r>
                    <w:rPr>
                      <w:rFonts w:hint="eastAsia"/>
                      <w:sz w:val="22"/>
                      <w:szCs w:val="22"/>
                    </w:rPr>
                    <w:t>、</w:t>
                  </w:r>
                  <w:r>
                    <w:rPr>
                      <w:sz w:val="22"/>
                      <w:szCs w:val="22"/>
                    </w:rPr>
                    <w:t>水泥熟料、平板玻璃、电解铝行业</w:t>
                  </w:r>
                </w:p>
              </w:tc>
              <w:tc>
                <w:tcPr>
                  <w:tcW w:w="2106" w:type="dxa"/>
                  <w:vAlign w:val="center"/>
                </w:tcPr>
                <w:p w14:paraId="1FCB2298">
                  <w:pPr>
                    <w:pStyle w:val="41"/>
                    <w:rPr>
                      <w:sz w:val="22"/>
                      <w:szCs w:val="22"/>
                    </w:rPr>
                  </w:pPr>
                  <w:r>
                    <w:rPr>
                      <w:rFonts w:hint="eastAsia"/>
                      <w:sz w:val="22"/>
                      <w:szCs w:val="22"/>
                    </w:rPr>
                    <w:t>符合</w:t>
                  </w:r>
                </w:p>
              </w:tc>
            </w:tr>
            <w:tr w14:paraId="7D96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509F6D92">
                  <w:pPr>
                    <w:pStyle w:val="41"/>
                    <w:rPr>
                      <w:sz w:val="22"/>
                      <w:szCs w:val="22"/>
                    </w:rPr>
                  </w:pPr>
                </w:p>
              </w:tc>
              <w:tc>
                <w:tcPr>
                  <w:tcW w:w="1743" w:type="dxa"/>
                  <w:vMerge w:val="continue"/>
                  <w:vAlign w:val="center"/>
                </w:tcPr>
                <w:p w14:paraId="07C78D72">
                  <w:pPr>
                    <w:pStyle w:val="41"/>
                    <w:rPr>
                      <w:sz w:val="22"/>
                      <w:szCs w:val="22"/>
                    </w:rPr>
                  </w:pPr>
                </w:p>
              </w:tc>
              <w:tc>
                <w:tcPr>
                  <w:tcW w:w="6287" w:type="dxa"/>
                  <w:vAlign w:val="center"/>
                </w:tcPr>
                <w:p w14:paraId="7B411B3F">
                  <w:pPr>
                    <w:pStyle w:val="41"/>
                    <w:rPr>
                      <w:sz w:val="22"/>
                      <w:szCs w:val="22"/>
                    </w:rPr>
                  </w:pPr>
                  <w:r>
                    <w:rPr>
                      <w:rFonts w:hint="eastAsia"/>
                      <w:sz w:val="22"/>
                      <w:szCs w:val="22"/>
                    </w:rPr>
                    <w:t>第九条</w:t>
                  </w:r>
                  <w:r>
                    <w:rPr>
                      <w:sz w:val="22"/>
                      <w:szCs w:val="22"/>
                    </w:rPr>
                    <w:t>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2170" w:type="dxa"/>
                  <w:vAlign w:val="center"/>
                </w:tcPr>
                <w:p w14:paraId="3865B437">
                  <w:pPr>
                    <w:pStyle w:val="41"/>
                    <w:rPr>
                      <w:sz w:val="22"/>
                      <w:szCs w:val="22"/>
                    </w:rPr>
                  </w:pPr>
                  <w:r>
                    <w:rPr>
                      <w:rFonts w:hint="eastAsia"/>
                      <w:sz w:val="22"/>
                      <w:szCs w:val="22"/>
                    </w:rPr>
                    <w:t>项目所在九龙坡区属于</w:t>
                  </w:r>
                  <w:r>
                    <w:rPr>
                      <w:sz w:val="22"/>
                      <w:szCs w:val="22"/>
                    </w:rPr>
                    <w:t>大气环境质量未达标地区</w:t>
                  </w:r>
                  <w:r>
                    <w:rPr>
                      <w:rFonts w:hint="eastAsia"/>
                      <w:sz w:val="22"/>
                      <w:szCs w:val="22"/>
                    </w:rPr>
                    <w:t>，</w:t>
                  </w:r>
                  <w:r>
                    <w:rPr>
                      <w:sz w:val="22"/>
                      <w:szCs w:val="22"/>
                    </w:rPr>
                    <w:t>实施严格的污染物排放总量控制要求</w:t>
                  </w:r>
                </w:p>
              </w:tc>
              <w:tc>
                <w:tcPr>
                  <w:tcW w:w="2106" w:type="dxa"/>
                  <w:vAlign w:val="center"/>
                </w:tcPr>
                <w:p w14:paraId="527F1E0B">
                  <w:pPr>
                    <w:pStyle w:val="41"/>
                    <w:rPr>
                      <w:sz w:val="22"/>
                      <w:szCs w:val="22"/>
                    </w:rPr>
                  </w:pPr>
                  <w:r>
                    <w:rPr>
                      <w:rFonts w:hint="eastAsia"/>
                      <w:sz w:val="22"/>
                      <w:szCs w:val="22"/>
                    </w:rPr>
                    <w:t>符合</w:t>
                  </w:r>
                </w:p>
              </w:tc>
            </w:tr>
            <w:tr w14:paraId="32CD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50135FA2">
                  <w:pPr>
                    <w:pStyle w:val="41"/>
                    <w:rPr>
                      <w:sz w:val="22"/>
                      <w:szCs w:val="22"/>
                    </w:rPr>
                  </w:pPr>
                </w:p>
              </w:tc>
              <w:tc>
                <w:tcPr>
                  <w:tcW w:w="1743" w:type="dxa"/>
                  <w:vMerge w:val="continue"/>
                  <w:vAlign w:val="center"/>
                </w:tcPr>
                <w:p w14:paraId="17246F6B">
                  <w:pPr>
                    <w:pStyle w:val="41"/>
                    <w:rPr>
                      <w:sz w:val="22"/>
                      <w:szCs w:val="22"/>
                    </w:rPr>
                  </w:pPr>
                </w:p>
              </w:tc>
              <w:tc>
                <w:tcPr>
                  <w:tcW w:w="6287" w:type="dxa"/>
                  <w:vAlign w:val="center"/>
                </w:tcPr>
                <w:p w14:paraId="7F5A22FE">
                  <w:pPr>
                    <w:pStyle w:val="41"/>
                    <w:rPr>
                      <w:sz w:val="22"/>
                      <w:szCs w:val="22"/>
                    </w:rPr>
                  </w:pPr>
                  <w:r>
                    <w:rPr>
                      <w:rFonts w:hint="eastAsia"/>
                      <w:sz w:val="22"/>
                      <w:szCs w:val="22"/>
                    </w:rPr>
                    <w:t>第十条</w:t>
                  </w:r>
                  <w:r>
                    <w:rPr>
                      <w:sz w:val="22"/>
                      <w:szCs w:val="22"/>
                    </w:rPr>
                    <w:t>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2170" w:type="dxa"/>
                  <w:vAlign w:val="center"/>
                </w:tcPr>
                <w:p w14:paraId="471005C7">
                  <w:pPr>
                    <w:pStyle w:val="41"/>
                    <w:rPr>
                      <w:sz w:val="22"/>
                      <w:szCs w:val="22"/>
                    </w:rPr>
                  </w:pPr>
                  <w:r>
                    <w:rPr>
                      <w:rFonts w:hint="eastAsia"/>
                      <w:sz w:val="22"/>
                      <w:szCs w:val="22"/>
                    </w:rPr>
                    <w:t>本项目不属于上述行业</w:t>
                  </w:r>
                </w:p>
              </w:tc>
              <w:tc>
                <w:tcPr>
                  <w:tcW w:w="2106" w:type="dxa"/>
                  <w:vAlign w:val="center"/>
                </w:tcPr>
                <w:p w14:paraId="4E637846">
                  <w:pPr>
                    <w:pStyle w:val="41"/>
                    <w:rPr>
                      <w:sz w:val="22"/>
                      <w:szCs w:val="22"/>
                    </w:rPr>
                  </w:pPr>
                  <w:r>
                    <w:rPr>
                      <w:rFonts w:hint="eastAsia"/>
                      <w:sz w:val="22"/>
                      <w:szCs w:val="22"/>
                    </w:rPr>
                    <w:t>符合</w:t>
                  </w:r>
                </w:p>
              </w:tc>
            </w:tr>
            <w:tr w14:paraId="249B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2C6EF0E2">
                  <w:pPr>
                    <w:pStyle w:val="41"/>
                    <w:rPr>
                      <w:sz w:val="22"/>
                      <w:szCs w:val="22"/>
                    </w:rPr>
                  </w:pPr>
                </w:p>
              </w:tc>
              <w:tc>
                <w:tcPr>
                  <w:tcW w:w="1743" w:type="dxa"/>
                  <w:vMerge w:val="continue"/>
                  <w:vAlign w:val="center"/>
                </w:tcPr>
                <w:p w14:paraId="25994583">
                  <w:pPr>
                    <w:pStyle w:val="41"/>
                    <w:rPr>
                      <w:sz w:val="22"/>
                      <w:szCs w:val="22"/>
                    </w:rPr>
                  </w:pPr>
                </w:p>
              </w:tc>
              <w:tc>
                <w:tcPr>
                  <w:tcW w:w="6287" w:type="dxa"/>
                  <w:vAlign w:val="center"/>
                </w:tcPr>
                <w:p w14:paraId="3BE500A1">
                  <w:pPr>
                    <w:pStyle w:val="41"/>
                    <w:rPr>
                      <w:sz w:val="22"/>
                      <w:szCs w:val="22"/>
                    </w:rPr>
                  </w:pPr>
                  <w:r>
                    <w:rPr>
                      <w:rFonts w:hint="eastAsia"/>
                      <w:sz w:val="22"/>
                      <w:szCs w:val="22"/>
                    </w:rPr>
                    <w:t>第十一条</w:t>
                  </w:r>
                  <w:r>
                    <w:rPr>
                      <w:sz w:val="22"/>
                      <w:szCs w:val="22"/>
                    </w:rPr>
                    <w:t>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2170" w:type="dxa"/>
                  <w:vAlign w:val="center"/>
                </w:tcPr>
                <w:p w14:paraId="509B12A3">
                  <w:pPr>
                    <w:pStyle w:val="41"/>
                    <w:rPr>
                      <w:sz w:val="22"/>
                      <w:szCs w:val="22"/>
                    </w:rPr>
                  </w:pPr>
                  <w:r>
                    <w:rPr>
                      <w:rFonts w:hint="eastAsia"/>
                      <w:sz w:val="22"/>
                      <w:szCs w:val="22"/>
                    </w:rPr>
                    <w:t>项目位于重庆西彭工业园区陶家产业区组团内，属于陶家工业污水处理厂（原九龙园区L分区污水处理厂）收纳范围，项目在厂内预处理满足污水处理厂接管水质要求后，经园区污水管网排入陶家工业污水处理厂处理达标后排放。</w:t>
                  </w:r>
                </w:p>
              </w:tc>
              <w:tc>
                <w:tcPr>
                  <w:tcW w:w="2106" w:type="dxa"/>
                  <w:vAlign w:val="center"/>
                </w:tcPr>
                <w:p w14:paraId="2F8B538F">
                  <w:pPr>
                    <w:pStyle w:val="41"/>
                    <w:rPr>
                      <w:sz w:val="22"/>
                      <w:szCs w:val="22"/>
                    </w:rPr>
                  </w:pPr>
                  <w:r>
                    <w:rPr>
                      <w:rFonts w:hint="eastAsia"/>
                      <w:sz w:val="22"/>
                      <w:szCs w:val="22"/>
                    </w:rPr>
                    <w:t>符合</w:t>
                  </w:r>
                </w:p>
              </w:tc>
            </w:tr>
            <w:tr w14:paraId="4C0D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5D5F769B">
                  <w:pPr>
                    <w:pStyle w:val="41"/>
                    <w:rPr>
                      <w:sz w:val="22"/>
                      <w:szCs w:val="22"/>
                    </w:rPr>
                  </w:pPr>
                </w:p>
              </w:tc>
              <w:tc>
                <w:tcPr>
                  <w:tcW w:w="1743" w:type="dxa"/>
                  <w:vMerge w:val="continue"/>
                  <w:vAlign w:val="center"/>
                </w:tcPr>
                <w:p w14:paraId="64EAC7D2">
                  <w:pPr>
                    <w:pStyle w:val="41"/>
                    <w:rPr>
                      <w:sz w:val="22"/>
                      <w:szCs w:val="22"/>
                    </w:rPr>
                  </w:pPr>
                </w:p>
              </w:tc>
              <w:tc>
                <w:tcPr>
                  <w:tcW w:w="6287" w:type="dxa"/>
                  <w:vAlign w:val="center"/>
                </w:tcPr>
                <w:p w14:paraId="6EFD5B1D">
                  <w:pPr>
                    <w:pStyle w:val="41"/>
                    <w:rPr>
                      <w:sz w:val="22"/>
                      <w:szCs w:val="22"/>
                    </w:rPr>
                  </w:pPr>
                  <w:r>
                    <w:rPr>
                      <w:rFonts w:hint="eastAsia"/>
                      <w:sz w:val="22"/>
                      <w:szCs w:val="22"/>
                    </w:rPr>
                    <w:t>第十二条</w:t>
                  </w:r>
                  <w:r>
                    <w:rPr>
                      <w:sz w:val="22"/>
                      <w:szCs w:val="22"/>
                    </w:rPr>
                    <w:t>推进乡镇生活污水处理设施达标改造。新建城市生活污水处理厂全部按照一级</w:t>
                  </w:r>
                  <w:r>
                    <w:rPr>
                      <w:rFonts w:hint="eastAsia"/>
                      <w:sz w:val="22"/>
                      <w:szCs w:val="22"/>
                    </w:rPr>
                    <w:t>A</w:t>
                  </w:r>
                  <w:r>
                    <w:rPr>
                      <w:sz w:val="22"/>
                      <w:szCs w:val="22"/>
                    </w:rPr>
                    <w:t>标及以上排放标准设计、施工、验收，建制乡镇生活污水处理设施出水水质不得低于一级</w:t>
                  </w:r>
                  <w:r>
                    <w:rPr>
                      <w:rFonts w:hint="eastAsia"/>
                      <w:sz w:val="22"/>
                      <w:szCs w:val="22"/>
                    </w:rPr>
                    <w:t>B</w:t>
                  </w:r>
                  <w:r>
                    <w:rPr>
                      <w:sz w:val="22"/>
                      <w:szCs w:val="22"/>
                    </w:rPr>
                    <w:t>标排放标准；对现有截留制排水管网实施雨污分流改造，针对无法彻底雨污分流的老城区，尊重现实合理保留截留制区域，合理提高截留倍数；对新建的排水管网，全部按照雨污分流模式实施建设。</w:t>
                  </w:r>
                </w:p>
              </w:tc>
              <w:tc>
                <w:tcPr>
                  <w:tcW w:w="2170" w:type="dxa"/>
                  <w:vAlign w:val="center"/>
                </w:tcPr>
                <w:p w14:paraId="51CD3017">
                  <w:pPr>
                    <w:pStyle w:val="41"/>
                    <w:rPr>
                      <w:sz w:val="22"/>
                      <w:szCs w:val="22"/>
                    </w:rPr>
                  </w:pPr>
                  <w:r>
                    <w:rPr>
                      <w:rFonts w:hint="eastAsia"/>
                      <w:sz w:val="22"/>
                      <w:szCs w:val="22"/>
                    </w:rPr>
                    <w:t>项目不涉及</w:t>
                  </w:r>
                </w:p>
              </w:tc>
              <w:tc>
                <w:tcPr>
                  <w:tcW w:w="2106" w:type="dxa"/>
                  <w:vAlign w:val="center"/>
                </w:tcPr>
                <w:p w14:paraId="6B8EB594">
                  <w:pPr>
                    <w:pStyle w:val="41"/>
                    <w:rPr>
                      <w:sz w:val="22"/>
                      <w:szCs w:val="22"/>
                    </w:rPr>
                  </w:pPr>
                  <w:r>
                    <w:rPr>
                      <w:rFonts w:hint="eastAsia"/>
                      <w:sz w:val="22"/>
                      <w:szCs w:val="22"/>
                    </w:rPr>
                    <w:t>符合</w:t>
                  </w:r>
                </w:p>
              </w:tc>
            </w:tr>
            <w:tr w14:paraId="1B32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5BCB5455">
                  <w:pPr>
                    <w:pStyle w:val="41"/>
                    <w:rPr>
                      <w:sz w:val="22"/>
                      <w:szCs w:val="22"/>
                    </w:rPr>
                  </w:pPr>
                </w:p>
              </w:tc>
              <w:tc>
                <w:tcPr>
                  <w:tcW w:w="1743" w:type="dxa"/>
                  <w:vMerge w:val="continue"/>
                  <w:vAlign w:val="center"/>
                </w:tcPr>
                <w:p w14:paraId="4A2715F0">
                  <w:pPr>
                    <w:pStyle w:val="41"/>
                    <w:rPr>
                      <w:sz w:val="22"/>
                      <w:szCs w:val="22"/>
                    </w:rPr>
                  </w:pPr>
                </w:p>
              </w:tc>
              <w:tc>
                <w:tcPr>
                  <w:tcW w:w="6287" w:type="dxa"/>
                  <w:vAlign w:val="center"/>
                </w:tcPr>
                <w:p w14:paraId="5EE8C84F">
                  <w:pPr>
                    <w:pStyle w:val="41"/>
                    <w:rPr>
                      <w:sz w:val="22"/>
                      <w:szCs w:val="22"/>
                    </w:rPr>
                  </w:pPr>
                  <w:r>
                    <w:rPr>
                      <w:rFonts w:hint="eastAsia"/>
                      <w:sz w:val="22"/>
                      <w:szCs w:val="22"/>
                    </w:rPr>
                    <w:t>第十三条</w:t>
                  </w:r>
                  <w:r>
                    <w:rPr>
                      <w:sz w:val="22"/>
                      <w:szCs w:val="22"/>
                    </w:rPr>
                    <w:t>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w:t>
                  </w:r>
                  <w:r>
                    <w:rPr>
                      <w:rFonts w:hint="eastAsia"/>
                      <w:sz w:val="22"/>
                      <w:szCs w:val="22"/>
                      <w:lang w:eastAsia="zh-CN"/>
                    </w:rPr>
                    <w:t>“</w:t>
                  </w:r>
                  <w:r>
                    <w:rPr>
                      <w:sz w:val="22"/>
                      <w:szCs w:val="22"/>
                    </w:rPr>
                    <w:t>等量替代</w:t>
                  </w:r>
                  <w:r>
                    <w:rPr>
                      <w:rFonts w:hint="eastAsia"/>
                      <w:sz w:val="22"/>
                      <w:szCs w:val="22"/>
                      <w:lang w:eastAsia="zh-CN"/>
                    </w:rPr>
                    <w:t>”</w:t>
                  </w:r>
                  <w:r>
                    <w:rPr>
                      <w:sz w:val="22"/>
                      <w:szCs w:val="22"/>
                    </w:rPr>
                    <w:t>原则。</w:t>
                  </w:r>
                </w:p>
              </w:tc>
              <w:tc>
                <w:tcPr>
                  <w:tcW w:w="2170" w:type="dxa"/>
                  <w:vAlign w:val="center"/>
                </w:tcPr>
                <w:p w14:paraId="1279EDD9">
                  <w:pPr>
                    <w:pStyle w:val="41"/>
                    <w:rPr>
                      <w:sz w:val="22"/>
                      <w:szCs w:val="22"/>
                    </w:rPr>
                  </w:pPr>
                  <w:r>
                    <w:rPr>
                      <w:rFonts w:hint="eastAsia"/>
                      <w:sz w:val="22"/>
                      <w:szCs w:val="22"/>
                    </w:rPr>
                    <w:t>项目不涉及</w:t>
                  </w:r>
                </w:p>
              </w:tc>
              <w:tc>
                <w:tcPr>
                  <w:tcW w:w="2106" w:type="dxa"/>
                  <w:vAlign w:val="center"/>
                </w:tcPr>
                <w:p w14:paraId="6051AB43">
                  <w:pPr>
                    <w:pStyle w:val="41"/>
                    <w:rPr>
                      <w:sz w:val="22"/>
                      <w:szCs w:val="22"/>
                    </w:rPr>
                  </w:pPr>
                  <w:r>
                    <w:rPr>
                      <w:rFonts w:hint="eastAsia"/>
                      <w:sz w:val="22"/>
                      <w:szCs w:val="22"/>
                    </w:rPr>
                    <w:t>符合</w:t>
                  </w:r>
                </w:p>
              </w:tc>
            </w:tr>
            <w:tr w14:paraId="7D27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2F289B83">
                  <w:pPr>
                    <w:pStyle w:val="41"/>
                    <w:rPr>
                      <w:sz w:val="22"/>
                      <w:szCs w:val="22"/>
                    </w:rPr>
                  </w:pPr>
                </w:p>
              </w:tc>
              <w:tc>
                <w:tcPr>
                  <w:tcW w:w="1743" w:type="dxa"/>
                  <w:vMerge w:val="continue"/>
                  <w:vAlign w:val="center"/>
                </w:tcPr>
                <w:p w14:paraId="12B647AC">
                  <w:pPr>
                    <w:pStyle w:val="41"/>
                    <w:rPr>
                      <w:sz w:val="22"/>
                      <w:szCs w:val="22"/>
                    </w:rPr>
                  </w:pPr>
                </w:p>
              </w:tc>
              <w:tc>
                <w:tcPr>
                  <w:tcW w:w="6287" w:type="dxa"/>
                  <w:vAlign w:val="center"/>
                </w:tcPr>
                <w:p w14:paraId="4600E04D">
                  <w:pPr>
                    <w:pStyle w:val="41"/>
                    <w:rPr>
                      <w:sz w:val="22"/>
                      <w:szCs w:val="22"/>
                    </w:rPr>
                  </w:pPr>
                  <w:r>
                    <w:rPr>
                      <w:rFonts w:hint="eastAsia"/>
                      <w:sz w:val="22"/>
                      <w:szCs w:val="22"/>
                    </w:rPr>
                    <w:t>第十四条</w:t>
                  </w:r>
                  <w:r>
                    <w:rPr>
                      <w:sz w:val="22"/>
                      <w:szCs w:val="22"/>
                    </w:rPr>
                    <w:t>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2170" w:type="dxa"/>
                  <w:vAlign w:val="center"/>
                </w:tcPr>
                <w:p w14:paraId="1C3FDCEA">
                  <w:pPr>
                    <w:pStyle w:val="41"/>
                    <w:rPr>
                      <w:sz w:val="22"/>
                      <w:szCs w:val="22"/>
                    </w:rPr>
                  </w:pPr>
                  <w:r>
                    <w:rPr>
                      <w:sz w:val="22"/>
                      <w:szCs w:val="22"/>
                    </w:rPr>
                    <w:t>本项目建成</w:t>
                  </w:r>
                  <w:r>
                    <w:rPr>
                      <w:rFonts w:hint="eastAsia"/>
                      <w:sz w:val="22"/>
                      <w:szCs w:val="22"/>
                    </w:rPr>
                    <w:t>依托现有环保设施，已</w:t>
                  </w:r>
                  <w:r>
                    <w:rPr>
                      <w:sz w:val="22"/>
                      <w:szCs w:val="22"/>
                    </w:rPr>
                    <w:t>建立工业固体废物产生、收集、贮存、运输、利用、处置全过程的污染环境防治责任制度</w:t>
                  </w:r>
                  <w:r>
                    <w:rPr>
                      <w:rFonts w:hint="eastAsia"/>
                      <w:sz w:val="22"/>
                      <w:szCs w:val="22"/>
                    </w:rPr>
                    <w:t>和</w:t>
                  </w:r>
                  <w:r>
                    <w:rPr>
                      <w:sz w:val="22"/>
                      <w:szCs w:val="22"/>
                    </w:rPr>
                    <w:t>工业固体废物管理台账。</w:t>
                  </w:r>
                </w:p>
              </w:tc>
              <w:tc>
                <w:tcPr>
                  <w:tcW w:w="2106" w:type="dxa"/>
                  <w:vAlign w:val="center"/>
                </w:tcPr>
                <w:p w14:paraId="1CCBC7C6">
                  <w:pPr>
                    <w:pStyle w:val="41"/>
                    <w:rPr>
                      <w:sz w:val="22"/>
                      <w:szCs w:val="22"/>
                    </w:rPr>
                  </w:pPr>
                  <w:r>
                    <w:rPr>
                      <w:rFonts w:hint="eastAsia"/>
                      <w:sz w:val="22"/>
                      <w:szCs w:val="22"/>
                    </w:rPr>
                    <w:t>符合</w:t>
                  </w:r>
                </w:p>
              </w:tc>
            </w:tr>
            <w:tr w14:paraId="5C2E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5293C934">
                  <w:pPr>
                    <w:pStyle w:val="41"/>
                    <w:rPr>
                      <w:sz w:val="22"/>
                      <w:szCs w:val="22"/>
                    </w:rPr>
                  </w:pPr>
                </w:p>
              </w:tc>
              <w:tc>
                <w:tcPr>
                  <w:tcW w:w="1743" w:type="dxa"/>
                  <w:vMerge w:val="continue"/>
                  <w:vAlign w:val="center"/>
                </w:tcPr>
                <w:p w14:paraId="73E3025C">
                  <w:pPr>
                    <w:pStyle w:val="41"/>
                    <w:rPr>
                      <w:sz w:val="22"/>
                      <w:szCs w:val="22"/>
                    </w:rPr>
                  </w:pPr>
                </w:p>
              </w:tc>
              <w:tc>
                <w:tcPr>
                  <w:tcW w:w="6287" w:type="dxa"/>
                  <w:vAlign w:val="center"/>
                </w:tcPr>
                <w:p w14:paraId="25D6D5D8">
                  <w:pPr>
                    <w:pStyle w:val="41"/>
                    <w:rPr>
                      <w:sz w:val="22"/>
                      <w:szCs w:val="22"/>
                    </w:rPr>
                  </w:pPr>
                  <w:r>
                    <w:rPr>
                      <w:rFonts w:hint="eastAsia"/>
                      <w:sz w:val="22"/>
                      <w:szCs w:val="22"/>
                    </w:rPr>
                    <w:t>第十五条</w:t>
                  </w:r>
                  <w:r>
                    <w:rPr>
                      <w:sz w:val="22"/>
                      <w:szCs w:val="22"/>
                    </w:rPr>
                    <w:t>建设分类投放、分类收集、分类运输、分类处理的生活垃圾处理系统。合理布局生活垃圾分类收集站点，完善分类运输系统，加快补齐分类收集转运设施能力短板。强化</w:t>
                  </w:r>
                  <w:r>
                    <w:rPr>
                      <w:rFonts w:hint="eastAsia"/>
                      <w:sz w:val="22"/>
                      <w:szCs w:val="22"/>
                      <w:lang w:eastAsia="zh-CN"/>
                    </w:rPr>
                    <w:t>“</w:t>
                  </w:r>
                  <w:r>
                    <w:rPr>
                      <w:sz w:val="22"/>
                      <w:szCs w:val="22"/>
                    </w:rPr>
                    <w:t>无废城市</w:t>
                  </w:r>
                  <w:r>
                    <w:rPr>
                      <w:rFonts w:hint="eastAsia"/>
                      <w:sz w:val="22"/>
                      <w:szCs w:val="22"/>
                      <w:lang w:eastAsia="zh-CN"/>
                    </w:rPr>
                    <w:t>”</w:t>
                  </w:r>
                  <w:r>
                    <w:rPr>
                      <w:sz w:val="22"/>
                      <w:szCs w:val="22"/>
                    </w:rPr>
                    <w:t>制度、技术、市场、监管、全民行动</w:t>
                  </w:r>
                  <w:r>
                    <w:rPr>
                      <w:rFonts w:hint="eastAsia"/>
                      <w:sz w:val="22"/>
                      <w:szCs w:val="22"/>
                      <w:lang w:eastAsia="zh-CN"/>
                    </w:rPr>
                    <w:t>“</w:t>
                  </w:r>
                  <w:r>
                    <w:rPr>
                      <w:sz w:val="22"/>
                      <w:szCs w:val="22"/>
                    </w:rPr>
                    <w:t>五大体系</w:t>
                  </w:r>
                  <w:r>
                    <w:rPr>
                      <w:rFonts w:hint="eastAsia"/>
                      <w:sz w:val="22"/>
                      <w:szCs w:val="22"/>
                      <w:lang w:eastAsia="zh-CN"/>
                    </w:rPr>
                    <w:t>”</w:t>
                  </w:r>
                  <w:r>
                    <w:rPr>
                      <w:sz w:val="22"/>
                      <w:szCs w:val="22"/>
                    </w:rPr>
                    <w:t>建设，推进城市固体废物精细化管理。</w:t>
                  </w:r>
                </w:p>
              </w:tc>
              <w:tc>
                <w:tcPr>
                  <w:tcW w:w="2170" w:type="dxa"/>
                  <w:vAlign w:val="center"/>
                </w:tcPr>
                <w:p w14:paraId="0E2C553C">
                  <w:pPr>
                    <w:pStyle w:val="41"/>
                    <w:rPr>
                      <w:sz w:val="22"/>
                      <w:szCs w:val="22"/>
                    </w:rPr>
                  </w:pPr>
                  <w:r>
                    <w:rPr>
                      <w:rFonts w:hint="eastAsia"/>
                      <w:sz w:val="22"/>
                      <w:szCs w:val="22"/>
                    </w:rPr>
                    <w:t>项目不涉及</w:t>
                  </w:r>
                </w:p>
              </w:tc>
              <w:tc>
                <w:tcPr>
                  <w:tcW w:w="2106" w:type="dxa"/>
                  <w:vAlign w:val="center"/>
                </w:tcPr>
                <w:p w14:paraId="715A5B72">
                  <w:pPr>
                    <w:pStyle w:val="41"/>
                    <w:rPr>
                      <w:sz w:val="22"/>
                      <w:szCs w:val="22"/>
                    </w:rPr>
                  </w:pPr>
                  <w:r>
                    <w:rPr>
                      <w:rFonts w:hint="eastAsia"/>
                      <w:sz w:val="22"/>
                      <w:szCs w:val="22"/>
                    </w:rPr>
                    <w:t>符合</w:t>
                  </w:r>
                </w:p>
              </w:tc>
            </w:tr>
            <w:tr w14:paraId="7872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59294ECD">
                  <w:pPr>
                    <w:pStyle w:val="41"/>
                    <w:rPr>
                      <w:sz w:val="22"/>
                      <w:szCs w:val="22"/>
                    </w:rPr>
                  </w:pPr>
                </w:p>
              </w:tc>
              <w:tc>
                <w:tcPr>
                  <w:tcW w:w="1743" w:type="dxa"/>
                  <w:vMerge w:val="restart"/>
                  <w:vAlign w:val="center"/>
                </w:tcPr>
                <w:p w14:paraId="6CAF2CAF">
                  <w:pPr>
                    <w:pStyle w:val="41"/>
                    <w:rPr>
                      <w:sz w:val="22"/>
                      <w:szCs w:val="22"/>
                    </w:rPr>
                  </w:pPr>
                  <w:r>
                    <w:rPr>
                      <w:rFonts w:hint="eastAsia"/>
                      <w:sz w:val="22"/>
                      <w:szCs w:val="22"/>
                    </w:rPr>
                    <w:t>环境风险防控</w:t>
                  </w:r>
                </w:p>
              </w:tc>
              <w:tc>
                <w:tcPr>
                  <w:tcW w:w="6287" w:type="dxa"/>
                  <w:vAlign w:val="center"/>
                </w:tcPr>
                <w:p w14:paraId="3C3D4712">
                  <w:pPr>
                    <w:pStyle w:val="41"/>
                    <w:rPr>
                      <w:sz w:val="22"/>
                      <w:szCs w:val="22"/>
                    </w:rPr>
                  </w:pPr>
                  <w:r>
                    <w:rPr>
                      <w:rFonts w:hint="eastAsia"/>
                      <w:sz w:val="22"/>
                      <w:szCs w:val="22"/>
                    </w:rPr>
                    <w:t>第十六条</w:t>
                  </w:r>
                  <w:r>
                    <w:rPr>
                      <w:sz w:val="22"/>
                      <w:szCs w:val="22"/>
                    </w:rPr>
                    <w:t>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2170" w:type="dxa"/>
                  <w:vAlign w:val="center"/>
                </w:tcPr>
                <w:p w14:paraId="01183D0C">
                  <w:pPr>
                    <w:pStyle w:val="41"/>
                    <w:rPr>
                      <w:sz w:val="22"/>
                      <w:szCs w:val="22"/>
                    </w:rPr>
                  </w:pPr>
                  <w:r>
                    <w:rPr>
                      <w:rFonts w:hint="eastAsia"/>
                      <w:sz w:val="22"/>
                      <w:szCs w:val="22"/>
                    </w:rPr>
                    <w:t>企业已落实突发环境事件风险评估制度，并完成风险评估和应急预案备案</w:t>
                  </w:r>
                </w:p>
              </w:tc>
              <w:tc>
                <w:tcPr>
                  <w:tcW w:w="2106" w:type="dxa"/>
                  <w:vAlign w:val="center"/>
                </w:tcPr>
                <w:p w14:paraId="3C80267F">
                  <w:pPr>
                    <w:pStyle w:val="41"/>
                    <w:rPr>
                      <w:sz w:val="22"/>
                      <w:szCs w:val="22"/>
                    </w:rPr>
                  </w:pPr>
                  <w:r>
                    <w:rPr>
                      <w:rFonts w:hint="eastAsia"/>
                      <w:sz w:val="22"/>
                      <w:szCs w:val="22"/>
                    </w:rPr>
                    <w:t>符合</w:t>
                  </w:r>
                </w:p>
              </w:tc>
            </w:tr>
            <w:tr w14:paraId="4D6B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1D55EBBA">
                  <w:pPr>
                    <w:pStyle w:val="41"/>
                    <w:rPr>
                      <w:sz w:val="22"/>
                      <w:szCs w:val="22"/>
                    </w:rPr>
                  </w:pPr>
                </w:p>
              </w:tc>
              <w:tc>
                <w:tcPr>
                  <w:tcW w:w="1743" w:type="dxa"/>
                  <w:vMerge w:val="continue"/>
                  <w:vAlign w:val="center"/>
                </w:tcPr>
                <w:p w14:paraId="5F9D028E">
                  <w:pPr>
                    <w:pStyle w:val="41"/>
                    <w:rPr>
                      <w:sz w:val="22"/>
                      <w:szCs w:val="22"/>
                    </w:rPr>
                  </w:pPr>
                </w:p>
              </w:tc>
              <w:tc>
                <w:tcPr>
                  <w:tcW w:w="6287" w:type="dxa"/>
                  <w:vAlign w:val="center"/>
                </w:tcPr>
                <w:p w14:paraId="5265863A">
                  <w:pPr>
                    <w:pStyle w:val="41"/>
                    <w:rPr>
                      <w:sz w:val="22"/>
                      <w:szCs w:val="22"/>
                    </w:rPr>
                  </w:pPr>
                  <w:r>
                    <w:rPr>
                      <w:rFonts w:hint="eastAsia"/>
                      <w:sz w:val="22"/>
                      <w:szCs w:val="22"/>
                    </w:rPr>
                    <w:t>第十七条</w:t>
                  </w:r>
                  <w:r>
                    <w:rPr>
                      <w:sz w:val="22"/>
                      <w:szCs w:val="22"/>
                    </w:rPr>
                    <w:t>强化化工园区涉水突发环境事件四级环境风险防范体系建设。持续推进重点化工园区（化工集中区）建设有毒有害气体监测预警体系和水质生物毒性预警体系。</w:t>
                  </w:r>
                </w:p>
              </w:tc>
              <w:tc>
                <w:tcPr>
                  <w:tcW w:w="2170" w:type="dxa"/>
                  <w:vAlign w:val="center"/>
                </w:tcPr>
                <w:p w14:paraId="247DCF8D">
                  <w:pPr>
                    <w:pStyle w:val="41"/>
                    <w:rPr>
                      <w:sz w:val="22"/>
                      <w:szCs w:val="22"/>
                    </w:rPr>
                  </w:pPr>
                  <w:r>
                    <w:rPr>
                      <w:rFonts w:hint="eastAsia"/>
                      <w:sz w:val="22"/>
                      <w:szCs w:val="22"/>
                    </w:rPr>
                    <w:t>项目不涉及</w:t>
                  </w:r>
                </w:p>
              </w:tc>
              <w:tc>
                <w:tcPr>
                  <w:tcW w:w="2106" w:type="dxa"/>
                  <w:vAlign w:val="center"/>
                </w:tcPr>
                <w:p w14:paraId="3BA66D2C">
                  <w:pPr>
                    <w:pStyle w:val="41"/>
                    <w:rPr>
                      <w:sz w:val="22"/>
                      <w:szCs w:val="22"/>
                    </w:rPr>
                  </w:pPr>
                  <w:r>
                    <w:rPr>
                      <w:rFonts w:hint="eastAsia"/>
                      <w:sz w:val="22"/>
                      <w:szCs w:val="22"/>
                    </w:rPr>
                    <w:t>符合</w:t>
                  </w:r>
                </w:p>
              </w:tc>
            </w:tr>
            <w:tr w14:paraId="4B2C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466D05F3">
                  <w:pPr>
                    <w:pStyle w:val="41"/>
                    <w:rPr>
                      <w:sz w:val="22"/>
                      <w:szCs w:val="22"/>
                    </w:rPr>
                  </w:pPr>
                </w:p>
              </w:tc>
              <w:tc>
                <w:tcPr>
                  <w:tcW w:w="1743" w:type="dxa"/>
                  <w:vMerge w:val="restart"/>
                  <w:vAlign w:val="center"/>
                </w:tcPr>
                <w:p w14:paraId="5C38834D">
                  <w:pPr>
                    <w:pStyle w:val="41"/>
                    <w:rPr>
                      <w:sz w:val="22"/>
                      <w:szCs w:val="22"/>
                    </w:rPr>
                  </w:pPr>
                  <w:r>
                    <w:rPr>
                      <w:rFonts w:hint="eastAsia"/>
                      <w:sz w:val="22"/>
                      <w:szCs w:val="22"/>
                    </w:rPr>
                    <w:t>资源开发利用效率</w:t>
                  </w:r>
                </w:p>
              </w:tc>
              <w:tc>
                <w:tcPr>
                  <w:tcW w:w="6287" w:type="dxa"/>
                  <w:vAlign w:val="center"/>
                </w:tcPr>
                <w:p w14:paraId="43CC9D24">
                  <w:pPr>
                    <w:pStyle w:val="41"/>
                    <w:rPr>
                      <w:sz w:val="22"/>
                      <w:szCs w:val="22"/>
                    </w:rPr>
                  </w:pPr>
                  <w:r>
                    <w:rPr>
                      <w:rFonts w:hint="eastAsia"/>
                      <w:sz w:val="22"/>
                      <w:szCs w:val="22"/>
                    </w:rPr>
                    <w:t>第十八条</w:t>
                  </w:r>
                  <w:r>
                    <w:rPr>
                      <w:sz w:val="22"/>
                      <w:szCs w:val="22"/>
                    </w:rPr>
                    <w:t>实施能源领域碳达峰碳中和行动，科学有序推动能源生产消费方式绿色低碳变革。实施可再生能源替代，减少化石能源消费。加强产业布局和能耗</w:t>
                  </w:r>
                  <w:r>
                    <w:rPr>
                      <w:rFonts w:hint="eastAsia"/>
                      <w:sz w:val="22"/>
                      <w:szCs w:val="22"/>
                      <w:lang w:eastAsia="zh-CN"/>
                    </w:rPr>
                    <w:t>“</w:t>
                  </w:r>
                  <w:r>
                    <w:rPr>
                      <w:sz w:val="22"/>
                      <w:szCs w:val="22"/>
                    </w:rPr>
                    <w:t>双控</w:t>
                  </w:r>
                  <w:r>
                    <w:rPr>
                      <w:rFonts w:hint="eastAsia"/>
                      <w:sz w:val="22"/>
                      <w:szCs w:val="22"/>
                      <w:lang w:eastAsia="zh-CN"/>
                    </w:rPr>
                    <w:t>”</w:t>
                  </w:r>
                  <w:r>
                    <w:rPr>
                      <w:sz w:val="22"/>
                      <w:szCs w:val="22"/>
                    </w:rPr>
                    <w:t>政策衔接，促进重点用能领域用能结构优化和能效提升。</w:t>
                  </w:r>
                </w:p>
              </w:tc>
              <w:tc>
                <w:tcPr>
                  <w:tcW w:w="2170" w:type="dxa"/>
                  <w:vAlign w:val="center"/>
                </w:tcPr>
                <w:p w14:paraId="6CBC415A">
                  <w:pPr>
                    <w:pStyle w:val="41"/>
                    <w:rPr>
                      <w:sz w:val="22"/>
                      <w:szCs w:val="22"/>
                    </w:rPr>
                  </w:pPr>
                  <w:r>
                    <w:rPr>
                      <w:rFonts w:hint="eastAsia"/>
                      <w:sz w:val="22"/>
                      <w:szCs w:val="22"/>
                    </w:rPr>
                    <w:t>项目不涉及</w:t>
                  </w:r>
                </w:p>
              </w:tc>
              <w:tc>
                <w:tcPr>
                  <w:tcW w:w="2106" w:type="dxa"/>
                  <w:vAlign w:val="center"/>
                </w:tcPr>
                <w:p w14:paraId="26C6BFC7">
                  <w:pPr>
                    <w:pStyle w:val="41"/>
                    <w:rPr>
                      <w:sz w:val="22"/>
                      <w:szCs w:val="22"/>
                    </w:rPr>
                  </w:pPr>
                  <w:r>
                    <w:rPr>
                      <w:rFonts w:hint="eastAsia"/>
                      <w:sz w:val="22"/>
                      <w:szCs w:val="22"/>
                    </w:rPr>
                    <w:t>符合</w:t>
                  </w:r>
                </w:p>
              </w:tc>
            </w:tr>
            <w:tr w14:paraId="3A5F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13174D23">
                  <w:pPr>
                    <w:pStyle w:val="41"/>
                    <w:rPr>
                      <w:sz w:val="22"/>
                      <w:szCs w:val="22"/>
                    </w:rPr>
                  </w:pPr>
                </w:p>
              </w:tc>
              <w:tc>
                <w:tcPr>
                  <w:tcW w:w="1743" w:type="dxa"/>
                  <w:vMerge w:val="continue"/>
                  <w:vAlign w:val="center"/>
                </w:tcPr>
                <w:p w14:paraId="74433316">
                  <w:pPr>
                    <w:pStyle w:val="41"/>
                    <w:rPr>
                      <w:sz w:val="22"/>
                      <w:szCs w:val="22"/>
                    </w:rPr>
                  </w:pPr>
                </w:p>
              </w:tc>
              <w:tc>
                <w:tcPr>
                  <w:tcW w:w="6287" w:type="dxa"/>
                  <w:vAlign w:val="center"/>
                </w:tcPr>
                <w:p w14:paraId="2552F351">
                  <w:pPr>
                    <w:pStyle w:val="41"/>
                    <w:rPr>
                      <w:sz w:val="22"/>
                      <w:szCs w:val="22"/>
                    </w:rPr>
                  </w:pPr>
                  <w:r>
                    <w:rPr>
                      <w:rFonts w:hint="eastAsia"/>
                      <w:sz w:val="22"/>
                      <w:szCs w:val="22"/>
                    </w:rPr>
                    <w:t>第十九条</w:t>
                  </w:r>
                  <w:r>
                    <w:rPr>
                      <w:sz w:val="22"/>
                      <w:szCs w:val="22"/>
                    </w:rPr>
                    <w:t>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2170" w:type="dxa"/>
                  <w:vAlign w:val="center"/>
                </w:tcPr>
                <w:p w14:paraId="7F671CD4">
                  <w:pPr>
                    <w:pStyle w:val="41"/>
                    <w:rPr>
                      <w:sz w:val="22"/>
                      <w:szCs w:val="22"/>
                    </w:rPr>
                  </w:pPr>
                  <w:r>
                    <w:rPr>
                      <w:rFonts w:hint="eastAsia"/>
                      <w:sz w:val="22"/>
                      <w:szCs w:val="22"/>
                    </w:rPr>
                    <w:t>项目仅涉及用电，属于清洁能源，符合产业绿色低碳循环发展</w:t>
                  </w:r>
                </w:p>
              </w:tc>
              <w:tc>
                <w:tcPr>
                  <w:tcW w:w="2106" w:type="dxa"/>
                  <w:vAlign w:val="center"/>
                </w:tcPr>
                <w:p w14:paraId="397D531E">
                  <w:pPr>
                    <w:pStyle w:val="41"/>
                    <w:rPr>
                      <w:sz w:val="22"/>
                      <w:szCs w:val="22"/>
                    </w:rPr>
                  </w:pPr>
                  <w:r>
                    <w:rPr>
                      <w:rFonts w:hint="eastAsia"/>
                      <w:sz w:val="22"/>
                      <w:szCs w:val="22"/>
                    </w:rPr>
                    <w:t>符合</w:t>
                  </w:r>
                </w:p>
              </w:tc>
            </w:tr>
            <w:tr w14:paraId="3A52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27BDF3CF">
                  <w:pPr>
                    <w:pStyle w:val="41"/>
                    <w:rPr>
                      <w:sz w:val="22"/>
                      <w:szCs w:val="22"/>
                    </w:rPr>
                  </w:pPr>
                </w:p>
              </w:tc>
              <w:tc>
                <w:tcPr>
                  <w:tcW w:w="1743" w:type="dxa"/>
                  <w:vMerge w:val="continue"/>
                  <w:vAlign w:val="center"/>
                </w:tcPr>
                <w:p w14:paraId="4EB3DD98">
                  <w:pPr>
                    <w:pStyle w:val="41"/>
                    <w:rPr>
                      <w:sz w:val="22"/>
                      <w:szCs w:val="22"/>
                    </w:rPr>
                  </w:pPr>
                </w:p>
              </w:tc>
              <w:tc>
                <w:tcPr>
                  <w:tcW w:w="6287" w:type="dxa"/>
                  <w:vAlign w:val="center"/>
                </w:tcPr>
                <w:p w14:paraId="31BA4958">
                  <w:pPr>
                    <w:pStyle w:val="41"/>
                    <w:rPr>
                      <w:sz w:val="22"/>
                      <w:szCs w:val="22"/>
                    </w:rPr>
                  </w:pPr>
                  <w:r>
                    <w:rPr>
                      <w:rFonts w:hint="eastAsia"/>
                      <w:sz w:val="22"/>
                      <w:szCs w:val="22"/>
                    </w:rPr>
                    <w:t>第二十条</w:t>
                  </w:r>
                  <w:r>
                    <w:rPr>
                      <w:sz w:val="22"/>
                      <w:szCs w:val="22"/>
                    </w:rPr>
                    <w:t>新建、扩建“两高”项目应采用先进适用的工艺技术和装备，单位产品物耗、能耗、水耗等达到清洁生产先进水平。</w:t>
                  </w:r>
                </w:p>
              </w:tc>
              <w:tc>
                <w:tcPr>
                  <w:tcW w:w="2170" w:type="dxa"/>
                  <w:vAlign w:val="center"/>
                </w:tcPr>
                <w:p w14:paraId="3C511A25">
                  <w:pPr>
                    <w:pStyle w:val="41"/>
                    <w:rPr>
                      <w:sz w:val="22"/>
                      <w:szCs w:val="22"/>
                    </w:rPr>
                  </w:pPr>
                  <w:r>
                    <w:rPr>
                      <w:rFonts w:hint="eastAsia"/>
                      <w:sz w:val="22"/>
                      <w:szCs w:val="22"/>
                    </w:rPr>
                    <w:t>本项目不属于</w:t>
                  </w:r>
                  <w:r>
                    <w:rPr>
                      <w:rFonts w:hint="eastAsia"/>
                      <w:sz w:val="22"/>
                      <w:szCs w:val="22"/>
                      <w:lang w:eastAsia="zh-CN"/>
                    </w:rPr>
                    <w:t>“</w:t>
                  </w:r>
                  <w:r>
                    <w:rPr>
                      <w:sz w:val="22"/>
                      <w:szCs w:val="22"/>
                    </w:rPr>
                    <w:t>两高</w:t>
                  </w:r>
                  <w:r>
                    <w:rPr>
                      <w:rFonts w:hint="eastAsia"/>
                      <w:sz w:val="22"/>
                      <w:szCs w:val="22"/>
                      <w:lang w:eastAsia="zh-CN"/>
                    </w:rPr>
                    <w:t>”</w:t>
                  </w:r>
                  <w:r>
                    <w:rPr>
                      <w:sz w:val="22"/>
                      <w:szCs w:val="22"/>
                    </w:rPr>
                    <w:t>项目</w:t>
                  </w:r>
                </w:p>
              </w:tc>
              <w:tc>
                <w:tcPr>
                  <w:tcW w:w="2106" w:type="dxa"/>
                  <w:vAlign w:val="center"/>
                </w:tcPr>
                <w:p w14:paraId="3E28C25D">
                  <w:pPr>
                    <w:pStyle w:val="41"/>
                    <w:rPr>
                      <w:sz w:val="22"/>
                      <w:szCs w:val="22"/>
                    </w:rPr>
                  </w:pPr>
                  <w:r>
                    <w:rPr>
                      <w:rFonts w:hint="eastAsia"/>
                      <w:sz w:val="22"/>
                      <w:szCs w:val="22"/>
                    </w:rPr>
                    <w:t>符合</w:t>
                  </w:r>
                </w:p>
              </w:tc>
            </w:tr>
            <w:tr w14:paraId="0593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6E5DD94E">
                  <w:pPr>
                    <w:pStyle w:val="41"/>
                    <w:rPr>
                      <w:sz w:val="22"/>
                      <w:szCs w:val="22"/>
                    </w:rPr>
                  </w:pPr>
                </w:p>
              </w:tc>
              <w:tc>
                <w:tcPr>
                  <w:tcW w:w="1743" w:type="dxa"/>
                  <w:vMerge w:val="continue"/>
                  <w:vAlign w:val="center"/>
                </w:tcPr>
                <w:p w14:paraId="1E9EA661">
                  <w:pPr>
                    <w:pStyle w:val="41"/>
                    <w:rPr>
                      <w:sz w:val="22"/>
                      <w:szCs w:val="22"/>
                    </w:rPr>
                  </w:pPr>
                </w:p>
              </w:tc>
              <w:tc>
                <w:tcPr>
                  <w:tcW w:w="6287" w:type="dxa"/>
                  <w:vAlign w:val="center"/>
                </w:tcPr>
                <w:p w14:paraId="60D662C5">
                  <w:pPr>
                    <w:pStyle w:val="41"/>
                    <w:rPr>
                      <w:sz w:val="22"/>
                      <w:szCs w:val="22"/>
                    </w:rPr>
                  </w:pPr>
                  <w:r>
                    <w:rPr>
                      <w:rFonts w:hint="eastAsia"/>
                      <w:sz w:val="22"/>
                      <w:szCs w:val="22"/>
                    </w:rPr>
                    <w:t>第二十一条</w:t>
                  </w:r>
                  <w:r>
                    <w:rPr>
                      <w:sz w:val="22"/>
                      <w:szCs w:val="22"/>
                    </w:rPr>
                    <w:t>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2170" w:type="dxa"/>
                  <w:vAlign w:val="center"/>
                </w:tcPr>
                <w:p w14:paraId="11F11096">
                  <w:pPr>
                    <w:pStyle w:val="41"/>
                    <w:rPr>
                      <w:sz w:val="22"/>
                      <w:szCs w:val="22"/>
                    </w:rPr>
                  </w:pPr>
                  <w:r>
                    <w:rPr>
                      <w:rFonts w:hint="eastAsia"/>
                      <w:sz w:val="22"/>
                      <w:szCs w:val="22"/>
                    </w:rPr>
                    <w:t>本项目不属于</w:t>
                  </w:r>
                  <w:r>
                    <w:rPr>
                      <w:sz w:val="22"/>
                      <w:szCs w:val="22"/>
                    </w:rPr>
                    <w:t>火电、石化、有色金属、造纸、印染等高耗水行业</w:t>
                  </w:r>
                </w:p>
              </w:tc>
              <w:tc>
                <w:tcPr>
                  <w:tcW w:w="2106" w:type="dxa"/>
                  <w:vAlign w:val="center"/>
                </w:tcPr>
                <w:p w14:paraId="3A83D5C8">
                  <w:pPr>
                    <w:pStyle w:val="41"/>
                    <w:rPr>
                      <w:sz w:val="22"/>
                      <w:szCs w:val="22"/>
                    </w:rPr>
                  </w:pPr>
                  <w:r>
                    <w:rPr>
                      <w:rFonts w:hint="eastAsia"/>
                      <w:sz w:val="22"/>
                      <w:szCs w:val="22"/>
                    </w:rPr>
                    <w:t>符合</w:t>
                  </w:r>
                </w:p>
              </w:tc>
            </w:tr>
            <w:tr w14:paraId="18E53D35">
              <w:tblPrEx>
                <w:tblCellMar>
                  <w:top w:w="0" w:type="dxa"/>
                  <w:left w:w="108" w:type="dxa"/>
                  <w:bottom w:w="0" w:type="dxa"/>
                  <w:right w:w="108" w:type="dxa"/>
                </w:tblCellMar>
              </w:tblPrEx>
              <w:trPr>
                <w:trHeight w:val="90" w:hRule="atLeast"/>
                <w:jc w:val="center"/>
              </w:trPr>
              <w:tc>
                <w:tcPr>
                  <w:tcW w:w="1120" w:type="dxa"/>
                  <w:vMerge w:val="continue"/>
                  <w:vAlign w:val="center"/>
                </w:tcPr>
                <w:p w14:paraId="033B61D8">
                  <w:pPr>
                    <w:pStyle w:val="41"/>
                    <w:rPr>
                      <w:sz w:val="22"/>
                      <w:szCs w:val="22"/>
                    </w:rPr>
                  </w:pPr>
                </w:p>
              </w:tc>
              <w:tc>
                <w:tcPr>
                  <w:tcW w:w="1743" w:type="dxa"/>
                  <w:vMerge w:val="continue"/>
                  <w:vAlign w:val="center"/>
                </w:tcPr>
                <w:p w14:paraId="411F698F">
                  <w:pPr>
                    <w:pStyle w:val="41"/>
                    <w:rPr>
                      <w:sz w:val="22"/>
                      <w:szCs w:val="22"/>
                    </w:rPr>
                  </w:pPr>
                </w:p>
              </w:tc>
              <w:tc>
                <w:tcPr>
                  <w:tcW w:w="6287" w:type="dxa"/>
                  <w:vAlign w:val="center"/>
                </w:tcPr>
                <w:p w14:paraId="23F0227E">
                  <w:pPr>
                    <w:pStyle w:val="41"/>
                    <w:rPr>
                      <w:sz w:val="22"/>
                      <w:szCs w:val="22"/>
                    </w:rPr>
                  </w:pPr>
                  <w:r>
                    <w:rPr>
                      <w:rFonts w:hint="eastAsia"/>
                      <w:sz w:val="22"/>
                      <w:szCs w:val="22"/>
                    </w:rPr>
                    <w:t>第二十二条</w:t>
                  </w:r>
                  <w:r>
                    <w:rPr>
                      <w:sz w:val="22"/>
                      <w:szCs w:val="22"/>
                    </w:rPr>
                    <w:t>加快推进节水配套设施建设，加强再生水、雨水等非常规水多元、梯级和安全利用，逐年提高非常规水利用比例。结合现有污水处理设施提标升级扩能改造，系统规划城镇污水再生利用设施。</w:t>
                  </w:r>
                </w:p>
              </w:tc>
              <w:tc>
                <w:tcPr>
                  <w:tcW w:w="2170" w:type="dxa"/>
                  <w:vAlign w:val="center"/>
                </w:tcPr>
                <w:p w14:paraId="12F5A729">
                  <w:pPr>
                    <w:pStyle w:val="41"/>
                    <w:rPr>
                      <w:sz w:val="22"/>
                      <w:szCs w:val="22"/>
                    </w:rPr>
                  </w:pPr>
                  <w:r>
                    <w:rPr>
                      <w:rFonts w:hint="eastAsia"/>
                      <w:sz w:val="22"/>
                      <w:szCs w:val="22"/>
                    </w:rPr>
                    <w:t>项目不涉及</w:t>
                  </w:r>
                </w:p>
              </w:tc>
              <w:tc>
                <w:tcPr>
                  <w:tcW w:w="2106" w:type="dxa"/>
                  <w:vAlign w:val="center"/>
                </w:tcPr>
                <w:p w14:paraId="18506852">
                  <w:pPr>
                    <w:pStyle w:val="41"/>
                    <w:rPr>
                      <w:sz w:val="22"/>
                      <w:szCs w:val="22"/>
                    </w:rPr>
                  </w:pPr>
                  <w:r>
                    <w:rPr>
                      <w:rFonts w:hint="eastAsia"/>
                      <w:sz w:val="22"/>
                      <w:szCs w:val="22"/>
                    </w:rPr>
                    <w:t>符合</w:t>
                  </w:r>
                </w:p>
              </w:tc>
            </w:tr>
            <w:tr w14:paraId="2BA3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restart"/>
                  <w:vAlign w:val="center"/>
                </w:tcPr>
                <w:p w14:paraId="14FECA0F">
                  <w:pPr>
                    <w:pStyle w:val="41"/>
                    <w:rPr>
                      <w:color w:val="auto"/>
                      <w:sz w:val="22"/>
                      <w:szCs w:val="22"/>
                    </w:rPr>
                  </w:pPr>
                  <w:r>
                    <w:rPr>
                      <w:rFonts w:hint="eastAsia"/>
                      <w:color w:val="auto"/>
                      <w:sz w:val="22"/>
                      <w:szCs w:val="22"/>
                    </w:rPr>
                    <w:t>九龙坡区总体管控要求</w:t>
                  </w:r>
                </w:p>
              </w:tc>
              <w:tc>
                <w:tcPr>
                  <w:tcW w:w="1743" w:type="dxa"/>
                  <w:vMerge w:val="restart"/>
                  <w:vAlign w:val="center"/>
                </w:tcPr>
                <w:p w14:paraId="615A35D9">
                  <w:pPr>
                    <w:pStyle w:val="41"/>
                    <w:rPr>
                      <w:color w:val="auto"/>
                      <w:sz w:val="22"/>
                      <w:szCs w:val="22"/>
                    </w:rPr>
                  </w:pPr>
                  <w:r>
                    <w:rPr>
                      <w:rFonts w:hint="eastAsia"/>
                      <w:color w:val="auto"/>
                      <w:sz w:val="22"/>
                      <w:szCs w:val="22"/>
                    </w:rPr>
                    <w:t>空间布局约束</w:t>
                  </w:r>
                </w:p>
              </w:tc>
              <w:tc>
                <w:tcPr>
                  <w:tcW w:w="6287" w:type="dxa"/>
                  <w:vAlign w:val="center"/>
                </w:tcPr>
                <w:p w14:paraId="54FE6BD2">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第一条执行重点管控单元市级总体要求第一条、第二条、第三条、第四条、第五条和第七条。</w:t>
                  </w:r>
                </w:p>
              </w:tc>
              <w:tc>
                <w:tcPr>
                  <w:tcW w:w="2170" w:type="dxa"/>
                  <w:vAlign w:val="center"/>
                </w:tcPr>
                <w:p w14:paraId="4388B63A">
                  <w:pPr>
                    <w:pStyle w:val="41"/>
                    <w:rPr>
                      <w:rFonts w:hint="eastAsia" w:eastAsia="宋体"/>
                      <w:color w:val="auto"/>
                      <w:sz w:val="22"/>
                      <w:szCs w:val="22"/>
                      <w:lang w:eastAsia="zh-CN"/>
                    </w:rPr>
                  </w:pPr>
                  <w:r>
                    <w:rPr>
                      <w:rFonts w:hint="eastAsia"/>
                      <w:color w:val="auto"/>
                      <w:sz w:val="22"/>
                      <w:szCs w:val="22"/>
                    </w:rPr>
                    <w:t>本项目不属于化工</w:t>
                  </w:r>
                  <w:r>
                    <w:rPr>
                      <w:rFonts w:hint="eastAsia"/>
                      <w:color w:val="auto"/>
                      <w:sz w:val="22"/>
                      <w:szCs w:val="22"/>
                      <w:lang w:eastAsia="zh-CN"/>
                    </w:rPr>
                    <w:t>、</w:t>
                  </w:r>
                  <w:r>
                    <w:rPr>
                      <w:color w:val="auto"/>
                      <w:sz w:val="22"/>
                      <w:szCs w:val="22"/>
                    </w:rPr>
                    <w:t>钢铁、石化、化工、焦化、建材、有色、制浆造纸</w:t>
                  </w:r>
                  <w:r>
                    <w:rPr>
                      <w:rFonts w:hint="eastAsia"/>
                      <w:color w:val="auto"/>
                      <w:sz w:val="22"/>
                      <w:szCs w:val="22"/>
                    </w:rPr>
                    <w:t>项目，不属于</w:t>
                  </w:r>
                  <w:r>
                    <w:rPr>
                      <w:color w:val="auto"/>
                      <w:sz w:val="22"/>
                      <w:szCs w:val="22"/>
                    </w:rPr>
                    <w:t>高耗能、高排放、低水平项目</w:t>
                  </w:r>
                  <w:r>
                    <w:rPr>
                      <w:rFonts w:hint="eastAsia"/>
                      <w:color w:val="auto"/>
                      <w:sz w:val="22"/>
                      <w:szCs w:val="22"/>
                      <w:lang w:eastAsia="zh-CN"/>
                    </w:rPr>
                    <w:t>、</w:t>
                  </w:r>
                  <w:r>
                    <w:rPr>
                      <w:rFonts w:hint="eastAsia"/>
                      <w:color w:val="auto"/>
                      <w:sz w:val="22"/>
                      <w:szCs w:val="22"/>
                    </w:rPr>
                    <w:t>不属于</w:t>
                  </w:r>
                  <w:r>
                    <w:rPr>
                      <w:color w:val="auto"/>
                      <w:sz w:val="22"/>
                      <w:szCs w:val="22"/>
                    </w:rPr>
                    <w:t>新建、扩建有色金属冶炼、电镀、铅蓄电池等企业</w:t>
                  </w:r>
                  <w:r>
                    <w:rPr>
                      <w:rFonts w:hint="eastAsia"/>
                      <w:color w:val="auto"/>
                      <w:sz w:val="22"/>
                      <w:szCs w:val="22"/>
                      <w:lang w:eastAsia="zh-CN"/>
                    </w:rPr>
                    <w:t>，</w:t>
                  </w:r>
                  <w:r>
                    <w:rPr>
                      <w:rFonts w:hint="eastAsia"/>
                      <w:color w:val="auto"/>
                      <w:sz w:val="22"/>
                      <w:szCs w:val="22"/>
                      <w:lang w:val="en-US" w:eastAsia="zh-CN"/>
                    </w:rPr>
                    <w:t>项目</w:t>
                  </w:r>
                  <w:r>
                    <w:rPr>
                      <w:rFonts w:hint="eastAsia"/>
                      <w:color w:val="auto"/>
                      <w:sz w:val="22"/>
                      <w:szCs w:val="22"/>
                    </w:rPr>
                    <w:t>位于工业园区，</w:t>
                  </w:r>
                  <w:r>
                    <w:rPr>
                      <w:color w:val="auto"/>
                      <w:sz w:val="22"/>
                      <w:szCs w:val="22"/>
                    </w:rPr>
                    <w:t>开发活动限制在资源环境承载能力之内</w:t>
                  </w:r>
                </w:p>
              </w:tc>
              <w:tc>
                <w:tcPr>
                  <w:tcW w:w="2106" w:type="dxa"/>
                  <w:vAlign w:val="center"/>
                </w:tcPr>
                <w:p w14:paraId="3103C797">
                  <w:pPr>
                    <w:pStyle w:val="41"/>
                    <w:rPr>
                      <w:color w:val="auto"/>
                      <w:sz w:val="22"/>
                      <w:szCs w:val="22"/>
                    </w:rPr>
                  </w:pPr>
                  <w:r>
                    <w:rPr>
                      <w:rFonts w:hint="eastAsia"/>
                      <w:color w:val="auto"/>
                      <w:sz w:val="22"/>
                      <w:szCs w:val="22"/>
                    </w:rPr>
                    <w:t>符合</w:t>
                  </w:r>
                </w:p>
              </w:tc>
            </w:tr>
            <w:tr w14:paraId="547D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192A501F">
                  <w:pPr>
                    <w:pStyle w:val="41"/>
                    <w:rPr>
                      <w:color w:val="auto"/>
                      <w:sz w:val="22"/>
                      <w:szCs w:val="22"/>
                    </w:rPr>
                  </w:pPr>
                </w:p>
              </w:tc>
              <w:tc>
                <w:tcPr>
                  <w:tcW w:w="1743" w:type="dxa"/>
                  <w:vMerge w:val="continue"/>
                  <w:vAlign w:val="center"/>
                </w:tcPr>
                <w:p w14:paraId="0C17129E">
                  <w:pPr>
                    <w:pStyle w:val="41"/>
                    <w:rPr>
                      <w:color w:val="auto"/>
                      <w:sz w:val="22"/>
                      <w:szCs w:val="22"/>
                    </w:rPr>
                  </w:pPr>
                </w:p>
              </w:tc>
              <w:tc>
                <w:tcPr>
                  <w:tcW w:w="6287" w:type="dxa"/>
                  <w:vAlign w:val="center"/>
                </w:tcPr>
                <w:p w14:paraId="5552F818">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第二条以完善优势产业链发展作为方向，科学合理优化工业用地空间布局，推进产城融合高质量发展。有序推动九龙新城园区东部片区</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原九龙工业园区</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东三街</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和九龙街道工业用地转型升级，重点发展制造服务业</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推动九龙西城新能源、装备制造、新材料等产业往下游延伸。九龙新城园区西部片区(原西彭工业园区)内紧邻居住用地.中小学用地等的工业用地后续应严格控制高噪声、异味明显的项目入驻，并根据实际情况设置一定防护距离。</w:t>
                  </w:r>
                </w:p>
              </w:tc>
              <w:tc>
                <w:tcPr>
                  <w:tcW w:w="2170" w:type="dxa"/>
                  <w:vAlign w:val="center"/>
                </w:tcPr>
                <w:p w14:paraId="12C5D3A8">
                  <w:pPr>
                    <w:pStyle w:val="41"/>
                    <w:rPr>
                      <w:rFonts w:hint="eastAsia" w:eastAsia="宋体"/>
                      <w:color w:val="auto"/>
                      <w:sz w:val="22"/>
                      <w:szCs w:val="22"/>
                      <w:lang w:val="en-US" w:eastAsia="zh-CN"/>
                    </w:rPr>
                  </w:pPr>
                  <w:r>
                    <w:rPr>
                      <w:rFonts w:hint="eastAsia"/>
                      <w:color w:val="auto"/>
                      <w:sz w:val="22"/>
                      <w:szCs w:val="22"/>
                      <w:lang w:val="en-US" w:eastAsia="zh-CN"/>
                    </w:rPr>
                    <w:t>项目不涉及</w:t>
                  </w:r>
                </w:p>
              </w:tc>
              <w:tc>
                <w:tcPr>
                  <w:tcW w:w="2106" w:type="dxa"/>
                  <w:vAlign w:val="center"/>
                </w:tcPr>
                <w:p w14:paraId="537217C2">
                  <w:pPr>
                    <w:pStyle w:val="41"/>
                    <w:rPr>
                      <w:color w:val="auto"/>
                      <w:sz w:val="22"/>
                      <w:szCs w:val="22"/>
                    </w:rPr>
                  </w:pPr>
                  <w:r>
                    <w:rPr>
                      <w:rFonts w:hint="eastAsia"/>
                      <w:color w:val="auto"/>
                      <w:sz w:val="22"/>
                      <w:szCs w:val="22"/>
                    </w:rPr>
                    <w:t>符合</w:t>
                  </w:r>
                </w:p>
              </w:tc>
            </w:tr>
            <w:tr w14:paraId="343A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vMerge w:val="continue"/>
                  <w:vAlign w:val="center"/>
                </w:tcPr>
                <w:p w14:paraId="42B1C577">
                  <w:pPr>
                    <w:pStyle w:val="41"/>
                    <w:rPr>
                      <w:color w:val="auto"/>
                      <w:sz w:val="22"/>
                      <w:szCs w:val="22"/>
                    </w:rPr>
                  </w:pPr>
                </w:p>
              </w:tc>
              <w:tc>
                <w:tcPr>
                  <w:tcW w:w="1743" w:type="dxa"/>
                  <w:vMerge w:val="restart"/>
                  <w:vAlign w:val="center"/>
                </w:tcPr>
                <w:p w14:paraId="79721353">
                  <w:pPr>
                    <w:pStyle w:val="41"/>
                    <w:rPr>
                      <w:color w:val="auto"/>
                      <w:sz w:val="22"/>
                      <w:szCs w:val="22"/>
                    </w:rPr>
                  </w:pPr>
                  <w:r>
                    <w:rPr>
                      <w:rFonts w:hint="eastAsia"/>
                      <w:color w:val="auto"/>
                      <w:sz w:val="22"/>
                      <w:szCs w:val="22"/>
                    </w:rPr>
                    <w:t>污染物排放管控</w:t>
                  </w:r>
                </w:p>
              </w:tc>
              <w:tc>
                <w:tcPr>
                  <w:tcW w:w="6287" w:type="dxa"/>
                  <w:vAlign w:val="center"/>
                </w:tcPr>
                <w:p w14:paraId="7868CCD4">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第三条执行重点管控单元市级总体要求第八条、第九条、第十一条、第十二条、第十四条和第十五条。</w:t>
                  </w:r>
                </w:p>
              </w:tc>
              <w:tc>
                <w:tcPr>
                  <w:tcW w:w="2170" w:type="dxa"/>
                  <w:vAlign w:val="center"/>
                </w:tcPr>
                <w:p w14:paraId="28CF80CA">
                  <w:pPr>
                    <w:pStyle w:val="41"/>
                    <w:rPr>
                      <w:rFonts w:hint="eastAsia" w:eastAsia="宋体"/>
                      <w:color w:val="auto"/>
                      <w:sz w:val="22"/>
                      <w:szCs w:val="22"/>
                      <w:lang w:eastAsia="zh-CN"/>
                    </w:rPr>
                  </w:pPr>
                  <w:r>
                    <w:rPr>
                      <w:rFonts w:hint="eastAsia"/>
                      <w:color w:val="auto"/>
                      <w:sz w:val="22"/>
                      <w:szCs w:val="22"/>
                    </w:rPr>
                    <w:t>项目所在九龙坡区属于</w:t>
                  </w:r>
                  <w:r>
                    <w:rPr>
                      <w:color w:val="auto"/>
                      <w:sz w:val="22"/>
                      <w:szCs w:val="22"/>
                    </w:rPr>
                    <w:t>大气环境质量未达标地区</w:t>
                  </w:r>
                  <w:r>
                    <w:rPr>
                      <w:rFonts w:hint="eastAsia"/>
                      <w:color w:val="auto"/>
                      <w:sz w:val="22"/>
                      <w:szCs w:val="22"/>
                    </w:rPr>
                    <w:t>，</w:t>
                  </w:r>
                  <w:r>
                    <w:rPr>
                      <w:color w:val="auto"/>
                      <w:sz w:val="22"/>
                      <w:szCs w:val="22"/>
                    </w:rPr>
                    <w:t>实施严格的污染物排放总量控制要求</w:t>
                  </w:r>
                  <w:r>
                    <w:rPr>
                      <w:rFonts w:hint="eastAsia"/>
                      <w:color w:val="auto"/>
                      <w:sz w:val="22"/>
                      <w:szCs w:val="22"/>
                      <w:lang w:eastAsia="zh-CN"/>
                    </w:rPr>
                    <w:t>；</w:t>
                  </w:r>
                  <w:r>
                    <w:rPr>
                      <w:rFonts w:hint="eastAsia"/>
                      <w:color w:val="auto"/>
                      <w:sz w:val="22"/>
                      <w:szCs w:val="22"/>
                      <w:lang w:val="en-US" w:eastAsia="zh-CN"/>
                    </w:rPr>
                    <w:t>项目</w:t>
                  </w:r>
                  <w:r>
                    <w:rPr>
                      <w:rFonts w:hint="eastAsia"/>
                      <w:color w:val="auto"/>
                      <w:sz w:val="22"/>
                      <w:szCs w:val="22"/>
                    </w:rPr>
                    <w:t>污水</w:t>
                  </w:r>
                  <w:r>
                    <w:rPr>
                      <w:rFonts w:hint="eastAsia"/>
                      <w:color w:val="auto"/>
                      <w:sz w:val="22"/>
                      <w:szCs w:val="22"/>
                      <w:lang w:val="en-US" w:eastAsia="zh-CN"/>
                    </w:rPr>
                    <w:t>接入</w:t>
                  </w:r>
                  <w:r>
                    <w:rPr>
                      <w:rFonts w:hint="eastAsia"/>
                      <w:color w:val="auto"/>
                      <w:sz w:val="22"/>
                      <w:szCs w:val="22"/>
                    </w:rPr>
                    <w:t>陶家工业污水处理厂处理达标后排放</w:t>
                  </w:r>
                  <w:r>
                    <w:rPr>
                      <w:rFonts w:hint="eastAsia"/>
                      <w:color w:val="auto"/>
                      <w:sz w:val="22"/>
                      <w:szCs w:val="22"/>
                      <w:lang w:eastAsia="zh-CN"/>
                    </w:rPr>
                    <w:t>；</w:t>
                  </w:r>
                  <w:r>
                    <w:rPr>
                      <w:rFonts w:hint="eastAsia"/>
                      <w:color w:val="auto"/>
                      <w:sz w:val="22"/>
                      <w:szCs w:val="22"/>
                      <w:lang w:val="en-US" w:eastAsia="zh-CN"/>
                    </w:rPr>
                    <w:t>项目已</w:t>
                  </w:r>
                  <w:r>
                    <w:rPr>
                      <w:color w:val="auto"/>
                      <w:sz w:val="22"/>
                      <w:szCs w:val="22"/>
                    </w:rPr>
                    <w:t>建立工业固体废物产生、收集、贮存、运输、利用、处置全过程的污染环境防治责任制度</w:t>
                  </w:r>
                  <w:r>
                    <w:rPr>
                      <w:rFonts w:hint="eastAsia"/>
                      <w:color w:val="auto"/>
                      <w:sz w:val="22"/>
                      <w:szCs w:val="22"/>
                    </w:rPr>
                    <w:t>和</w:t>
                  </w:r>
                  <w:r>
                    <w:rPr>
                      <w:color w:val="auto"/>
                      <w:sz w:val="22"/>
                      <w:szCs w:val="22"/>
                    </w:rPr>
                    <w:t>工业固体废物管理台账</w:t>
                  </w:r>
                  <w:r>
                    <w:rPr>
                      <w:rFonts w:hint="eastAsia"/>
                      <w:color w:val="auto"/>
                      <w:sz w:val="22"/>
                      <w:szCs w:val="22"/>
                      <w:lang w:eastAsia="zh-CN"/>
                    </w:rPr>
                    <w:t>。</w:t>
                  </w:r>
                </w:p>
              </w:tc>
              <w:tc>
                <w:tcPr>
                  <w:tcW w:w="2106" w:type="dxa"/>
                  <w:vAlign w:val="center"/>
                </w:tcPr>
                <w:p w14:paraId="65C0B8C9">
                  <w:pPr>
                    <w:pStyle w:val="41"/>
                    <w:rPr>
                      <w:color w:val="auto"/>
                      <w:sz w:val="22"/>
                      <w:szCs w:val="22"/>
                    </w:rPr>
                  </w:pPr>
                  <w:r>
                    <w:rPr>
                      <w:rFonts w:hint="eastAsia"/>
                      <w:color w:val="auto"/>
                      <w:sz w:val="22"/>
                      <w:szCs w:val="22"/>
                    </w:rPr>
                    <w:t>符合</w:t>
                  </w:r>
                </w:p>
              </w:tc>
            </w:tr>
            <w:tr w14:paraId="75A8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0CDEEA93">
                  <w:pPr>
                    <w:pStyle w:val="41"/>
                    <w:rPr>
                      <w:color w:val="auto"/>
                      <w:sz w:val="22"/>
                      <w:szCs w:val="22"/>
                    </w:rPr>
                  </w:pPr>
                </w:p>
              </w:tc>
              <w:tc>
                <w:tcPr>
                  <w:tcW w:w="1743" w:type="dxa"/>
                  <w:vMerge w:val="continue"/>
                  <w:vAlign w:val="center"/>
                </w:tcPr>
                <w:p w14:paraId="72CA8421">
                  <w:pPr>
                    <w:pStyle w:val="41"/>
                    <w:rPr>
                      <w:color w:val="auto"/>
                      <w:sz w:val="22"/>
                      <w:szCs w:val="22"/>
                    </w:rPr>
                  </w:pPr>
                </w:p>
              </w:tc>
              <w:tc>
                <w:tcPr>
                  <w:tcW w:w="6287" w:type="dxa"/>
                  <w:vAlign w:val="center"/>
                </w:tcPr>
                <w:p w14:paraId="52412703">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第四条以重点行业为抓手，深化挥发性有机物治理，减缓工居混杂矛盾。以工业涂装、汽车维修、油品储运销等行业为重点，推动重点行业持续提升低</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无</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V</w:t>
                  </w:r>
                  <w:r>
                    <w:rPr>
                      <w:rFonts w:hint="default" w:ascii="Times New Roman" w:hAnsi="Times New Roman" w:eastAsia="宋体" w:cs="Times New Roman"/>
                      <w:color w:val="auto"/>
                      <w:sz w:val="22"/>
                      <w:szCs w:val="22"/>
                      <w:lang w:val="en-US" w:eastAsia="zh-CN"/>
                    </w:rPr>
                    <w:t>O</w:t>
                  </w:r>
                  <w:r>
                    <w:rPr>
                      <w:rFonts w:hint="default" w:ascii="Times New Roman" w:hAnsi="Times New Roman" w:eastAsia="宋体" w:cs="Times New Roman"/>
                      <w:color w:val="auto"/>
                      <w:sz w:val="22"/>
                      <w:szCs w:val="22"/>
                    </w:rPr>
                    <w:t>Cs含量、低反应活性的原辅材料替代比例，推进重点监管企业V</w:t>
                  </w:r>
                  <w:r>
                    <w:rPr>
                      <w:rFonts w:hint="default" w:ascii="Times New Roman" w:hAnsi="Times New Roman" w:eastAsia="宋体" w:cs="Times New Roman"/>
                      <w:color w:val="auto"/>
                      <w:sz w:val="22"/>
                      <w:szCs w:val="22"/>
                      <w:lang w:val="en-US" w:eastAsia="zh-CN"/>
                    </w:rPr>
                    <w:t>O</w:t>
                  </w:r>
                  <w:r>
                    <w:rPr>
                      <w:rFonts w:hint="default" w:ascii="Times New Roman" w:hAnsi="Times New Roman" w:eastAsia="宋体" w:cs="Times New Roman"/>
                      <w:color w:val="auto"/>
                      <w:sz w:val="22"/>
                      <w:szCs w:val="22"/>
                    </w:rPr>
                    <w:t>Cs综合整治。加强投诉较为集中的重点区域废气排放企业监督检查，加强重点排污企业污染治理设施和在线监控建设和运维。</w:t>
                  </w:r>
                </w:p>
              </w:tc>
              <w:tc>
                <w:tcPr>
                  <w:tcW w:w="2170" w:type="dxa"/>
                  <w:vAlign w:val="center"/>
                </w:tcPr>
                <w:p w14:paraId="357B0960">
                  <w:pPr>
                    <w:pStyle w:val="41"/>
                    <w:rPr>
                      <w:color w:val="auto"/>
                      <w:sz w:val="22"/>
                      <w:szCs w:val="22"/>
                    </w:rPr>
                  </w:pPr>
                  <w:r>
                    <w:rPr>
                      <w:rFonts w:hint="eastAsia"/>
                      <w:color w:val="auto"/>
                      <w:sz w:val="22"/>
                      <w:szCs w:val="22"/>
                      <w:lang w:val="en-US" w:eastAsia="zh-CN"/>
                    </w:rPr>
                    <w:t>本项目使用的螺纹胶VOCs含量＜10%，不属于挥发性物料，挥发性有机物含量满足满足《胶粘剂挥发性有机化合物限量》（GB 33372-2020）中丙烯酸酯类限值要求。</w:t>
                  </w:r>
                </w:p>
              </w:tc>
              <w:tc>
                <w:tcPr>
                  <w:tcW w:w="2106" w:type="dxa"/>
                  <w:vAlign w:val="center"/>
                </w:tcPr>
                <w:p w14:paraId="521A1571">
                  <w:pPr>
                    <w:pStyle w:val="41"/>
                    <w:rPr>
                      <w:color w:val="auto"/>
                      <w:sz w:val="22"/>
                      <w:szCs w:val="22"/>
                    </w:rPr>
                  </w:pPr>
                  <w:r>
                    <w:rPr>
                      <w:rFonts w:hint="eastAsia"/>
                      <w:color w:val="auto"/>
                      <w:sz w:val="22"/>
                      <w:szCs w:val="22"/>
                    </w:rPr>
                    <w:t>符合</w:t>
                  </w:r>
                </w:p>
              </w:tc>
            </w:tr>
            <w:tr w14:paraId="61ED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3F86995B">
                  <w:pPr>
                    <w:pStyle w:val="41"/>
                    <w:rPr>
                      <w:color w:val="auto"/>
                      <w:sz w:val="22"/>
                      <w:szCs w:val="22"/>
                    </w:rPr>
                  </w:pPr>
                </w:p>
              </w:tc>
              <w:tc>
                <w:tcPr>
                  <w:tcW w:w="1743" w:type="dxa"/>
                  <w:vMerge w:val="continue"/>
                  <w:vAlign w:val="center"/>
                </w:tcPr>
                <w:p w14:paraId="43844741">
                  <w:pPr>
                    <w:pStyle w:val="41"/>
                    <w:rPr>
                      <w:color w:val="auto"/>
                      <w:sz w:val="22"/>
                      <w:szCs w:val="22"/>
                    </w:rPr>
                  </w:pPr>
                </w:p>
              </w:tc>
              <w:tc>
                <w:tcPr>
                  <w:tcW w:w="6287" w:type="dxa"/>
                  <w:vAlign w:val="center"/>
                </w:tcPr>
                <w:p w14:paraId="5AEEAA5F">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第五条以餐饮油烟为重点，强化生活污染防治。加大居民生活油烟排放治理，推动具备条件的餐饮单位安装餐饮油烟在线监控设施，加强对重点区域无油烟净化设施露天摊位的管理。</w:t>
                  </w:r>
                </w:p>
              </w:tc>
              <w:tc>
                <w:tcPr>
                  <w:tcW w:w="2170" w:type="dxa"/>
                  <w:vAlign w:val="center"/>
                </w:tcPr>
                <w:p w14:paraId="7E7D36FF">
                  <w:pPr>
                    <w:pStyle w:val="41"/>
                    <w:rPr>
                      <w:color w:val="auto"/>
                      <w:sz w:val="22"/>
                      <w:szCs w:val="22"/>
                    </w:rPr>
                  </w:pPr>
                  <w:r>
                    <w:rPr>
                      <w:rFonts w:hint="eastAsia"/>
                      <w:color w:val="auto"/>
                      <w:sz w:val="22"/>
                      <w:szCs w:val="22"/>
                      <w:lang w:val="en-US" w:eastAsia="zh-CN"/>
                    </w:rPr>
                    <w:t>项目不涉及</w:t>
                  </w:r>
                </w:p>
              </w:tc>
              <w:tc>
                <w:tcPr>
                  <w:tcW w:w="2106" w:type="dxa"/>
                  <w:vAlign w:val="center"/>
                </w:tcPr>
                <w:p w14:paraId="58D96D84">
                  <w:pPr>
                    <w:pStyle w:val="41"/>
                    <w:rPr>
                      <w:color w:val="auto"/>
                      <w:sz w:val="22"/>
                      <w:szCs w:val="22"/>
                    </w:rPr>
                  </w:pPr>
                  <w:r>
                    <w:rPr>
                      <w:rFonts w:hint="eastAsia"/>
                      <w:color w:val="auto"/>
                      <w:sz w:val="22"/>
                      <w:szCs w:val="22"/>
                    </w:rPr>
                    <w:t>符合</w:t>
                  </w:r>
                </w:p>
              </w:tc>
            </w:tr>
            <w:tr w14:paraId="3211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0A58D7AD">
                  <w:pPr>
                    <w:pStyle w:val="41"/>
                    <w:rPr>
                      <w:color w:val="auto"/>
                      <w:sz w:val="22"/>
                      <w:szCs w:val="22"/>
                    </w:rPr>
                  </w:pPr>
                </w:p>
              </w:tc>
              <w:tc>
                <w:tcPr>
                  <w:tcW w:w="1743" w:type="dxa"/>
                  <w:vMerge w:val="continue"/>
                  <w:vAlign w:val="center"/>
                </w:tcPr>
                <w:p w14:paraId="3FE6CFB7">
                  <w:pPr>
                    <w:pStyle w:val="41"/>
                    <w:rPr>
                      <w:color w:val="auto"/>
                      <w:sz w:val="22"/>
                      <w:szCs w:val="22"/>
                    </w:rPr>
                  </w:pPr>
                </w:p>
              </w:tc>
              <w:tc>
                <w:tcPr>
                  <w:tcW w:w="6287" w:type="dxa"/>
                  <w:vAlign w:val="center"/>
                </w:tcPr>
                <w:p w14:paraId="3B106E19">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第六条以交通和扬尘污染治理为关键，提升环境空气质量，</w:t>
                  </w:r>
                </w:p>
                <w:p w14:paraId="7184E57B">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加快淘汰国三及以下排放标准柴油车、汽油车，以运输企业和用车大户为重点，建立车辆档案并制定淘汰计划</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严格落实中心城区高排放车辆限行措施</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大力推广新能源车</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加快发展城市轨道交通、智能交通和慢行交通，加快建设滨江步道鼓励绿色出行</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以九龙半岛、西部片区等区域为重点，加强施工扬尘监管，逐步推进建筑面积2万平方米以上的工地安装在线监控系统。</w:t>
                  </w:r>
                </w:p>
              </w:tc>
              <w:tc>
                <w:tcPr>
                  <w:tcW w:w="2170" w:type="dxa"/>
                  <w:vAlign w:val="center"/>
                </w:tcPr>
                <w:p w14:paraId="1D0DBAA2">
                  <w:pPr>
                    <w:pStyle w:val="41"/>
                    <w:rPr>
                      <w:color w:val="auto"/>
                      <w:sz w:val="22"/>
                      <w:szCs w:val="22"/>
                    </w:rPr>
                  </w:pPr>
                  <w:r>
                    <w:rPr>
                      <w:rFonts w:hint="eastAsia"/>
                      <w:color w:val="auto"/>
                      <w:sz w:val="22"/>
                      <w:szCs w:val="22"/>
                      <w:lang w:val="en-US" w:eastAsia="zh-CN"/>
                    </w:rPr>
                    <w:t>项目不涉及</w:t>
                  </w:r>
                </w:p>
              </w:tc>
              <w:tc>
                <w:tcPr>
                  <w:tcW w:w="2106" w:type="dxa"/>
                  <w:vAlign w:val="center"/>
                </w:tcPr>
                <w:p w14:paraId="4FDD0DF9">
                  <w:pPr>
                    <w:pStyle w:val="41"/>
                    <w:rPr>
                      <w:color w:val="auto"/>
                      <w:sz w:val="22"/>
                      <w:szCs w:val="22"/>
                    </w:rPr>
                  </w:pPr>
                  <w:r>
                    <w:rPr>
                      <w:rFonts w:hint="eastAsia"/>
                      <w:color w:val="auto"/>
                      <w:sz w:val="22"/>
                      <w:szCs w:val="22"/>
                    </w:rPr>
                    <w:t>符合</w:t>
                  </w:r>
                </w:p>
              </w:tc>
            </w:tr>
            <w:tr w14:paraId="3D83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0DD2F938">
                  <w:pPr>
                    <w:pStyle w:val="41"/>
                    <w:rPr>
                      <w:color w:val="auto"/>
                      <w:sz w:val="22"/>
                      <w:szCs w:val="22"/>
                    </w:rPr>
                  </w:pPr>
                </w:p>
              </w:tc>
              <w:tc>
                <w:tcPr>
                  <w:tcW w:w="1743" w:type="dxa"/>
                  <w:vMerge w:val="continue"/>
                  <w:vAlign w:val="center"/>
                </w:tcPr>
                <w:p w14:paraId="50ACA104">
                  <w:pPr>
                    <w:pStyle w:val="41"/>
                    <w:rPr>
                      <w:color w:val="auto"/>
                      <w:sz w:val="22"/>
                      <w:szCs w:val="22"/>
                    </w:rPr>
                  </w:pPr>
                </w:p>
              </w:tc>
              <w:tc>
                <w:tcPr>
                  <w:tcW w:w="6287" w:type="dxa"/>
                  <w:vAlign w:val="center"/>
                </w:tcPr>
                <w:p w14:paraId="72117A5C">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第七条以</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三河六溪</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污染综合治理为核心，改善次级河流水质。</w:t>
                  </w:r>
                </w:p>
                <w:p w14:paraId="065EADA0">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持续推进</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三河六溪</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污染综合治理。实施跳磴河水质提升攻坚行动，整治突出水环境问题，完成重点流域雨污分流整治、河道清淤疏浚等措施</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推进桃花溪流域雨污分流整治</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实施大溪河流域整治，强化流域跨界协同治理机制</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深化六条滨河污染治理，因地制宜开展水体内源污染治理和生态修复，增强河湖水体自净功能。</w:t>
                  </w:r>
                </w:p>
              </w:tc>
              <w:tc>
                <w:tcPr>
                  <w:tcW w:w="2170" w:type="dxa"/>
                  <w:vAlign w:val="center"/>
                </w:tcPr>
                <w:p w14:paraId="595E7693">
                  <w:pPr>
                    <w:pStyle w:val="41"/>
                    <w:rPr>
                      <w:color w:val="auto"/>
                      <w:sz w:val="22"/>
                      <w:szCs w:val="22"/>
                    </w:rPr>
                  </w:pPr>
                  <w:r>
                    <w:rPr>
                      <w:rFonts w:hint="eastAsia"/>
                      <w:color w:val="auto"/>
                      <w:sz w:val="22"/>
                      <w:szCs w:val="22"/>
                      <w:lang w:val="en-US" w:eastAsia="zh-CN"/>
                    </w:rPr>
                    <w:t>项目不涉及</w:t>
                  </w:r>
                </w:p>
              </w:tc>
              <w:tc>
                <w:tcPr>
                  <w:tcW w:w="2106" w:type="dxa"/>
                  <w:vAlign w:val="center"/>
                </w:tcPr>
                <w:p w14:paraId="65A2F227">
                  <w:pPr>
                    <w:pStyle w:val="41"/>
                    <w:rPr>
                      <w:color w:val="auto"/>
                      <w:sz w:val="22"/>
                      <w:szCs w:val="22"/>
                    </w:rPr>
                  </w:pPr>
                  <w:r>
                    <w:rPr>
                      <w:rFonts w:hint="eastAsia"/>
                      <w:color w:val="auto"/>
                      <w:sz w:val="22"/>
                      <w:szCs w:val="22"/>
                    </w:rPr>
                    <w:t>符合</w:t>
                  </w:r>
                </w:p>
              </w:tc>
            </w:tr>
            <w:tr w14:paraId="24B7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700CAA17">
                  <w:pPr>
                    <w:pStyle w:val="41"/>
                    <w:rPr>
                      <w:color w:val="auto"/>
                      <w:sz w:val="22"/>
                      <w:szCs w:val="22"/>
                    </w:rPr>
                  </w:pPr>
                </w:p>
              </w:tc>
              <w:tc>
                <w:tcPr>
                  <w:tcW w:w="1743" w:type="dxa"/>
                  <w:vMerge w:val="continue"/>
                  <w:vAlign w:val="center"/>
                </w:tcPr>
                <w:p w14:paraId="71976BFB">
                  <w:pPr>
                    <w:pStyle w:val="41"/>
                    <w:rPr>
                      <w:color w:val="auto"/>
                      <w:sz w:val="22"/>
                      <w:szCs w:val="22"/>
                    </w:rPr>
                  </w:pPr>
                </w:p>
              </w:tc>
              <w:tc>
                <w:tcPr>
                  <w:tcW w:w="6287" w:type="dxa"/>
                  <w:vAlign w:val="center"/>
                </w:tcPr>
                <w:p w14:paraId="11B18628">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第八条以农业种植和水产养殖为重点，强化面源污染防治。严格控制化肥农药使用量，推进化肥农药减量增效</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加强九龙西城西彭镇高标准农田管护运营</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以九龙西城水产养殖污染防治为重点，全面推进池塘水产养殖综合治理，提高养殖尾水治理设施覆盖率。</w:t>
                  </w:r>
                </w:p>
              </w:tc>
              <w:tc>
                <w:tcPr>
                  <w:tcW w:w="2170" w:type="dxa"/>
                  <w:vAlign w:val="center"/>
                </w:tcPr>
                <w:p w14:paraId="39DCB3CA">
                  <w:pPr>
                    <w:pStyle w:val="41"/>
                    <w:rPr>
                      <w:color w:val="auto"/>
                      <w:sz w:val="22"/>
                      <w:szCs w:val="22"/>
                    </w:rPr>
                  </w:pPr>
                  <w:r>
                    <w:rPr>
                      <w:rFonts w:hint="eastAsia"/>
                      <w:color w:val="auto"/>
                      <w:sz w:val="22"/>
                      <w:szCs w:val="22"/>
                      <w:lang w:val="en-US" w:eastAsia="zh-CN"/>
                    </w:rPr>
                    <w:t>项目不涉及</w:t>
                  </w:r>
                </w:p>
              </w:tc>
              <w:tc>
                <w:tcPr>
                  <w:tcW w:w="2106" w:type="dxa"/>
                  <w:vAlign w:val="center"/>
                </w:tcPr>
                <w:p w14:paraId="06644776">
                  <w:pPr>
                    <w:pStyle w:val="41"/>
                    <w:rPr>
                      <w:color w:val="auto"/>
                      <w:sz w:val="22"/>
                      <w:szCs w:val="22"/>
                    </w:rPr>
                  </w:pPr>
                  <w:r>
                    <w:rPr>
                      <w:rFonts w:hint="eastAsia"/>
                      <w:color w:val="auto"/>
                      <w:sz w:val="22"/>
                      <w:szCs w:val="22"/>
                    </w:rPr>
                    <w:t>符合</w:t>
                  </w:r>
                </w:p>
              </w:tc>
            </w:tr>
            <w:tr w14:paraId="7B94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21BD7D16">
                  <w:pPr>
                    <w:pStyle w:val="41"/>
                    <w:rPr>
                      <w:color w:val="auto"/>
                      <w:sz w:val="22"/>
                      <w:szCs w:val="22"/>
                    </w:rPr>
                  </w:pPr>
                </w:p>
              </w:tc>
              <w:tc>
                <w:tcPr>
                  <w:tcW w:w="1743" w:type="dxa"/>
                  <w:vMerge w:val="restart"/>
                  <w:vAlign w:val="center"/>
                </w:tcPr>
                <w:p w14:paraId="25ACEBDF">
                  <w:pPr>
                    <w:pStyle w:val="41"/>
                    <w:rPr>
                      <w:color w:val="auto"/>
                      <w:sz w:val="22"/>
                      <w:szCs w:val="22"/>
                    </w:rPr>
                  </w:pPr>
                  <w:r>
                    <w:rPr>
                      <w:rFonts w:hint="eastAsia"/>
                      <w:color w:val="auto"/>
                      <w:sz w:val="22"/>
                      <w:szCs w:val="22"/>
                    </w:rPr>
                    <w:t>环境风险防控</w:t>
                  </w:r>
                </w:p>
              </w:tc>
              <w:tc>
                <w:tcPr>
                  <w:tcW w:w="6287" w:type="dxa"/>
                  <w:vAlign w:val="center"/>
                </w:tcPr>
                <w:p w14:paraId="676E6057">
                  <w:pPr>
                    <w:pStyle w:val="41"/>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第九条执行重点管控单元市级总体要求第十六条。</w:t>
                  </w:r>
                </w:p>
              </w:tc>
              <w:tc>
                <w:tcPr>
                  <w:tcW w:w="2170" w:type="dxa"/>
                  <w:vAlign w:val="center"/>
                </w:tcPr>
                <w:p w14:paraId="1968D3FC">
                  <w:pPr>
                    <w:pStyle w:val="41"/>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企业已落实突发环境事件风险评估制度，并完成风险评估和应急预案备案</w:t>
                  </w:r>
                </w:p>
              </w:tc>
              <w:tc>
                <w:tcPr>
                  <w:tcW w:w="2106" w:type="dxa"/>
                  <w:vAlign w:val="center"/>
                </w:tcPr>
                <w:p w14:paraId="02548FAF">
                  <w:pPr>
                    <w:pStyle w:val="41"/>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w:t>
                  </w:r>
                </w:p>
              </w:tc>
            </w:tr>
            <w:tr w14:paraId="03C8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020FF87D">
                  <w:pPr>
                    <w:pStyle w:val="41"/>
                    <w:rPr>
                      <w:color w:val="auto"/>
                      <w:sz w:val="22"/>
                      <w:szCs w:val="22"/>
                    </w:rPr>
                  </w:pPr>
                </w:p>
              </w:tc>
              <w:tc>
                <w:tcPr>
                  <w:tcW w:w="1743" w:type="dxa"/>
                  <w:vMerge w:val="continue"/>
                  <w:vAlign w:val="center"/>
                </w:tcPr>
                <w:p w14:paraId="684D74FB">
                  <w:pPr>
                    <w:pStyle w:val="41"/>
                    <w:rPr>
                      <w:color w:val="auto"/>
                      <w:sz w:val="22"/>
                      <w:szCs w:val="22"/>
                    </w:rPr>
                  </w:pPr>
                </w:p>
              </w:tc>
              <w:tc>
                <w:tcPr>
                  <w:tcW w:w="6287" w:type="dxa"/>
                  <w:vAlign w:val="center"/>
                </w:tcPr>
                <w:p w14:paraId="23FC7A1F">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第十条以保障饮用水源安全为目标，完善区域环境风险措施。</w:t>
                  </w:r>
                </w:p>
              </w:tc>
              <w:tc>
                <w:tcPr>
                  <w:tcW w:w="2170" w:type="dxa"/>
                  <w:vAlign w:val="center"/>
                </w:tcPr>
                <w:p w14:paraId="5AD1B466">
                  <w:pPr>
                    <w:pStyle w:val="41"/>
                    <w:rPr>
                      <w:color w:val="auto"/>
                      <w:sz w:val="22"/>
                      <w:szCs w:val="22"/>
                    </w:rPr>
                  </w:pPr>
                  <w:r>
                    <w:rPr>
                      <w:rFonts w:hint="eastAsia"/>
                      <w:color w:val="auto"/>
                      <w:sz w:val="22"/>
                      <w:szCs w:val="22"/>
                      <w:lang w:val="en-US" w:eastAsia="zh-CN"/>
                    </w:rPr>
                    <w:t>项目不涉及</w:t>
                  </w:r>
                </w:p>
              </w:tc>
              <w:tc>
                <w:tcPr>
                  <w:tcW w:w="2106" w:type="dxa"/>
                  <w:vAlign w:val="center"/>
                </w:tcPr>
                <w:p w14:paraId="7C8D4438">
                  <w:pPr>
                    <w:pStyle w:val="41"/>
                    <w:rPr>
                      <w:color w:val="auto"/>
                      <w:sz w:val="22"/>
                      <w:szCs w:val="22"/>
                    </w:rPr>
                  </w:pPr>
                  <w:r>
                    <w:rPr>
                      <w:rFonts w:hint="eastAsia"/>
                      <w:color w:val="auto"/>
                      <w:sz w:val="22"/>
                      <w:szCs w:val="22"/>
                    </w:rPr>
                    <w:t>符合</w:t>
                  </w:r>
                </w:p>
              </w:tc>
            </w:tr>
            <w:tr w14:paraId="17E4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29A91790">
                  <w:pPr>
                    <w:pStyle w:val="41"/>
                    <w:rPr>
                      <w:color w:val="auto"/>
                      <w:sz w:val="22"/>
                      <w:szCs w:val="22"/>
                    </w:rPr>
                  </w:pPr>
                </w:p>
              </w:tc>
              <w:tc>
                <w:tcPr>
                  <w:tcW w:w="1743" w:type="dxa"/>
                  <w:vMerge w:val="continue"/>
                  <w:vAlign w:val="center"/>
                </w:tcPr>
                <w:p w14:paraId="1D09DD9A">
                  <w:pPr>
                    <w:pStyle w:val="41"/>
                    <w:rPr>
                      <w:color w:val="auto"/>
                      <w:sz w:val="22"/>
                      <w:szCs w:val="22"/>
                    </w:rPr>
                  </w:pPr>
                </w:p>
              </w:tc>
              <w:tc>
                <w:tcPr>
                  <w:tcW w:w="6287" w:type="dxa"/>
                  <w:vAlign w:val="center"/>
                </w:tcPr>
                <w:p w14:paraId="2E130C84">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第十一条以保障</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一住两公</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重点建设用地安全为目标，持续推进污染土壤治理，守牢土地安全利用底线。根据土壤污染状况合理确定土地用途，推进工业企业腾退地块土壤污染状况调查评估及治理修复</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未依法完成土壤污染状况调查和风险评估的地块，不得开工建设与风险管控和修复无关的项目。</w:t>
                  </w:r>
                </w:p>
              </w:tc>
              <w:tc>
                <w:tcPr>
                  <w:tcW w:w="2170" w:type="dxa"/>
                  <w:vAlign w:val="center"/>
                </w:tcPr>
                <w:p w14:paraId="52D94491">
                  <w:pPr>
                    <w:pStyle w:val="41"/>
                    <w:rPr>
                      <w:color w:val="auto"/>
                      <w:sz w:val="22"/>
                      <w:szCs w:val="22"/>
                    </w:rPr>
                  </w:pPr>
                  <w:r>
                    <w:rPr>
                      <w:rFonts w:hint="eastAsia"/>
                      <w:color w:val="auto"/>
                      <w:sz w:val="22"/>
                      <w:szCs w:val="22"/>
                      <w:lang w:val="en-US" w:eastAsia="zh-CN"/>
                    </w:rPr>
                    <w:t>项目不涉及</w:t>
                  </w:r>
                </w:p>
              </w:tc>
              <w:tc>
                <w:tcPr>
                  <w:tcW w:w="2106" w:type="dxa"/>
                  <w:vAlign w:val="center"/>
                </w:tcPr>
                <w:p w14:paraId="62D5C50A">
                  <w:pPr>
                    <w:pStyle w:val="41"/>
                    <w:rPr>
                      <w:rFonts w:hint="eastAsia"/>
                      <w:color w:val="auto"/>
                      <w:sz w:val="22"/>
                      <w:szCs w:val="22"/>
                    </w:rPr>
                  </w:pPr>
                  <w:r>
                    <w:rPr>
                      <w:rFonts w:hint="eastAsia"/>
                      <w:color w:val="auto"/>
                      <w:sz w:val="22"/>
                      <w:szCs w:val="22"/>
                    </w:rPr>
                    <w:t>符合</w:t>
                  </w:r>
                </w:p>
              </w:tc>
            </w:tr>
            <w:tr w14:paraId="49AD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354E8F8D">
                  <w:pPr>
                    <w:pStyle w:val="41"/>
                    <w:rPr>
                      <w:color w:val="auto"/>
                      <w:sz w:val="22"/>
                      <w:szCs w:val="22"/>
                    </w:rPr>
                  </w:pPr>
                </w:p>
              </w:tc>
              <w:tc>
                <w:tcPr>
                  <w:tcW w:w="1743" w:type="dxa"/>
                  <w:vMerge w:val="restart"/>
                  <w:vAlign w:val="center"/>
                </w:tcPr>
                <w:p w14:paraId="7EE699C1">
                  <w:pPr>
                    <w:pStyle w:val="41"/>
                    <w:rPr>
                      <w:color w:val="auto"/>
                      <w:sz w:val="22"/>
                      <w:szCs w:val="22"/>
                    </w:rPr>
                  </w:pPr>
                  <w:r>
                    <w:rPr>
                      <w:rFonts w:hint="eastAsia"/>
                      <w:color w:val="auto"/>
                      <w:sz w:val="22"/>
                      <w:szCs w:val="22"/>
                    </w:rPr>
                    <w:t>资源开发利用效率</w:t>
                  </w:r>
                </w:p>
              </w:tc>
              <w:tc>
                <w:tcPr>
                  <w:tcW w:w="6287" w:type="dxa"/>
                  <w:vAlign w:val="center"/>
                </w:tcPr>
                <w:p w14:paraId="5E38C107">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第十二条执行重点管控单元市级总体要求第十八条、第十九条、第二十条、第二十一条。</w:t>
                  </w:r>
                </w:p>
              </w:tc>
              <w:tc>
                <w:tcPr>
                  <w:tcW w:w="2170" w:type="dxa"/>
                  <w:vAlign w:val="center"/>
                </w:tcPr>
                <w:p w14:paraId="1D915156">
                  <w:pPr>
                    <w:pStyle w:val="41"/>
                    <w:rPr>
                      <w:rFonts w:hint="eastAsia" w:eastAsia="宋体"/>
                      <w:color w:val="auto"/>
                      <w:sz w:val="22"/>
                      <w:szCs w:val="22"/>
                      <w:lang w:eastAsia="zh-CN"/>
                    </w:rPr>
                  </w:pPr>
                  <w:r>
                    <w:rPr>
                      <w:rFonts w:hint="eastAsia"/>
                      <w:color w:val="auto"/>
                      <w:sz w:val="22"/>
                      <w:szCs w:val="22"/>
                      <w:lang w:val="en-US" w:eastAsia="zh-CN"/>
                    </w:rPr>
                    <w:t>项目</w:t>
                  </w:r>
                  <w:r>
                    <w:rPr>
                      <w:rFonts w:hint="eastAsia"/>
                      <w:color w:val="auto"/>
                      <w:sz w:val="22"/>
                      <w:szCs w:val="22"/>
                    </w:rPr>
                    <w:t>不属于</w:t>
                  </w:r>
                  <w:r>
                    <w:rPr>
                      <w:color w:val="auto"/>
                      <w:sz w:val="22"/>
                      <w:szCs w:val="22"/>
                    </w:rPr>
                    <w:t>火电、石化、有色金属、造纸、印染等高耗水行业</w:t>
                  </w:r>
                  <w:r>
                    <w:rPr>
                      <w:rFonts w:hint="eastAsia"/>
                      <w:color w:val="auto"/>
                      <w:sz w:val="22"/>
                      <w:szCs w:val="22"/>
                      <w:lang w:eastAsia="zh-CN"/>
                    </w:rPr>
                    <w:t>，</w:t>
                  </w:r>
                  <w:r>
                    <w:rPr>
                      <w:rFonts w:hint="eastAsia"/>
                      <w:color w:val="auto"/>
                      <w:sz w:val="22"/>
                      <w:szCs w:val="22"/>
                    </w:rPr>
                    <w:t>项目仅涉及用电，属于清洁能源，符合产业绿色低碳循环发展</w:t>
                  </w:r>
                  <w:r>
                    <w:rPr>
                      <w:rFonts w:hint="eastAsia"/>
                      <w:color w:val="auto"/>
                      <w:sz w:val="22"/>
                      <w:szCs w:val="22"/>
                      <w:lang w:eastAsia="zh-CN"/>
                    </w:rPr>
                    <w:t>。</w:t>
                  </w:r>
                </w:p>
              </w:tc>
              <w:tc>
                <w:tcPr>
                  <w:tcW w:w="2106" w:type="dxa"/>
                  <w:vAlign w:val="center"/>
                </w:tcPr>
                <w:p w14:paraId="1E7B5345">
                  <w:pPr>
                    <w:pStyle w:val="41"/>
                    <w:rPr>
                      <w:color w:val="auto"/>
                      <w:sz w:val="22"/>
                      <w:szCs w:val="22"/>
                    </w:rPr>
                  </w:pPr>
                  <w:r>
                    <w:rPr>
                      <w:rFonts w:hint="eastAsia"/>
                      <w:color w:val="auto"/>
                      <w:sz w:val="22"/>
                      <w:szCs w:val="22"/>
                    </w:rPr>
                    <w:t>符合</w:t>
                  </w:r>
                </w:p>
              </w:tc>
            </w:tr>
            <w:tr w14:paraId="1E5B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3A8E9D73">
                  <w:pPr>
                    <w:pStyle w:val="41"/>
                    <w:rPr>
                      <w:color w:val="auto"/>
                      <w:sz w:val="22"/>
                      <w:szCs w:val="22"/>
                    </w:rPr>
                  </w:pPr>
                </w:p>
              </w:tc>
              <w:tc>
                <w:tcPr>
                  <w:tcW w:w="1743" w:type="dxa"/>
                  <w:vMerge w:val="continue"/>
                  <w:vAlign w:val="center"/>
                </w:tcPr>
                <w:p w14:paraId="1E70E8A7">
                  <w:pPr>
                    <w:pStyle w:val="41"/>
                    <w:rPr>
                      <w:rFonts w:hint="eastAsia"/>
                      <w:color w:val="auto"/>
                      <w:sz w:val="22"/>
                      <w:szCs w:val="22"/>
                    </w:rPr>
                  </w:pPr>
                </w:p>
              </w:tc>
              <w:tc>
                <w:tcPr>
                  <w:tcW w:w="6287" w:type="dxa"/>
                  <w:vAlign w:val="center"/>
                </w:tcPr>
                <w:p w14:paraId="62D0009B">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第十三条以促进产业绿色低碳循环发展为导向，推动减污降碳协同共治。结合九龙新城园区西部片区</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原西彭工业园区</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近零碳园区建设，深化有色金属治炼及压延加工业、化学原料及化学制品制造业和汽车制造业等行业减污降碳。</w:t>
                  </w:r>
                </w:p>
              </w:tc>
              <w:tc>
                <w:tcPr>
                  <w:tcW w:w="2170" w:type="dxa"/>
                  <w:vAlign w:val="center"/>
                </w:tcPr>
                <w:p w14:paraId="05A1050A">
                  <w:pPr>
                    <w:pStyle w:val="41"/>
                    <w:rPr>
                      <w:rFonts w:ascii="Times New Roman" w:hAnsi="Times New Roman" w:eastAsia="宋体" w:cs="Times New Roman"/>
                      <w:color w:val="auto"/>
                      <w:sz w:val="22"/>
                      <w:szCs w:val="22"/>
                    </w:rPr>
                  </w:pPr>
                  <w:r>
                    <w:rPr>
                      <w:rFonts w:hint="eastAsia"/>
                      <w:color w:val="auto"/>
                      <w:sz w:val="22"/>
                      <w:szCs w:val="22"/>
                      <w:lang w:val="en-US" w:eastAsia="zh-CN"/>
                    </w:rPr>
                    <w:t>项目不涉及</w:t>
                  </w:r>
                </w:p>
              </w:tc>
              <w:tc>
                <w:tcPr>
                  <w:tcW w:w="2106" w:type="dxa"/>
                  <w:vAlign w:val="center"/>
                </w:tcPr>
                <w:p w14:paraId="1EDC4648">
                  <w:pPr>
                    <w:pStyle w:val="41"/>
                    <w:rPr>
                      <w:rFonts w:hint="eastAsia" w:ascii="Times New Roman" w:hAnsi="Times New Roman" w:eastAsia="宋体" w:cs="Times New Roman"/>
                      <w:color w:val="auto"/>
                      <w:sz w:val="22"/>
                      <w:szCs w:val="22"/>
                    </w:rPr>
                  </w:pPr>
                  <w:r>
                    <w:rPr>
                      <w:rFonts w:hint="eastAsia"/>
                      <w:color w:val="auto"/>
                      <w:sz w:val="22"/>
                      <w:szCs w:val="22"/>
                    </w:rPr>
                    <w:t>符合</w:t>
                  </w:r>
                </w:p>
              </w:tc>
            </w:tr>
            <w:tr w14:paraId="4D81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Merge w:val="continue"/>
                  <w:vAlign w:val="center"/>
                </w:tcPr>
                <w:p w14:paraId="628C45C3">
                  <w:pPr>
                    <w:pStyle w:val="41"/>
                    <w:rPr>
                      <w:color w:val="auto"/>
                      <w:sz w:val="22"/>
                      <w:szCs w:val="22"/>
                    </w:rPr>
                  </w:pPr>
                </w:p>
              </w:tc>
              <w:tc>
                <w:tcPr>
                  <w:tcW w:w="1743" w:type="dxa"/>
                  <w:vMerge w:val="continue"/>
                  <w:vAlign w:val="center"/>
                </w:tcPr>
                <w:p w14:paraId="616837AD">
                  <w:pPr>
                    <w:pStyle w:val="41"/>
                    <w:rPr>
                      <w:rFonts w:hint="eastAsia"/>
                      <w:color w:val="auto"/>
                      <w:sz w:val="22"/>
                      <w:szCs w:val="22"/>
                    </w:rPr>
                  </w:pPr>
                </w:p>
              </w:tc>
              <w:tc>
                <w:tcPr>
                  <w:tcW w:w="6287" w:type="dxa"/>
                  <w:vAlign w:val="center"/>
                </w:tcPr>
                <w:p w14:paraId="2CC37F29">
                  <w:pPr>
                    <w:pStyle w:val="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第十四条提升工业、城镇生活、农业节水能力，推进再生水循环利用，提高水资源利用效率。加强工业节水改造，限制高耗水行业发展，加强重点监控用水单位监管。加强城镇节水，开展公共建筑节水改造、城镇供水管网漏损治理工程。加强农业节水，推进九龙西城西彭镇5000亩农业节水设施建设。深入挖掘非常规水资源开发利用潜力，推进再生水、雨水等非常规水资源的开发利用。</w:t>
                  </w:r>
                </w:p>
              </w:tc>
              <w:tc>
                <w:tcPr>
                  <w:tcW w:w="2170" w:type="dxa"/>
                  <w:vAlign w:val="center"/>
                </w:tcPr>
                <w:p w14:paraId="45BA7AA6">
                  <w:pPr>
                    <w:pStyle w:val="41"/>
                    <w:rPr>
                      <w:rFonts w:ascii="Times New Roman" w:hAnsi="Times New Roman" w:eastAsia="宋体" w:cs="Times New Roman"/>
                      <w:color w:val="auto"/>
                      <w:sz w:val="22"/>
                      <w:szCs w:val="22"/>
                    </w:rPr>
                  </w:pPr>
                  <w:r>
                    <w:rPr>
                      <w:rFonts w:hint="eastAsia"/>
                      <w:color w:val="auto"/>
                      <w:sz w:val="22"/>
                      <w:szCs w:val="22"/>
                      <w:lang w:val="en-US" w:eastAsia="zh-CN"/>
                    </w:rPr>
                    <w:t>项目不涉及</w:t>
                  </w:r>
                </w:p>
              </w:tc>
              <w:tc>
                <w:tcPr>
                  <w:tcW w:w="2106" w:type="dxa"/>
                  <w:vAlign w:val="center"/>
                </w:tcPr>
                <w:p w14:paraId="26750B6F">
                  <w:pPr>
                    <w:pStyle w:val="41"/>
                    <w:rPr>
                      <w:rFonts w:hint="eastAsia" w:ascii="Times New Roman" w:hAnsi="Times New Roman" w:eastAsia="宋体" w:cs="Times New Roman"/>
                      <w:color w:val="auto"/>
                      <w:sz w:val="22"/>
                      <w:szCs w:val="22"/>
                    </w:rPr>
                  </w:pPr>
                  <w:r>
                    <w:rPr>
                      <w:rFonts w:hint="eastAsia"/>
                      <w:color w:val="auto"/>
                      <w:sz w:val="22"/>
                      <w:szCs w:val="22"/>
                    </w:rPr>
                    <w:t>符合</w:t>
                  </w:r>
                </w:p>
              </w:tc>
            </w:tr>
            <w:tr w14:paraId="6C0D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863" w:type="dxa"/>
                  <w:gridSpan w:val="2"/>
                  <w:vAlign w:val="center"/>
                </w:tcPr>
                <w:p w14:paraId="69B07F8F">
                  <w:pPr>
                    <w:pStyle w:val="41"/>
                    <w:rPr>
                      <w:rFonts w:hint="eastAsia"/>
                      <w:sz w:val="22"/>
                      <w:szCs w:val="22"/>
                    </w:rPr>
                  </w:pPr>
                  <w:r>
                    <w:rPr>
                      <w:rFonts w:hint="eastAsia"/>
                      <w:sz w:val="22"/>
                      <w:szCs w:val="22"/>
                    </w:rPr>
                    <w:t>环境管控单元编码</w:t>
                  </w:r>
                </w:p>
              </w:tc>
              <w:tc>
                <w:tcPr>
                  <w:tcW w:w="6287" w:type="dxa"/>
                  <w:vAlign w:val="center"/>
                </w:tcPr>
                <w:p w14:paraId="13DDB647">
                  <w:pPr>
                    <w:pStyle w:val="41"/>
                    <w:rPr>
                      <w:rFonts w:hint="eastAsia"/>
                      <w:sz w:val="22"/>
                      <w:szCs w:val="22"/>
                    </w:rPr>
                  </w:pPr>
                  <w:r>
                    <w:rPr>
                      <w:rFonts w:hint="eastAsia"/>
                      <w:sz w:val="22"/>
                      <w:szCs w:val="22"/>
                    </w:rPr>
                    <w:t>环境管控单元名称</w:t>
                  </w:r>
                </w:p>
              </w:tc>
              <w:tc>
                <w:tcPr>
                  <w:tcW w:w="4276" w:type="dxa"/>
                  <w:gridSpan w:val="2"/>
                  <w:vAlign w:val="center"/>
                </w:tcPr>
                <w:p w14:paraId="3E252659">
                  <w:pPr>
                    <w:pStyle w:val="41"/>
                    <w:rPr>
                      <w:rFonts w:hint="eastAsia"/>
                      <w:sz w:val="22"/>
                      <w:szCs w:val="22"/>
                    </w:rPr>
                  </w:pPr>
                  <w:r>
                    <w:rPr>
                      <w:rFonts w:hint="eastAsia"/>
                      <w:sz w:val="22"/>
                      <w:szCs w:val="22"/>
                    </w:rPr>
                    <w:t>环境管控单元类型</w:t>
                  </w:r>
                </w:p>
              </w:tc>
            </w:tr>
            <w:tr w14:paraId="1307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863" w:type="dxa"/>
                  <w:gridSpan w:val="2"/>
                  <w:vAlign w:val="center"/>
                </w:tcPr>
                <w:p w14:paraId="60AC3BF2">
                  <w:pPr>
                    <w:pStyle w:val="41"/>
                    <w:rPr>
                      <w:rFonts w:hint="eastAsia"/>
                      <w:sz w:val="22"/>
                      <w:szCs w:val="22"/>
                    </w:rPr>
                  </w:pPr>
                  <w:r>
                    <w:rPr>
                      <w:rFonts w:hint="eastAsia"/>
                      <w:sz w:val="22"/>
                      <w:szCs w:val="22"/>
                    </w:rPr>
                    <w:t>ZH50010720002</w:t>
                  </w:r>
                </w:p>
              </w:tc>
              <w:tc>
                <w:tcPr>
                  <w:tcW w:w="6287" w:type="dxa"/>
                  <w:vAlign w:val="center"/>
                </w:tcPr>
                <w:p w14:paraId="04628CCD">
                  <w:pPr>
                    <w:pStyle w:val="41"/>
                    <w:rPr>
                      <w:rFonts w:hint="eastAsia"/>
                      <w:sz w:val="22"/>
                      <w:szCs w:val="22"/>
                    </w:rPr>
                  </w:pPr>
                  <w:r>
                    <w:rPr>
                      <w:rFonts w:hint="eastAsia"/>
                      <w:sz w:val="22"/>
                      <w:szCs w:val="22"/>
                    </w:rPr>
                    <w:t>九龙坡区工业城镇重点管控单元-九龙西城片区</w:t>
                  </w:r>
                </w:p>
              </w:tc>
              <w:tc>
                <w:tcPr>
                  <w:tcW w:w="4276" w:type="dxa"/>
                  <w:gridSpan w:val="2"/>
                  <w:vAlign w:val="center"/>
                </w:tcPr>
                <w:p w14:paraId="270E402A">
                  <w:pPr>
                    <w:pStyle w:val="41"/>
                    <w:rPr>
                      <w:rFonts w:hint="eastAsia" w:eastAsia="宋体"/>
                      <w:sz w:val="22"/>
                      <w:szCs w:val="22"/>
                      <w:lang w:val="en-US" w:eastAsia="zh-CN"/>
                    </w:rPr>
                  </w:pPr>
                  <w:r>
                    <w:rPr>
                      <w:rFonts w:hint="eastAsia"/>
                      <w:sz w:val="22"/>
                      <w:szCs w:val="22"/>
                    </w:rPr>
                    <w:t>重点管控单元</w:t>
                  </w:r>
                  <w:r>
                    <w:rPr>
                      <w:rFonts w:hint="eastAsia"/>
                      <w:sz w:val="22"/>
                      <w:szCs w:val="22"/>
                      <w:lang w:val="en-US" w:eastAsia="zh-CN"/>
                    </w:rPr>
                    <w:t>2</w:t>
                  </w:r>
                </w:p>
              </w:tc>
            </w:tr>
            <w:tr w14:paraId="369A4123">
              <w:tblPrEx>
                <w:tblCellMar>
                  <w:top w:w="0" w:type="dxa"/>
                  <w:left w:w="108" w:type="dxa"/>
                  <w:bottom w:w="0" w:type="dxa"/>
                  <w:right w:w="108" w:type="dxa"/>
                </w:tblCellMar>
              </w:tblPrEx>
              <w:trPr>
                <w:trHeight w:val="178" w:hRule="atLeast"/>
                <w:jc w:val="center"/>
              </w:trPr>
              <w:tc>
                <w:tcPr>
                  <w:tcW w:w="1120" w:type="dxa"/>
                  <w:vMerge w:val="restart"/>
                  <w:vAlign w:val="center"/>
                </w:tcPr>
                <w:p w14:paraId="72BDD007">
                  <w:pPr>
                    <w:pStyle w:val="41"/>
                    <w:rPr>
                      <w:sz w:val="22"/>
                      <w:szCs w:val="22"/>
                    </w:rPr>
                  </w:pPr>
                  <w:r>
                    <w:rPr>
                      <w:rFonts w:hint="eastAsia"/>
                      <w:sz w:val="22"/>
                      <w:szCs w:val="22"/>
                    </w:rPr>
                    <w:t>单元管控要求</w:t>
                  </w:r>
                </w:p>
              </w:tc>
              <w:tc>
                <w:tcPr>
                  <w:tcW w:w="1743" w:type="dxa"/>
                  <w:vMerge w:val="restart"/>
                  <w:vAlign w:val="center"/>
                </w:tcPr>
                <w:p w14:paraId="7DC29569">
                  <w:pPr>
                    <w:pStyle w:val="41"/>
                    <w:rPr>
                      <w:sz w:val="22"/>
                      <w:szCs w:val="22"/>
                    </w:rPr>
                  </w:pPr>
                  <w:r>
                    <w:rPr>
                      <w:rFonts w:hint="eastAsia"/>
                      <w:sz w:val="22"/>
                      <w:szCs w:val="22"/>
                    </w:rPr>
                    <w:t>空间布局约束</w:t>
                  </w:r>
                </w:p>
              </w:tc>
              <w:tc>
                <w:tcPr>
                  <w:tcW w:w="6287" w:type="dxa"/>
                  <w:vAlign w:val="center"/>
                </w:tcPr>
                <w:p w14:paraId="03FCE767">
                  <w:pPr>
                    <w:pStyle w:val="41"/>
                    <w:rPr>
                      <w:sz w:val="22"/>
                      <w:szCs w:val="22"/>
                    </w:rPr>
                  </w:pPr>
                  <w:r>
                    <w:rPr>
                      <w:rFonts w:hint="eastAsia"/>
                      <w:sz w:val="22"/>
                      <w:szCs w:val="22"/>
                    </w:rPr>
                    <w:t>第一条紧邻现状及规划居住用地、中小学用地等的工业用地后续引入项目时应考虑以污染较轻的项目为主，禁止新建涉及喷漆、酸洗、熔炼等异味较大的生产工艺项目。</w:t>
                  </w:r>
                </w:p>
              </w:tc>
              <w:tc>
                <w:tcPr>
                  <w:tcW w:w="2170" w:type="dxa"/>
                  <w:vAlign w:val="center"/>
                </w:tcPr>
                <w:p w14:paraId="13C88C3C">
                  <w:pPr>
                    <w:pStyle w:val="41"/>
                    <w:rPr>
                      <w:sz w:val="22"/>
                      <w:szCs w:val="22"/>
                    </w:rPr>
                  </w:pPr>
                  <w:r>
                    <w:rPr>
                      <w:rFonts w:hint="eastAsia"/>
                      <w:sz w:val="22"/>
                      <w:szCs w:val="22"/>
                    </w:rPr>
                    <w:t>项目不涉及</w:t>
                  </w:r>
                </w:p>
              </w:tc>
              <w:tc>
                <w:tcPr>
                  <w:tcW w:w="2106" w:type="dxa"/>
                  <w:vAlign w:val="center"/>
                </w:tcPr>
                <w:p w14:paraId="00F4B1EB">
                  <w:pPr>
                    <w:pStyle w:val="41"/>
                    <w:rPr>
                      <w:sz w:val="22"/>
                      <w:szCs w:val="22"/>
                    </w:rPr>
                  </w:pPr>
                  <w:r>
                    <w:rPr>
                      <w:rFonts w:hint="eastAsia"/>
                      <w:sz w:val="22"/>
                      <w:szCs w:val="22"/>
                    </w:rPr>
                    <w:t>符合</w:t>
                  </w:r>
                </w:p>
              </w:tc>
            </w:tr>
            <w:tr w14:paraId="0E790D2E">
              <w:tblPrEx>
                <w:tblCellMar>
                  <w:top w:w="0" w:type="dxa"/>
                  <w:left w:w="108" w:type="dxa"/>
                  <w:bottom w:w="0" w:type="dxa"/>
                  <w:right w:w="108" w:type="dxa"/>
                </w:tblCellMar>
              </w:tblPrEx>
              <w:trPr>
                <w:trHeight w:val="178" w:hRule="atLeast"/>
                <w:jc w:val="center"/>
              </w:trPr>
              <w:tc>
                <w:tcPr>
                  <w:tcW w:w="1120" w:type="dxa"/>
                  <w:vMerge w:val="continue"/>
                  <w:vAlign w:val="center"/>
                </w:tcPr>
                <w:p w14:paraId="207A8EB5">
                  <w:pPr>
                    <w:pStyle w:val="41"/>
                    <w:rPr>
                      <w:sz w:val="22"/>
                      <w:szCs w:val="22"/>
                    </w:rPr>
                  </w:pPr>
                </w:p>
              </w:tc>
              <w:tc>
                <w:tcPr>
                  <w:tcW w:w="1743" w:type="dxa"/>
                  <w:vMerge w:val="continue"/>
                  <w:vAlign w:val="center"/>
                </w:tcPr>
                <w:p w14:paraId="30944DCC">
                  <w:pPr>
                    <w:pStyle w:val="41"/>
                    <w:rPr>
                      <w:sz w:val="22"/>
                      <w:szCs w:val="22"/>
                    </w:rPr>
                  </w:pPr>
                </w:p>
              </w:tc>
              <w:tc>
                <w:tcPr>
                  <w:tcW w:w="6287" w:type="dxa"/>
                  <w:vAlign w:val="center"/>
                </w:tcPr>
                <w:p w14:paraId="3596AEAA">
                  <w:pPr>
                    <w:pStyle w:val="41"/>
                    <w:rPr>
                      <w:sz w:val="22"/>
                      <w:szCs w:val="22"/>
                    </w:rPr>
                  </w:pPr>
                  <w:r>
                    <w:rPr>
                      <w:rFonts w:hint="eastAsia"/>
                      <w:sz w:val="22"/>
                      <w:szCs w:val="22"/>
                    </w:rPr>
                    <w:t>第二条推动九龙西城新能源、装备制造、新材料等产业往下游延伸；西彭工业园区禁止新建、扩建木质家具制造、报废汽车拆解、平板玻璃制造工业项目。</w:t>
                  </w:r>
                </w:p>
              </w:tc>
              <w:tc>
                <w:tcPr>
                  <w:tcW w:w="2170" w:type="dxa"/>
                  <w:vAlign w:val="center"/>
                </w:tcPr>
                <w:p w14:paraId="10DECE5C">
                  <w:pPr>
                    <w:pStyle w:val="41"/>
                    <w:rPr>
                      <w:sz w:val="22"/>
                      <w:szCs w:val="22"/>
                    </w:rPr>
                  </w:pPr>
                  <w:r>
                    <w:rPr>
                      <w:rFonts w:hint="eastAsia"/>
                      <w:sz w:val="22"/>
                      <w:szCs w:val="22"/>
                    </w:rPr>
                    <w:t>项目不属于喷漆、酸洗、熔炼等异味较大，木质家具制造、报废汽车拆解、平板玻璃制造的生产工艺项目</w:t>
                  </w:r>
                </w:p>
              </w:tc>
              <w:tc>
                <w:tcPr>
                  <w:tcW w:w="2106" w:type="dxa"/>
                  <w:vAlign w:val="center"/>
                </w:tcPr>
                <w:p w14:paraId="1C803FAA">
                  <w:pPr>
                    <w:pStyle w:val="41"/>
                    <w:rPr>
                      <w:sz w:val="22"/>
                      <w:szCs w:val="22"/>
                    </w:rPr>
                  </w:pPr>
                  <w:r>
                    <w:rPr>
                      <w:rFonts w:hint="eastAsia"/>
                      <w:sz w:val="22"/>
                      <w:szCs w:val="22"/>
                    </w:rPr>
                    <w:t>符合</w:t>
                  </w:r>
                </w:p>
              </w:tc>
            </w:tr>
            <w:tr w14:paraId="37E6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120" w:type="dxa"/>
                  <w:vMerge w:val="continue"/>
                  <w:vAlign w:val="center"/>
                </w:tcPr>
                <w:p w14:paraId="1FB5899C">
                  <w:pPr>
                    <w:pStyle w:val="41"/>
                    <w:rPr>
                      <w:sz w:val="22"/>
                      <w:szCs w:val="22"/>
                    </w:rPr>
                  </w:pPr>
                </w:p>
              </w:tc>
              <w:tc>
                <w:tcPr>
                  <w:tcW w:w="1743" w:type="dxa"/>
                  <w:vMerge w:val="continue"/>
                  <w:vAlign w:val="center"/>
                </w:tcPr>
                <w:p w14:paraId="3B8F68E3">
                  <w:pPr>
                    <w:pStyle w:val="41"/>
                    <w:rPr>
                      <w:sz w:val="22"/>
                      <w:szCs w:val="22"/>
                    </w:rPr>
                  </w:pPr>
                </w:p>
              </w:tc>
              <w:tc>
                <w:tcPr>
                  <w:tcW w:w="6287" w:type="dxa"/>
                  <w:vAlign w:val="center"/>
                </w:tcPr>
                <w:p w14:paraId="216D7DF4">
                  <w:pPr>
                    <w:pStyle w:val="41"/>
                    <w:rPr>
                      <w:sz w:val="22"/>
                      <w:szCs w:val="22"/>
                    </w:rPr>
                  </w:pPr>
                  <w:r>
                    <w:rPr>
                      <w:rFonts w:hint="eastAsia"/>
                      <w:sz w:val="22"/>
                      <w:szCs w:val="22"/>
                    </w:rPr>
                    <w:t>第三条重庆奇爽实业（集团）有限公司、红蜻蜓（重庆）植物油脂有限公司、重庆小可食品有限公司、重庆豆奇食品有限公司不再扩大用地规模、不新增污染物排放。</w:t>
                  </w:r>
                </w:p>
              </w:tc>
              <w:tc>
                <w:tcPr>
                  <w:tcW w:w="2170" w:type="dxa"/>
                  <w:vAlign w:val="center"/>
                </w:tcPr>
                <w:p w14:paraId="1FA5EF65">
                  <w:pPr>
                    <w:pStyle w:val="41"/>
                    <w:rPr>
                      <w:sz w:val="22"/>
                      <w:szCs w:val="22"/>
                    </w:rPr>
                  </w:pPr>
                  <w:r>
                    <w:rPr>
                      <w:rFonts w:hint="eastAsia"/>
                      <w:sz w:val="22"/>
                      <w:szCs w:val="22"/>
                    </w:rPr>
                    <w:t>项目不涉及</w:t>
                  </w:r>
                </w:p>
              </w:tc>
              <w:tc>
                <w:tcPr>
                  <w:tcW w:w="2106" w:type="dxa"/>
                  <w:vAlign w:val="center"/>
                </w:tcPr>
                <w:p w14:paraId="15D13FB2">
                  <w:pPr>
                    <w:pStyle w:val="41"/>
                    <w:rPr>
                      <w:sz w:val="22"/>
                      <w:szCs w:val="22"/>
                    </w:rPr>
                  </w:pPr>
                  <w:r>
                    <w:rPr>
                      <w:rFonts w:hint="eastAsia"/>
                      <w:sz w:val="22"/>
                      <w:szCs w:val="22"/>
                    </w:rPr>
                    <w:t>符合</w:t>
                  </w:r>
                </w:p>
              </w:tc>
            </w:tr>
            <w:tr w14:paraId="2FF21539">
              <w:tblPrEx>
                <w:tblCellMar>
                  <w:top w:w="0" w:type="dxa"/>
                  <w:left w:w="108" w:type="dxa"/>
                  <w:bottom w:w="0" w:type="dxa"/>
                  <w:right w:w="108" w:type="dxa"/>
                </w:tblCellMar>
              </w:tblPrEx>
              <w:trPr>
                <w:trHeight w:val="201" w:hRule="atLeast"/>
                <w:jc w:val="center"/>
              </w:trPr>
              <w:tc>
                <w:tcPr>
                  <w:tcW w:w="1120" w:type="dxa"/>
                  <w:vMerge w:val="continue"/>
                  <w:vAlign w:val="center"/>
                </w:tcPr>
                <w:p w14:paraId="238205A3">
                  <w:pPr>
                    <w:pStyle w:val="41"/>
                    <w:rPr>
                      <w:sz w:val="22"/>
                      <w:szCs w:val="22"/>
                    </w:rPr>
                  </w:pPr>
                </w:p>
              </w:tc>
              <w:tc>
                <w:tcPr>
                  <w:tcW w:w="1743" w:type="dxa"/>
                  <w:vMerge w:val="restart"/>
                  <w:vAlign w:val="center"/>
                </w:tcPr>
                <w:p w14:paraId="552DD5CE">
                  <w:pPr>
                    <w:pStyle w:val="41"/>
                    <w:rPr>
                      <w:sz w:val="22"/>
                      <w:szCs w:val="22"/>
                    </w:rPr>
                  </w:pPr>
                  <w:r>
                    <w:rPr>
                      <w:rFonts w:hint="eastAsia"/>
                      <w:sz w:val="22"/>
                      <w:szCs w:val="22"/>
                    </w:rPr>
                    <w:t>污染物排放管控</w:t>
                  </w:r>
                </w:p>
              </w:tc>
              <w:tc>
                <w:tcPr>
                  <w:tcW w:w="6287" w:type="dxa"/>
                  <w:vAlign w:val="center"/>
                </w:tcPr>
                <w:p w14:paraId="4186D79E">
                  <w:pPr>
                    <w:pStyle w:val="41"/>
                    <w:rPr>
                      <w:sz w:val="22"/>
                      <w:szCs w:val="22"/>
                    </w:rPr>
                  </w:pPr>
                  <w:r>
                    <w:rPr>
                      <w:rFonts w:hint="eastAsia"/>
                      <w:sz w:val="22"/>
                      <w:szCs w:val="22"/>
                    </w:rPr>
                    <w:t>第四条推动重点行业持续提升低（无）VOCs含量、低反应活性的原辅材料替代比例，推进重点监管企业VOCs综合整治，加强重点排污企业污染治理设施和在线监控建设和运维。</w:t>
                  </w:r>
                </w:p>
              </w:tc>
              <w:tc>
                <w:tcPr>
                  <w:tcW w:w="2170" w:type="dxa"/>
                  <w:vAlign w:val="center"/>
                </w:tcPr>
                <w:p w14:paraId="139B00A3">
                  <w:pPr>
                    <w:pStyle w:val="41"/>
                    <w:rPr>
                      <w:color w:val="auto"/>
                      <w:sz w:val="22"/>
                      <w:szCs w:val="22"/>
                    </w:rPr>
                  </w:pPr>
                  <w:r>
                    <w:rPr>
                      <w:rFonts w:hint="eastAsia"/>
                      <w:color w:val="auto"/>
                      <w:sz w:val="22"/>
                      <w:szCs w:val="22"/>
                      <w:lang w:val="en-US" w:eastAsia="zh-CN"/>
                    </w:rPr>
                    <w:t>本项目使用的螺纹胶VOCs含量＜10%，不属于挥发性物料，挥发性有机物含量满足满足《胶粘剂挥发性有机化合物限量》（GB 33372-2020）中丙烯酸酯类限值要求。</w:t>
                  </w:r>
                </w:p>
              </w:tc>
              <w:tc>
                <w:tcPr>
                  <w:tcW w:w="2106" w:type="dxa"/>
                  <w:vAlign w:val="center"/>
                </w:tcPr>
                <w:p w14:paraId="52AD917B">
                  <w:pPr>
                    <w:pStyle w:val="41"/>
                    <w:rPr>
                      <w:color w:val="auto"/>
                      <w:sz w:val="22"/>
                      <w:szCs w:val="22"/>
                    </w:rPr>
                  </w:pPr>
                  <w:r>
                    <w:rPr>
                      <w:rFonts w:hint="eastAsia"/>
                      <w:color w:val="auto"/>
                      <w:sz w:val="22"/>
                      <w:szCs w:val="22"/>
                    </w:rPr>
                    <w:t>符合</w:t>
                  </w:r>
                </w:p>
              </w:tc>
            </w:tr>
            <w:tr w14:paraId="570D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20" w:type="dxa"/>
                  <w:vMerge w:val="continue"/>
                  <w:vAlign w:val="center"/>
                </w:tcPr>
                <w:p w14:paraId="08707571">
                  <w:pPr>
                    <w:pStyle w:val="41"/>
                    <w:rPr>
                      <w:sz w:val="22"/>
                      <w:szCs w:val="22"/>
                    </w:rPr>
                  </w:pPr>
                </w:p>
              </w:tc>
              <w:tc>
                <w:tcPr>
                  <w:tcW w:w="1743" w:type="dxa"/>
                  <w:vMerge w:val="continue"/>
                  <w:vAlign w:val="center"/>
                </w:tcPr>
                <w:p w14:paraId="3BB86342">
                  <w:pPr>
                    <w:pStyle w:val="41"/>
                    <w:rPr>
                      <w:sz w:val="22"/>
                      <w:szCs w:val="22"/>
                    </w:rPr>
                  </w:pPr>
                </w:p>
              </w:tc>
              <w:tc>
                <w:tcPr>
                  <w:tcW w:w="6287" w:type="dxa"/>
                  <w:vAlign w:val="center"/>
                </w:tcPr>
                <w:p w14:paraId="01EFA5BF">
                  <w:pPr>
                    <w:pStyle w:val="41"/>
                    <w:jc w:val="both"/>
                    <w:rPr>
                      <w:sz w:val="22"/>
                      <w:szCs w:val="22"/>
                    </w:rPr>
                  </w:pPr>
                  <w:r>
                    <w:rPr>
                      <w:rFonts w:hint="eastAsia"/>
                      <w:sz w:val="22"/>
                      <w:szCs w:val="22"/>
                    </w:rPr>
                    <w:t>第五条推进西彭工业园区污水处理厂提标扩建工程。新改建铜罐驿沿江片区、西彭镇和陶家镇等区域污水管网，改造管网错混接点；推进铜罐驿污水处理厂配套管网建设工作。</w:t>
                  </w:r>
                </w:p>
              </w:tc>
              <w:tc>
                <w:tcPr>
                  <w:tcW w:w="2170" w:type="dxa"/>
                  <w:vAlign w:val="center"/>
                </w:tcPr>
                <w:p w14:paraId="0D0F4A07">
                  <w:pPr>
                    <w:pStyle w:val="41"/>
                    <w:rPr>
                      <w:sz w:val="22"/>
                      <w:szCs w:val="22"/>
                    </w:rPr>
                  </w:pPr>
                  <w:r>
                    <w:rPr>
                      <w:rFonts w:hint="eastAsia"/>
                      <w:sz w:val="22"/>
                      <w:szCs w:val="22"/>
                    </w:rPr>
                    <w:t>项目不涉及</w:t>
                  </w:r>
                </w:p>
              </w:tc>
              <w:tc>
                <w:tcPr>
                  <w:tcW w:w="2106" w:type="dxa"/>
                  <w:vAlign w:val="center"/>
                </w:tcPr>
                <w:p w14:paraId="3BD57687">
                  <w:pPr>
                    <w:pStyle w:val="41"/>
                    <w:rPr>
                      <w:sz w:val="22"/>
                      <w:szCs w:val="22"/>
                    </w:rPr>
                  </w:pPr>
                  <w:r>
                    <w:rPr>
                      <w:rFonts w:hint="eastAsia"/>
                      <w:sz w:val="22"/>
                      <w:szCs w:val="22"/>
                    </w:rPr>
                    <w:t>符合</w:t>
                  </w:r>
                </w:p>
              </w:tc>
            </w:tr>
            <w:tr w14:paraId="697C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20" w:type="dxa"/>
                  <w:vMerge w:val="continue"/>
                  <w:vAlign w:val="center"/>
                </w:tcPr>
                <w:p w14:paraId="37A1C645">
                  <w:pPr>
                    <w:pStyle w:val="41"/>
                    <w:rPr>
                      <w:sz w:val="22"/>
                      <w:szCs w:val="22"/>
                    </w:rPr>
                  </w:pPr>
                </w:p>
              </w:tc>
              <w:tc>
                <w:tcPr>
                  <w:tcW w:w="1743" w:type="dxa"/>
                  <w:vMerge w:val="continue"/>
                  <w:vAlign w:val="center"/>
                </w:tcPr>
                <w:p w14:paraId="3F0B4EEB">
                  <w:pPr>
                    <w:pStyle w:val="41"/>
                    <w:rPr>
                      <w:sz w:val="22"/>
                      <w:szCs w:val="22"/>
                    </w:rPr>
                  </w:pPr>
                </w:p>
              </w:tc>
              <w:tc>
                <w:tcPr>
                  <w:tcW w:w="6287" w:type="dxa"/>
                  <w:vAlign w:val="center"/>
                </w:tcPr>
                <w:p w14:paraId="5813E100">
                  <w:pPr>
                    <w:pStyle w:val="41"/>
                    <w:rPr>
                      <w:sz w:val="22"/>
                      <w:szCs w:val="22"/>
                    </w:rPr>
                  </w:pPr>
                  <w:r>
                    <w:rPr>
                      <w:rFonts w:hint="eastAsia"/>
                      <w:sz w:val="22"/>
                      <w:szCs w:val="22"/>
                    </w:rPr>
                    <w:t>第六条加快淘汰国三及以下排放标准柴油车、汽油车，以运输企业和用车大户为重点，建立车辆档案并制定淘汰计划。大力推广新能源车，推广公交车、出租车、网约车等公共领域用车纯电动化，机关单位示范带动新能源车使用，推进充电站等新能源汽车充换电及加氢配套基础设施建设。加快发展城市轨道交通、智能交通和慢行交通，加快建设滨江步道，鼓励绿色出行。</w:t>
                  </w:r>
                </w:p>
              </w:tc>
              <w:tc>
                <w:tcPr>
                  <w:tcW w:w="2170" w:type="dxa"/>
                  <w:vAlign w:val="center"/>
                </w:tcPr>
                <w:p w14:paraId="1C2D6B53">
                  <w:pPr>
                    <w:pStyle w:val="41"/>
                    <w:rPr>
                      <w:sz w:val="22"/>
                      <w:szCs w:val="22"/>
                    </w:rPr>
                  </w:pPr>
                  <w:r>
                    <w:rPr>
                      <w:rFonts w:hint="eastAsia"/>
                      <w:sz w:val="22"/>
                      <w:szCs w:val="22"/>
                    </w:rPr>
                    <w:t>项目不涉及</w:t>
                  </w:r>
                </w:p>
              </w:tc>
              <w:tc>
                <w:tcPr>
                  <w:tcW w:w="2106" w:type="dxa"/>
                  <w:vAlign w:val="center"/>
                </w:tcPr>
                <w:p w14:paraId="1AA23B69">
                  <w:pPr>
                    <w:pStyle w:val="41"/>
                    <w:rPr>
                      <w:sz w:val="22"/>
                      <w:szCs w:val="22"/>
                    </w:rPr>
                  </w:pPr>
                  <w:r>
                    <w:rPr>
                      <w:rFonts w:hint="eastAsia"/>
                      <w:sz w:val="22"/>
                      <w:szCs w:val="22"/>
                    </w:rPr>
                    <w:t>符合</w:t>
                  </w:r>
                </w:p>
              </w:tc>
            </w:tr>
            <w:tr w14:paraId="0EB2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20" w:type="dxa"/>
                  <w:vMerge w:val="continue"/>
                  <w:vAlign w:val="center"/>
                </w:tcPr>
                <w:p w14:paraId="2AC22035">
                  <w:pPr>
                    <w:pStyle w:val="41"/>
                    <w:rPr>
                      <w:sz w:val="22"/>
                      <w:szCs w:val="22"/>
                    </w:rPr>
                  </w:pPr>
                </w:p>
              </w:tc>
              <w:tc>
                <w:tcPr>
                  <w:tcW w:w="1743" w:type="dxa"/>
                  <w:vMerge w:val="continue"/>
                  <w:vAlign w:val="center"/>
                </w:tcPr>
                <w:p w14:paraId="4F45956D">
                  <w:pPr>
                    <w:pStyle w:val="41"/>
                    <w:rPr>
                      <w:sz w:val="22"/>
                      <w:szCs w:val="22"/>
                    </w:rPr>
                  </w:pPr>
                </w:p>
              </w:tc>
              <w:tc>
                <w:tcPr>
                  <w:tcW w:w="6287" w:type="dxa"/>
                  <w:vAlign w:val="center"/>
                </w:tcPr>
                <w:p w14:paraId="0959F959">
                  <w:pPr>
                    <w:pStyle w:val="41"/>
                    <w:jc w:val="both"/>
                    <w:rPr>
                      <w:sz w:val="22"/>
                      <w:szCs w:val="22"/>
                    </w:rPr>
                  </w:pPr>
                  <w:r>
                    <w:rPr>
                      <w:rFonts w:hint="eastAsia"/>
                      <w:sz w:val="22"/>
                      <w:szCs w:val="22"/>
                    </w:rPr>
                    <w:t>第七条加强施工扬尘监管，逐步推进建筑面积2万平方米以上的工地安装在线监控系统。</w:t>
                  </w:r>
                </w:p>
              </w:tc>
              <w:tc>
                <w:tcPr>
                  <w:tcW w:w="2170" w:type="dxa"/>
                  <w:vAlign w:val="center"/>
                </w:tcPr>
                <w:p w14:paraId="45768BCE">
                  <w:pPr>
                    <w:pStyle w:val="41"/>
                    <w:rPr>
                      <w:sz w:val="22"/>
                      <w:szCs w:val="22"/>
                    </w:rPr>
                  </w:pPr>
                  <w:r>
                    <w:rPr>
                      <w:rFonts w:hint="eastAsia"/>
                      <w:sz w:val="22"/>
                      <w:szCs w:val="22"/>
                    </w:rPr>
                    <w:t>项目不涉及</w:t>
                  </w:r>
                </w:p>
              </w:tc>
              <w:tc>
                <w:tcPr>
                  <w:tcW w:w="2106" w:type="dxa"/>
                  <w:vAlign w:val="center"/>
                </w:tcPr>
                <w:p w14:paraId="099B01F6">
                  <w:pPr>
                    <w:pStyle w:val="41"/>
                    <w:rPr>
                      <w:sz w:val="22"/>
                      <w:szCs w:val="22"/>
                    </w:rPr>
                  </w:pPr>
                  <w:r>
                    <w:rPr>
                      <w:rFonts w:hint="eastAsia"/>
                      <w:sz w:val="22"/>
                      <w:szCs w:val="22"/>
                    </w:rPr>
                    <w:t>符合</w:t>
                  </w:r>
                </w:p>
              </w:tc>
            </w:tr>
            <w:tr w14:paraId="12431842">
              <w:tblPrEx>
                <w:tblCellMar>
                  <w:top w:w="0" w:type="dxa"/>
                  <w:left w:w="108" w:type="dxa"/>
                  <w:bottom w:w="0" w:type="dxa"/>
                  <w:right w:w="108" w:type="dxa"/>
                </w:tblCellMar>
              </w:tblPrEx>
              <w:trPr>
                <w:trHeight w:val="523" w:hRule="atLeast"/>
                <w:jc w:val="center"/>
              </w:trPr>
              <w:tc>
                <w:tcPr>
                  <w:tcW w:w="1120" w:type="dxa"/>
                  <w:vMerge w:val="continue"/>
                  <w:vAlign w:val="center"/>
                </w:tcPr>
                <w:p w14:paraId="35476586">
                  <w:pPr>
                    <w:pStyle w:val="41"/>
                    <w:rPr>
                      <w:sz w:val="22"/>
                      <w:szCs w:val="22"/>
                    </w:rPr>
                  </w:pPr>
                </w:p>
              </w:tc>
              <w:tc>
                <w:tcPr>
                  <w:tcW w:w="1743" w:type="dxa"/>
                  <w:vMerge w:val="restart"/>
                  <w:vAlign w:val="center"/>
                </w:tcPr>
                <w:p w14:paraId="6D5BF4DE">
                  <w:pPr>
                    <w:pStyle w:val="41"/>
                    <w:rPr>
                      <w:sz w:val="22"/>
                      <w:szCs w:val="22"/>
                    </w:rPr>
                  </w:pPr>
                  <w:r>
                    <w:rPr>
                      <w:rFonts w:hint="eastAsia"/>
                      <w:sz w:val="22"/>
                      <w:szCs w:val="22"/>
                    </w:rPr>
                    <w:t>环境风险防控</w:t>
                  </w:r>
                </w:p>
              </w:tc>
              <w:tc>
                <w:tcPr>
                  <w:tcW w:w="6287" w:type="dxa"/>
                  <w:vAlign w:val="center"/>
                </w:tcPr>
                <w:p w14:paraId="7900B80F">
                  <w:pPr>
                    <w:pStyle w:val="41"/>
                    <w:rPr>
                      <w:sz w:val="22"/>
                      <w:szCs w:val="22"/>
                    </w:rPr>
                  </w:pPr>
                  <w:r>
                    <w:rPr>
                      <w:rFonts w:hint="eastAsia"/>
                      <w:sz w:val="22"/>
                      <w:szCs w:val="22"/>
                    </w:rPr>
                    <w:t>第八条西彭组团和铜罐驿组团沿江1km范围内规划仓储用地禁止新引入从事危险化学品储存、运输的仓储物流项目。</w:t>
                  </w:r>
                </w:p>
              </w:tc>
              <w:tc>
                <w:tcPr>
                  <w:tcW w:w="2170" w:type="dxa"/>
                  <w:vAlign w:val="center"/>
                </w:tcPr>
                <w:p w14:paraId="39060881">
                  <w:pPr>
                    <w:pStyle w:val="41"/>
                    <w:rPr>
                      <w:sz w:val="22"/>
                      <w:szCs w:val="22"/>
                    </w:rPr>
                  </w:pPr>
                  <w:r>
                    <w:rPr>
                      <w:rFonts w:hint="eastAsia"/>
                      <w:sz w:val="22"/>
                      <w:szCs w:val="22"/>
                    </w:rPr>
                    <w:t>项目不涉及</w:t>
                  </w:r>
                </w:p>
              </w:tc>
              <w:tc>
                <w:tcPr>
                  <w:tcW w:w="2106" w:type="dxa"/>
                  <w:vAlign w:val="center"/>
                </w:tcPr>
                <w:p w14:paraId="037A6BE3">
                  <w:pPr>
                    <w:pStyle w:val="41"/>
                    <w:rPr>
                      <w:sz w:val="22"/>
                      <w:szCs w:val="22"/>
                    </w:rPr>
                  </w:pPr>
                  <w:r>
                    <w:rPr>
                      <w:rFonts w:hint="eastAsia"/>
                      <w:sz w:val="22"/>
                      <w:szCs w:val="22"/>
                    </w:rPr>
                    <w:t>符合</w:t>
                  </w:r>
                </w:p>
              </w:tc>
            </w:tr>
            <w:tr w14:paraId="49EA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120" w:type="dxa"/>
                  <w:vMerge w:val="continue"/>
                  <w:vAlign w:val="center"/>
                </w:tcPr>
                <w:p w14:paraId="6FD7C6BE">
                  <w:pPr>
                    <w:pStyle w:val="41"/>
                    <w:rPr>
                      <w:sz w:val="22"/>
                      <w:szCs w:val="22"/>
                    </w:rPr>
                  </w:pPr>
                </w:p>
              </w:tc>
              <w:tc>
                <w:tcPr>
                  <w:tcW w:w="1743" w:type="dxa"/>
                  <w:vMerge w:val="continue"/>
                  <w:vAlign w:val="center"/>
                </w:tcPr>
                <w:p w14:paraId="3CAB761F">
                  <w:pPr>
                    <w:pStyle w:val="41"/>
                    <w:rPr>
                      <w:sz w:val="22"/>
                      <w:szCs w:val="22"/>
                    </w:rPr>
                  </w:pPr>
                </w:p>
              </w:tc>
              <w:tc>
                <w:tcPr>
                  <w:tcW w:w="6287" w:type="dxa"/>
                  <w:vAlign w:val="center"/>
                </w:tcPr>
                <w:p w14:paraId="281082D5">
                  <w:pPr>
                    <w:pStyle w:val="41"/>
                    <w:rPr>
                      <w:sz w:val="22"/>
                      <w:szCs w:val="22"/>
                    </w:rPr>
                  </w:pPr>
                  <w:r>
                    <w:rPr>
                      <w:rFonts w:hint="eastAsia"/>
                      <w:sz w:val="22"/>
                      <w:szCs w:val="22"/>
                    </w:rPr>
                    <w:t>第九条禁止新建、扩建化工项目</w:t>
                  </w:r>
                </w:p>
              </w:tc>
              <w:tc>
                <w:tcPr>
                  <w:tcW w:w="2170" w:type="dxa"/>
                  <w:vAlign w:val="center"/>
                </w:tcPr>
                <w:p w14:paraId="3CA7398E">
                  <w:pPr>
                    <w:pStyle w:val="41"/>
                    <w:rPr>
                      <w:sz w:val="22"/>
                      <w:szCs w:val="22"/>
                    </w:rPr>
                  </w:pPr>
                  <w:r>
                    <w:rPr>
                      <w:rFonts w:hint="eastAsia"/>
                      <w:sz w:val="22"/>
                      <w:szCs w:val="22"/>
                    </w:rPr>
                    <w:t>项目不涉及</w:t>
                  </w:r>
                </w:p>
              </w:tc>
              <w:tc>
                <w:tcPr>
                  <w:tcW w:w="2106" w:type="dxa"/>
                  <w:vAlign w:val="center"/>
                </w:tcPr>
                <w:p w14:paraId="1D494521">
                  <w:pPr>
                    <w:pStyle w:val="41"/>
                    <w:rPr>
                      <w:sz w:val="22"/>
                      <w:szCs w:val="22"/>
                    </w:rPr>
                  </w:pPr>
                  <w:r>
                    <w:rPr>
                      <w:rFonts w:hint="eastAsia"/>
                      <w:sz w:val="22"/>
                      <w:szCs w:val="22"/>
                    </w:rPr>
                    <w:t>符合</w:t>
                  </w:r>
                </w:p>
              </w:tc>
            </w:tr>
            <w:tr w14:paraId="14C1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120" w:type="dxa"/>
                  <w:vMerge w:val="continue"/>
                  <w:vAlign w:val="center"/>
                </w:tcPr>
                <w:p w14:paraId="3E0F0213">
                  <w:pPr>
                    <w:pStyle w:val="41"/>
                    <w:rPr>
                      <w:sz w:val="22"/>
                      <w:szCs w:val="22"/>
                    </w:rPr>
                  </w:pPr>
                </w:p>
              </w:tc>
              <w:tc>
                <w:tcPr>
                  <w:tcW w:w="1743" w:type="dxa"/>
                  <w:vMerge w:val="continue"/>
                  <w:vAlign w:val="center"/>
                </w:tcPr>
                <w:p w14:paraId="0A90BDE5">
                  <w:pPr>
                    <w:pStyle w:val="41"/>
                    <w:rPr>
                      <w:sz w:val="22"/>
                      <w:szCs w:val="22"/>
                    </w:rPr>
                  </w:pPr>
                </w:p>
              </w:tc>
              <w:tc>
                <w:tcPr>
                  <w:tcW w:w="6287" w:type="dxa"/>
                  <w:vAlign w:val="center"/>
                </w:tcPr>
                <w:p w14:paraId="1B6074D1">
                  <w:pPr>
                    <w:pStyle w:val="41"/>
                    <w:rPr>
                      <w:sz w:val="22"/>
                      <w:szCs w:val="22"/>
                    </w:rPr>
                  </w:pPr>
                  <w:r>
                    <w:rPr>
                      <w:rFonts w:hint="eastAsia"/>
                      <w:sz w:val="22"/>
                      <w:szCs w:val="22"/>
                    </w:rPr>
                    <w:t>第十条推进铜罐驿组团金竹沟闸坝的修建。</w:t>
                  </w:r>
                </w:p>
              </w:tc>
              <w:tc>
                <w:tcPr>
                  <w:tcW w:w="2170" w:type="dxa"/>
                  <w:vAlign w:val="center"/>
                </w:tcPr>
                <w:p w14:paraId="74CDC1DB">
                  <w:pPr>
                    <w:pStyle w:val="41"/>
                    <w:rPr>
                      <w:sz w:val="22"/>
                      <w:szCs w:val="22"/>
                    </w:rPr>
                  </w:pPr>
                  <w:r>
                    <w:rPr>
                      <w:rFonts w:hint="eastAsia"/>
                      <w:sz w:val="22"/>
                      <w:szCs w:val="22"/>
                    </w:rPr>
                    <w:t>项目不涉及</w:t>
                  </w:r>
                </w:p>
              </w:tc>
              <w:tc>
                <w:tcPr>
                  <w:tcW w:w="2106" w:type="dxa"/>
                  <w:vAlign w:val="center"/>
                </w:tcPr>
                <w:p w14:paraId="3577AB25">
                  <w:pPr>
                    <w:pStyle w:val="41"/>
                    <w:rPr>
                      <w:sz w:val="22"/>
                      <w:szCs w:val="22"/>
                    </w:rPr>
                  </w:pPr>
                  <w:r>
                    <w:rPr>
                      <w:rFonts w:hint="eastAsia"/>
                      <w:sz w:val="22"/>
                      <w:szCs w:val="22"/>
                    </w:rPr>
                    <w:t>符合</w:t>
                  </w:r>
                </w:p>
              </w:tc>
            </w:tr>
            <w:tr w14:paraId="495A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120" w:type="dxa"/>
                  <w:vMerge w:val="continue"/>
                  <w:vAlign w:val="center"/>
                </w:tcPr>
                <w:p w14:paraId="01380E14">
                  <w:pPr>
                    <w:pStyle w:val="41"/>
                    <w:rPr>
                      <w:sz w:val="22"/>
                      <w:szCs w:val="22"/>
                    </w:rPr>
                  </w:pPr>
                </w:p>
              </w:tc>
              <w:tc>
                <w:tcPr>
                  <w:tcW w:w="1743" w:type="dxa"/>
                  <w:vMerge w:val="continue"/>
                  <w:vAlign w:val="center"/>
                </w:tcPr>
                <w:p w14:paraId="687AAF04">
                  <w:pPr>
                    <w:pStyle w:val="41"/>
                    <w:rPr>
                      <w:sz w:val="22"/>
                      <w:szCs w:val="22"/>
                    </w:rPr>
                  </w:pPr>
                </w:p>
              </w:tc>
              <w:tc>
                <w:tcPr>
                  <w:tcW w:w="6287" w:type="dxa"/>
                  <w:vAlign w:val="center"/>
                </w:tcPr>
                <w:p w14:paraId="4FDFAFBA">
                  <w:pPr>
                    <w:pStyle w:val="41"/>
                    <w:rPr>
                      <w:sz w:val="22"/>
                      <w:szCs w:val="22"/>
                    </w:rPr>
                  </w:pPr>
                  <w:r>
                    <w:rPr>
                      <w:rFonts w:hint="eastAsia"/>
                      <w:sz w:val="22"/>
                      <w:szCs w:val="22"/>
                    </w:rPr>
                    <w:t>第十一条西彭工业园区应与下游饮用水水源取水口运营单位建立水源地突发环境事件应急联动机制。</w:t>
                  </w:r>
                </w:p>
              </w:tc>
              <w:tc>
                <w:tcPr>
                  <w:tcW w:w="2170" w:type="dxa"/>
                  <w:vAlign w:val="center"/>
                </w:tcPr>
                <w:p w14:paraId="5AE74838">
                  <w:pPr>
                    <w:pStyle w:val="41"/>
                    <w:rPr>
                      <w:sz w:val="22"/>
                      <w:szCs w:val="22"/>
                    </w:rPr>
                  </w:pPr>
                  <w:r>
                    <w:rPr>
                      <w:rFonts w:hint="eastAsia"/>
                      <w:sz w:val="22"/>
                      <w:szCs w:val="22"/>
                    </w:rPr>
                    <w:t>项目不涉及</w:t>
                  </w:r>
                </w:p>
              </w:tc>
              <w:tc>
                <w:tcPr>
                  <w:tcW w:w="2106" w:type="dxa"/>
                  <w:vAlign w:val="center"/>
                </w:tcPr>
                <w:p w14:paraId="7F6BC8F1">
                  <w:pPr>
                    <w:pStyle w:val="41"/>
                    <w:rPr>
                      <w:sz w:val="22"/>
                      <w:szCs w:val="22"/>
                    </w:rPr>
                  </w:pPr>
                  <w:r>
                    <w:rPr>
                      <w:rFonts w:hint="eastAsia"/>
                      <w:sz w:val="22"/>
                      <w:szCs w:val="22"/>
                    </w:rPr>
                    <w:t>符合</w:t>
                  </w:r>
                </w:p>
              </w:tc>
            </w:tr>
            <w:tr w14:paraId="4BD6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120" w:type="dxa"/>
                  <w:vMerge w:val="continue"/>
                  <w:vAlign w:val="center"/>
                </w:tcPr>
                <w:p w14:paraId="56F0D6CD">
                  <w:pPr>
                    <w:pStyle w:val="41"/>
                    <w:rPr>
                      <w:sz w:val="22"/>
                      <w:szCs w:val="22"/>
                    </w:rPr>
                  </w:pPr>
                </w:p>
              </w:tc>
              <w:tc>
                <w:tcPr>
                  <w:tcW w:w="1743" w:type="dxa"/>
                  <w:vMerge w:val="continue"/>
                  <w:vAlign w:val="center"/>
                </w:tcPr>
                <w:p w14:paraId="7E8AADBD">
                  <w:pPr>
                    <w:pStyle w:val="41"/>
                    <w:rPr>
                      <w:sz w:val="22"/>
                      <w:szCs w:val="22"/>
                    </w:rPr>
                  </w:pPr>
                </w:p>
              </w:tc>
              <w:tc>
                <w:tcPr>
                  <w:tcW w:w="6287" w:type="dxa"/>
                  <w:vAlign w:val="center"/>
                </w:tcPr>
                <w:p w14:paraId="636674E5">
                  <w:pPr>
                    <w:pStyle w:val="41"/>
                    <w:rPr>
                      <w:sz w:val="22"/>
                      <w:szCs w:val="22"/>
                    </w:rPr>
                  </w:pPr>
                  <w:r>
                    <w:rPr>
                      <w:rFonts w:hint="eastAsia"/>
                      <w:sz w:val="22"/>
                      <w:szCs w:val="22"/>
                    </w:rPr>
                    <w:t>第十二条禁止新建、扩建排放废水含有五类重金属（铬、镉、汞、砷、铅）、剧毒物质和持久性有机污染物的工业项目。</w:t>
                  </w:r>
                </w:p>
              </w:tc>
              <w:tc>
                <w:tcPr>
                  <w:tcW w:w="2170" w:type="dxa"/>
                  <w:vAlign w:val="center"/>
                </w:tcPr>
                <w:p w14:paraId="6E77479E">
                  <w:pPr>
                    <w:pStyle w:val="41"/>
                    <w:rPr>
                      <w:sz w:val="22"/>
                      <w:szCs w:val="22"/>
                    </w:rPr>
                  </w:pPr>
                  <w:r>
                    <w:rPr>
                      <w:rFonts w:hint="eastAsia"/>
                      <w:sz w:val="22"/>
                      <w:szCs w:val="22"/>
                    </w:rPr>
                    <w:t>项目不涉及</w:t>
                  </w:r>
                </w:p>
              </w:tc>
              <w:tc>
                <w:tcPr>
                  <w:tcW w:w="2106" w:type="dxa"/>
                  <w:vAlign w:val="center"/>
                </w:tcPr>
                <w:p w14:paraId="0A203D0E">
                  <w:pPr>
                    <w:pStyle w:val="41"/>
                    <w:rPr>
                      <w:sz w:val="22"/>
                      <w:szCs w:val="22"/>
                    </w:rPr>
                  </w:pPr>
                  <w:r>
                    <w:rPr>
                      <w:rFonts w:hint="eastAsia"/>
                      <w:sz w:val="22"/>
                      <w:szCs w:val="22"/>
                    </w:rPr>
                    <w:t>符合</w:t>
                  </w:r>
                </w:p>
              </w:tc>
            </w:tr>
            <w:tr w14:paraId="37118AEE">
              <w:tblPrEx>
                <w:tblCellMar>
                  <w:top w:w="0" w:type="dxa"/>
                  <w:left w:w="108" w:type="dxa"/>
                  <w:bottom w:w="0" w:type="dxa"/>
                  <w:right w:w="108" w:type="dxa"/>
                </w:tblCellMar>
              </w:tblPrEx>
              <w:trPr>
                <w:trHeight w:val="204" w:hRule="atLeast"/>
                <w:jc w:val="center"/>
              </w:trPr>
              <w:tc>
                <w:tcPr>
                  <w:tcW w:w="1120" w:type="dxa"/>
                  <w:vMerge w:val="continue"/>
                  <w:vAlign w:val="center"/>
                </w:tcPr>
                <w:p w14:paraId="42926E1D">
                  <w:pPr>
                    <w:pStyle w:val="41"/>
                    <w:rPr>
                      <w:sz w:val="22"/>
                      <w:szCs w:val="22"/>
                    </w:rPr>
                  </w:pPr>
                </w:p>
              </w:tc>
              <w:tc>
                <w:tcPr>
                  <w:tcW w:w="1743" w:type="dxa"/>
                  <w:vMerge w:val="restart"/>
                  <w:vAlign w:val="center"/>
                </w:tcPr>
                <w:p w14:paraId="6C285A4C">
                  <w:pPr>
                    <w:pStyle w:val="41"/>
                    <w:rPr>
                      <w:sz w:val="22"/>
                      <w:szCs w:val="22"/>
                    </w:rPr>
                  </w:pPr>
                  <w:r>
                    <w:rPr>
                      <w:rFonts w:hint="eastAsia"/>
                      <w:sz w:val="22"/>
                      <w:szCs w:val="22"/>
                    </w:rPr>
                    <w:t>资源开发效率要求</w:t>
                  </w:r>
                </w:p>
              </w:tc>
              <w:tc>
                <w:tcPr>
                  <w:tcW w:w="6287" w:type="dxa"/>
                  <w:vAlign w:val="center"/>
                </w:tcPr>
                <w:p w14:paraId="6B04E83E">
                  <w:pPr>
                    <w:pStyle w:val="41"/>
                    <w:rPr>
                      <w:sz w:val="22"/>
                      <w:szCs w:val="22"/>
                    </w:rPr>
                  </w:pPr>
                  <w:r>
                    <w:rPr>
                      <w:rFonts w:hint="eastAsia"/>
                      <w:sz w:val="22"/>
                      <w:szCs w:val="22"/>
                    </w:rPr>
                    <w:t>第十三条禁止新建、扩建燃用煤、重油等高污染燃料的工业项目，重庆和友实业股份有限公司不再新增燃煤总量。</w:t>
                  </w:r>
                </w:p>
              </w:tc>
              <w:tc>
                <w:tcPr>
                  <w:tcW w:w="2170" w:type="dxa"/>
                  <w:vAlign w:val="center"/>
                </w:tcPr>
                <w:p w14:paraId="50C43532">
                  <w:pPr>
                    <w:pStyle w:val="41"/>
                    <w:rPr>
                      <w:sz w:val="22"/>
                      <w:szCs w:val="22"/>
                    </w:rPr>
                  </w:pPr>
                  <w:r>
                    <w:rPr>
                      <w:rFonts w:hint="eastAsia"/>
                      <w:sz w:val="22"/>
                      <w:szCs w:val="22"/>
                    </w:rPr>
                    <w:t>项目不涉及</w:t>
                  </w:r>
                </w:p>
              </w:tc>
              <w:tc>
                <w:tcPr>
                  <w:tcW w:w="2106" w:type="dxa"/>
                  <w:vAlign w:val="center"/>
                </w:tcPr>
                <w:p w14:paraId="48332ED4">
                  <w:pPr>
                    <w:pStyle w:val="41"/>
                    <w:rPr>
                      <w:sz w:val="22"/>
                      <w:szCs w:val="22"/>
                    </w:rPr>
                  </w:pPr>
                  <w:r>
                    <w:rPr>
                      <w:rFonts w:hint="eastAsia"/>
                      <w:sz w:val="22"/>
                      <w:szCs w:val="22"/>
                    </w:rPr>
                    <w:t>符合</w:t>
                  </w:r>
                </w:p>
              </w:tc>
            </w:tr>
            <w:tr w14:paraId="74A4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20" w:type="dxa"/>
                  <w:vMerge w:val="continue"/>
                  <w:vAlign w:val="center"/>
                </w:tcPr>
                <w:p w14:paraId="0A7E47BF">
                  <w:pPr>
                    <w:pStyle w:val="41"/>
                    <w:rPr>
                      <w:sz w:val="22"/>
                      <w:szCs w:val="22"/>
                    </w:rPr>
                  </w:pPr>
                </w:p>
              </w:tc>
              <w:tc>
                <w:tcPr>
                  <w:tcW w:w="1743" w:type="dxa"/>
                  <w:vMerge w:val="continue"/>
                  <w:vAlign w:val="center"/>
                </w:tcPr>
                <w:p w14:paraId="6C4E260B">
                  <w:pPr>
                    <w:pStyle w:val="41"/>
                    <w:rPr>
                      <w:sz w:val="22"/>
                      <w:szCs w:val="22"/>
                    </w:rPr>
                  </w:pPr>
                </w:p>
              </w:tc>
              <w:tc>
                <w:tcPr>
                  <w:tcW w:w="6287" w:type="dxa"/>
                  <w:vAlign w:val="center"/>
                </w:tcPr>
                <w:p w14:paraId="3365C615">
                  <w:pPr>
                    <w:pStyle w:val="41"/>
                    <w:rPr>
                      <w:sz w:val="22"/>
                      <w:szCs w:val="22"/>
                    </w:rPr>
                  </w:pPr>
                  <w:r>
                    <w:rPr>
                      <w:rFonts w:hint="eastAsia"/>
                      <w:sz w:val="22"/>
                      <w:szCs w:val="22"/>
                    </w:rPr>
                    <w:t>第十四条新建和改、扩建的工业项目清洁生产水平应达到国内先进水平。</w:t>
                  </w:r>
                </w:p>
              </w:tc>
              <w:tc>
                <w:tcPr>
                  <w:tcW w:w="2170" w:type="dxa"/>
                  <w:vAlign w:val="center"/>
                </w:tcPr>
                <w:p w14:paraId="16D1FBD7">
                  <w:pPr>
                    <w:pStyle w:val="41"/>
                    <w:rPr>
                      <w:sz w:val="22"/>
                      <w:szCs w:val="22"/>
                    </w:rPr>
                  </w:pPr>
                  <w:r>
                    <w:rPr>
                      <w:rFonts w:hint="eastAsia"/>
                      <w:sz w:val="22"/>
                      <w:szCs w:val="22"/>
                    </w:rPr>
                    <w:t>本项目清洁生产水平达到国内先进水平</w:t>
                  </w:r>
                </w:p>
              </w:tc>
              <w:tc>
                <w:tcPr>
                  <w:tcW w:w="2106" w:type="dxa"/>
                  <w:vAlign w:val="center"/>
                </w:tcPr>
                <w:p w14:paraId="73C8DE1B">
                  <w:pPr>
                    <w:pStyle w:val="41"/>
                    <w:rPr>
                      <w:sz w:val="22"/>
                      <w:szCs w:val="22"/>
                    </w:rPr>
                  </w:pPr>
                  <w:r>
                    <w:rPr>
                      <w:rFonts w:hint="eastAsia"/>
                      <w:sz w:val="22"/>
                      <w:szCs w:val="22"/>
                    </w:rPr>
                    <w:t>符合</w:t>
                  </w:r>
                </w:p>
              </w:tc>
            </w:tr>
            <w:tr w14:paraId="31F1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20" w:type="dxa"/>
                  <w:vMerge w:val="continue"/>
                  <w:vAlign w:val="center"/>
                </w:tcPr>
                <w:p w14:paraId="0C5C219A">
                  <w:pPr>
                    <w:pStyle w:val="41"/>
                    <w:rPr>
                      <w:sz w:val="22"/>
                      <w:szCs w:val="22"/>
                    </w:rPr>
                  </w:pPr>
                </w:p>
              </w:tc>
              <w:tc>
                <w:tcPr>
                  <w:tcW w:w="1743" w:type="dxa"/>
                  <w:vMerge w:val="continue"/>
                  <w:vAlign w:val="center"/>
                </w:tcPr>
                <w:p w14:paraId="01E34F07">
                  <w:pPr>
                    <w:pStyle w:val="41"/>
                    <w:rPr>
                      <w:sz w:val="22"/>
                      <w:szCs w:val="22"/>
                    </w:rPr>
                  </w:pPr>
                </w:p>
              </w:tc>
              <w:tc>
                <w:tcPr>
                  <w:tcW w:w="6287" w:type="dxa"/>
                  <w:vAlign w:val="center"/>
                </w:tcPr>
                <w:p w14:paraId="0FBD06ED">
                  <w:pPr>
                    <w:pStyle w:val="41"/>
                    <w:rPr>
                      <w:sz w:val="22"/>
                      <w:szCs w:val="22"/>
                    </w:rPr>
                  </w:pPr>
                  <w:r>
                    <w:rPr>
                      <w:rFonts w:hint="eastAsia"/>
                      <w:sz w:val="22"/>
                      <w:szCs w:val="22"/>
                    </w:rPr>
                    <w:t>第十五条提高有色金属冶炼及压延加工业、化学原料及化学制品制造业和汽车制造业等工业企业的节能水平，降低区域的能耗强度。加强重点行业能效管理，升级工艺技术，提高用能设备能效水平。</w:t>
                  </w:r>
                </w:p>
              </w:tc>
              <w:tc>
                <w:tcPr>
                  <w:tcW w:w="2170" w:type="dxa"/>
                  <w:vAlign w:val="center"/>
                </w:tcPr>
                <w:p w14:paraId="42CB4153">
                  <w:pPr>
                    <w:pStyle w:val="41"/>
                    <w:rPr>
                      <w:sz w:val="22"/>
                      <w:szCs w:val="22"/>
                    </w:rPr>
                  </w:pPr>
                  <w:r>
                    <w:rPr>
                      <w:rFonts w:hint="eastAsia"/>
                      <w:sz w:val="22"/>
                      <w:szCs w:val="22"/>
                    </w:rPr>
                    <w:t>项目不涉及</w:t>
                  </w:r>
                </w:p>
              </w:tc>
              <w:tc>
                <w:tcPr>
                  <w:tcW w:w="2106" w:type="dxa"/>
                  <w:vAlign w:val="center"/>
                </w:tcPr>
                <w:p w14:paraId="04962E8F">
                  <w:pPr>
                    <w:pStyle w:val="41"/>
                    <w:rPr>
                      <w:sz w:val="22"/>
                      <w:szCs w:val="22"/>
                    </w:rPr>
                  </w:pPr>
                  <w:r>
                    <w:rPr>
                      <w:rFonts w:hint="eastAsia"/>
                      <w:sz w:val="22"/>
                      <w:szCs w:val="22"/>
                    </w:rPr>
                    <w:t>符合</w:t>
                  </w:r>
                </w:p>
              </w:tc>
            </w:tr>
            <w:tr w14:paraId="3193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20" w:type="dxa"/>
                  <w:vMerge w:val="continue"/>
                  <w:vAlign w:val="center"/>
                </w:tcPr>
                <w:p w14:paraId="6F8093CC">
                  <w:pPr>
                    <w:pStyle w:val="41"/>
                    <w:rPr>
                      <w:sz w:val="22"/>
                      <w:szCs w:val="22"/>
                    </w:rPr>
                  </w:pPr>
                </w:p>
              </w:tc>
              <w:tc>
                <w:tcPr>
                  <w:tcW w:w="1743" w:type="dxa"/>
                  <w:vMerge w:val="continue"/>
                  <w:vAlign w:val="center"/>
                </w:tcPr>
                <w:p w14:paraId="6EAFA97D">
                  <w:pPr>
                    <w:pStyle w:val="41"/>
                    <w:rPr>
                      <w:sz w:val="22"/>
                      <w:szCs w:val="22"/>
                    </w:rPr>
                  </w:pPr>
                </w:p>
              </w:tc>
              <w:tc>
                <w:tcPr>
                  <w:tcW w:w="6287" w:type="dxa"/>
                  <w:vAlign w:val="center"/>
                </w:tcPr>
                <w:p w14:paraId="1C36A4F0">
                  <w:pPr>
                    <w:pStyle w:val="41"/>
                    <w:rPr>
                      <w:sz w:val="22"/>
                      <w:szCs w:val="22"/>
                    </w:rPr>
                  </w:pPr>
                  <w:r>
                    <w:rPr>
                      <w:rFonts w:hint="eastAsia"/>
                      <w:sz w:val="22"/>
                      <w:szCs w:val="22"/>
                    </w:rPr>
                    <w:t>第十六条加强工业节水改造，限制高耗水行业发展，加强重点监控用水单位监管。加强城镇节水，开展公共建筑节水改造、城镇供水管网漏损治理工程。</w:t>
                  </w:r>
                </w:p>
              </w:tc>
              <w:tc>
                <w:tcPr>
                  <w:tcW w:w="2170" w:type="dxa"/>
                  <w:vAlign w:val="center"/>
                </w:tcPr>
                <w:p w14:paraId="680643B6">
                  <w:pPr>
                    <w:pStyle w:val="41"/>
                    <w:rPr>
                      <w:sz w:val="22"/>
                      <w:szCs w:val="22"/>
                    </w:rPr>
                  </w:pPr>
                  <w:r>
                    <w:rPr>
                      <w:rFonts w:hint="eastAsia"/>
                      <w:sz w:val="22"/>
                      <w:szCs w:val="22"/>
                    </w:rPr>
                    <w:t>本项目属于汽车零部件及配件制造业，不属于新建、扩建燃用煤、重油等高污染燃料、高耗水的工业项目。</w:t>
                  </w:r>
                </w:p>
              </w:tc>
              <w:tc>
                <w:tcPr>
                  <w:tcW w:w="2106" w:type="dxa"/>
                  <w:vAlign w:val="center"/>
                </w:tcPr>
                <w:p w14:paraId="643B825D">
                  <w:pPr>
                    <w:pStyle w:val="41"/>
                    <w:rPr>
                      <w:sz w:val="22"/>
                      <w:szCs w:val="22"/>
                    </w:rPr>
                  </w:pPr>
                  <w:r>
                    <w:rPr>
                      <w:rFonts w:hint="eastAsia"/>
                      <w:sz w:val="22"/>
                      <w:szCs w:val="22"/>
                    </w:rPr>
                    <w:t>符合</w:t>
                  </w:r>
                </w:p>
              </w:tc>
            </w:tr>
            <w:tr w14:paraId="57EA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863" w:type="dxa"/>
                  <w:gridSpan w:val="2"/>
                  <w:vAlign w:val="center"/>
                </w:tcPr>
                <w:p w14:paraId="4C367B28">
                  <w:pPr>
                    <w:pStyle w:val="41"/>
                    <w:rPr>
                      <w:sz w:val="22"/>
                      <w:szCs w:val="22"/>
                    </w:rPr>
                  </w:pPr>
                  <w:r>
                    <w:rPr>
                      <w:rFonts w:hint="eastAsia"/>
                      <w:sz w:val="22"/>
                      <w:szCs w:val="22"/>
                    </w:rPr>
                    <w:t>环境管控单元编码</w:t>
                  </w:r>
                </w:p>
              </w:tc>
              <w:tc>
                <w:tcPr>
                  <w:tcW w:w="6287" w:type="dxa"/>
                  <w:vAlign w:val="center"/>
                </w:tcPr>
                <w:p w14:paraId="210FA308">
                  <w:pPr>
                    <w:pStyle w:val="41"/>
                    <w:rPr>
                      <w:rFonts w:hint="eastAsia"/>
                      <w:sz w:val="22"/>
                      <w:szCs w:val="22"/>
                    </w:rPr>
                  </w:pPr>
                  <w:r>
                    <w:rPr>
                      <w:rFonts w:hint="eastAsia"/>
                      <w:sz w:val="22"/>
                      <w:szCs w:val="22"/>
                    </w:rPr>
                    <w:t>环境管控单元名称</w:t>
                  </w:r>
                </w:p>
              </w:tc>
              <w:tc>
                <w:tcPr>
                  <w:tcW w:w="4276" w:type="dxa"/>
                  <w:gridSpan w:val="2"/>
                  <w:vAlign w:val="center"/>
                </w:tcPr>
                <w:p w14:paraId="28B50E35">
                  <w:pPr>
                    <w:pStyle w:val="41"/>
                    <w:rPr>
                      <w:rFonts w:hint="eastAsia"/>
                      <w:sz w:val="22"/>
                      <w:szCs w:val="22"/>
                    </w:rPr>
                  </w:pPr>
                  <w:r>
                    <w:rPr>
                      <w:rFonts w:hint="eastAsia"/>
                      <w:sz w:val="22"/>
                      <w:szCs w:val="22"/>
                    </w:rPr>
                    <w:t>环境管控单元类型</w:t>
                  </w:r>
                </w:p>
              </w:tc>
            </w:tr>
            <w:tr w14:paraId="517C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863" w:type="dxa"/>
                  <w:gridSpan w:val="2"/>
                  <w:vAlign w:val="center"/>
                </w:tcPr>
                <w:p w14:paraId="2ED23CB6">
                  <w:pPr>
                    <w:pStyle w:val="41"/>
                    <w:rPr>
                      <w:sz w:val="22"/>
                      <w:szCs w:val="22"/>
                    </w:rPr>
                  </w:pPr>
                  <w:r>
                    <w:rPr>
                      <w:rFonts w:hint="eastAsia"/>
                      <w:sz w:val="22"/>
                      <w:szCs w:val="22"/>
                      <w:lang w:val="en-US" w:eastAsia="zh-CN"/>
                    </w:rPr>
                    <w:t>ZH50010720004</w:t>
                  </w:r>
                </w:p>
              </w:tc>
              <w:tc>
                <w:tcPr>
                  <w:tcW w:w="6287" w:type="dxa"/>
                  <w:vAlign w:val="center"/>
                </w:tcPr>
                <w:p w14:paraId="00E2AAC4">
                  <w:pPr>
                    <w:pStyle w:val="41"/>
                    <w:rPr>
                      <w:rFonts w:hint="eastAsia"/>
                      <w:sz w:val="22"/>
                      <w:szCs w:val="22"/>
                    </w:rPr>
                  </w:pPr>
                  <w:r>
                    <w:rPr>
                      <w:rFonts w:hint="eastAsia"/>
                      <w:sz w:val="22"/>
                      <w:szCs w:val="22"/>
                      <w:lang w:val="en-US" w:eastAsia="zh-CN"/>
                    </w:rPr>
                    <w:t>九龙坡区重点管控单元-长江丰收坝九龙坡段</w:t>
                  </w:r>
                </w:p>
              </w:tc>
              <w:tc>
                <w:tcPr>
                  <w:tcW w:w="4276" w:type="dxa"/>
                  <w:gridSpan w:val="2"/>
                  <w:vAlign w:val="center"/>
                </w:tcPr>
                <w:p w14:paraId="6CDB9CDD">
                  <w:pPr>
                    <w:pStyle w:val="41"/>
                    <w:rPr>
                      <w:rFonts w:hint="eastAsia" w:eastAsia="宋体"/>
                      <w:sz w:val="22"/>
                      <w:szCs w:val="22"/>
                      <w:lang w:val="en-US" w:eastAsia="zh-CN"/>
                    </w:rPr>
                  </w:pPr>
                  <w:r>
                    <w:rPr>
                      <w:rFonts w:hint="eastAsia"/>
                      <w:sz w:val="22"/>
                      <w:szCs w:val="22"/>
                    </w:rPr>
                    <w:t>重点管控单元</w:t>
                  </w:r>
                  <w:r>
                    <w:rPr>
                      <w:rFonts w:hint="eastAsia"/>
                      <w:sz w:val="22"/>
                      <w:szCs w:val="22"/>
                      <w:lang w:val="en-US" w:eastAsia="zh-CN"/>
                    </w:rPr>
                    <w:t>4</w:t>
                  </w:r>
                </w:p>
              </w:tc>
            </w:tr>
            <w:tr w14:paraId="778E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20" w:type="dxa"/>
                  <w:vMerge w:val="restart"/>
                  <w:vAlign w:val="center"/>
                </w:tcPr>
                <w:p w14:paraId="6D5F8928">
                  <w:pPr>
                    <w:pStyle w:val="41"/>
                    <w:rPr>
                      <w:rFonts w:hint="default" w:eastAsia="宋体"/>
                      <w:sz w:val="22"/>
                      <w:szCs w:val="22"/>
                      <w:lang w:val="en-US" w:eastAsia="zh-CN"/>
                    </w:rPr>
                  </w:pPr>
                  <w:r>
                    <w:rPr>
                      <w:rFonts w:hint="eastAsia"/>
                      <w:sz w:val="22"/>
                      <w:szCs w:val="22"/>
                      <w:lang w:val="en-US" w:eastAsia="zh-CN"/>
                    </w:rPr>
                    <w:t>单元管控要求</w:t>
                  </w:r>
                </w:p>
              </w:tc>
              <w:tc>
                <w:tcPr>
                  <w:tcW w:w="1743" w:type="dxa"/>
                  <w:vMerge w:val="restart"/>
                  <w:vAlign w:val="center"/>
                </w:tcPr>
                <w:p w14:paraId="2F1F5FDD">
                  <w:pPr>
                    <w:pStyle w:val="41"/>
                    <w:rPr>
                      <w:rFonts w:hint="default" w:eastAsia="宋体"/>
                      <w:sz w:val="22"/>
                      <w:szCs w:val="22"/>
                      <w:lang w:val="en-US" w:eastAsia="zh-CN"/>
                    </w:rPr>
                  </w:pPr>
                  <w:r>
                    <w:rPr>
                      <w:rFonts w:hint="eastAsia"/>
                      <w:sz w:val="22"/>
                      <w:szCs w:val="22"/>
                      <w:lang w:val="en-US" w:eastAsia="zh-CN"/>
                    </w:rPr>
                    <w:t>污染物排放管控</w:t>
                  </w:r>
                </w:p>
              </w:tc>
              <w:tc>
                <w:tcPr>
                  <w:tcW w:w="6287" w:type="dxa"/>
                  <w:vAlign w:val="center"/>
                </w:tcPr>
                <w:p w14:paraId="54A3E67D">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第一条建设完善农村污水收集处理设施，推进化粪池、净化池、管网等现有农村污水处理设施修复改造</w:t>
                  </w:r>
                </w:p>
              </w:tc>
              <w:tc>
                <w:tcPr>
                  <w:tcW w:w="2170" w:type="dxa"/>
                  <w:vAlign w:val="center"/>
                </w:tcPr>
                <w:p w14:paraId="48BF86A4">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项目不涉及</w:t>
                  </w:r>
                </w:p>
              </w:tc>
              <w:tc>
                <w:tcPr>
                  <w:tcW w:w="2106" w:type="dxa"/>
                  <w:vAlign w:val="center"/>
                </w:tcPr>
                <w:p w14:paraId="4A7AAF97">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符合</w:t>
                  </w:r>
                </w:p>
              </w:tc>
            </w:tr>
            <w:tr w14:paraId="0072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20" w:type="dxa"/>
                  <w:vMerge w:val="continue"/>
                  <w:vAlign w:val="center"/>
                </w:tcPr>
                <w:p w14:paraId="0EE60F2B">
                  <w:pPr>
                    <w:pStyle w:val="41"/>
                  </w:pPr>
                </w:p>
              </w:tc>
              <w:tc>
                <w:tcPr>
                  <w:tcW w:w="1743" w:type="dxa"/>
                  <w:vMerge w:val="continue"/>
                  <w:vAlign w:val="center"/>
                </w:tcPr>
                <w:p w14:paraId="77AA5A03">
                  <w:pPr>
                    <w:pStyle w:val="41"/>
                  </w:pPr>
                </w:p>
              </w:tc>
              <w:tc>
                <w:tcPr>
                  <w:tcW w:w="6287" w:type="dxa"/>
                  <w:vAlign w:val="center"/>
                </w:tcPr>
                <w:p w14:paraId="225C39AD">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第二条合理控制施肥比例，科学配置肥料资源，减少化肥施用量，提倡秸秆还田，扩大绿肥种植面积，增加有机肥施用量</w:t>
                  </w:r>
                </w:p>
              </w:tc>
              <w:tc>
                <w:tcPr>
                  <w:tcW w:w="2170" w:type="dxa"/>
                  <w:vAlign w:val="center"/>
                </w:tcPr>
                <w:p w14:paraId="48B53F1C">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项目不涉及</w:t>
                  </w:r>
                </w:p>
              </w:tc>
              <w:tc>
                <w:tcPr>
                  <w:tcW w:w="2106" w:type="dxa"/>
                  <w:vAlign w:val="center"/>
                </w:tcPr>
                <w:p w14:paraId="4BAC35D7">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符合</w:t>
                  </w:r>
                </w:p>
              </w:tc>
            </w:tr>
            <w:tr w14:paraId="724F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20" w:type="dxa"/>
                  <w:vMerge w:val="continue"/>
                  <w:vAlign w:val="center"/>
                </w:tcPr>
                <w:p w14:paraId="03238C4A">
                  <w:pPr>
                    <w:pStyle w:val="41"/>
                    <w:rPr>
                      <w:rFonts w:hint="eastAsia"/>
                      <w:sz w:val="22"/>
                      <w:szCs w:val="22"/>
                    </w:rPr>
                  </w:pPr>
                </w:p>
              </w:tc>
              <w:tc>
                <w:tcPr>
                  <w:tcW w:w="1743" w:type="dxa"/>
                  <w:vMerge w:val="continue"/>
                  <w:vAlign w:val="center"/>
                </w:tcPr>
                <w:p w14:paraId="17843BE5">
                  <w:pPr>
                    <w:pStyle w:val="41"/>
                    <w:rPr>
                      <w:rFonts w:hint="eastAsia"/>
                      <w:sz w:val="22"/>
                      <w:szCs w:val="22"/>
                    </w:rPr>
                  </w:pPr>
                </w:p>
              </w:tc>
              <w:tc>
                <w:tcPr>
                  <w:tcW w:w="6287" w:type="dxa"/>
                  <w:vAlign w:val="center"/>
                </w:tcPr>
                <w:p w14:paraId="72DEE187">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第三条深入推进农药减量，严格禁止高毒高残留农药和长残效除草剂使用，鼓励使用高效低毒低残留农药和生物农药</w:t>
                  </w:r>
                </w:p>
              </w:tc>
              <w:tc>
                <w:tcPr>
                  <w:tcW w:w="2170" w:type="dxa"/>
                  <w:vAlign w:val="center"/>
                </w:tcPr>
                <w:p w14:paraId="4007005E">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项目不涉及</w:t>
                  </w:r>
                </w:p>
              </w:tc>
              <w:tc>
                <w:tcPr>
                  <w:tcW w:w="2106" w:type="dxa"/>
                  <w:vAlign w:val="center"/>
                </w:tcPr>
                <w:p w14:paraId="5E67B18D">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符合</w:t>
                  </w:r>
                </w:p>
              </w:tc>
            </w:tr>
            <w:tr w14:paraId="3C96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20" w:type="dxa"/>
                  <w:vMerge w:val="continue"/>
                  <w:vAlign w:val="center"/>
                </w:tcPr>
                <w:p w14:paraId="35D56551">
                  <w:pPr>
                    <w:pStyle w:val="41"/>
                    <w:rPr>
                      <w:rFonts w:hint="eastAsia"/>
                      <w:sz w:val="22"/>
                      <w:szCs w:val="22"/>
                    </w:rPr>
                  </w:pPr>
                </w:p>
              </w:tc>
              <w:tc>
                <w:tcPr>
                  <w:tcW w:w="1743" w:type="dxa"/>
                  <w:vMerge w:val="continue"/>
                  <w:vAlign w:val="center"/>
                </w:tcPr>
                <w:p w14:paraId="2CB5A826">
                  <w:pPr>
                    <w:pStyle w:val="41"/>
                    <w:rPr>
                      <w:rFonts w:hint="eastAsia"/>
                      <w:sz w:val="22"/>
                      <w:szCs w:val="22"/>
                    </w:rPr>
                  </w:pPr>
                </w:p>
              </w:tc>
              <w:tc>
                <w:tcPr>
                  <w:tcW w:w="6287" w:type="dxa"/>
                  <w:vAlign w:val="center"/>
                </w:tcPr>
                <w:p w14:paraId="735801D0">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第四条有序推进养殖尾水治理工作，推动养殖尾水达标排放、循环使用或资源化利用。提高养殖尾水治理设施覆盖率</w:t>
                  </w:r>
                </w:p>
              </w:tc>
              <w:tc>
                <w:tcPr>
                  <w:tcW w:w="2170" w:type="dxa"/>
                  <w:vAlign w:val="center"/>
                </w:tcPr>
                <w:p w14:paraId="4032B961">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项目不涉及</w:t>
                  </w:r>
                </w:p>
              </w:tc>
              <w:tc>
                <w:tcPr>
                  <w:tcW w:w="2106" w:type="dxa"/>
                  <w:vAlign w:val="center"/>
                </w:tcPr>
                <w:p w14:paraId="51991DC8">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符合</w:t>
                  </w:r>
                </w:p>
              </w:tc>
            </w:tr>
            <w:tr w14:paraId="33AE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20" w:type="dxa"/>
                  <w:vMerge w:val="continue"/>
                  <w:vAlign w:val="center"/>
                </w:tcPr>
                <w:p w14:paraId="1568EB7D">
                  <w:pPr>
                    <w:pStyle w:val="41"/>
                    <w:rPr>
                      <w:sz w:val="22"/>
                      <w:szCs w:val="22"/>
                    </w:rPr>
                  </w:pPr>
                </w:p>
              </w:tc>
              <w:tc>
                <w:tcPr>
                  <w:tcW w:w="1743" w:type="dxa"/>
                  <w:vAlign w:val="center"/>
                </w:tcPr>
                <w:p w14:paraId="5A8B195E">
                  <w:pPr>
                    <w:pStyle w:val="41"/>
                    <w:rPr>
                      <w:rFonts w:hint="default" w:eastAsia="宋体"/>
                      <w:sz w:val="22"/>
                      <w:szCs w:val="22"/>
                      <w:lang w:val="en-US" w:eastAsia="zh-CN"/>
                    </w:rPr>
                  </w:pPr>
                  <w:r>
                    <w:rPr>
                      <w:rFonts w:hint="eastAsia"/>
                      <w:sz w:val="22"/>
                      <w:szCs w:val="22"/>
                      <w:lang w:val="en-US" w:eastAsia="zh-CN"/>
                    </w:rPr>
                    <w:t>环境风险防控</w:t>
                  </w:r>
                </w:p>
              </w:tc>
              <w:tc>
                <w:tcPr>
                  <w:tcW w:w="6287" w:type="dxa"/>
                  <w:vAlign w:val="center"/>
                </w:tcPr>
                <w:p w14:paraId="185CB72B">
                  <w:pPr>
                    <w:pStyle w:val="41"/>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第五条加强农药化肥使用量的控制，实行科学种植和非点源污染防治</w:t>
                  </w:r>
                </w:p>
              </w:tc>
              <w:tc>
                <w:tcPr>
                  <w:tcW w:w="2170" w:type="dxa"/>
                  <w:vAlign w:val="center"/>
                </w:tcPr>
                <w:p w14:paraId="1208A28D">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项目不涉及</w:t>
                  </w:r>
                </w:p>
              </w:tc>
              <w:tc>
                <w:tcPr>
                  <w:tcW w:w="2106" w:type="dxa"/>
                  <w:vAlign w:val="center"/>
                </w:tcPr>
                <w:p w14:paraId="502F5176">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符合</w:t>
                  </w:r>
                </w:p>
              </w:tc>
            </w:tr>
            <w:tr w14:paraId="45E0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20" w:type="dxa"/>
                  <w:vMerge w:val="continue"/>
                  <w:vAlign w:val="center"/>
                </w:tcPr>
                <w:p w14:paraId="3F590554">
                  <w:pPr>
                    <w:pStyle w:val="41"/>
                    <w:rPr>
                      <w:sz w:val="22"/>
                      <w:szCs w:val="22"/>
                    </w:rPr>
                  </w:pPr>
                </w:p>
              </w:tc>
              <w:tc>
                <w:tcPr>
                  <w:tcW w:w="1743" w:type="dxa"/>
                  <w:vAlign w:val="center"/>
                </w:tcPr>
                <w:p w14:paraId="51CFA783">
                  <w:pPr>
                    <w:pStyle w:val="41"/>
                    <w:rPr>
                      <w:rFonts w:hint="default" w:eastAsia="宋体"/>
                      <w:sz w:val="22"/>
                      <w:szCs w:val="22"/>
                      <w:lang w:val="en-US" w:eastAsia="zh-CN"/>
                    </w:rPr>
                  </w:pPr>
                  <w:r>
                    <w:rPr>
                      <w:rFonts w:hint="eastAsia"/>
                      <w:sz w:val="22"/>
                      <w:szCs w:val="22"/>
                      <w:lang w:val="en-US" w:eastAsia="zh-CN"/>
                    </w:rPr>
                    <w:t>资源开发效率要求</w:t>
                  </w:r>
                </w:p>
              </w:tc>
              <w:tc>
                <w:tcPr>
                  <w:tcW w:w="6287" w:type="dxa"/>
                  <w:vAlign w:val="center"/>
                </w:tcPr>
                <w:p w14:paraId="251BD43E">
                  <w:pPr>
                    <w:pStyle w:val="41"/>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第六条加强农业节水，推进铜罐驿镇、陶家镇等5000亩农业节水设施建设。</w:t>
                  </w:r>
                </w:p>
              </w:tc>
              <w:tc>
                <w:tcPr>
                  <w:tcW w:w="2170" w:type="dxa"/>
                  <w:vAlign w:val="center"/>
                </w:tcPr>
                <w:p w14:paraId="25F52AE6">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项目不涉及</w:t>
                  </w:r>
                </w:p>
              </w:tc>
              <w:tc>
                <w:tcPr>
                  <w:tcW w:w="2106" w:type="dxa"/>
                  <w:vAlign w:val="center"/>
                </w:tcPr>
                <w:p w14:paraId="724A4F56">
                  <w:pPr>
                    <w:pStyle w:val="41"/>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符合</w:t>
                  </w:r>
                </w:p>
              </w:tc>
            </w:tr>
          </w:tbl>
          <w:p w14:paraId="19BED13B">
            <w:pPr>
              <w:tabs>
                <w:tab w:val="left" w:pos="3462"/>
              </w:tabs>
              <w:rPr>
                <w:rFonts w:eastAsia="黑体"/>
                <w:sz w:val="30"/>
              </w:rPr>
            </w:pPr>
          </w:p>
        </w:tc>
      </w:tr>
    </w:tbl>
    <w:p w14:paraId="020D27A4">
      <w:pPr>
        <w:spacing w:line="360" w:lineRule="auto"/>
        <w:jc w:val="center"/>
        <w:outlineLvl w:val="0"/>
        <w:rPr>
          <w:sz w:val="24"/>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fmt="decimal"/>
          <w:cols w:space="720" w:num="1"/>
          <w:docGrid w:linePitch="312" w:charSpace="0"/>
        </w:sect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277"/>
      </w:tblGrid>
      <w:tr w14:paraId="1F94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CF2A104">
            <w:pPr>
              <w:spacing w:line="360" w:lineRule="auto"/>
              <w:outlineLvl w:val="0"/>
              <w:rPr>
                <w:rFonts w:eastAsia="黑体"/>
                <w:sz w:val="30"/>
              </w:rPr>
            </w:pPr>
          </w:p>
        </w:tc>
        <w:tc>
          <w:tcPr>
            <w:tcW w:w="8277" w:type="dxa"/>
          </w:tcPr>
          <w:p w14:paraId="0ABEE477">
            <w:pPr>
              <w:pStyle w:val="82"/>
              <w:ind w:firstLine="522"/>
              <w:rPr>
                <w:b/>
                <w:bCs w:val="0"/>
              </w:rPr>
            </w:pPr>
            <w:r>
              <w:rPr>
                <w:b/>
                <w:bCs w:val="0"/>
              </w:rPr>
              <w:t>1.2.</w:t>
            </w:r>
            <w:r>
              <w:rPr>
                <w:rFonts w:hint="eastAsia"/>
                <w:b/>
                <w:bCs w:val="0"/>
              </w:rPr>
              <w:t>2</w:t>
            </w:r>
            <w:r>
              <w:rPr>
                <w:b/>
                <w:bCs w:val="0"/>
              </w:rPr>
              <w:t>产业政策符合性分析</w:t>
            </w:r>
          </w:p>
          <w:p w14:paraId="34220C53">
            <w:pPr>
              <w:pStyle w:val="82"/>
              <w:ind w:firstLine="520"/>
            </w:pPr>
            <w:r>
              <w:rPr>
                <w:rFonts w:hint="eastAsia"/>
              </w:rPr>
              <w:t>电驱桥</w:t>
            </w:r>
            <w:r>
              <w:t>项目属于</w:t>
            </w:r>
            <w:r>
              <w:rPr>
                <w:rFonts w:hint="eastAsia"/>
              </w:rPr>
              <w:t>C3670汽车零部件及配件制造</w:t>
            </w:r>
            <w:r>
              <w:t>，根据《产业结构调整指导目录（2024年本）》，项目属于</w:t>
            </w:r>
            <w:r>
              <w:rPr>
                <w:rFonts w:hint="eastAsia"/>
              </w:rPr>
              <w:t>“</w:t>
            </w:r>
            <w:r>
              <w:t>十六、汽车3、新能源汽车关键零部件：</w:t>
            </w:r>
            <w:r>
              <w:rPr>
                <w:rFonts w:hint="eastAsia"/>
              </w:rPr>
              <w:t>一体化电驱动总成（功率密度≥2.5kW/kg）”，</w:t>
            </w:r>
            <w:r>
              <w:t>为</w:t>
            </w:r>
            <w:r>
              <w:rPr>
                <w:rFonts w:hint="eastAsia"/>
              </w:rPr>
              <w:t>“鼓励</w:t>
            </w:r>
            <w:r>
              <w:t>类</w:t>
            </w:r>
            <w:r>
              <w:rPr>
                <w:rFonts w:hint="eastAsia"/>
              </w:rPr>
              <w:t>”</w:t>
            </w:r>
            <w:r>
              <w:t>项目</w:t>
            </w:r>
            <w:r>
              <w:rPr>
                <w:rFonts w:hint="eastAsia"/>
              </w:rPr>
              <w:t>，</w:t>
            </w:r>
            <w:r>
              <w:t>符合国家产业政策。</w:t>
            </w:r>
          </w:p>
          <w:p w14:paraId="3BF3EF25">
            <w:pPr>
              <w:pStyle w:val="82"/>
              <w:ind w:firstLine="522"/>
              <w:rPr>
                <w:b/>
                <w:bCs w:val="0"/>
              </w:rPr>
            </w:pPr>
            <w:r>
              <w:rPr>
                <w:b/>
                <w:bCs w:val="0"/>
              </w:rPr>
              <w:t>1.2.</w:t>
            </w:r>
            <w:r>
              <w:rPr>
                <w:rFonts w:hint="eastAsia"/>
                <w:b/>
                <w:bCs w:val="0"/>
                <w:lang w:val="en-US" w:eastAsia="zh-CN"/>
              </w:rPr>
              <w:t>3</w:t>
            </w:r>
            <w:r>
              <w:rPr>
                <w:b/>
                <w:bCs w:val="0"/>
              </w:rPr>
              <w:t>与《重庆市发展和改革委员会关于印发重庆市产业投资准入工作手册的通知》（渝发改投资〔2022〕1436号）符合性分析</w:t>
            </w:r>
          </w:p>
          <w:p w14:paraId="69B3644A">
            <w:pPr>
              <w:pStyle w:val="82"/>
              <w:ind w:firstLine="520"/>
              <w:rPr>
                <w:color w:val="auto"/>
              </w:rPr>
            </w:pPr>
            <w:r>
              <w:t>本项目属于</w:t>
            </w:r>
            <w:r>
              <w:rPr>
                <w:szCs w:val="24"/>
              </w:rPr>
              <w:t>汽车零部件及配件制造</w:t>
            </w:r>
            <w:r>
              <w:t>，各项指标与准入条件的符合性见下表。</w:t>
            </w:r>
          </w:p>
          <w:p w14:paraId="2D7118A6">
            <w:pPr>
              <w:pStyle w:val="12"/>
              <w:spacing w:before="120"/>
              <w:rPr>
                <w:color w:val="auto"/>
              </w:rPr>
            </w:pPr>
            <w:r>
              <w:rPr>
                <w:color w:val="auto"/>
              </w:rPr>
              <w:t>表1.2-</w:t>
            </w:r>
            <w:r>
              <w:rPr>
                <w:rFonts w:hint="eastAsia"/>
                <w:color w:val="auto"/>
                <w:lang w:val="en-US" w:eastAsia="zh-CN"/>
              </w:rPr>
              <w:t xml:space="preserve">3  </w:t>
            </w:r>
            <w:r>
              <w:rPr>
                <w:color w:val="auto"/>
              </w:rPr>
              <w:t>项目与工作手册符合性分析</w:t>
            </w:r>
          </w:p>
          <w:tbl>
            <w:tblPr>
              <w:tblStyle w:val="30"/>
              <w:tblW w:w="8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32"/>
              <w:gridCol w:w="4745"/>
              <w:gridCol w:w="1157"/>
              <w:gridCol w:w="728"/>
              <w:gridCol w:w="54"/>
            </w:tblGrid>
            <w:tr w14:paraId="1F92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6166" w:type="dxa"/>
                  <w:gridSpan w:val="3"/>
                  <w:shd w:val="clear" w:color="auto" w:fill="auto"/>
                  <w:vAlign w:val="center"/>
                </w:tcPr>
                <w:p w14:paraId="45C9439B">
                  <w:pPr>
                    <w:pStyle w:val="41"/>
                    <w:spacing w:line="320" w:lineRule="exact"/>
                    <w:rPr>
                      <w:color w:val="auto"/>
                      <w:sz w:val="22"/>
                      <w:szCs w:val="22"/>
                    </w:rPr>
                  </w:pPr>
                  <w:r>
                    <w:rPr>
                      <w:color w:val="auto"/>
                      <w:sz w:val="22"/>
                      <w:szCs w:val="22"/>
                    </w:rPr>
                    <w:t>准入条件要求</w:t>
                  </w:r>
                </w:p>
              </w:tc>
              <w:tc>
                <w:tcPr>
                  <w:tcW w:w="1157" w:type="dxa"/>
                  <w:shd w:val="clear" w:color="auto" w:fill="auto"/>
                  <w:vAlign w:val="center"/>
                </w:tcPr>
                <w:p w14:paraId="3EFB5073">
                  <w:pPr>
                    <w:pStyle w:val="41"/>
                    <w:spacing w:line="320" w:lineRule="exact"/>
                    <w:rPr>
                      <w:color w:val="auto"/>
                      <w:sz w:val="22"/>
                      <w:szCs w:val="22"/>
                    </w:rPr>
                  </w:pPr>
                  <w:r>
                    <w:rPr>
                      <w:color w:val="auto"/>
                      <w:sz w:val="22"/>
                      <w:szCs w:val="22"/>
                    </w:rPr>
                    <w:t>本项目情况</w:t>
                  </w:r>
                </w:p>
              </w:tc>
              <w:tc>
                <w:tcPr>
                  <w:tcW w:w="728" w:type="dxa"/>
                  <w:shd w:val="clear" w:color="auto" w:fill="auto"/>
                  <w:vAlign w:val="center"/>
                </w:tcPr>
                <w:p w14:paraId="0032C3E5">
                  <w:pPr>
                    <w:pStyle w:val="41"/>
                    <w:spacing w:line="320" w:lineRule="exact"/>
                    <w:rPr>
                      <w:color w:val="auto"/>
                      <w:sz w:val="22"/>
                      <w:szCs w:val="22"/>
                    </w:rPr>
                  </w:pPr>
                  <w:r>
                    <w:rPr>
                      <w:color w:val="auto"/>
                      <w:sz w:val="22"/>
                      <w:szCs w:val="22"/>
                    </w:rPr>
                    <w:t>符合性</w:t>
                  </w:r>
                </w:p>
              </w:tc>
            </w:tr>
            <w:tr w14:paraId="4F54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restart"/>
                  <w:shd w:val="clear" w:color="auto" w:fill="auto"/>
                  <w:vAlign w:val="center"/>
                </w:tcPr>
                <w:p w14:paraId="592D0E80">
                  <w:pPr>
                    <w:pStyle w:val="41"/>
                    <w:spacing w:line="320" w:lineRule="exact"/>
                    <w:rPr>
                      <w:sz w:val="22"/>
                      <w:szCs w:val="22"/>
                    </w:rPr>
                  </w:pPr>
                  <w:r>
                    <w:rPr>
                      <w:sz w:val="22"/>
                      <w:szCs w:val="22"/>
                    </w:rPr>
                    <w:t>不予准入类</w:t>
                  </w:r>
                </w:p>
              </w:tc>
              <w:tc>
                <w:tcPr>
                  <w:tcW w:w="832" w:type="dxa"/>
                  <w:vMerge w:val="restart"/>
                  <w:shd w:val="clear" w:color="auto" w:fill="auto"/>
                  <w:vAlign w:val="center"/>
                </w:tcPr>
                <w:p w14:paraId="33BE1823">
                  <w:pPr>
                    <w:pStyle w:val="41"/>
                    <w:spacing w:line="320" w:lineRule="exact"/>
                    <w:rPr>
                      <w:sz w:val="22"/>
                      <w:szCs w:val="22"/>
                    </w:rPr>
                  </w:pPr>
                  <w:r>
                    <w:rPr>
                      <w:sz w:val="22"/>
                      <w:szCs w:val="22"/>
                    </w:rPr>
                    <w:t>全市范围内不予准入的产业</w:t>
                  </w:r>
                </w:p>
              </w:tc>
              <w:tc>
                <w:tcPr>
                  <w:tcW w:w="4745" w:type="dxa"/>
                  <w:shd w:val="clear" w:color="auto" w:fill="auto"/>
                  <w:vAlign w:val="center"/>
                </w:tcPr>
                <w:p w14:paraId="3FD6E890">
                  <w:pPr>
                    <w:pStyle w:val="41"/>
                    <w:spacing w:line="320" w:lineRule="exact"/>
                    <w:jc w:val="both"/>
                    <w:rPr>
                      <w:sz w:val="22"/>
                      <w:szCs w:val="22"/>
                    </w:rPr>
                  </w:pPr>
                  <w:r>
                    <w:rPr>
                      <w:sz w:val="22"/>
                      <w:szCs w:val="22"/>
                    </w:rPr>
                    <w:t>国家产业结构调整指导目录中的淘汰类项目。</w:t>
                  </w:r>
                </w:p>
              </w:tc>
              <w:tc>
                <w:tcPr>
                  <w:tcW w:w="1157" w:type="dxa"/>
                  <w:shd w:val="clear" w:color="auto" w:fill="auto"/>
                  <w:vAlign w:val="center"/>
                </w:tcPr>
                <w:p w14:paraId="337AAFB0">
                  <w:pPr>
                    <w:pStyle w:val="41"/>
                    <w:spacing w:line="320" w:lineRule="exact"/>
                    <w:rPr>
                      <w:sz w:val="22"/>
                      <w:szCs w:val="22"/>
                    </w:rPr>
                  </w:pPr>
                  <w:r>
                    <w:rPr>
                      <w:sz w:val="22"/>
                      <w:szCs w:val="22"/>
                    </w:rPr>
                    <w:t>不属于</w:t>
                  </w:r>
                </w:p>
              </w:tc>
              <w:tc>
                <w:tcPr>
                  <w:tcW w:w="728" w:type="dxa"/>
                  <w:shd w:val="clear" w:color="auto" w:fill="auto"/>
                  <w:vAlign w:val="center"/>
                </w:tcPr>
                <w:p w14:paraId="6FF763AF">
                  <w:pPr>
                    <w:pStyle w:val="41"/>
                    <w:spacing w:line="320" w:lineRule="exact"/>
                    <w:rPr>
                      <w:sz w:val="22"/>
                      <w:szCs w:val="22"/>
                    </w:rPr>
                  </w:pPr>
                  <w:r>
                    <w:rPr>
                      <w:sz w:val="22"/>
                      <w:szCs w:val="22"/>
                    </w:rPr>
                    <w:t>符合</w:t>
                  </w:r>
                </w:p>
              </w:tc>
            </w:tr>
            <w:tr w14:paraId="20CD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2EE46051">
                  <w:pPr>
                    <w:pStyle w:val="41"/>
                    <w:spacing w:line="320" w:lineRule="exact"/>
                    <w:rPr>
                      <w:sz w:val="22"/>
                      <w:szCs w:val="22"/>
                    </w:rPr>
                  </w:pPr>
                </w:p>
              </w:tc>
              <w:tc>
                <w:tcPr>
                  <w:tcW w:w="832" w:type="dxa"/>
                  <w:vMerge w:val="continue"/>
                  <w:shd w:val="clear" w:color="auto" w:fill="auto"/>
                  <w:vAlign w:val="center"/>
                </w:tcPr>
                <w:p w14:paraId="6325D897">
                  <w:pPr>
                    <w:pStyle w:val="41"/>
                    <w:spacing w:line="320" w:lineRule="exact"/>
                    <w:rPr>
                      <w:sz w:val="22"/>
                      <w:szCs w:val="22"/>
                    </w:rPr>
                  </w:pPr>
                </w:p>
              </w:tc>
              <w:tc>
                <w:tcPr>
                  <w:tcW w:w="4745" w:type="dxa"/>
                  <w:shd w:val="clear" w:color="auto" w:fill="auto"/>
                  <w:vAlign w:val="center"/>
                </w:tcPr>
                <w:p w14:paraId="72A5B967">
                  <w:pPr>
                    <w:pStyle w:val="41"/>
                    <w:spacing w:line="320" w:lineRule="exact"/>
                    <w:jc w:val="both"/>
                    <w:rPr>
                      <w:sz w:val="22"/>
                      <w:szCs w:val="22"/>
                    </w:rPr>
                  </w:pPr>
                  <w:r>
                    <w:rPr>
                      <w:sz w:val="22"/>
                      <w:szCs w:val="22"/>
                    </w:rPr>
                    <w:t>天然林商业性采伐。</w:t>
                  </w:r>
                </w:p>
              </w:tc>
              <w:tc>
                <w:tcPr>
                  <w:tcW w:w="1157" w:type="dxa"/>
                  <w:shd w:val="clear" w:color="auto" w:fill="auto"/>
                  <w:vAlign w:val="center"/>
                </w:tcPr>
                <w:p w14:paraId="285F886E">
                  <w:pPr>
                    <w:pStyle w:val="41"/>
                    <w:spacing w:line="320" w:lineRule="exact"/>
                    <w:rPr>
                      <w:sz w:val="22"/>
                      <w:szCs w:val="22"/>
                    </w:rPr>
                  </w:pPr>
                  <w:r>
                    <w:rPr>
                      <w:sz w:val="22"/>
                      <w:szCs w:val="22"/>
                    </w:rPr>
                    <w:t>不属于</w:t>
                  </w:r>
                </w:p>
              </w:tc>
              <w:tc>
                <w:tcPr>
                  <w:tcW w:w="728" w:type="dxa"/>
                  <w:shd w:val="clear" w:color="auto" w:fill="auto"/>
                  <w:vAlign w:val="center"/>
                </w:tcPr>
                <w:p w14:paraId="6C6F6151">
                  <w:pPr>
                    <w:pStyle w:val="41"/>
                    <w:spacing w:line="320" w:lineRule="exact"/>
                    <w:rPr>
                      <w:sz w:val="22"/>
                      <w:szCs w:val="22"/>
                    </w:rPr>
                  </w:pPr>
                  <w:r>
                    <w:rPr>
                      <w:sz w:val="22"/>
                      <w:szCs w:val="22"/>
                    </w:rPr>
                    <w:t>符合</w:t>
                  </w:r>
                </w:p>
              </w:tc>
            </w:tr>
            <w:tr w14:paraId="68DE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51356903">
                  <w:pPr>
                    <w:pStyle w:val="41"/>
                    <w:spacing w:line="320" w:lineRule="exact"/>
                    <w:rPr>
                      <w:sz w:val="22"/>
                      <w:szCs w:val="22"/>
                    </w:rPr>
                  </w:pPr>
                </w:p>
              </w:tc>
              <w:tc>
                <w:tcPr>
                  <w:tcW w:w="832" w:type="dxa"/>
                  <w:vMerge w:val="continue"/>
                  <w:shd w:val="clear" w:color="auto" w:fill="auto"/>
                  <w:vAlign w:val="center"/>
                </w:tcPr>
                <w:p w14:paraId="7E964847">
                  <w:pPr>
                    <w:pStyle w:val="41"/>
                    <w:spacing w:line="320" w:lineRule="exact"/>
                    <w:rPr>
                      <w:sz w:val="22"/>
                      <w:szCs w:val="22"/>
                    </w:rPr>
                  </w:pPr>
                </w:p>
              </w:tc>
              <w:tc>
                <w:tcPr>
                  <w:tcW w:w="4745" w:type="dxa"/>
                  <w:shd w:val="clear" w:color="auto" w:fill="auto"/>
                  <w:vAlign w:val="center"/>
                </w:tcPr>
                <w:p w14:paraId="08CD15F7">
                  <w:pPr>
                    <w:pStyle w:val="41"/>
                    <w:spacing w:line="320" w:lineRule="exact"/>
                    <w:jc w:val="both"/>
                    <w:rPr>
                      <w:sz w:val="22"/>
                      <w:szCs w:val="22"/>
                    </w:rPr>
                  </w:pPr>
                  <w:r>
                    <w:rPr>
                      <w:sz w:val="22"/>
                      <w:szCs w:val="22"/>
                    </w:rPr>
                    <w:t>法律法规和相关政策明令不予准入的其他项目。</w:t>
                  </w:r>
                </w:p>
              </w:tc>
              <w:tc>
                <w:tcPr>
                  <w:tcW w:w="1157" w:type="dxa"/>
                  <w:shd w:val="clear" w:color="auto" w:fill="auto"/>
                  <w:vAlign w:val="center"/>
                </w:tcPr>
                <w:p w14:paraId="4251EAEC">
                  <w:pPr>
                    <w:pStyle w:val="41"/>
                    <w:spacing w:line="320" w:lineRule="exact"/>
                    <w:rPr>
                      <w:sz w:val="22"/>
                      <w:szCs w:val="22"/>
                    </w:rPr>
                  </w:pPr>
                  <w:r>
                    <w:rPr>
                      <w:sz w:val="22"/>
                      <w:szCs w:val="22"/>
                    </w:rPr>
                    <w:t>不属于</w:t>
                  </w:r>
                </w:p>
              </w:tc>
              <w:tc>
                <w:tcPr>
                  <w:tcW w:w="728" w:type="dxa"/>
                  <w:shd w:val="clear" w:color="auto" w:fill="auto"/>
                  <w:vAlign w:val="center"/>
                </w:tcPr>
                <w:p w14:paraId="1A27B20A">
                  <w:pPr>
                    <w:pStyle w:val="41"/>
                    <w:spacing w:line="320" w:lineRule="exact"/>
                    <w:rPr>
                      <w:sz w:val="22"/>
                      <w:szCs w:val="22"/>
                    </w:rPr>
                  </w:pPr>
                  <w:r>
                    <w:rPr>
                      <w:sz w:val="22"/>
                      <w:szCs w:val="22"/>
                    </w:rPr>
                    <w:t>符合</w:t>
                  </w:r>
                </w:p>
              </w:tc>
            </w:tr>
            <w:tr w14:paraId="63A6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7E1B6E62">
                  <w:pPr>
                    <w:pStyle w:val="41"/>
                    <w:spacing w:line="320" w:lineRule="exact"/>
                    <w:rPr>
                      <w:sz w:val="22"/>
                      <w:szCs w:val="22"/>
                    </w:rPr>
                  </w:pPr>
                </w:p>
              </w:tc>
              <w:tc>
                <w:tcPr>
                  <w:tcW w:w="832" w:type="dxa"/>
                  <w:vMerge w:val="restart"/>
                  <w:shd w:val="clear" w:color="auto" w:fill="auto"/>
                  <w:vAlign w:val="center"/>
                </w:tcPr>
                <w:p w14:paraId="1A89CC33">
                  <w:pPr>
                    <w:pStyle w:val="41"/>
                    <w:spacing w:line="320" w:lineRule="exact"/>
                    <w:rPr>
                      <w:sz w:val="22"/>
                      <w:szCs w:val="22"/>
                    </w:rPr>
                  </w:pPr>
                  <w:r>
                    <w:rPr>
                      <w:sz w:val="22"/>
                      <w:szCs w:val="22"/>
                    </w:rPr>
                    <w:t>重点区域不予准入的产业</w:t>
                  </w:r>
                </w:p>
              </w:tc>
              <w:tc>
                <w:tcPr>
                  <w:tcW w:w="4745" w:type="dxa"/>
                  <w:shd w:val="clear" w:color="auto" w:fill="auto"/>
                  <w:vAlign w:val="center"/>
                </w:tcPr>
                <w:p w14:paraId="670A46BA">
                  <w:pPr>
                    <w:pStyle w:val="41"/>
                    <w:spacing w:line="320" w:lineRule="exact"/>
                    <w:jc w:val="both"/>
                    <w:rPr>
                      <w:sz w:val="22"/>
                      <w:szCs w:val="22"/>
                    </w:rPr>
                  </w:pPr>
                  <w:r>
                    <w:rPr>
                      <w:sz w:val="22"/>
                      <w:szCs w:val="22"/>
                    </w:rPr>
                    <w:t>外环绕城高速公路以内长江、嘉陵江水域采砂。</w:t>
                  </w:r>
                </w:p>
              </w:tc>
              <w:tc>
                <w:tcPr>
                  <w:tcW w:w="1157" w:type="dxa"/>
                  <w:shd w:val="clear" w:color="auto" w:fill="auto"/>
                  <w:vAlign w:val="center"/>
                </w:tcPr>
                <w:p w14:paraId="05C3F262">
                  <w:pPr>
                    <w:pStyle w:val="41"/>
                    <w:spacing w:line="320" w:lineRule="exact"/>
                    <w:rPr>
                      <w:sz w:val="22"/>
                      <w:szCs w:val="22"/>
                    </w:rPr>
                  </w:pPr>
                  <w:r>
                    <w:rPr>
                      <w:rFonts w:hint="eastAsia"/>
                      <w:sz w:val="22"/>
                      <w:szCs w:val="22"/>
                    </w:rPr>
                    <w:t>不属于</w:t>
                  </w:r>
                </w:p>
              </w:tc>
              <w:tc>
                <w:tcPr>
                  <w:tcW w:w="728" w:type="dxa"/>
                  <w:shd w:val="clear" w:color="auto" w:fill="auto"/>
                  <w:vAlign w:val="center"/>
                </w:tcPr>
                <w:p w14:paraId="6AB7B54D">
                  <w:pPr>
                    <w:pStyle w:val="41"/>
                    <w:spacing w:line="320" w:lineRule="exact"/>
                    <w:rPr>
                      <w:sz w:val="22"/>
                      <w:szCs w:val="22"/>
                    </w:rPr>
                  </w:pPr>
                  <w:r>
                    <w:rPr>
                      <w:sz w:val="22"/>
                      <w:szCs w:val="22"/>
                    </w:rPr>
                    <w:t>符合</w:t>
                  </w:r>
                </w:p>
              </w:tc>
            </w:tr>
            <w:tr w14:paraId="44F1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57513522">
                  <w:pPr>
                    <w:pStyle w:val="41"/>
                    <w:spacing w:line="320" w:lineRule="exact"/>
                    <w:rPr>
                      <w:sz w:val="22"/>
                      <w:szCs w:val="22"/>
                    </w:rPr>
                  </w:pPr>
                </w:p>
              </w:tc>
              <w:tc>
                <w:tcPr>
                  <w:tcW w:w="832" w:type="dxa"/>
                  <w:vMerge w:val="continue"/>
                  <w:shd w:val="clear" w:color="auto" w:fill="auto"/>
                  <w:vAlign w:val="center"/>
                </w:tcPr>
                <w:p w14:paraId="09BB3E85">
                  <w:pPr>
                    <w:pStyle w:val="41"/>
                    <w:spacing w:line="320" w:lineRule="exact"/>
                    <w:rPr>
                      <w:sz w:val="22"/>
                      <w:szCs w:val="22"/>
                    </w:rPr>
                  </w:pPr>
                </w:p>
              </w:tc>
              <w:tc>
                <w:tcPr>
                  <w:tcW w:w="4745" w:type="dxa"/>
                  <w:shd w:val="clear" w:color="auto" w:fill="auto"/>
                  <w:vAlign w:val="center"/>
                </w:tcPr>
                <w:p w14:paraId="20628324">
                  <w:pPr>
                    <w:pStyle w:val="41"/>
                    <w:spacing w:line="320" w:lineRule="exact"/>
                    <w:jc w:val="both"/>
                    <w:rPr>
                      <w:sz w:val="22"/>
                      <w:szCs w:val="22"/>
                    </w:rPr>
                  </w:pPr>
                  <w:r>
                    <w:rPr>
                      <w:sz w:val="22"/>
                      <w:szCs w:val="22"/>
                    </w:rPr>
                    <w:t>二十五度以上陡坡地开垦种植农作物。</w:t>
                  </w:r>
                </w:p>
              </w:tc>
              <w:tc>
                <w:tcPr>
                  <w:tcW w:w="1157" w:type="dxa"/>
                  <w:shd w:val="clear" w:color="auto" w:fill="auto"/>
                  <w:vAlign w:val="center"/>
                </w:tcPr>
                <w:p w14:paraId="52D80522">
                  <w:pPr>
                    <w:pStyle w:val="41"/>
                    <w:spacing w:line="320" w:lineRule="exact"/>
                    <w:rPr>
                      <w:sz w:val="22"/>
                      <w:szCs w:val="22"/>
                    </w:rPr>
                  </w:pPr>
                  <w:r>
                    <w:rPr>
                      <w:rFonts w:hint="eastAsia"/>
                      <w:sz w:val="22"/>
                      <w:szCs w:val="22"/>
                    </w:rPr>
                    <w:t>不属于</w:t>
                  </w:r>
                </w:p>
              </w:tc>
              <w:tc>
                <w:tcPr>
                  <w:tcW w:w="728" w:type="dxa"/>
                  <w:shd w:val="clear" w:color="auto" w:fill="auto"/>
                  <w:vAlign w:val="center"/>
                </w:tcPr>
                <w:p w14:paraId="241E55E6">
                  <w:pPr>
                    <w:pStyle w:val="41"/>
                    <w:spacing w:line="320" w:lineRule="exact"/>
                    <w:rPr>
                      <w:sz w:val="22"/>
                      <w:szCs w:val="22"/>
                    </w:rPr>
                  </w:pPr>
                  <w:r>
                    <w:rPr>
                      <w:sz w:val="22"/>
                      <w:szCs w:val="22"/>
                    </w:rPr>
                    <w:t>符合</w:t>
                  </w:r>
                </w:p>
              </w:tc>
            </w:tr>
            <w:tr w14:paraId="098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4D3BE990">
                  <w:pPr>
                    <w:pStyle w:val="41"/>
                    <w:spacing w:line="320" w:lineRule="exact"/>
                    <w:rPr>
                      <w:sz w:val="22"/>
                      <w:szCs w:val="22"/>
                    </w:rPr>
                  </w:pPr>
                </w:p>
              </w:tc>
              <w:tc>
                <w:tcPr>
                  <w:tcW w:w="832" w:type="dxa"/>
                  <w:vMerge w:val="continue"/>
                  <w:shd w:val="clear" w:color="auto" w:fill="auto"/>
                  <w:vAlign w:val="center"/>
                </w:tcPr>
                <w:p w14:paraId="2E63C0FC">
                  <w:pPr>
                    <w:pStyle w:val="41"/>
                    <w:spacing w:line="320" w:lineRule="exact"/>
                    <w:rPr>
                      <w:sz w:val="22"/>
                      <w:szCs w:val="22"/>
                    </w:rPr>
                  </w:pPr>
                </w:p>
              </w:tc>
              <w:tc>
                <w:tcPr>
                  <w:tcW w:w="4745" w:type="dxa"/>
                  <w:shd w:val="clear" w:color="auto" w:fill="auto"/>
                  <w:vAlign w:val="center"/>
                </w:tcPr>
                <w:p w14:paraId="0A2D7DA5">
                  <w:pPr>
                    <w:pStyle w:val="41"/>
                    <w:spacing w:line="320" w:lineRule="exact"/>
                    <w:jc w:val="both"/>
                    <w:rPr>
                      <w:sz w:val="22"/>
                      <w:szCs w:val="22"/>
                    </w:rPr>
                  </w:pPr>
                  <w:r>
                    <w:rPr>
                      <w:sz w:val="22"/>
                      <w:szCs w:val="22"/>
                    </w:rPr>
                    <w:t>在自然保护区核心区、缓冲区的岸线和河段范围内投资建设旅游和生产经营项目。</w:t>
                  </w:r>
                </w:p>
              </w:tc>
              <w:tc>
                <w:tcPr>
                  <w:tcW w:w="1157" w:type="dxa"/>
                  <w:shd w:val="clear" w:color="auto" w:fill="auto"/>
                  <w:vAlign w:val="center"/>
                </w:tcPr>
                <w:p w14:paraId="754A086C">
                  <w:pPr>
                    <w:pStyle w:val="41"/>
                    <w:spacing w:line="320" w:lineRule="exact"/>
                    <w:rPr>
                      <w:sz w:val="22"/>
                      <w:szCs w:val="22"/>
                    </w:rPr>
                  </w:pPr>
                  <w:r>
                    <w:rPr>
                      <w:rFonts w:hint="eastAsia"/>
                      <w:sz w:val="22"/>
                      <w:szCs w:val="22"/>
                    </w:rPr>
                    <w:t>不在范围内，且不属于上述项目</w:t>
                  </w:r>
                </w:p>
              </w:tc>
              <w:tc>
                <w:tcPr>
                  <w:tcW w:w="728" w:type="dxa"/>
                  <w:shd w:val="clear" w:color="auto" w:fill="auto"/>
                  <w:vAlign w:val="center"/>
                </w:tcPr>
                <w:p w14:paraId="430B6FDC">
                  <w:pPr>
                    <w:pStyle w:val="41"/>
                    <w:spacing w:line="320" w:lineRule="exact"/>
                    <w:rPr>
                      <w:sz w:val="22"/>
                      <w:szCs w:val="22"/>
                    </w:rPr>
                  </w:pPr>
                  <w:r>
                    <w:rPr>
                      <w:sz w:val="22"/>
                      <w:szCs w:val="22"/>
                    </w:rPr>
                    <w:t>符合</w:t>
                  </w:r>
                </w:p>
              </w:tc>
            </w:tr>
            <w:tr w14:paraId="2D37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7CF9EB09">
                  <w:pPr>
                    <w:pStyle w:val="41"/>
                    <w:spacing w:line="320" w:lineRule="exact"/>
                    <w:rPr>
                      <w:sz w:val="22"/>
                      <w:szCs w:val="22"/>
                    </w:rPr>
                  </w:pPr>
                </w:p>
              </w:tc>
              <w:tc>
                <w:tcPr>
                  <w:tcW w:w="832" w:type="dxa"/>
                  <w:vMerge w:val="continue"/>
                  <w:shd w:val="clear" w:color="auto" w:fill="auto"/>
                  <w:vAlign w:val="center"/>
                </w:tcPr>
                <w:p w14:paraId="60A2E66F">
                  <w:pPr>
                    <w:pStyle w:val="41"/>
                    <w:spacing w:line="320" w:lineRule="exact"/>
                    <w:rPr>
                      <w:sz w:val="22"/>
                      <w:szCs w:val="22"/>
                    </w:rPr>
                  </w:pPr>
                </w:p>
              </w:tc>
              <w:tc>
                <w:tcPr>
                  <w:tcW w:w="4745" w:type="dxa"/>
                  <w:shd w:val="clear" w:color="auto" w:fill="auto"/>
                  <w:vAlign w:val="center"/>
                </w:tcPr>
                <w:p w14:paraId="1CF906FD">
                  <w:pPr>
                    <w:pStyle w:val="41"/>
                    <w:spacing w:line="320" w:lineRule="exact"/>
                    <w:jc w:val="both"/>
                    <w:rPr>
                      <w:sz w:val="22"/>
                      <w:szCs w:val="22"/>
                    </w:rPr>
                  </w:pPr>
                  <w:r>
                    <w:rPr>
                      <w:sz w:val="22"/>
                      <w:szCs w:val="22"/>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157" w:type="dxa"/>
                  <w:shd w:val="clear" w:color="auto" w:fill="auto"/>
                  <w:vAlign w:val="center"/>
                </w:tcPr>
                <w:p w14:paraId="7A267E98">
                  <w:pPr>
                    <w:pStyle w:val="41"/>
                    <w:spacing w:line="320" w:lineRule="exact"/>
                    <w:rPr>
                      <w:sz w:val="22"/>
                      <w:szCs w:val="22"/>
                    </w:rPr>
                  </w:pPr>
                  <w:r>
                    <w:rPr>
                      <w:rFonts w:hint="eastAsia"/>
                      <w:sz w:val="22"/>
                      <w:szCs w:val="22"/>
                    </w:rPr>
                    <w:t>不在范围内，且不属于上述项目</w:t>
                  </w:r>
                </w:p>
              </w:tc>
              <w:tc>
                <w:tcPr>
                  <w:tcW w:w="728" w:type="dxa"/>
                  <w:shd w:val="clear" w:color="auto" w:fill="auto"/>
                  <w:vAlign w:val="center"/>
                </w:tcPr>
                <w:p w14:paraId="4721E4B6">
                  <w:pPr>
                    <w:pStyle w:val="41"/>
                    <w:spacing w:line="320" w:lineRule="exact"/>
                    <w:rPr>
                      <w:sz w:val="22"/>
                      <w:szCs w:val="22"/>
                    </w:rPr>
                  </w:pPr>
                  <w:r>
                    <w:rPr>
                      <w:sz w:val="22"/>
                      <w:szCs w:val="22"/>
                    </w:rPr>
                    <w:t>符合</w:t>
                  </w:r>
                </w:p>
              </w:tc>
            </w:tr>
            <w:tr w14:paraId="2530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46173F42">
                  <w:pPr>
                    <w:pStyle w:val="41"/>
                    <w:spacing w:line="320" w:lineRule="exact"/>
                    <w:rPr>
                      <w:sz w:val="22"/>
                      <w:szCs w:val="22"/>
                    </w:rPr>
                  </w:pPr>
                </w:p>
              </w:tc>
              <w:tc>
                <w:tcPr>
                  <w:tcW w:w="832" w:type="dxa"/>
                  <w:vMerge w:val="continue"/>
                  <w:shd w:val="clear" w:color="auto" w:fill="auto"/>
                  <w:vAlign w:val="center"/>
                </w:tcPr>
                <w:p w14:paraId="1DDFF252">
                  <w:pPr>
                    <w:pStyle w:val="41"/>
                    <w:spacing w:line="320" w:lineRule="exact"/>
                    <w:rPr>
                      <w:sz w:val="22"/>
                      <w:szCs w:val="22"/>
                    </w:rPr>
                  </w:pPr>
                </w:p>
              </w:tc>
              <w:tc>
                <w:tcPr>
                  <w:tcW w:w="4745" w:type="dxa"/>
                  <w:shd w:val="clear" w:color="auto" w:fill="auto"/>
                  <w:vAlign w:val="center"/>
                </w:tcPr>
                <w:p w14:paraId="1319C55B">
                  <w:pPr>
                    <w:pStyle w:val="41"/>
                    <w:spacing w:line="320" w:lineRule="exact"/>
                    <w:jc w:val="both"/>
                    <w:rPr>
                      <w:sz w:val="22"/>
                      <w:szCs w:val="22"/>
                    </w:rPr>
                  </w:pPr>
                  <w:r>
                    <w:rPr>
                      <w:sz w:val="22"/>
                      <w:szCs w:val="22"/>
                    </w:rPr>
                    <w:t>长江干流岸线3公里范围内和重要支流岸线1公里范围内新建、改建、扩建尾矿库、冶炼渣库和磷石膏库（以提升安全、生态环境保护水平为目的的改建除外）。</w:t>
                  </w:r>
                </w:p>
              </w:tc>
              <w:tc>
                <w:tcPr>
                  <w:tcW w:w="1157" w:type="dxa"/>
                  <w:shd w:val="clear" w:color="auto" w:fill="auto"/>
                  <w:vAlign w:val="center"/>
                </w:tcPr>
                <w:p w14:paraId="7D6EEECF">
                  <w:pPr>
                    <w:pStyle w:val="41"/>
                    <w:spacing w:line="320" w:lineRule="exact"/>
                    <w:rPr>
                      <w:sz w:val="22"/>
                      <w:szCs w:val="22"/>
                    </w:rPr>
                  </w:pPr>
                  <w:r>
                    <w:rPr>
                      <w:rFonts w:hint="eastAsia"/>
                      <w:sz w:val="22"/>
                      <w:szCs w:val="22"/>
                    </w:rPr>
                    <w:t>不在范围内，且不属于上述项目</w:t>
                  </w:r>
                </w:p>
              </w:tc>
              <w:tc>
                <w:tcPr>
                  <w:tcW w:w="728" w:type="dxa"/>
                  <w:shd w:val="clear" w:color="auto" w:fill="auto"/>
                  <w:vAlign w:val="center"/>
                </w:tcPr>
                <w:p w14:paraId="5EFD312B">
                  <w:pPr>
                    <w:pStyle w:val="41"/>
                    <w:spacing w:line="320" w:lineRule="exact"/>
                    <w:rPr>
                      <w:sz w:val="22"/>
                      <w:szCs w:val="22"/>
                    </w:rPr>
                  </w:pPr>
                  <w:r>
                    <w:rPr>
                      <w:sz w:val="22"/>
                      <w:szCs w:val="22"/>
                    </w:rPr>
                    <w:t>符合</w:t>
                  </w:r>
                </w:p>
              </w:tc>
            </w:tr>
            <w:tr w14:paraId="512C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3019338C">
                  <w:pPr>
                    <w:pStyle w:val="41"/>
                    <w:spacing w:line="320" w:lineRule="exact"/>
                    <w:rPr>
                      <w:sz w:val="22"/>
                      <w:szCs w:val="22"/>
                    </w:rPr>
                  </w:pPr>
                </w:p>
              </w:tc>
              <w:tc>
                <w:tcPr>
                  <w:tcW w:w="832" w:type="dxa"/>
                  <w:vMerge w:val="continue"/>
                  <w:shd w:val="clear" w:color="auto" w:fill="auto"/>
                  <w:vAlign w:val="center"/>
                </w:tcPr>
                <w:p w14:paraId="443A9FAB">
                  <w:pPr>
                    <w:pStyle w:val="41"/>
                    <w:spacing w:line="320" w:lineRule="exact"/>
                    <w:rPr>
                      <w:sz w:val="22"/>
                      <w:szCs w:val="22"/>
                    </w:rPr>
                  </w:pPr>
                </w:p>
              </w:tc>
              <w:tc>
                <w:tcPr>
                  <w:tcW w:w="4745" w:type="dxa"/>
                  <w:shd w:val="clear" w:color="auto" w:fill="auto"/>
                  <w:vAlign w:val="center"/>
                </w:tcPr>
                <w:p w14:paraId="4C1F8F33">
                  <w:pPr>
                    <w:pStyle w:val="41"/>
                    <w:spacing w:line="320" w:lineRule="exact"/>
                    <w:jc w:val="both"/>
                    <w:rPr>
                      <w:sz w:val="22"/>
                      <w:szCs w:val="22"/>
                    </w:rPr>
                  </w:pPr>
                  <w:r>
                    <w:rPr>
                      <w:sz w:val="22"/>
                      <w:szCs w:val="22"/>
                    </w:rPr>
                    <w:t>在风景名胜区核心景区的岸线和河段范围内投资建设与风景名胜资源保护无关的项目。</w:t>
                  </w:r>
                </w:p>
              </w:tc>
              <w:tc>
                <w:tcPr>
                  <w:tcW w:w="1157" w:type="dxa"/>
                  <w:shd w:val="clear" w:color="auto" w:fill="auto"/>
                  <w:vAlign w:val="center"/>
                </w:tcPr>
                <w:p w14:paraId="65E459B6">
                  <w:pPr>
                    <w:pStyle w:val="41"/>
                    <w:spacing w:line="320" w:lineRule="exact"/>
                    <w:rPr>
                      <w:sz w:val="22"/>
                      <w:szCs w:val="22"/>
                    </w:rPr>
                  </w:pPr>
                  <w:r>
                    <w:rPr>
                      <w:rFonts w:hint="eastAsia"/>
                      <w:sz w:val="22"/>
                      <w:szCs w:val="22"/>
                    </w:rPr>
                    <w:t>不在</w:t>
                  </w:r>
                  <w:r>
                    <w:rPr>
                      <w:sz w:val="22"/>
                      <w:szCs w:val="22"/>
                    </w:rPr>
                    <w:t>景名胜区核心景区的岸线和河段</w:t>
                  </w:r>
                  <w:r>
                    <w:rPr>
                      <w:rFonts w:hint="eastAsia"/>
                      <w:sz w:val="22"/>
                      <w:szCs w:val="22"/>
                    </w:rPr>
                    <w:t>范围内</w:t>
                  </w:r>
                </w:p>
              </w:tc>
              <w:tc>
                <w:tcPr>
                  <w:tcW w:w="728" w:type="dxa"/>
                  <w:shd w:val="clear" w:color="auto" w:fill="auto"/>
                  <w:vAlign w:val="center"/>
                </w:tcPr>
                <w:p w14:paraId="795C46C5">
                  <w:pPr>
                    <w:pStyle w:val="41"/>
                    <w:spacing w:line="320" w:lineRule="exact"/>
                    <w:rPr>
                      <w:sz w:val="22"/>
                      <w:szCs w:val="22"/>
                    </w:rPr>
                  </w:pPr>
                  <w:r>
                    <w:rPr>
                      <w:sz w:val="22"/>
                      <w:szCs w:val="22"/>
                    </w:rPr>
                    <w:t>符合</w:t>
                  </w:r>
                </w:p>
              </w:tc>
            </w:tr>
            <w:tr w14:paraId="3526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44399276">
                  <w:pPr>
                    <w:pStyle w:val="41"/>
                    <w:spacing w:line="320" w:lineRule="exact"/>
                    <w:rPr>
                      <w:sz w:val="22"/>
                      <w:szCs w:val="22"/>
                    </w:rPr>
                  </w:pPr>
                </w:p>
              </w:tc>
              <w:tc>
                <w:tcPr>
                  <w:tcW w:w="832" w:type="dxa"/>
                  <w:vMerge w:val="continue"/>
                  <w:shd w:val="clear" w:color="auto" w:fill="auto"/>
                  <w:vAlign w:val="center"/>
                </w:tcPr>
                <w:p w14:paraId="693F0649">
                  <w:pPr>
                    <w:pStyle w:val="41"/>
                    <w:spacing w:line="320" w:lineRule="exact"/>
                    <w:rPr>
                      <w:sz w:val="22"/>
                      <w:szCs w:val="22"/>
                    </w:rPr>
                  </w:pPr>
                </w:p>
              </w:tc>
              <w:tc>
                <w:tcPr>
                  <w:tcW w:w="4745" w:type="dxa"/>
                  <w:shd w:val="clear" w:color="auto" w:fill="auto"/>
                  <w:vAlign w:val="center"/>
                </w:tcPr>
                <w:p w14:paraId="528964C4">
                  <w:pPr>
                    <w:pStyle w:val="41"/>
                    <w:spacing w:line="320" w:lineRule="exact"/>
                    <w:jc w:val="both"/>
                    <w:rPr>
                      <w:sz w:val="22"/>
                      <w:szCs w:val="22"/>
                    </w:rPr>
                  </w:pPr>
                  <w:r>
                    <w:rPr>
                      <w:sz w:val="22"/>
                      <w:szCs w:val="22"/>
                    </w:rPr>
                    <w:t>在国家湿地公园的岸线和河段范围内挖沙、采矿，以及任何不符合主体功能定位的投资建设项目。</w:t>
                  </w:r>
                </w:p>
              </w:tc>
              <w:tc>
                <w:tcPr>
                  <w:tcW w:w="1157" w:type="dxa"/>
                  <w:shd w:val="clear" w:color="auto" w:fill="auto"/>
                  <w:vAlign w:val="center"/>
                </w:tcPr>
                <w:p w14:paraId="19630D58">
                  <w:pPr>
                    <w:pStyle w:val="41"/>
                    <w:spacing w:line="320" w:lineRule="exact"/>
                    <w:rPr>
                      <w:sz w:val="22"/>
                      <w:szCs w:val="22"/>
                    </w:rPr>
                  </w:pPr>
                  <w:r>
                    <w:rPr>
                      <w:rFonts w:hint="eastAsia"/>
                      <w:sz w:val="22"/>
                      <w:szCs w:val="22"/>
                    </w:rPr>
                    <w:t>不在范围内，且不属于上述项目</w:t>
                  </w:r>
                </w:p>
              </w:tc>
              <w:tc>
                <w:tcPr>
                  <w:tcW w:w="728" w:type="dxa"/>
                  <w:shd w:val="clear" w:color="auto" w:fill="auto"/>
                  <w:vAlign w:val="center"/>
                </w:tcPr>
                <w:p w14:paraId="2F91A24E">
                  <w:pPr>
                    <w:pStyle w:val="41"/>
                    <w:spacing w:line="320" w:lineRule="exact"/>
                    <w:rPr>
                      <w:sz w:val="22"/>
                      <w:szCs w:val="22"/>
                    </w:rPr>
                  </w:pPr>
                  <w:r>
                    <w:rPr>
                      <w:sz w:val="22"/>
                      <w:szCs w:val="22"/>
                    </w:rPr>
                    <w:t>符合</w:t>
                  </w:r>
                </w:p>
              </w:tc>
            </w:tr>
            <w:tr w14:paraId="6BC4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1ECC3695">
                  <w:pPr>
                    <w:pStyle w:val="41"/>
                    <w:spacing w:line="320" w:lineRule="exact"/>
                    <w:rPr>
                      <w:sz w:val="22"/>
                      <w:szCs w:val="22"/>
                    </w:rPr>
                  </w:pPr>
                </w:p>
              </w:tc>
              <w:tc>
                <w:tcPr>
                  <w:tcW w:w="832" w:type="dxa"/>
                  <w:vMerge w:val="continue"/>
                  <w:shd w:val="clear" w:color="auto" w:fill="auto"/>
                  <w:vAlign w:val="center"/>
                </w:tcPr>
                <w:p w14:paraId="501AE4A1">
                  <w:pPr>
                    <w:pStyle w:val="41"/>
                    <w:spacing w:line="320" w:lineRule="exact"/>
                    <w:rPr>
                      <w:sz w:val="22"/>
                      <w:szCs w:val="22"/>
                    </w:rPr>
                  </w:pPr>
                </w:p>
              </w:tc>
              <w:tc>
                <w:tcPr>
                  <w:tcW w:w="4745" w:type="dxa"/>
                  <w:shd w:val="clear" w:color="auto" w:fill="auto"/>
                  <w:vAlign w:val="center"/>
                </w:tcPr>
                <w:p w14:paraId="73F49837">
                  <w:pPr>
                    <w:pStyle w:val="41"/>
                    <w:spacing w:line="320" w:lineRule="exact"/>
                    <w:jc w:val="both"/>
                    <w:rPr>
                      <w:sz w:val="22"/>
                      <w:szCs w:val="22"/>
                    </w:rPr>
                  </w:pPr>
                  <w:r>
                    <w:rPr>
                      <w:sz w:val="22"/>
                      <w:szCs w:val="22"/>
                    </w:rPr>
                    <w:t>在《长江岸线保护和开发利用总体规划》划定的岸线保护区和保留区内投资建设除事关公共安全及公众利益的防洪护岸、河道治理、供水、生态环境保护、航道整治、国家重要基础设施以外的项目。</w:t>
                  </w:r>
                </w:p>
              </w:tc>
              <w:tc>
                <w:tcPr>
                  <w:tcW w:w="1157" w:type="dxa"/>
                  <w:shd w:val="clear" w:color="auto" w:fill="auto"/>
                  <w:vAlign w:val="center"/>
                </w:tcPr>
                <w:p w14:paraId="071481A7">
                  <w:pPr>
                    <w:pStyle w:val="41"/>
                    <w:spacing w:line="320" w:lineRule="exact"/>
                    <w:rPr>
                      <w:sz w:val="22"/>
                      <w:szCs w:val="22"/>
                    </w:rPr>
                  </w:pPr>
                  <w:r>
                    <w:rPr>
                      <w:rFonts w:hint="eastAsia"/>
                      <w:sz w:val="22"/>
                      <w:szCs w:val="22"/>
                    </w:rPr>
                    <w:t>不在范围内</w:t>
                  </w:r>
                </w:p>
              </w:tc>
              <w:tc>
                <w:tcPr>
                  <w:tcW w:w="728" w:type="dxa"/>
                  <w:shd w:val="clear" w:color="auto" w:fill="auto"/>
                  <w:vAlign w:val="center"/>
                </w:tcPr>
                <w:p w14:paraId="694FFDBF">
                  <w:pPr>
                    <w:pStyle w:val="41"/>
                    <w:spacing w:line="320" w:lineRule="exact"/>
                    <w:rPr>
                      <w:sz w:val="22"/>
                      <w:szCs w:val="22"/>
                    </w:rPr>
                  </w:pPr>
                  <w:r>
                    <w:rPr>
                      <w:sz w:val="22"/>
                      <w:szCs w:val="22"/>
                    </w:rPr>
                    <w:t>符合</w:t>
                  </w:r>
                </w:p>
              </w:tc>
            </w:tr>
            <w:tr w14:paraId="7A69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369" w:hRule="atLeast"/>
              </w:trPr>
              <w:tc>
                <w:tcPr>
                  <w:tcW w:w="589" w:type="dxa"/>
                  <w:vMerge w:val="continue"/>
                  <w:shd w:val="clear" w:color="auto" w:fill="auto"/>
                  <w:vAlign w:val="center"/>
                </w:tcPr>
                <w:p w14:paraId="6DBF2729">
                  <w:pPr>
                    <w:pStyle w:val="41"/>
                    <w:spacing w:line="320" w:lineRule="exact"/>
                    <w:rPr>
                      <w:sz w:val="22"/>
                      <w:szCs w:val="22"/>
                    </w:rPr>
                  </w:pPr>
                </w:p>
              </w:tc>
              <w:tc>
                <w:tcPr>
                  <w:tcW w:w="832" w:type="dxa"/>
                  <w:vMerge w:val="continue"/>
                  <w:shd w:val="clear" w:color="auto" w:fill="auto"/>
                  <w:vAlign w:val="center"/>
                </w:tcPr>
                <w:p w14:paraId="0666347F">
                  <w:pPr>
                    <w:pStyle w:val="41"/>
                    <w:spacing w:line="320" w:lineRule="exact"/>
                    <w:rPr>
                      <w:sz w:val="22"/>
                      <w:szCs w:val="22"/>
                    </w:rPr>
                  </w:pPr>
                </w:p>
              </w:tc>
              <w:tc>
                <w:tcPr>
                  <w:tcW w:w="4745" w:type="dxa"/>
                  <w:shd w:val="clear" w:color="auto" w:fill="auto"/>
                  <w:vAlign w:val="center"/>
                </w:tcPr>
                <w:p w14:paraId="25D87630">
                  <w:pPr>
                    <w:pStyle w:val="41"/>
                    <w:spacing w:line="320" w:lineRule="exact"/>
                    <w:jc w:val="both"/>
                    <w:rPr>
                      <w:sz w:val="22"/>
                      <w:szCs w:val="22"/>
                    </w:rPr>
                  </w:pPr>
                  <w:r>
                    <w:rPr>
                      <w:sz w:val="22"/>
                      <w:szCs w:val="22"/>
                    </w:rPr>
                    <w:t>在《全国重要江河湖泊水功能区划》划定的河段及湖泊保护区、保留区内投资建设不利于水资源及自然生态保护的项目。</w:t>
                  </w:r>
                </w:p>
              </w:tc>
              <w:tc>
                <w:tcPr>
                  <w:tcW w:w="1157" w:type="dxa"/>
                  <w:shd w:val="clear" w:color="auto" w:fill="auto"/>
                  <w:vAlign w:val="center"/>
                </w:tcPr>
                <w:p w14:paraId="27F823E6">
                  <w:pPr>
                    <w:pStyle w:val="41"/>
                    <w:spacing w:line="320" w:lineRule="exact"/>
                    <w:rPr>
                      <w:sz w:val="22"/>
                      <w:szCs w:val="22"/>
                    </w:rPr>
                  </w:pPr>
                  <w:r>
                    <w:rPr>
                      <w:rFonts w:hint="eastAsia"/>
                      <w:sz w:val="22"/>
                      <w:szCs w:val="22"/>
                    </w:rPr>
                    <w:t>不在范围内</w:t>
                  </w:r>
                </w:p>
              </w:tc>
              <w:tc>
                <w:tcPr>
                  <w:tcW w:w="728" w:type="dxa"/>
                  <w:shd w:val="clear" w:color="auto" w:fill="auto"/>
                  <w:vAlign w:val="center"/>
                </w:tcPr>
                <w:p w14:paraId="13E864C3">
                  <w:pPr>
                    <w:pStyle w:val="41"/>
                    <w:spacing w:line="320" w:lineRule="exact"/>
                    <w:rPr>
                      <w:sz w:val="22"/>
                      <w:szCs w:val="22"/>
                    </w:rPr>
                  </w:pPr>
                  <w:r>
                    <w:rPr>
                      <w:sz w:val="22"/>
                      <w:szCs w:val="22"/>
                    </w:rPr>
                    <w:t>符合</w:t>
                  </w:r>
                </w:p>
              </w:tc>
            </w:tr>
            <w:tr w14:paraId="1D76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89" w:type="dxa"/>
                  <w:vMerge w:val="restart"/>
                  <w:shd w:val="clear" w:color="auto" w:fill="auto"/>
                  <w:vAlign w:val="center"/>
                </w:tcPr>
                <w:p w14:paraId="4B515A60">
                  <w:pPr>
                    <w:pStyle w:val="41"/>
                    <w:spacing w:line="320" w:lineRule="exact"/>
                    <w:rPr>
                      <w:sz w:val="22"/>
                      <w:szCs w:val="22"/>
                    </w:rPr>
                  </w:pPr>
                  <w:r>
                    <w:rPr>
                      <w:sz w:val="22"/>
                      <w:szCs w:val="22"/>
                    </w:rPr>
                    <w:t>限制准入类</w:t>
                  </w:r>
                </w:p>
              </w:tc>
              <w:tc>
                <w:tcPr>
                  <w:tcW w:w="832" w:type="dxa"/>
                  <w:vMerge w:val="restart"/>
                  <w:shd w:val="clear" w:color="auto" w:fill="auto"/>
                  <w:vAlign w:val="center"/>
                </w:tcPr>
                <w:p w14:paraId="225C6F56">
                  <w:pPr>
                    <w:pStyle w:val="41"/>
                    <w:spacing w:line="320" w:lineRule="exact"/>
                    <w:rPr>
                      <w:sz w:val="22"/>
                      <w:szCs w:val="22"/>
                    </w:rPr>
                  </w:pPr>
                  <w:r>
                    <w:rPr>
                      <w:sz w:val="22"/>
                      <w:szCs w:val="22"/>
                    </w:rPr>
                    <w:t>全市范围内限制准入的产业</w:t>
                  </w:r>
                </w:p>
              </w:tc>
              <w:tc>
                <w:tcPr>
                  <w:tcW w:w="4745" w:type="dxa"/>
                  <w:shd w:val="clear" w:color="auto" w:fill="auto"/>
                  <w:vAlign w:val="center"/>
                </w:tcPr>
                <w:p w14:paraId="7471A9C0">
                  <w:pPr>
                    <w:pStyle w:val="41"/>
                    <w:spacing w:line="320" w:lineRule="exact"/>
                    <w:jc w:val="both"/>
                    <w:rPr>
                      <w:sz w:val="22"/>
                      <w:szCs w:val="22"/>
                    </w:rPr>
                  </w:pPr>
                  <w:r>
                    <w:rPr>
                      <w:sz w:val="22"/>
                      <w:szCs w:val="22"/>
                    </w:rPr>
                    <w:t>新建、扩建不符合国家产能置换要求的严重过剩产能行业的项目。新建、扩建不符合要求的高耗能高排放项目。</w:t>
                  </w:r>
                </w:p>
              </w:tc>
              <w:tc>
                <w:tcPr>
                  <w:tcW w:w="1157" w:type="dxa"/>
                  <w:shd w:val="clear" w:color="auto" w:fill="auto"/>
                  <w:vAlign w:val="center"/>
                </w:tcPr>
                <w:p w14:paraId="46D7CA40">
                  <w:pPr>
                    <w:pStyle w:val="41"/>
                    <w:spacing w:line="320" w:lineRule="exact"/>
                    <w:rPr>
                      <w:sz w:val="22"/>
                      <w:szCs w:val="22"/>
                    </w:rPr>
                  </w:pPr>
                  <w:r>
                    <w:rPr>
                      <w:sz w:val="22"/>
                      <w:szCs w:val="22"/>
                    </w:rPr>
                    <w:t>不属于</w:t>
                  </w:r>
                </w:p>
              </w:tc>
              <w:tc>
                <w:tcPr>
                  <w:tcW w:w="782" w:type="dxa"/>
                  <w:gridSpan w:val="2"/>
                  <w:shd w:val="clear" w:color="auto" w:fill="auto"/>
                  <w:vAlign w:val="center"/>
                </w:tcPr>
                <w:p w14:paraId="5FBF718E">
                  <w:pPr>
                    <w:pStyle w:val="41"/>
                    <w:spacing w:line="320" w:lineRule="exact"/>
                    <w:rPr>
                      <w:sz w:val="22"/>
                      <w:szCs w:val="22"/>
                    </w:rPr>
                  </w:pPr>
                  <w:r>
                    <w:rPr>
                      <w:sz w:val="22"/>
                      <w:szCs w:val="22"/>
                    </w:rPr>
                    <w:t>符合</w:t>
                  </w:r>
                </w:p>
              </w:tc>
            </w:tr>
            <w:tr w14:paraId="3EC8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89" w:type="dxa"/>
                  <w:vMerge w:val="continue"/>
                  <w:shd w:val="clear" w:color="auto" w:fill="auto"/>
                  <w:vAlign w:val="center"/>
                </w:tcPr>
                <w:p w14:paraId="0E3989CA">
                  <w:pPr>
                    <w:pStyle w:val="41"/>
                    <w:spacing w:line="320" w:lineRule="exact"/>
                    <w:rPr>
                      <w:sz w:val="22"/>
                      <w:szCs w:val="22"/>
                    </w:rPr>
                  </w:pPr>
                </w:p>
              </w:tc>
              <w:tc>
                <w:tcPr>
                  <w:tcW w:w="832" w:type="dxa"/>
                  <w:vMerge w:val="continue"/>
                  <w:shd w:val="clear" w:color="auto" w:fill="auto"/>
                  <w:vAlign w:val="center"/>
                </w:tcPr>
                <w:p w14:paraId="6628F073">
                  <w:pPr>
                    <w:pStyle w:val="41"/>
                    <w:spacing w:line="320" w:lineRule="exact"/>
                    <w:rPr>
                      <w:sz w:val="22"/>
                      <w:szCs w:val="22"/>
                    </w:rPr>
                  </w:pPr>
                </w:p>
              </w:tc>
              <w:tc>
                <w:tcPr>
                  <w:tcW w:w="4745" w:type="dxa"/>
                  <w:shd w:val="clear" w:color="auto" w:fill="auto"/>
                  <w:vAlign w:val="center"/>
                </w:tcPr>
                <w:p w14:paraId="1401A419">
                  <w:pPr>
                    <w:pStyle w:val="41"/>
                    <w:spacing w:line="320" w:lineRule="exact"/>
                    <w:jc w:val="both"/>
                    <w:rPr>
                      <w:sz w:val="22"/>
                      <w:szCs w:val="22"/>
                    </w:rPr>
                  </w:pPr>
                  <w:r>
                    <w:rPr>
                      <w:sz w:val="22"/>
                      <w:szCs w:val="22"/>
                    </w:rPr>
                    <w:t>新建、扩建不符合国家石化、现代煤化工等产业布局规划的项目。</w:t>
                  </w:r>
                </w:p>
              </w:tc>
              <w:tc>
                <w:tcPr>
                  <w:tcW w:w="1157" w:type="dxa"/>
                  <w:shd w:val="clear" w:color="auto" w:fill="auto"/>
                  <w:vAlign w:val="center"/>
                </w:tcPr>
                <w:p w14:paraId="4E8F3B04">
                  <w:pPr>
                    <w:pStyle w:val="41"/>
                    <w:spacing w:line="320" w:lineRule="exact"/>
                    <w:rPr>
                      <w:sz w:val="22"/>
                      <w:szCs w:val="22"/>
                    </w:rPr>
                  </w:pPr>
                  <w:r>
                    <w:rPr>
                      <w:sz w:val="22"/>
                      <w:szCs w:val="22"/>
                    </w:rPr>
                    <w:t>不属于</w:t>
                  </w:r>
                </w:p>
              </w:tc>
              <w:tc>
                <w:tcPr>
                  <w:tcW w:w="782" w:type="dxa"/>
                  <w:gridSpan w:val="2"/>
                  <w:shd w:val="clear" w:color="auto" w:fill="auto"/>
                  <w:vAlign w:val="center"/>
                </w:tcPr>
                <w:p w14:paraId="25FBE10B">
                  <w:pPr>
                    <w:pStyle w:val="41"/>
                    <w:spacing w:line="320" w:lineRule="exact"/>
                    <w:rPr>
                      <w:sz w:val="22"/>
                      <w:szCs w:val="22"/>
                    </w:rPr>
                  </w:pPr>
                  <w:r>
                    <w:rPr>
                      <w:sz w:val="22"/>
                      <w:szCs w:val="22"/>
                    </w:rPr>
                    <w:t>符合</w:t>
                  </w:r>
                </w:p>
              </w:tc>
            </w:tr>
            <w:tr w14:paraId="722A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89" w:type="dxa"/>
                  <w:vMerge w:val="continue"/>
                  <w:shd w:val="clear" w:color="auto" w:fill="auto"/>
                  <w:vAlign w:val="center"/>
                </w:tcPr>
                <w:p w14:paraId="40BCCC1D">
                  <w:pPr>
                    <w:pStyle w:val="41"/>
                    <w:spacing w:line="320" w:lineRule="exact"/>
                    <w:rPr>
                      <w:sz w:val="22"/>
                      <w:szCs w:val="22"/>
                    </w:rPr>
                  </w:pPr>
                </w:p>
              </w:tc>
              <w:tc>
                <w:tcPr>
                  <w:tcW w:w="832" w:type="dxa"/>
                  <w:vMerge w:val="continue"/>
                  <w:shd w:val="clear" w:color="auto" w:fill="auto"/>
                  <w:vAlign w:val="center"/>
                </w:tcPr>
                <w:p w14:paraId="58D1C284">
                  <w:pPr>
                    <w:pStyle w:val="41"/>
                    <w:spacing w:line="320" w:lineRule="exact"/>
                    <w:rPr>
                      <w:sz w:val="22"/>
                      <w:szCs w:val="22"/>
                    </w:rPr>
                  </w:pPr>
                </w:p>
              </w:tc>
              <w:tc>
                <w:tcPr>
                  <w:tcW w:w="4745" w:type="dxa"/>
                  <w:shd w:val="clear" w:color="auto" w:fill="auto"/>
                  <w:vAlign w:val="center"/>
                </w:tcPr>
                <w:p w14:paraId="613A05B4">
                  <w:pPr>
                    <w:pStyle w:val="41"/>
                    <w:spacing w:line="320" w:lineRule="exact"/>
                    <w:jc w:val="both"/>
                    <w:rPr>
                      <w:sz w:val="22"/>
                      <w:szCs w:val="22"/>
                    </w:rPr>
                  </w:pPr>
                  <w:r>
                    <w:rPr>
                      <w:sz w:val="22"/>
                      <w:szCs w:val="22"/>
                    </w:rPr>
                    <w:t>在合规园区外新建、扩建钢铁、石化、化工、焦化、建材、有色、制浆造纸等高污染项目。</w:t>
                  </w:r>
                </w:p>
              </w:tc>
              <w:tc>
                <w:tcPr>
                  <w:tcW w:w="1157" w:type="dxa"/>
                  <w:shd w:val="clear" w:color="auto" w:fill="auto"/>
                  <w:vAlign w:val="center"/>
                </w:tcPr>
                <w:p w14:paraId="160226BB">
                  <w:pPr>
                    <w:pStyle w:val="41"/>
                    <w:spacing w:line="320" w:lineRule="exact"/>
                    <w:rPr>
                      <w:sz w:val="22"/>
                      <w:szCs w:val="22"/>
                    </w:rPr>
                  </w:pPr>
                  <w:r>
                    <w:rPr>
                      <w:sz w:val="22"/>
                      <w:szCs w:val="22"/>
                    </w:rPr>
                    <w:t>不涉及</w:t>
                  </w:r>
                </w:p>
              </w:tc>
              <w:tc>
                <w:tcPr>
                  <w:tcW w:w="782" w:type="dxa"/>
                  <w:gridSpan w:val="2"/>
                  <w:shd w:val="clear" w:color="auto" w:fill="auto"/>
                  <w:vAlign w:val="center"/>
                </w:tcPr>
                <w:p w14:paraId="376D396B">
                  <w:pPr>
                    <w:pStyle w:val="41"/>
                    <w:spacing w:line="320" w:lineRule="exact"/>
                    <w:rPr>
                      <w:sz w:val="22"/>
                      <w:szCs w:val="22"/>
                    </w:rPr>
                  </w:pPr>
                  <w:r>
                    <w:rPr>
                      <w:sz w:val="22"/>
                      <w:szCs w:val="22"/>
                    </w:rPr>
                    <w:t>—</w:t>
                  </w:r>
                </w:p>
              </w:tc>
            </w:tr>
            <w:tr w14:paraId="6147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89" w:type="dxa"/>
                  <w:vMerge w:val="continue"/>
                  <w:shd w:val="clear" w:color="auto" w:fill="auto"/>
                  <w:vAlign w:val="center"/>
                </w:tcPr>
                <w:p w14:paraId="27893AFC">
                  <w:pPr>
                    <w:pStyle w:val="41"/>
                    <w:spacing w:line="320" w:lineRule="exact"/>
                    <w:rPr>
                      <w:sz w:val="22"/>
                      <w:szCs w:val="22"/>
                    </w:rPr>
                  </w:pPr>
                </w:p>
              </w:tc>
              <w:tc>
                <w:tcPr>
                  <w:tcW w:w="832" w:type="dxa"/>
                  <w:vMerge w:val="continue"/>
                  <w:shd w:val="clear" w:color="auto" w:fill="auto"/>
                  <w:vAlign w:val="center"/>
                </w:tcPr>
                <w:p w14:paraId="27058E53">
                  <w:pPr>
                    <w:pStyle w:val="41"/>
                    <w:spacing w:line="320" w:lineRule="exact"/>
                    <w:rPr>
                      <w:sz w:val="22"/>
                      <w:szCs w:val="22"/>
                    </w:rPr>
                  </w:pPr>
                </w:p>
              </w:tc>
              <w:tc>
                <w:tcPr>
                  <w:tcW w:w="4745" w:type="dxa"/>
                  <w:shd w:val="clear" w:color="auto" w:fill="auto"/>
                  <w:vAlign w:val="center"/>
                </w:tcPr>
                <w:p w14:paraId="74FA1745">
                  <w:pPr>
                    <w:pStyle w:val="41"/>
                    <w:spacing w:line="320" w:lineRule="exact"/>
                    <w:jc w:val="both"/>
                    <w:rPr>
                      <w:sz w:val="22"/>
                      <w:szCs w:val="22"/>
                    </w:rPr>
                  </w:pPr>
                  <w:r>
                    <w:rPr>
                      <w:sz w:val="22"/>
                      <w:szCs w:val="22"/>
                    </w:rPr>
                    <w:t>《汽车产业投资管理规定》（国家发展和改革委员会令第22号）明确禁止建设的汽车投资项目。</w:t>
                  </w:r>
                </w:p>
              </w:tc>
              <w:tc>
                <w:tcPr>
                  <w:tcW w:w="1157" w:type="dxa"/>
                  <w:shd w:val="clear" w:color="auto" w:fill="auto"/>
                  <w:vAlign w:val="center"/>
                </w:tcPr>
                <w:p w14:paraId="27A40952">
                  <w:pPr>
                    <w:pStyle w:val="41"/>
                    <w:spacing w:line="320" w:lineRule="exact"/>
                    <w:rPr>
                      <w:sz w:val="22"/>
                      <w:szCs w:val="22"/>
                    </w:rPr>
                  </w:pPr>
                  <w:r>
                    <w:rPr>
                      <w:sz w:val="22"/>
                      <w:szCs w:val="22"/>
                    </w:rPr>
                    <w:t>不涉及</w:t>
                  </w:r>
                </w:p>
              </w:tc>
              <w:tc>
                <w:tcPr>
                  <w:tcW w:w="782" w:type="dxa"/>
                  <w:gridSpan w:val="2"/>
                  <w:shd w:val="clear" w:color="auto" w:fill="auto"/>
                  <w:vAlign w:val="center"/>
                </w:tcPr>
                <w:p w14:paraId="64DBAA15">
                  <w:pPr>
                    <w:pStyle w:val="41"/>
                    <w:spacing w:line="320" w:lineRule="exact"/>
                    <w:rPr>
                      <w:sz w:val="22"/>
                      <w:szCs w:val="22"/>
                    </w:rPr>
                  </w:pPr>
                  <w:r>
                    <w:rPr>
                      <w:sz w:val="22"/>
                      <w:szCs w:val="22"/>
                    </w:rPr>
                    <w:t>—</w:t>
                  </w:r>
                </w:p>
              </w:tc>
            </w:tr>
            <w:tr w14:paraId="2A32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89" w:type="dxa"/>
                  <w:vMerge w:val="continue"/>
                  <w:shd w:val="clear" w:color="auto" w:fill="auto"/>
                  <w:vAlign w:val="center"/>
                </w:tcPr>
                <w:p w14:paraId="0C1D5EFC">
                  <w:pPr>
                    <w:pStyle w:val="41"/>
                    <w:spacing w:line="320" w:lineRule="exact"/>
                    <w:rPr>
                      <w:sz w:val="22"/>
                      <w:szCs w:val="22"/>
                    </w:rPr>
                  </w:pPr>
                </w:p>
              </w:tc>
              <w:tc>
                <w:tcPr>
                  <w:tcW w:w="832" w:type="dxa"/>
                  <w:vMerge w:val="restart"/>
                  <w:shd w:val="clear" w:color="auto" w:fill="auto"/>
                  <w:vAlign w:val="center"/>
                </w:tcPr>
                <w:p w14:paraId="40E3474C">
                  <w:pPr>
                    <w:pStyle w:val="41"/>
                    <w:spacing w:line="320" w:lineRule="exact"/>
                    <w:rPr>
                      <w:sz w:val="22"/>
                      <w:szCs w:val="22"/>
                    </w:rPr>
                  </w:pPr>
                  <w:r>
                    <w:rPr>
                      <w:sz w:val="22"/>
                      <w:szCs w:val="22"/>
                    </w:rPr>
                    <w:t>重点区域范围内限制准入的产业</w:t>
                  </w:r>
                </w:p>
              </w:tc>
              <w:tc>
                <w:tcPr>
                  <w:tcW w:w="4745" w:type="dxa"/>
                  <w:shd w:val="clear" w:color="auto" w:fill="auto"/>
                  <w:vAlign w:val="center"/>
                </w:tcPr>
                <w:p w14:paraId="1AD380FE">
                  <w:pPr>
                    <w:pStyle w:val="41"/>
                    <w:spacing w:line="320" w:lineRule="exact"/>
                    <w:jc w:val="both"/>
                    <w:rPr>
                      <w:sz w:val="22"/>
                      <w:szCs w:val="22"/>
                    </w:rPr>
                  </w:pPr>
                  <w:r>
                    <w:rPr>
                      <w:sz w:val="22"/>
                      <w:szCs w:val="22"/>
                    </w:rPr>
                    <w:t>长江干支流、重要湖泊岸线1公里范围内新建、扩建化工园区和化工项目，长江、嘉陵江、乌江岸线1公里范围内布局新建纸浆制造、印染等存在环境风险的项目。</w:t>
                  </w:r>
                </w:p>
              </w:tc>
              <w:tc>
                <w:tcPr>
                  <w:tcW w:w="1157" w:type="dxa"/>
                  <w:shd w:val="clear" w:color="auto" w:fill="auto"/>
                  <w:vAlign w:val="center"/>
                </w:tcPr>
                <w:p w14:paraId="3AB2D2B6">
                  <w:pPr>
                    <w:pStyle w:val="41"/>
                    <w:spacing w:line="320" w:lineRule="exact"/>
                    <w:rPr>
                      <w:sz w:val="22"/>
                      <w:szCs w:val="22"/>
                    </w:rPr>
                  </w:pPr>
                  <w:r>
                    <w:rPr>
                      <w:sz w:val="22"/>
                      <w:szCs w:val="22"/>
                    </w:rPr>
                    <w:t>不涉及</w:t>
                  </w:r>
                </w:p>
              </w:tc>
              <w:tc>
                <w:tcPr>
                  <w:tcW w:w="782" w:type="dxa"/>
                  <w:gridSpan w:val="2"/>
                  <w:shd w:val="clear" w:color="auto" w:fill="auto"/>
                  <w:vAlign w:val="center"/>
                </w:tcPr>
                <w:p w14:paraId="32414B4A">
                  <w:pPr>
                    <w:pStyle w:val="41"/>
                    <w:spacing w:line="320" w:lineRule="exact"/>
                    <w:rPr>
                      <w:sz w:val="22"/>
                      <w:szCs w:val="22"/>
                    </w:rPr>
                  </w:pPr>
                  <w:r>
                    <w:rPr>
                      <w:sz w:val="22"/>
                      <w:szCs w:val="22"/>
                    </w:rPr>
                    <w:t>—</w:t>
                  </w:r>
                </w:p>
              </w:tc>
            </w:tr>
            <w:tr w14:paraId="3B57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89" w:type="dxa"/>
                  <w:vMerge w:val="continue"/>
                  <w:shd w:val="clear" w:color="auto" w:fill="auto"/>
                  <w:vAlign w:val="center"/>
                </w:tcPr>
                <w:p w14:paraId="3B82DE15">
                  <w:pPr>
                    <w:pStyle w:val="41"/>
                    <w:spacing w:line="320" w:lineRule="exact"/>
                    <w:rPr>
                      <w:sz w:val="22"/>
                      <w:szCs w:val="22"/>
                    </w:rPr>
                  </w:pPr>
                </w:p>
              </w:tc>
              <w:tc>
                <w:tcPr>
                  <w:tcW w:w="832" w:type="dxa"/>
                  <w:vMerge w:val="continue"/>
                  <w:shd w:val="clear" w:color="auto" w:fill="auto"/>
                  <w:vAlign w:val="center"/>
                </w:tcPr>
                <w:p w14:paraId="5AB062F8">
                  <w:pPr>
                    <w:pStyle w:val="41"/>
                    <w:spacing w:line="320" w:lineRule="exact"/>
                    <w:rPr>
                      <w:sz w:val="22"/>
                      <w:szCs w:val="22"/>
                    </w:rPr>
                  </w:pPr>
                </w:p>
              </w:tc>
              <w:tc>
                <w:tcPr>
                  <w:tcW w:w="4745" w:type="dxa"/>
                  <w:shd w:val="clear" w:color="auto" w:fill="auto"/>
                  <w:vAlign w:val="center"/>
                </w:tcPr>
                <w:p w14:paraId="1B7BC439">
                  <w:pPr>
                    <w:pStyle w:val="41"/>
                    <w:spacing w:line="320" w:lineRule="exact"/>
                    <w:jc w:val="both"/>
                    <w:rPr>
                      <w:sz w:val="22"/>
                      <w:szCs w:val="22"/>
                    </w:rPr>
                  </w:pPr>
                  <w:r>
                    <w:rPr>
                      <w:sz w:val="22"/>
                      <w:szCs w:val="22"/>
                    </w:rPr>
                    <w:t>在水产种质资源保护区的岸线和河段范围内新建围湖造田等投资建设项目。</w:t>
                  </w:r>
                </w:p>
              </w:tc>
              <w:tc>
                <w:tcPr>
                  <w:tcW w:w="1157" w:type="dxa"/>
                  <w:shd w:val="clear" w:color="auto" w:fill="auto"/>
                  <w:vAlign w:val="center"/>
                </w:tcPr>
                <w:p w14:paraId="16260409">
                  <w:pPr>
                    <w:pStyle w:val="41"/>
                    <w:spacing w:line="320" w:lineRule="exact"/>
                    <w:rPr>
                      <w:sz w:val="22"/>
                      <w:szCs w:val="22"/>
                    </w:rPr>
                  </w:pPr>
                  <w:r>
                    <w:rPr>
                      <w:rFonts w:hint="eastAsia"/>
                      <w:sz w:val="22"/>
                      <w:szCs w:val="22"/>
                    </w:rPr>
                    <w:t>不涉及</w:t>
                  </w:r>
                </w:p>
              </w:tc>
              <w:tc>
                <w:tcPr>
                  <w:tcW w:w="782" w:type="dxa"/>
                  <w:gridSpan w:val="2"/>
                  <w:shd w:val="clear" w:color="auto" w:fill="auto"/>
                  <w:vAlign w:val="center"/>
                </w:tcPr>
                <w:p w14:paraId="7649DE7E">
                  <w:pPr>
                    <w:pStyle w:val="41"/>
                    <w:spacing w:line="320" w:lineRule="exact"/>
                    <w:rPr>
                      <w:sz w:val="22"/>
                      <w:szCs w:val="22"/>
                    </w:rPr>
                  </w:pPr>
                  <w:r>
                    <w:rPr>
                      <w:sz w:val="22"/>
                      <w:szCs w:val="22"/>
                    </w:rPr>
                    <w:t>—</w:t>
                  </w:r>
                </w:p>
              </w:tc>
            </w:tr>
          </w:tbl>
          <w:p w14:paraId="20F5D729">
            <w:pPr>
              <w:pStyle w:val="82"/>
              <w:ind w:firstLine="522"/>
              <w:rPr>
                <w:color w:val="auto"/>
              </w:rPr>
            </w:pPr>
            <w:r>
              <w:rPr>
                <w:b/>
                <w:bCs w:val="0"/>
                <w:color w:val="auto"/>
              </w:rPr>
              <w:t>1.2.</w:t>
            </w:r>
            <w:r>
              <w:rPr>
                <w:rFonts w:hint="eastAsia"/>
                <w:b/>
                <w:bCs w:val="0"/>
                <w:color w:val="auto"/>
                <w:lang w:val="en-US" w:eastAsia="zh-CN"/>
              </w:rPr>
              <w:t>4</w:t>
            </w:r>
            <w:r>
              <w:rPr>
                <w:b/>
                <w:bCs w:val="0"/>
                <w:color w:val="auto"/>
              </w:rPr>
              <w:t>与《长江经济带发展负面清单指南（试行，2022年版）》符合性分析</w:t>
            </w:r>
          </w:p>
          <w:p w14:paraId="65A14E17">
            <w:pPr>
              <w:pStyle w:val="82"/>
              <w:ind w:firstLine="520"/>
              <w:rPr>
                <w:color w:val="auto"/>
              </w:rPr>
            </w:pPr>
            <w:r>
              <w:rPr>
                <w:color w:val="auto"/>
              </w:rPr>
              <w:t>本项目与《长江经济带发展负面清单指南（试行，2022年版）》的符合性分析见表1.2-</w:t>
            </w:r>
            <w:r>
              <w:rPr>
                <w:rFonts w:hint="eastAsia"/>
                <w:color w:val="auto"/>
                <w:lang w:val="en-US" w:eastAsia="zh-CN"/>
              </w:rPr>
              <w:t>4</w:t>
            </w:r>
            <w:r>
              <w:rPr>
                <w:color w:val="auto"/>
              </w:rPr>
              <w:t>。根据表1.2-</w:t>
            </w:r>
            <w:r>
              <w:rPr>
                <w:rFonts w:hint="eastAsia"/>
                <w:color w:val="auto"/>
                <w:lang w:val="en-US" w:eastAsia="zh-CN"/>
              </w:rPr>
              <w:t>4</w:t>
            </w:r>
            <w:r>
              <w:rPr>
                <w:color w:val="auto"/>
              </w:rPr>
              <w:t>的分析结果，本项目符合《长江经济带发展负面清单指南（试行，2022年版）》的相关要求。</w:t>
            </w:r>
          </w:p>
          <w:p w14:paraId="0BE59211">
            <w:pPr>
              <w:pStyle w:val="12"/>
              <w:spacing w:before="120"/>
              <w:rPr>
                <w:color w:val="auto"/>
              </w:rPr>
            </w:pPr>
            <w:r>
              <w:rPr>
                <w:color w:val="auto"/>
              </w:rPr>
              <w:t>表1.2-</w:t>
            </w:r>
            <w:r>
              <w:rPr>
                <w:rFonts w:hint="eastAsia"/>
                <w:color w:val="auto"/>
                <w:lang w:val="en-US" w:eastAsia="zh-CN"/>
              </w:rPr>
              <w:t xml:space="preserve">4  </w:t>
            </w:r>
            <w:r>
              <w:rPr>
                <w:color w:val="auto"/>
              </w:rPr>
              <w:t>项目与发展负面清单符合性分析</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4900"/>
              <w:gridCol w:w="1828"/>
              <w:gridCol w:w="705"/>
            </w:tblGrid>
            <w:tr w14:paraId="201B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vAlign w:val="center"/>
                </w:tcPr>
                <w:p w14:paraId="58715B0A">
                  <w:pPr>
                    <w:pStyle w:val="132"/>
                    <w:spacing w:line="320" w:lineRule="exact"/>
                    <w:rPr>
                      <w:bCs/>
                      <w:color w:val="auto"/>
                      <w:szCs w:val="22"/>
                    </w:rPr>
                  </w:pPr>
                  <w:r>
                    <w:rPr>
                      <w:bCs/>
                      <w:color w:val="auto"/>
                      <w:szCs w:val="22"/>
                    </w:rPr>
                    <w:t>项目</w:t>
                  </w:r>
                </w:p>
              </w:tc>
              <w:tc>
                <w:tcPr>
                  <w:tcW w:w="3043" w:type="pct"/>
                  <w:vAlign w:val="center"/>
                </w:tcPr>
                <w:p w14:paraId="28833C3C">
                  <w:pPr>
                    <w:pStyle w:val="132"/>
                    <w:spacing w:line="320" w:lineRule="exact"/>
                    <w:rPr>
                      <w:bCs/>
                      <w:color w:val="auto"/>
                      <w:szCs w:val="22"/>
                    </w:rPr>
                  </w:pPr>
                  <w:r>
                    <w:rPr>
                      <w:bCs/>
                      <w:color w:val="auto"/>
                      <w:szCs w:val="22"/>
                    </w:rPr>
                    <w:t>文件相关要求</w:t>
                  </w:r>
                </w:p>
              </w:tc>
              <w:tc>
                <w:tcPr>
                  <w:tcW w:w="1135" w:type="pct"/>
                  <w:vAlign w:val="center"/>
                </w:tcPr>
                <w:p w14:paraId="71C2818B">
                  <w:pPr>
                    <w:pStyle w:val="132"/>
                    <w:spacing w:line="320" w:lineRule="exact"/>
                    <w:rPr>
                      <w:bCs/>
                      <w:color w:val="auto"/>
                      <w:szCs w:val="22"/>
                    </w:rPr>
                  </w:pPr>
                  <w:r>
                    <w:rPr>
                      <w:bCs/>
                      <w:color w:val="auto"/>
                      <w:szCs w:val="22"/>
                    </w:rPr>
                    <w:t>本项目情况</w:t>
                  </w:r>
                </w:p>
              </w:tc>
              <w:tc>
                <w:tcPr>
                  <w:tcW w:w="437" w:type="pct"/>
                  <w:vAlign w:val="center"/>
                </w:tcPr>
                <w:p w14:paraId="4AFE9675">
                  <w:pPr>
                    <w:pStyle w:val="132"/>
                    <w:spacing w:line="320" w:lineRule="exact"/>
                    <w:rPr>
                      <w:bCs/>
                      <w:color w:val="auto"/>
                      <w:szCs w:val="22"/>
                    </w:rPr>
                  </w:pPr>
                  <w:r>
                    <w:rPr>
                      <w:bCs/>
                      <w:color w:val="auto"/>
                      <w:szCs w:val="22"/>
                    </w:rPr>
                    <w:t>符合性</w:t>
                  </w:r>
                </w:p>
              </w:tc>
            </w:tr>
            <w:tr w14:paraId="1E7D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3" w:type="pct"/>
                  <w:vAlign w:val="center"/>
                </w:tcPr>
                <w:p w14:paraId="357A0ED9">
                  <w:pPr>
                    <w:pStyle w:val="132"/>
                    <w:spacing w:line="320" w:lineRule="exact"/>
                    <w:rPr>
                      <w:bCs/>
                      <w:color w:val="auto"/>
                      <w:szCs w:val="22"/>
                    </w:rPr>
                  </w:pPr>
                  <w:r>
                    <w:rPr>
                      <w:bCs/>
                      <w:color w:val="auto"/>
                      <w:szCs w:val="22"/>
                    </w:rPr>
                    <w:t>1</w:t>
                  </w:r>
                </w:p>
              </w:tc>
              <w:tc>
                <w:tcPr>
                  <w:tcW w:w="3043" w:type="pct"/>
                  <w:vAlign w:val="center"/>
                </w:tcPr>
                <w:p w14:paraId="176CC463">
                  <w:pPr>
                    <w:pStyle w:val="132"/>
                    <w:spacing w:line="320" w:lineRule="exact"/>
                    <w:jc w:val="both"/>
                    <w:rPr>
                      <w:bCs/>
                      <w:color w:val="auto"/>
                      <w:szCs w:val="22"/>
                    </w:rPr>
                  </w:pPr>
                  <w:r>
                    <w:rPr>
                      <w:bCs/>
                      <w:color w:val="auto"/>
                      <w:szCs w:val="22"/>
                    </w:rPr>
                    <w:t>禁止建设不符合全国和省级港口布局规划以及港口总体规划的码头项目，禁止建设不符合《长江干线过江通道布局规划》的过长江通道项目</w:t>
                  </w:r>
                </w:p>
              </w:tc>
              <w:tc>
                <w:tcPr>
                  <w:tcW w:w="1135" w:type="pct"/>
                  <w:vAlign w:val="center"/>
                </w:tcPr>
                <w:p w14:paraId="1F61AEDC">
                  <w:pPr>
                    <w:pStyle w:val="132"/>
                    <w:spacing w:line="320" w:lineRule="exact"/>
                    <w:jc w:val="both"/>
                    <w:rPr>
                      <w:bCs/>
                      <w:color w:val="auto"/>
                      <w:szCs w:val="22"/>
                    </w:rPr>
                  </w:pPr>
                  <w:r>
                    <w:rPr>
                      <w:bCs/>
                      <w:color w:val="auto"/>
                      <w:szCs w:val="22"/>
                    </w:rPr>
                    <w:t>项目不属于码头、过长江通道项目。</w:t>
                  </w:r>
                </w:p>
              </w:tc>
              <w:tc>
                <w:tcPr>
                  <w:tcW w:w="437" w:type="pct"/>
                  <w:vAlign w:val="center"/>
                </w:tcPr>
                <w:p w14:paraId="5426AC66">
                  <w:pPr>
                    <w:pStyle w:val="132"/>
                    <w:spacing w:line="320" w:lineRule="exact"/>
                    <w:rPr>
                      <w:bCs/>
                      <w:color w:val="auto"/>
                      <w:szCs w:val="22"/>
                    </w:rPr>
                  </w:pPr>
                  <w:r>
                    <w:rPr>
                      <w:bCs/>
                      <w:color w:val="auto"/>
                      <w:szCs w:val="22"/>
                    </w:rPr>
                    <w:t>符合</w:t>
                  </w:r>
                </w:p>
              </w:tc>
            </w:tr>
            <w:tr w14:paraId="7AE4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vAlign w:val="center"/>
                </w:tcPr>
                <w:p w14:paraId="5E25FBD9">
                  <w:pPr>
                    <w:pStyle w:val="132"/>
                    <w:spacing w:line="320" w:lineRule="exact"/>
                    <w:rPr>
                      <w:bCs/>
                      <w:color w:val="auto"/>
                      <w:szCs w:val="22"/>
                    </w:rPr>
                  </w:pPr>
                  <w:r>
                    <w:rPr>
                      <w:bCs/>
                      <w:color w:val="auto"/>
                      <w:szCs w:val="22"/>
                    </w:rPr>
                    <w:t>2</w:t>
                  </w:r>
                </w:p>
              </w:tc>
              <w:tc>
                <w:tcPr>
                  <w:tcW w:w="3043" w:type="pct"/>
                  <w:vAlign w:val="center"/>
                </w:tcPr>
                <w:p w14:paraId="031CC175">
                  <w:pPr>
                    <w:pStyle w:val="132"/>
                    <w:spacing w:line="320" w:lineRule="exact"/>
                    <w:jc w:val="both"/>
                    <w:rPr>
                      <w:bCs/>
                      <w:color w:val="auto"/>
                      <w:szCs w:val="22"/>
                    </w:rPr>
                  </w:pPr>
                  <w:r>
                    <w:rPr>
                      <w:bCs/>
                      <w:color w:val="auto"/>
                      <w:szCs w:val="22"/>
                    </w:rPr>
                    <w:t>禁止在自然保护区核心区、缓冲区的岸线和河段范围内投资建设旅游和生产经营项目。禁止在风景名胜区核心景区的岸线和河段范围内投资建设与风景名胜资源保护无关的项目</w:t>
                  </w:r>
                </w:p>
              </w:tc>
              <w:tc>
                <w:tcPr>
                  <w:tcW w:w="1135" w:type="pct"/>
                  <w:vAlign w:val="center"/>
                </w:tcPr>
                <w:p w14:paraId="5127B08B">
                  <w:pPr>
                    <w:pStyle w:val="132"/>
                    <w:spacing w:line="320" w:lineRule="exact"/>
                    <w:jc w:val="both"/>
                    <w:rPr>
                      <w:bCs/>
                      <w:color w:val="auto"/>
                      <w:szCs w:val="22"/>
                    </w:rPr>
                  </w:pPr>
                  <w:r>
                    <w:rPr>
                      <w:bCs/>
                      <w:color w:val="auto"/>
                      <w:szCs w:val="22"/>
                    </w:rPr>
                    <w:t>本项目不涉及自然保护区、风景名胜区等敏感保护目标。</w:t>
                  </w:r>
                </w:p>
              </w:tc>
              <w:tc>
                <w:tcPr>
                  <w:tcW w:w="437" w:type="pct"/>
                  <w:vAlign w:val="center"/>
                </w:tcPr>
                <w:p w14:paraId="44BF0F3B">
                  <w:pPr>
                    <w:pStyle w:val="132"/>
                    <w:spacing w:line="320" w:lineRule="exact"/>
                    <w:rPr>
                      <w:bCs/>
                      <w:color w:val="auto"/>
                      <w:szCs w:val="22"/>
                    </w:rPr>
                  </w:pPr>
                  <w:r>
                    <w:rPr>
                      <w:bCs/>
                      <w:color w:val="auto"/>
                      <w:szCs w:val="22"/>
                    </w:rPr>
                    <w:t>符合</w:t>
                  </w:r>
                </w:p>
              </w:tc>
            </w:tr>
            <w:tr w14:paraId="4BDD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vAlign w:val="center"/>
                </w:tcPr>
                <w:p w14:paraId="7FD78447">
                  <w:pPr>
                    <w:pStyle w:val="132"/>
                    <w:spacing w:line="320" w:lineRule="exact"/>
                    <w:rPr>
                      <w:bCs/>
                      <w:color w:val="auto"/>
                      <w:szCs w:val="22"/>
                    </w:rPr>
                  </w:pPr>
                  <w:r>
                    <w:rPr>
                      <w:bCs/>
                      <w:color w:val="auto"/>
                      <w:szCs w:val="22"/>
                    </w:rPr>
                    <w:t>3</w:t>
                  </w:r>
                </w:p>
              </w:tc>
              <w:tc>
                <w:tcPr>
                  <w:tcW w:w="3043" w:type="pct"/>
                  <w:vAlign w:val="center"/>
                </w:tcPr>
                <w:p w14:paraId="7CE21E00">
                  <w:pPr>
                    <w:pStyle w:val="132"/>
                    <w:spacing w:line="320" w:lineRule="exact"/>
                    <w:jc w:val="both"/>
                    <w:rPr>
                      <w:bCs/>
                      <w:color w:val="auto"/>
                      <w:szCs w:val="22"/>
                    </w:rPr>
                  </w:pPr>
                  <w:r>
                    <w:rPr>
                      <w:bCs/>
                      <w:color w:val="auto"/>
                      <w:szCs w:val="22"/>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135" w:type="pct"/>
                  <w:vAlign w:val="center"/>
                </w:tcPr>
                <w:p w14:paraId="58FDCF63">
                  <w:pPr>
                    <w:pStyle w:val="132"/>
                    <w:spacing w:line="320" w:lineRule="exact"/>
                    <w:jc w:val="both"/>
                    <w:rPr>
                      <w:bCs/>
                      <w:color w:val="auto"/>
                      <w:szCs w:val="22"/>
                    </w:rPr>
                  </w:pPr>
                  <w:r>
                    <w:rPr>
                      <w:bCs/>
                      <w:color w:val="auto"/>
                      <w:szCs w:val="22"/>
                    </w:rPr>
                    <w:t>本项目不涉及饮用水源保护区。</w:t>
                  </w:r>
                </w:p>
              </w:tc>
              <w:tc>
                <w:tcPr>
                  <w:tcW w:w="437" w:type="pct"/>
                  <w:vAlign w:val="center"/>
                </w:tcPr>
                <w:p w14:paraId="6914A0EA">
                  <w:pPr>
                    <w:pStyle w:val="132"/>
                    <w:spacing w:line="320" w:lineRule="exact"/>
                    <w:rPr>
                      <w:bCs/>
                      <w:color w:val="auto"/>
                      <w:szCs w:val="22"/>
                    </w:rPr>
                  </w:pPr>
                  <w:r>
                    <w:rPr>
                      <w:bCs/>
                      <w:color w:val="auto"/>
                      <w:szCs w:val="22"/>
                    </w:rPr>
                    <w:t>符合</w:t>
                  </w:r>
                </w:p>
              </w:tc>
            </w:tr>
            <w:tr w14:paraId="0634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vAlign w:val="center"/>
                </w:tcPr>
                <w:p w14:paraId="517CBD44">
                  <w:pPr>
                    <w:pStyle w:val="132"/>
                    <w:spacing w:line="320" w:lineRule="exact"/>
                    <w:rPr>
                      <w:bCs/>
                      <w:color w:val="auto"/>
                      <w:szCs w:val="22"/>
                    </w:rPr>
                  </w:pPr>
                  <w:r>
                    <w:rPr>
                      <w:bCs/>
                      <w:color w:val="auto"/>
                      <w:szCs w:val="22"/>
                    </w:rPr>
                    <w:t>4</w:t>
                  </w:r>
                </w:p>
              </w:tc>
              <w:tc>
                <w:tcPr>
                  <w:tcW w:w="3043" w:type="pct"/>
                  <w:vAlign w:val="center"/>
                </w:tcPr>
                <w:p w14:paraId="0FC21F99">
                  <w:pPr>
                    <w:pStyle w:val="132"/>
                    <w:spacing w:line="320" w:lineRule="exact"/>
                    <w:jc w:val="both"/>
                    <w:rPr>
                      <w:bCs/>
                      <w:color w:val="auto"/>
                      <w:szCs w:val="22"/>
                    </w:rPr>
                  </w:pPr>
                  <w:r>
                    <w:rPr>
                      <w:bCs/>
                      <w:color w:val="auto"/>
                      <w:szCs w:val="22"/>
                    </w:rPr>
                    <w:t>禁止在水产种质资源保护区的岸线和河段范围内新建围湖造田、围海造地或围填海等投资建设项目。禁止在国家湿地公园的岸线和河段范围内挖砂、采矿，以及任何不符合主体功能定位的投资建设项目</w:t>
                  </w:r>
                </w:p>
              </w:tc>
              <w:tc>
                <w:tcPr>
                  <w:tcW w:w="1135" w:type="pct"/>
                  <w:vAlign w:val="center"/>
                </w:tcPr>
                <w:p w14:paraId="3539F9CD">
                  <w:pPr>
                    <w:pStyle w:val="132"/>
                    <w:spacing w:line="320" w:lineRule="exact"/>
                    <w:jc w:val="both"/>
                    <w:rPr>
                      <w:bCs/>
                      <w:color w:val="auto"/>
                      <w:szCs w:val="22"/>
                    </w:rPr>
                  </w:pPr>
                  <w:r>
                    <w:rPr>
                      <w:bCs/>
                      <w:color w:val="auto"/>
                      <w:szCs w:val="22"/>
                    </w:rPr>
                    <w:t>本项目不涉及水产种质资源保护区、国家湿地公园。</w:t>
                  </w:r>
                </w:p>
              </w:tc>
              <w:tc>
                <w:tcPr>
                  <w:tcW w:w="437" w:type="pct"/>
                  <w:vAlign w:val="center"/>
                </w:tcPr>
                <w:p w14:paraId="47812529">
                  <w:pPr>
                    <w:pStyle w:val="132"/>
                    <w:spacing w:line="320" w:lineRule="exact"/>
                    <w:rPr>
                      <w:bCs/>
                      <w:color w:val="auto"/>
                      <w:szCs w:val="22"/>
                    </w:rPr>
                  </w:pPr>
                  <w:r>
                    <w:rPr>
                      <w:bCs/>
                      <w:color w:val="auto"/>
                      <w:szCs w:val="22"/>
                    </w:rPr>
                    <w:t>符合</w:t>
                  </w:r>
                </w:p>
              </w:tc>
            </w:tr>
            <w:tr w14:paraId="32D4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vAlign w:val="center"/>
                </w:tcPr>
                <w:p w14:paraId="0B776989">
                  <w:pPr>
                    <w:pStyle w:val="132"/>
                    <w:spacing w:line="320" w:lineRule="exact"/>
                    <w:rPr>
                      <w:bCs/>
                      <w:color w:val="auto"/>
                      <w:szCs w:val="22"/>
                    </w:rPr>
                  </w:pPr>
                  <w:r>
                    <w:rPr>
                      <w:bCs/>
                      <w:color w:val="auto"/>
                      <w:szCs w:val="22"/>
                    </w:rPr>
                    <w:t>5</w:t>
                  </w:r>
                </w:p>
              </w:tc>
              <w:tc>
                <w:tcPr>
                  <w:tcW w:w="3043" w:type="pct"/>
                  <w:vAlign w:val="center"/>
                </w:tcPr>
                <w:p w14:paraId="6F51FD05">
                  <w:pPr>
                    <w:pStyle w:val="132"/>
                    <w:spacing w:line="320" w:lineRule="exact"/>
                    <w:jc w:val="both"/>
                    <w:rPr>
                      <w:bCs/>
                      <w:color w:val="auto"/>
                      <w:szCs w:val="22"/>
                    </w:rPr>
                  </w:pPr>
                  <w:r>
                    <w:rPr>
                      <w:bCs/>
                      <w:color w:val="auto"/>
                      <w:szCs w:val="22"/>
                    </w:rPr>
                    <w:t>禁止违法利用、占用长江流域河湖岸线。禁止在《长江岸线保护和开发利用总体规划》划定的岸线保护区和保留区内投资建设除事关公共安全及公众利益的防洪护岸、河道整治、供水、生态环境保护、航道整治、国家重要基础设施以外的项目。禁止在《全国重要江河湖泊水功能区划》划定的河段保护区、保留区内投资建设不利于水资源及自然生态保护的项目</w:t>
                  </w:r>
                </w:p>
              </w:tc>
              <w:tc>
                <w:tcPr>
                  <w:tcW w:w="1135" w:type="pct"/>
                  <w:vAlign w:val="center"/>
                </w:tcPr>
                <w:p w14:paraId="2CEBCE8C">
                  <w:pPr>
                    <w:pStyle w:val="132"/>
                    <w:spacing w:line="320" w:lineRule="exact"/>
                    <w:jc w:val="both"/>
                    <w:rPr>
                      <w:bCs/>
                      <w:color w:val="auto"/>
                      <w:szCs w:val="22"/>
                    </w:rPr>
                  </w:pPr>
                  <w:r>
                    <w:rPr>
                      <w:bCs/>
                      <w:color w:val="auto"/>
                      <w:szCs w:val="22"/>
                    </w:rPr>
                    <w:t>本项目不在《长江岸线保护和开发利用总体规划》划定的岸线保护区内。</w:t>
                  </w:r>
                </w:p>
              </w:tc>
              <w:tc>
                <w:tcPr>
                  <w:tcW w:w="437" w:type="pct"/>
                  <w:vAlign w:val="center"/>
                </w:tcPr>
                <w:p w14:paraId="0B4B13B0">
                  <w:pPr>
                    <w:pStyle w:val="132"/>
                    <w:spacing w:line="320" w:lineRule="exact"/>
                    <w:rPr>
                      <w:bCs/>
                      <w:color w:val="auto"/>
                      <w:szCs w:val="22"/>
                    </w:rPr>
                  </w:pPr>
                  <w:r>
                    <w:rPr>
                      <w:bCs/>
                      <w:color w:val="auto"/>
                      <w:szCs w:val="22"/>
                    </w:rPr>
                    <w:t>符合</w:t>
                  </w:r>
                </w:p>
              </w:tc>
            </w:tr>
            <w:tr w14:paraId="44C5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vAlign w:val="center"/>
                </w:tcPr>
                <w:p w14:paraId="04C8084D">
                  <w:pPr>
                    <w:pStyle w:val="132"/>
                    <w:spacing w:line="320" w:lineRule="exact"/>
                    <w:rPr>
                      <w:bCs/>
                      <w:color w:val="auto"/>
                      <w:szCs w:val="22"/>
                    </w:rPr>
                  </w:pPr>
                  <w:r>
                    <w:rPr>
                      <w:bCs/>
                      <w:color w:val="auto"/>
                      <w:szCs w:val="22"/>
                    </w:rPr>
                    <w:t>6</w:t>
                  </w:r>
                </w:p>
              </w:tc>
              <w:tc>
                <w:tcPr>
                  <w:tcW w:w="3043" w:type="pct"/>
                  <w:vAlign w:val="center"/>
                </w:tcPr>
                <w:p w14:paraId="49CB9417">
                  <w:pPr>
                    <w:pStyle w:val="132"/>
                    <w:spacing w:line="320" w:lineRule="exact"/>
                    <w:jc w:val="both"/>
                    <w:rPr>
                      <w:bCs/>
                      <w:color w:val="auto"/>
                      <w:szCs w:val="22"/>
                    </w:rPr>
                  </w:pPr>
                  <w:r>
                    <w:rPr>
                      <w:bCs/>
                      <w:color w:val="auto"/>
                      <w:szCs w:val="22"/>
                    </w:rPr>
                    <w:t>禁止未经许可在长江干流及湖泊新设、改设或扩大排污口。</w:t>
                  </w:r>
                </w:p>
              </w:tc>
              <w:tc>
                <w:tcPr>
                  <w:tcW w:w="1135" w:type="pct"/>
                  <w:vAlign w:val="center"/>
                </w:tcPr>
                <w:p w14:paraId="4DB73F9D">
                  <w:pPr>
                    <w:pStyle w:val="132"/>
                    <w:spacing w:line="320" w:lineRule="exact"/>
                    <w:jc w:val="both"/>
                    <w:rPr>
                      <w:bCs/>
                      <w:color w:val="auto"/>
                      <w:szCs w:val="22"/>
                    </w:rPr>
                  </w:pPr>
                  <w:r>
                    <w:rPr>
                      <w:bCs/>
                      <w:color w:val="auto"/>
                      <w:szCs w:val="22"/>
                    </w:rPr>
                    <w:t>本项目不设置入河排污口。</w:t>
                  </w:r>
                </w:p>
              </w:tc>
              <w:tc>
                <w:tcPr>
                  <w:tcW w:w="437" w:type="pct"/>
                  <w:vAlign w:val="center"/>
                </w:tcPr>
                <w:p w14:paraId="2E29158A">
                  <w:pPr>
                    <w:pStyle w:val="132"/>
                    <w:spacing w:line="320" w:lineRule="exact"/>
                    <w:rPr>
                      <w:bCs/>
                      <w:color w:val="auto"/>
                      <w:szCs w:val="22"/>
                    </w:rPr>
                  </w:pPr>
                  <w:r>
                    <w:rPr>
                      <w:bCs/>
                      <w:color w:val="auto"/>
                      <w:szCs w:val="22"/>
                    </w:rPr>
                    <w:t>符合</w:t>
                  </w:r>
                </w:p>
              </w:tc>
            </w:tr>
            <w:tr w14:paraId="32CC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vAlign w:val="center"/>
                </w:tcPr>
                <w:p w14:paraId="04A4DD95">
                  <w:pPr>
                    <w:pStyle w:val="132"/>
                    <w:spacing w:line="320" w:lineRule="exact"/>
                    <w:rPr>
                      <w:bCs/>
                      <w:color w:val="auto"/>
                      <w:szCs w:val="22"/>
                    </w:rPr>
                  </w:pPr>
                  <w:r>
                    <w:rPr>
                      <w:bCs/>
                      <w:color w:val="auto"/>
                      <w:szCs w:val="22"/>
                    </w:rPr>
                    <w:t>7</w:t>
                  </w:r>
                </w:p>
              </w:tc>
              <w:tc>
                <w:tcPr>
                  <w:tcW w:w="3043" w:type="pct"/>
                  <w:vAlign w:val="center"/>
                </w:tcPr>
                <w:p w14:paraId="50C85821">
                  <w:pPr>
                    <w:pStyle w:val="132"/>
                    <w:spacing w:line="320" w:lineRule="exact"/>
                    <w:jc w:val="both"/>
                    <w:rPr>
                      <w:bCs/>
                      <w:color w:val="auto"/>
                      <w:szCs w:val="22"/>
                    </w:rPr>
                  </w:pPr>
                  <w:r>
                    <w:rPr>
                      <w:bCs/>
                      <w:color w:val="auto"/>
                      <w:szCs w:val="22"/>
                    </w:rPr>
                    <w:t>禁止在</w:t>
                  </w:r>
                  <w:r>
                    <w:rPr>
                      <w:rFonts w:hint="eastAsia"/>
                      <w:bCs/>
                      <w:color w:val="auto"/>
                      <w:szCs w:val="22"/>
                      <w:lang w:eastAsia="zh-CN"/>
                    </w:rPr>
                    <w:t>“</w:t>
                  </w:r>
                  <w:r>
                    <w:rPr>
                      <w:bCs/>
                      <w:color w:val="auto"/>
                      <w:szCs w:val="22"/>
                    </w:rPr>
                    <w:t>一江一口两湖七河</w:t>
                  </w:r>
                  <w:r>
                    <w:rPr>
                      <w:rFonts w:hint="eastAsia"/>
                      <w:bCs/>
                      <w:color w:val="auto"/>
                      <w:szCs w:val="22"/>
                      <w:lang w:eastAsia="zh-CN"/>
                    </w:rPr>
                    <w:t>”</w:t>
                  </w:r>
                  <w:r>
                    <w:rPr>
                      <w:bCs/>
                      <w:color w:val="auto"/>
                      <w:szCs w:val="22"/>
                    </w:rPr>
                    <w:t>和332个水生生物保护区开展生产性捕捞。</w:t>
                  </w:r>
                </w:p>
              </w:tc>
              <w:tc>
                <w:tcPr>
                  <w:tcW w:w="1135" w:type="pct"/>
                  <w:vAlign w:val="center"/>
                </w:tcPr>
                <w:p w14:paraId="62BE9AD3">
                  <w:pPr>
                    <w:pStyle w:val="132"/>
                    <w:spacing w:line="320" w:lineRule="exact"/>
                    <w:jc w:val="both"/>
                    <w:rPr>
                      <w:bCs/>
                      <w:color w:val="auto"/>
                      <w:szCs w:val="22"/>
                    </w:rPr>
                  </w:pPr>
                  <w:r>
                    <w:rPr>
                      <w:bCs/>
                      <w:color w:val="auto"/>
                      <w:szCs w:val="22"/>
                    </w:rPr>
                    <w:t>本项目不涉及捕捞作业。</w:t>
                  </w:r>
                </w:p>
              </w:tc>
              <w:tc>
                <w:tcPr>
                  <w:tcW w:w="437" w:type="pct"/>
                  <w:vAlign w:val="center"/>
                </w:tcPr>
                <w:p w14:paraId="199CB3E5">
                  <w:pPr>
                    <w:pStyle w:val="132"/>
                    <w:spacing w:line="320" w:lineRule="exact"/>
                    <w:rPr>
                      <w:bCs/>
                      <w:color w:val="auto"/>
                      <w:szCs w:val="22"/>
                    </w:rPr>
                  </w:pPr>
                  <w:r>
                    <w:rPr>
                      <w:bCs/>
                      <w:color w:val="auto"/>
                      <w:szCs w:val="22"/>
                    </w:rPr>
                    <w:t>符合</w:t>
                  </w:r>
                </w:p>
              </w:tc>
            </w:tr>
            <w:tr w14:paraId="0F4F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14:paraId="7BF5E9AB">
                  <w:pPr>
                    <w:pStyle w:val="132"/>
                    <w:spacing w:line="320" w:lineRule="exact"/>
                    <w:rPr>
                      <w:bCs/>
                      <w:color w:val="auto"/>
                      <w:szCs w:val="22"/>
                    </w:rPr>
                  </w:pPr>
                  <w:r>
                    <w:rPr>
                      <w:bCs/>
                      <w:color w:val="auto"/>
                      <w:szCs w:val="22"/>
                    </w:rPr>
                    <w:t>8</w:t>
                  </w:r>
                </w:p>
              </w:tc>
              <w:tc>
                <w:tcPr>
                  <w:tcW w:w="3043" w:type="pct"/>
                  <w:tcBorders>
                    <w:top w:val="single" w:color="auto" w:sz="4" w:space="0"/>
                    <w:left w:val="single" w:color="auto" w:sz="4" w:space="0"/>
                    <w:bottom w:val="single" w:color="auto" w:sz="4" w:space="0"/>
                    <w:right w:val="single" w:color="auto" w:sz="4" w:space="0"/>
                  </w:tcBorders>
                  <w:vAlign w:val="center"/>
                </w:tcPr>
                <w:p w14:paraId="26D85B42">
                  <w:pPr>
                    <w:pStyle w:val="132"/>
                    <w:spacing w:line="320" w:lineRule="exact"/>
                    <w:jc w:val="both"/>
                    <w:rPr>
                      <w:bCs/>
                      <w:color w:val="auto"/>
                      <w:szCs w:val="22"/>
                    </w:rPr>
                  </w:pPr>
                  <w:r>
                    <w:rPr>
                      <w:bCs/>
                      <w:color w:val="auto"/>
                      <w:szCs w:val="22"/>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135" w:type="pct"/>
                  <w:tcBorders>
                    <w:top w:val="single" w:color="auto" w:sz="4" w:space="0"/>
                    <w:left w:val="single" w:color="auto" w:sz="4" w:space="0"/>
                    <w:bottom w:val="single" w:color="auto" w:sz="4" w:space="0"/>
                    <w:right w:val="single" w:color="auto" w:sz="4" w:space="0"/>
                  </w:tcBorders>
                  <w:vAlign w:val="center"/>
                </w:tcPr>
                <w:p w14:paraId="27B98B74">
                  <w:pPr>
                    <w:pStyle w:val="132"/>
                    <w:spacing w:line="320" w:lineRule="exact"/>
                    <w:jc w:val="both"/>
                    <w:rPr>
                      <w:bCs/>
                      <w:color w:val="auto"/>
                      <w:szCs w:val="22"/>
                    </w:rPr>
                  </w:pPr>
                  <w:r>
                    <w:rPr>
                      <w:bCs/>
                      <w:color w:val="auto"/>
                      <w:szCs w:val="22"/>
                    </w:rPr>
                    <w:t>本项目不属于上述禁止建设类项目。</w:t>
                  </w:r>
                </w:p>
              </w:tc>
              <w:tc>
                <w:tcPr>
                  <w:tcW w:w="437" w:type="pct"/>
                  <w:tcBorders>
                    <w:top w:val="single" w:color="auto" w:sz="4" w:space="0"/>
                    <w:left w:val="single" w:color="auto" w:sz="4" w:space="0"/>
                    <w:bottom w:val="single" w:color="auto" w:sz="4" w:space="0"/>
                    <w:right w:val="single" w:color="auto" w:sz="4" w:space="0"/>
                  </w:tcBorders>
                  <w:vAlign w:val="center"/>
                </w:tcPr>
                <w:p w14:paraId="335D89E5">
                  <w:pPr>
                    <w:pStyle w:val="132"/>
                    <w:spacing w:line="320" w:lineRule="exact"/>
                    <w:rPr>
                      <w:bCs/>
                      <w:color w:val="auto"/>
                      <w:szCs w:val="22"/>
                    </w:rPr>
                  </w:pPr>
                  <w:r>
                    <w:rPr>
                      <w:bCs/>
                      <w:color w:val="auto"/>
                      <w:szCs w:val="22"/>
                    </w:rPr>
                    <w:t>符合</w:t>
                  </w:r>
                </w:p>
              </w:tc>
            </w:tr>
            <w:tr w14:paraId="792E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14:paraId="7FA3FAEE">
                  <w:pPr>
                    <w:pStyle w:val="132"/>
                    <w:spacing w:line="320" w:lineRule="exact"/>
                    <w:rPr>
                      <w:bCs/>
                      <w:color w:val="auto"/>
                      <w:szCs w:val="22"/>
                    </w:rPr>
                  </w:pPr>
                  <w:r>
                    <w:rPr>
                      <w:bCs/>
                      <w:color w:val="auto"/>
                      <w:szCs w:val="22"/>
                    </w:rPr>
                    <w:t>9</w:t>
                  </w:r>
                </w:p>
              </w:tc>
              <w:tc>
                <w:tcPr>
                  <w:tcW w:w="3043" w:type="pct"/>
                  <w:tcBorders>
                    <w:top w:val="single" w:color="auto" w:sz="4" w:space="0"/>
                    <w:left w:val="single" w:color="auto" w:sz="4" w:space="0"/>
                    <w:bottom w:val="single" w:color="auto" w:sz="4" w:space="0"/>
                    <w:right w:val="single" w:color="auto" w:sz="4" w:space="0"/>
                  </w:tcBorders>
                  <w:vAlign w:val="center"/>
                </w:tcPr>
                <w:p w14:paraId="47F4F136">
                  <w:pPr>
                    <w:pStyle w:val="132"/>
                    <w:spacing w:line="320" w:lineRule="exact"/>
                    <w:jc w:val="both"/>
                    <w:rPr>
                      <w:bCs/>
                      <w:color w:val="auto"/>
                      <w:szCs w:val="22"/>
                    </w:rPr>
                  </w:pPr>
                  <w:r>
                    <w:rPr>
                      <w:bCs/>
                      <w:color w:val="auto"/>
                      <w:szCs w:val="22"/>
                    </w:rPr>
                    <w:t>禁止在合规园区外新建、扩建钢铁、石化、化工、焦化、建材、有色、制浆造纸等高污染项目。</w:t>
                  </w:r>
                </w:p>
              </w:tc>
              <w:tc>
                <w:tcPr>
                  <w:tcW w:w="1135" w:type="pct"/>
                  <w:tcBorders>
                    <w:top w:val="single" w:color="auto" w:sz="4" w:space="0"/>
                    <w:left w:val="single" w:color="auto" w:sz="4" w:space="0"/>
                    <w:bottom w:val="single" w:color="auto" w:sz="4" w:space="0"/>
                    <w:right w:val="single" w:color="auto" w:sz="4" w:space="0"/>
                  </w:tcBorders>
                  <w:vAlign w:val="center"/>
                </w:tcPr>
                <w:p w14:paraId="6AA3B502">
                  <w:pPr>
                    <w:pStyle w:val="132"/>
                    <w:spacing w:line="320" w:lineRule="exact"/>
                    <w:jc w:val="both"/>
                    <w:rPr>
                      <w:bCs/>
                      <w:color w:val="auto"/>
                      <w:szCs w:val="22"/>
                    </w:rPr>
                  </w:pPr>
                  <w:r>
                    <w:rPr>
                      <w:bCs/>
                      <w:color w:val="auto"/>
                      <w:szCs w:val="22"/>
                    </w:rPr>
                    <w:t>本项目不属于上述高污染类项目。</w:t>
                  </w:r>
                </w:p>
              </w:tc>
              <w:tc>
                <w:tcPr>
                  <w:tcW w:w="437" w:type="pct"/>
                  <w:tcBorders>
                    <w:top w:val="single" w:color="auto" w:sz="4" w:space="0"/>
                    <w:left w:val="single" w:color="auto" w:sz="4" w:space="0"/>
                    <w:bottom w:val="single" w:color="auto" w:sz="4" w:space="0"/>
                    <w:right w:val="single" w:color="auto" w:sz="4" w:space="0"/>
                  </w:tcBorders>
                  <w:vAlign w:val="center"/>
                </w:tcPr>
                <w:p w14:paraId="1F8B5259">
                  <w:pPr>
                    <w:pStyle w:val="132"/>
                    <w:spacing w:line="320" w:lineRule="exact"/>
                    <w:rPr>
                      <w:bCs/>
                      <w:color w:val="auto"/>
                      <w:szCs w:val="22"/>
                    </w:rPr>
                  </w:pPr>
                  <w:r>
                    <w:rPr>
                      <w:bCs/>
                      <w:color w:val="auto"/>
                      <w:szCs w:val="22"/>
                    </w:rPr>
                    <w:t>符合</w:t>
                  </w:r>
                </w:p>
              </w:tc>
            </w:tr>
            <w:tr w14:paraId="3309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14:paraId="6A77505C">
                  <w:pPr>
                    <w:pStyle w:val="132"/>
                    <w:spacing w:line="320" w:lineRule="exact"/>
                    <w:rPr>
                      <w:bCs/>
                      <w:color w:val="auto"/>
                      <w:szCs w:val="22"/>
                    </w:rPr>
                  </w:pPr>
                  <w:r>
                    <w:rPr>
                      <w:bCs/>
                      <w:color w:val="auto"/>
                      <w:szCs w:val="22"/>
                    </w:rPr>
                    <w:t>10</w:t>
                  </w:r>
                </w:p>
              </w:tc>
              <w:tc>
                <w:tcPr>
                  <w:tcW w:w="3043" w:type="pct"/>
                  <w:tcBorders>
                    <w:top w:val="single" w:color="auto" w:sz="4" w:space="0"/>
                    <w:left w:val="single" w:color="auto" w:sz="4" w:space="0"/>
                    <w:bottom w:val="single" w:color="auto" w:sz="4" w:space="0"/>
                    <w:right w:val="single" w:color="auto" w:sz="4" w:space="0"/>
                  </w:tcBorders>
                  <w:vAlign w:val="center"/>
                </w:tcPr>
                <w:p w14:paraId="22609B59">
                  <w:pPr>
                    <w:pStyle w:val="132"/>
                    <w:spacing w:line="320" w:lineRule="exact"/>
                    <w:jc w:val="both"/>
                    <w:rPr>
                      <w:bCs/>
                      <w:color w:val="auto"/>
                      <w:szCs w:val="22"/>
                    </w:rPr>
                  </w:pPr>
                  <w:r>
                    <w:rPr>
                      <w:bCs/>
                      <w:color w:val="auto"/>
                      <w:szCs w:val="22"/>
                    </w:rPr>
                    <w:t>禁止新建、扩建不符合国家石化、现代煤化工等产业布局规划的项目。</w:t>
                  </w:r>
                </w:p>
              </w:tc>
              <w:tc>
                <w:tcPr>
                  <w:tcW w:w="1135" w:type="pct"/>
                  <w:tcBorders>
                    <w:top w:val="single" w:color="auto" w:sz="4" w:space="0"/>
                    <w:left w:val="single" w:color="auto" w:sz="4" w:space="0"/>
                    <w:bottom w:val="single" w:color="auto" w:sz="4" w:space="0"/>
                    <w:right w:val="single" w:color="auto" w:sz="4" w:space="0"/>
                  </w:tcBorders>
                  <w:vAlign w:val="center"/>
                </w:tcPr>
                <w:p w14:paraId="337785E8">
                  <w:pPr>
                    <w:pStyle w:val="132"/>
                    <w:spacing w:line="320" w:lineRule="exact"/>
                    <w:jc w:val="both"/>
                    <w:rPr>
                      <w:bCs/>
                      <w:color w:val="auto"/>
                      <w:szCs w:val="22"/>
                    </w:rPr>
                  </w:pPr>
                  <w:r>
                    <w:rPr>
                      <w:bCs/>
                      <w:color w:val="auto"/>
                      <w:szCs w:val="22"/>
                    </w:rPr>
                    <w:t>本项目不属于上述石化、现代煤化工等工业项目。</w:t>
                  </w:r>
                </w:p>
              </w:tc>
              <w:tc>
                <w:tcPr>
                  <w:tcW w:w="437" w:type="pct"/>
                  <w:tcBorders>
                    <w:top w:val="single" w:color="auto" w:sz="4" w:space="0"/>
                    <w:left w:val="single" w:color="auto" w:sz="4" w:space="0"/>
                    <w:bottom w:val="single" w:color="auto" w:sz="4" w:space="0"/>
                    <w:right w:val="single" w:color="auto" w:sz="4" w:space="0"/>
                  </w:tcBorders>
                  <w:vAlign w:val="center"/>
                </w:tcPr>
                <w:p w14:paraId="7B7DEAB2">
                  <w:pPr>
                    <w:pStyle w:val="132"/>
                    <w:spacing w:line="320" w:lineRule="exact"/>
                    <w:rPr>
                      <w:bCs/>
                      <w:color w:val="auto"/>
                      <w:szCs w:val="22"/>
                    </w:rPr>
                  </w:pPr>
                  <w:r>
                    <w:rPr>
                      <w:bCs/>
                      <w:color w:val="auto"/>
                      <w:szCs w:val="22"/>
                    </w:rPr>
                    <w:t>符合</w:t>
                  </w:r>
                </w:p>
              </w:tc>
            </w:tr>
            <w:tr w14:paraId="386B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14:paraId="26B3A04B">
                  <w:pPr>
                    <w:pStyle w:val="132"/>
                    <w:spacing w:line="320" w:lineRule="exact"/>
                    <w:rPr>
                      <w:bCs/>
                      <w:color w:val="auto"/>
                      <w:szCs w:val="22"/>
                    </w:rPr>
                  </w:pPr>
                  <w:r>
                    <w:rPr>
                      <w:bCs/>
                      <w:color w:val="auto"/>
                      <w:szCs w:val="22"/>
                    </w:rPr>
                    <w:t>11</w:t>
                  </w:r>
                </w:p>
              </w:tc>
              <w:tc>
                <w:tcPr>
                  <w:tcW w:w="3043" w:type="pct"/>
                  <w:tcBorders>
                    <w:top w:val="single" w:color="auto" w:sz="4" w:space="0"/>
                    <w:left w:val="single" w:color="auto" w:sz="4" w:space="0"/>
                    <w:bottom w:val="single" w:color="auto" w:sz="4" w:space="0"/>
                    <w:right w:val="single" w:color="auto" w:sz="4" w:space="0"/>
                  </w:tcBorders>
                  <w:vAlign w:val="center"/>
                </w:tcPr>
                <w:p w14:paraId="1EAB1F93">
                  <w:pPr>
                    <w:pStyle w:val="132"/>
                    <w:spacing w:line="320" w:lineRule="exact"/>
                    <w:jc w:val="both"/>
                    <w:rPr>
                      <w:bCs/>
                      <w:color w:val="auto"/>
                      <w:szCs w:val="22"/>
                    </w:rPr>
                  </w:pPr>
                  <w:r>
                    <w:rPr>
                      <w:bCs/>
                      <w:color w:val="auto"/>
                      <w:szCs w:val="22"/>
                    </w:rPr>
                    <w:t>禁止新建、扩建法律法规和相关政策明令禁止的落后产能项目。</w:t>
                  </w:r>
                </w:p>
                <w:p w14:paraId="22441435">
                  <w:pPr>
                    <w:pStyle w:val="132"/>
                    <w:spacing w:line="320" w:lineRule="exact"/>
                    <w:jc w:val="both"/>
                    <w:rPr>
                      <w:bCs/>
                      <w:color w:val="auto"/>
                      <w:szCs w:val="22"/>
                    </w:rPr>
                  </w:pPr>
                  <w:r>
                    <w:rPr>
                      <w:bCs/>
                      <w:color w:val="auto"/>
                      <w:szCs w:val="22"/>
                    </w:rPr>
                    <w:t>禁止新建、技改不符合国家产能置换要求的严重过剩产能行业的项目。禁止新建、扩建不符合要求的高耗能高排放项目。</w:t>
                  </w:r>
                </w:p>
              </w:tc>
              <w:tc>
                <w:tcPr>
                  <w:tcW w:w="1135" w:type="pct"/>
                  <w:tcBorders>
                    <w:top w:val="single" w:color="auto" w:sz="4" w:space="0"/>
                    <w:left w:val="single" w:color="auto" w:sz="4" w:space="0"/>
                    <w:bottom w:val="single" w:color="auto" w:sz="4" w:space="0"/>
                    <w:right w:val="single" w:color="auto" w:sz="4" w:space="0"/>
                  </w:tcBorders>
                  <w:vAlign w:val="center"/>
                </w:tcPr>
                <w:p w14:paraId="52AF9A38">
                  <w:pPr>
                    <w:pStyle w:val="132"/>
                    <w:spacing w:line="320" w:lineRule="exact"/>
                    <w:jc w:val="both"/>
                    <w:rPr>
                      <w:bCs/>
                      <w:color w:val="auto"/>
                      <w:szCs w:val="22"/>
                    </w:rPr>
                  </w:pPr>
                  <w:r>
                    <w:rPr>
                      <w:bCs/>
                      <w:color w:val="auto"/>
                      <w:szCs w:val="22"/>
                    </w:rPr>
                    <w:t>本项目属于国家鼓励类项目，且不属于高耗能高排放项目。</w:t>
                  </w:r>
                </w:p>
              </w:tc>
              <w:tc>
                <w:tcPr>
                  <w:tcW w:w="437" w:type="pct"/>
                  <w:tcBorders>
                    <w:top w:val="single" w:color="auto" w:sz="4" w:space="0"/>
                    <w:left w:val="single" w:color="auto" w:sz="4" w:space="0"/>
                    <w:bottom w:val="single" w:color="auto" w:sz="4" w:space="0"/>
                    <w:right w:val="single" w:color="auto" w:sz="4" w:space="0"/>
                  </w:tcBorders>
                  <w:vAlign w:val="center"/>
                </w:tcPr>
                <w:p w14:paraId="0B65950C">
                  <w:pPr>
                    <w:pStyle w:val="132"/>
                    <w:spacing w:line="320" w:lineRule="exact"/>
                    <w:rPr>
                      <w:bCs/>
                      <w:color w:val="auto"/>
                      <w:szCs w:val="22"/>
                    </w:rPr>
                  </w:pPr>
                  <w:r>
                    <w:rPr>
                      <w:bCs/>
                      <w:color w:val="auto"/>
                      <w:szCs w:val="22"/>
                    </w:rPr>
                    <w:t>符合</w:t>
                  </w:r>
                </w:p>
              </w:tc>
            </w:tr>
          </w:tbl>
          <w:p w14:paraId="194311F5">
            <w:pPr>
              <w:pStyle w:val="82"/>
              <w:ind w:firstLine="480"/>
              <w:rPr>
                <w:rFonts w:hint="eastAsia" w:ascii="Times New Roman" w:hAnsi="Times New Roman" w:eastAsia="宋体" w:cs="Times New Roman"/>
                <w:sz w:val="26"/>
                <w:szCs w:val="26"/>
                <w:lang w:val="en-US" w:eastAsia="zh-CN"/>
              </w:rPr>
            </w:pPr>
          </w:p>
          <w:p w14:paraId="25401D15"/>
          <w:p w14:paraId="65380869"/>
          <w:p w14:paraId="6710EDC9"/>
          <w:p w14:paraId="5AE806FD">
            <w:pPr>
              <w:spacing w:line="360" w:lineRule="auto"/>
              <w:ind w:firstLine="600" w:firstLineChars="200"/>
              <w:outlineLvl w:val="0"/>
              <w:rPr>
                <w:sz w:val="30"/>
              </w:rPr>
            </w:pPr>
          </w:p>
        </w:tc>
      </w:tr>
    </w:tbl>
    <w:p w14:paraId="3E848EAA">
      <w:pPr>
        <w:spacing w:line="360" w:lineRule="auto"/>
        <w:outlineLvl w:val="0"/>
        <w:rPr>
          <w:rFonts w:eastAsia="黑体"/>
          <w:sz w:val="30"/>
        </w:rPr>
        <w:sectPr>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p>
    <w:p w14:paraId="721151DE">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30"/>
        <w:tblW w:w="95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617"/>
      </w:tblGrid>
      <w:tr w14:paraId="3D4AA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908" w:hRule="atLeast"/>
          <w:jc w:val="center"/>
        </w:trPr>
        <w:tc>
          <w:tcPr>
            <w:tcW w:w="909" w:type="dxa"/>
            <w:vAlign w:val="center"/>
          </w:tcPr>
          <w:p w14:paraId="7F9FF706">
            <w:pPr>
              <w:pStyle w:val="81"/>
              <w:rPr>
                <w:sz w:val="26"/>
              </w:rPr>
            </w:pPr>
            <w:r>
              <w:rPr>
                <w:sz w:val="26"/>
              </w:rPr>
              <w:t>建设内容</w:t>
            </w:r>
          </w:p>
        </w:tc>
        <w:tc>
          <w:tcPr>
            <w:tcW w:w="8617" w:type="dxa"/>
          </w:tcPr>
          <w:p w14:paraId="298C573D">
            <w:pPr>
              <w:pStyle w:val="82"/>
              <w:ind w:firstLine="522"/>
              <w:rPr>
                <w:b/>
              </w:rPr>
            </w:pPr>
            <w:r>
              <w:rPr>
                <w:b/>
              </w:rPr>
              <w:t>2.1项目由来</w:t>
            </w:r>
          </w:p>
          <w:p w14:paraId="3D43BC40">
            <w:pPr>
              <w:pStyle w:val="82"/>
              <w:ind w:firstLine="520"/>
              <w:rPr>
                <w:color w:val="auto"/>
              </w:rPr>
            </w:pPr>
            <w:r>
              <w:t>博世氢动力系统（重庆）有限公司成立于2021年03月29日，注册地位于</w:t>
            </w:r>
            <w:r>
              <w:rPr>
                <w:rFonts w:hint="eastAsia"/>
              </w:rPr>
              <w:t>重庆市九龙坡区陶家镇铜陶北路</w:t>
            </w:r>
            <w:r>
              <w:t>125</w:t>
            </w:r>
            <w:r>
              <w:rPr>
                <w:rFonts w:hint="eastAsia"/>
              </w:rPr>
              <w:t>号</w:t>
            </w:r>
            <w:r>
              <w:t>-126</w:t>
            </w:r>
            <w:r>
              <w:rPr>
                <w:rFonts w:hint="eastAsia"/>
              </w:rPr>
              <w:t>号</w:t>
            </w:r>
            <w:r>
              <w:rPr>
                <w:rFonts w:hint="eastAsia"/>
                <w:lang w:eastAsia="zh-CN"/>
              </w:rPr>
              <w:t>。</w:t>
            </w:r>
            <w:r>
              <w:t>经营范围包括一般项目：</w:t>
            </w:r>
            <w:r>
              <w:rPr>
                <w:rFonts w:hint="eastAsia"/>
                <w:color w:val="000000"/>
                <w:highlight w:val="white"/>
              </w:rPr>
              <w:t>特种设备制造（依法须经批准的项目，经相关部门批准后方可开展经营活动，具体经营项目以相关部门批准文件或许可证件为准）一般项目：电池制造，电池销售，技术服务、技术开发、技术咨询、技术交流、技术转让、技术推广，汽车零部件及配件制造，机械零件、零部件销售，阀门和旋塞研发，特种设备销售，货物进出口，技术进出口（除依法须经批准的</w:t>
            </w:r>
            <w:r>
              <w:rPr>
                <w:rFonts w:hint="eastAsia"/>
                <w:color w:val="auto"/>
                <w:highlight w:val="white"/>
              </w:rPr>
              <w:t>项目外，凭营业执照依法自主开展经营活动）</w:t>
            </w:r>
            <w:r>
              <w:rPr>
                <w:color w:val="auto"/>
              </w:rPr>
              <w:t>。</w:t>
            </w:r>
          </w:p>
          <w:p w14:paraId="11DB0DA5">
            <w:pPr>
              <w:pStyle w:val="82"/>
              <w:ind w:firstLine="520"/>
              <w:rPr>
                <w:color w:val="auto"/>
              </w:rPr>
            </w:pPr>
            <w:r>
              <w:rPr>
                <w:rFonts w:hint="eastAsia"/>
                <w:color w:val="auto"/>
              </w:rPr>
              <w:t>2024年，公司</w:t>
            </w:r>
            <w:r>
              <w:rPr>
                <w:color w:val="auto"/>
              </w:rPr>
              <w:t>在重庆市</w:t>
            </w:r>
            <w:r>
              <w:rPr>
                <w:rFonts w:hint="eastAsia"/>
                <w:color w:val="auto"/>
              </w:rPr>
              <w:t>西彭园区陶家组团投资</w:t>
            </w:r>
            <w:r>
              <w:rPr>
                <w:color w:val="auto"/>
              </w:rPr>
              <w:t>建设</w:t>
            </w:r>
            <w:r>
              <w:rPr>
                <w:rFonts w:hint="eastAsia"/>
                <w:color w:val="auto"/>
                <w:lang w:eastAsia="zh-CN"/>
              </w:rPr>
              <w:t>“</w:t>
            </w:r>
            <w:r>
              <w:rPr>
                <w:color w:val="auto"/>
              </w:rPr>
              <w:t>重型电驱桥项目</w:t>
            </w:r>
            <w:r>
              <w:rPr>
                <w:rFonts w:hint="eastAsia"/>
                <w:color w:val="auto"/>
                <w:lang w:eastAsia="zh-CN"/>
              </w:rPr>
              <w:t>”</w:t>
            </w:r>
            <w:r>
              <w:rPr>
                <w:rFonts w:hint="eastAsia"/>
                <w:color w:val="auto"/>
              </w:rPr>
              <w:t>（</w:t>
            </w:r>
            <w:r>
              <w:rPr>
                <w:color w:val="auto"/>
              </w:rPr>
              <w:t>项目代码2311-500107-07-02-135848</w:t>
            </w:r>
            <w:r>
              <w:rPr>
                <w:rFonts w:hint="eastAsia"/>
                <w:color w:val="auto"/>
              </w:rPr>
              <w:t>），</w:t>
            </w:r>
            <w:r>
              <w:rPr>
                <w:rFonts w:hint="eastAsia"/>
                <w:color w:val="auto"/>
                <w:lang w:val="en-US" w:eastAsia="zh-CN"/>
              </w:rPr>
              <w:t>该项目实施分期建设，一期建设内容为：</w:t>
            </w:r>
            <w:r>
              <w:rPr>
                <w:rFonts w:hint="eastAsia"/>
                <w:color w:val="auto"/>
              </w:rPr>
              <w:t>建设1条年产1万套重型电驱桥生产</w:t>
            </w:r>
            <w:r>
              <w:rPr>
                <w:rFonts w:hint="eastAsia"/>
                <w:color w:val="auto"/>
                <w:lang w:val="en-US" w:eastAsia="zh-CN"/>
              </w:rPr>
              <w:t>测试</w:t>
            </w:r>
            <w:r>
              <w:rPr>
                <w:rFonts w:hint="eastAsia"/>
                <w:color w:val="auto"/>
              </w:rPr>
              <w:t>线（1线）和配套公辅设施，该项目</w:t>
            </w:r>
            <w:r>
              <w:rPr>
                <w:rFonts w:hint="eastAsia"/>
                <w:color w:val="auto"/>
                <w:lang w:val="en-US" w:eastAsia="zh-CN"/>
              </w:rPr>
              <w:t>目前已</w:t>
            </w:r>
            <w:r>
              <w:rPr>
                <w:rFonts w:hint="eastAsia"/>
                <w:color w:val="auto"/>
              </w:rPr>
              <w:t>完成验收</w:t>
            </w:r>
            <w:r>
              <w:rPr>
                <w:color w:val="auto"/>
              </w:rPr>
              <w:t>。</w:t>
            </w:r>
          </w:p>
          <w:p w14:paraId="1217A8D9">
            <w:pPr>
              <w:pStyle w:val="82"/>
              <w:ind w:firstLine="520"/>
              <w:rPr>
                <w:rFonts w:hint="default" w:eastAsia="宋体"/>
                <w:color w:val="auto"/>
                <w:lang w:val="en-US" w:eastAsia="zh-CN"/>
              </w:rPr>
            </w:pPr>
            <w:r>
              <w:rPr>
                <w:rFonts w:hint="eastAsia"/>
                <w:color w:val="auto"/>
              </w:rPr>
              <w:t>为适应市场需求，</w:t>
            </w:r>
            <w:r>
              <w:rPr>
                <w:color w:val="auto"/>
              </w:rPr>
              <w:t>该公司拟扩大企业生产规模，</w:t>
            </w:r>
            <w:r>
              <w:rPr>
                <w:rFonts w:hint="eastAsia"/>
                <w:color w:val="auto"/>
                <w:lang w:val="en-US" w:eastAsia="zh-CN"/>
              </w:rPr>
              <w:t>在现有电驱桥生产测试线上新增一条装配线，使现有电驱桥生产线产能扩大至3万套每年，</w:t>
            </w:r>
            <w:r>
              <w:rPr>
                <w:rFonts w:hint="eastAsia"/>
                <w:color w:val="auto"/>
                <w:highlight w:val="none"/>
                <w:lang w:val="en-US" w:eastAsia="zh-CN"/>
              </w:rPr>
              <w:t>并</w:t>
            </w:r>
            <w:r>
              <w:rPr>
                <w:rFonts w:hint="eastAsia"/>
                <w:color w:val="auto"/>
                <w:highlight w:val="none"/>
              </w:rPr>
              <w:t>新建一条年产5万套重型电驱桥生产线2线</w:t>
            </w:r>
            <w:r>
              <w:rPr>
                <w:rFonts w:hint="eastAsia"/>
                <w:color w:val="auto"/>
                <w:highlight w:val="none"/>
                <w:lang w:val="en-US" w:eastAsia="zh-CN"/>
              </w:rPr>
              <w:t>及</w:t>
            </w:r>
            <w:r>
              <w:rPr>
                <w:rFonts w:hint="eastAsia"/>
                <w:color w:val="auto"/>
                <w:lang w:val="en-US" w:eastAsia="zh-CN"/>
              </w:rPr>
              <w:t>电驱桥实验室。本项目实施后，重型电驱桥产能从1万套每年扩大至8万套每年。</w:t>
            </w:r>
          </w:p>
          <w:p w14:paraId="3935F1DA">
            <w:pPr>
              <w:pStyle w:val="82"/>
              <w:ind w:firstLine="520"/>
              <w:rPr>
                <w:rFonts w:hint="eastAsia"/>
              </w:rPr>
            </w:pPr>
            <w:r>
              <w:rPr>
                <w:rFonts w:hint="eastAsia"/>
                <w:color w:val="auto"/>
                <w:lang w:val="en-US" w:eastAsia="zh-CN"/>
              </w:rPr>
              <w:t>此外，</w:t>
            </w:r>
            <w:r>
              <w:rPr>
                <w:color w:val="auto"/>
              </w:rPr>
              <w:t>为满足氢燃料电池动力总成开发需求，实现稳定储存氢气的目的，达到高效安全的氢气充放目标</w:t>
            </w:r>
            <w:r>
              <w:rPr>
                <w:rFonts w:hint="eastAsia"/>
                <w:color w:val="auto"/>
                <w:lang w:eastAsia="zh-CN"/>
              </w:rPr>
              <w:t>，</w:t>
            </w:r>
            <w:r>
              <w:rPr>
                <w:color w:val="auto"/>
              </w:rPr>
              <w:t>博世氢动力公司推出了高效，集成化，轻量化的储氢系统瓶口阀。该产品集泄压阀，电子关断阀，温度传感器，溢流阀和排气阀为一体。可搭载于各种氢燃料电池动力系统</w:t>
            </w:r>
            <w:r>
              <w:t>和所有350bar储氢系统</w:t>
            </w:r>
            <w:r>
              <w:rPr>
                <w:rFonts w:hint="eastAsia"/>
              </w:rPr>
              <w:t>。</w:t>
            </w:r>
            <w:r>
              <w:rPr>
                <w:rFonts w:hint="eastAsia"/>
                <w:color w:val="auto"/>
                <w:lang w:val="en-US" w:eastAsia="zh-CN"/>
              </w:rPr>
              <w:t>新建两</w:t>
            </w:r>
            <w:r>
              <w:rPr>
                <w:rFonts w:hint="eastAsia"/>
                <w:color w:val="auto"/>
              </w:rPr>
              <w:t>条年产</w:t>
            </w:r>
            <w:r>
              <w:rPr>
                <w:rFonts w:hint="eastAsia"/>
                <w:color w:val="auto"/>
                <w:lang w:val="en-US" w:eastAsia="zh-CN"/>
              </w:rPr>
              <w:t>3</w:t>
            </w:r>
            <w:r>
              <w:rPr>
                <w:rFonts w:hint="eastAsia"/>
                <w:color w:val="auto"/>
              </w:rPr>
              <w:t>万套氢瓶瓶口阀、瓶底阀生产线</w:t>
            </w:r>
            <w:r>
              <w:rPr>
                <w:rFonts w:hint="eastAsia"/>
                <w:color w:val="auto"/>
                <w:lang w:eastAsia="zh-CN"/>
              </w:rPr>
              <w:t>。</w:t>
            </w:r>
            <w:r>
              <w:rPr>
                <w:rFonts w:hint="eastAsia"/>
                <w:color w:val="auto"/>
              </w:rPr>
              <w:t>氢瓶瓶口</w:t>
            </w:r>
            <w:r>
              <w:rPr>
                <w:rFonts w:hint="eastAsia"/>
              </w:rPr>
              <w:t>阀、瓶底阀生产线</w:t>
            </w:r>
            <w:r>
              <w:rPr>
                <w:rFonts w:hint="eastAsia"/>
                <w:lang w:eastAsia="zh-CN"/>
              </w:rPr>
              <w:t>。</w:t>
            </w:r>
            <w:r>
              <w:rPr>
                <w:rFonts w:hint="eastAsia"/>
                <w:lang w:val="en-US" w:eastAsia="zh-CN"/>
              </w:rPr>
              <w:t>该</w:t>
            </w:r>
            <w:r>
              <w:t>项目已取得重庆市九龙坡区发展和改革委员会于202</w:t>
            </w:r>
            <w:r>
              <w:rPr>
                <w:rFonts w:hint="eastAsia"/>
              </w:rPr>
              <w:t>4</w:t>
            </w:r>
            <w:r>
              <w:t>年1</w:t>
            </w:r>
            <w:r>
              <w:rPr>
                <w:rFonts w:hint="eastAsia"/>
              </w:rPr>
              <w:t>0</w:t>
            </w:r>
            <w:r>
              <w:t>月2</w:t>
            </w:r>
            <w:r>
              <w:rPr>
                <w:rFonts w:hint="eastAsia"/>
              </w:rPr>
              <w:t>3</w:t>
            </w:r>
            <w:r>
              <w:t>日出具的备案证，项目代码2410-500107-07-02-676777</w:t>
            </w:r>
            <w:r>
              <w:rPr>
                <w:rFonts w:hint="eastAsia"/>
              </w:rPr>
              <w:t>。</w:t>
            </w:r>
          </w:p>
          <w:p w14:paraId="27708D0F">
            <w:pPr>
              <w:pStyle w:val="82"/>
              <w:ind w:firstLine="520"/>
              <w:rPr>
                <w:color w:val="auto"/>
              </w:rPr>
            </w:pPr>
            <w:r>
              <w:rPr>
                <w:rFonts w:hint="eastAsia"/>
                <w:color w:val="auto"/>
                <w:lang w:val="en-US" w:eastAsia="zh-CN"/>
              </w:rPr>
              <w:t>本次评价包含上述两部分内容，</w:t>
            </w:r>
            <w:r>
              <w:rPr>
                <w:color w:val="auto"/>
              </w:rPr>
              <w:t>实施</w:t>
            </w:r>
            <w:r>
              <w:rPr>
                <w:rFonts w:hint="eastAsia"/>
                <w:color w:val="auto"/>
                <w:lang w:eastAsia="zh-CN"/>
              </w:rPr>
              <w:t>“</w:t>
            </w:r>
            <w:r>
              <w:rPr>
                <w:rFonts w:hint="eastAsia"/>
                <w:color w:val="auto"/>
                <w:sz w:val="26"/>
              </w:rPr>
              <w:t>重型电驱桥</w:t>
            </w:r>
            <w:r>
              <w:rPr>
                <w:rFonts w:hint="eastAsia"/>
                <w:color w:val="auto"/>
                <w:sz w:val="26"/>
                <w:lang w:eastAsia="zh-CN"/>
              </w:rPr>
              <w:t>（</w:t>
            </w:r>
            <w:r>
              <w:rPr>
                <w:rFonts w:hint="eastAsia"/>
                <w:color w:val="auto"/>
                <w:sz w:val="26"/>
                <w:lang w:val="en-US" w:eastAsia="zh-CN"/>
              </w:rPr>
              <w:t>二期</w:t>
            </w:r>
            <w:r>
              <w:rPr>
                <w:rFonts w:hint="eastAsia"/>
                <w:color w:val="auto"/>
                <w:sz w:val="26"/>
                <w:lang w:eastAsia="zh-CN"/>
              </w:rPr>
              <w:t>）、</w:t>
            </w:r>
            <w:r>
              <w:rPr>
                <w:rFonts w:hint="eastAsia"/>
                <w:color w:val="auto"/>
                <w:sz w:val="26"/>
              </w:rPr>
              <w:t>氢瓶瓶口阀</w:t>
            </w:r>
            <w:r>
              <w:rPr>
                <w:rFonts w:hint="eastAsia"/>
                <w:color w:val="auto"/>
                <w:sz w:val="26"/>
                <w:lang w:val="en-US" w:eastAsia="zh-CN"/>
              </w:rPr>
              <w:t>/</w:t>
            </w:r>
            <w:r>
              <w:rPr>
                <w:rFonts w:hint="eastAsia"/>
                <w:color w:val="auto"/>
                <w:sz w:val="26"/>
              </w:rPr>
              <w:t>瓶底阀项目</w:t>
            </w:r>
            <w:r>
              <w:rPr>
                <w:rFonts w:hint="eastAsia"/>
                <w:color w:val="auto"/>
                <w:lang w:eastAsia="zh-CN"/>
              </w:rPr>
              <w:t>”，</w:t>
            </w:r>
            <w:r>
              <w:rPr>
                <w:color w:val="auto"/>
              </w:rPr>
              <w:t>根据《国民经济行业分类》（GB/T4754—2017）本项目行业分类为C3670汽车零部件及配件制造，项目属于《建设项目环境影响评价分类管理名录（2021年版）》中</w:t>
            </w:r>
            <w:r>
              <w:rPr>
                <w:rFonts w:hint="eastAsia"/>
                <w:color w:val="auto"/>
              </w:rPr>
              <w:t>“</w:t>
            </w:r>
            <w:r>
              <w:rPr>
                <w:color w:val="auto"/>
              </w:rPr>
              <w:t>三十三、汽车制造业36，汽车零部件及配件制造367</w:t>
            </w:r>
            <w:r>
              <w:rPr>
                <w:rFonts w:hint="eastAsia"/>
                <w:color w:val="auto"/>
              </w:rPr>
              <w:t>”</w:t>
            </w:r>
            <w:r>
              <w:rPr>
                <w:color w:val="auto"/>
              </w:rPr>
              <w:t>中</w:t>
            </w:r>
            <w:r>
              <w:rPr>
                <w:rFonts w:hint="eastAsia"/>
                <w:color w:val="auto"/>
              </w:rPr>
              <w:t>“</w:t>
            </w:r>
            <w:r>
              <w:rPr>
                <w:color w:val="auto"/>
              </w:rPr>
              <w:t>其他（年用非溶剂型低VOCs含量涂料10吨以下的除外）</w:t>
            </w:r>
            <w:r>
              <w:rPr>
                <w:rFonts w:hint="eastAsia"/>
                <w:color w:val="auto"/>
              </w:rPr>
              <w:t>”</w:t>
            </w:r>
            <w:r>
              <w:rPr>
                <w:rFonts w:hint="eastAsia"/>
                <w:color w:val="auto"/>
                <w:szCs w:val="24"/>
              </w:rPr>
              <w:t>，</w:t>
            </w:r>
            <w:r>
              <w:rPr>
                <w:color w:val="auto"/>
              </w:rPr>
              <w:t>应编制环境影响报告表。博</w:t>
            </w:r>
            <w:r>
              <w:t>世氢动力系统（重庆）有限公司委托中煤科工重庆设计研究院（集团）有限公司承担本项目的环境影响评价工作，</w:t>
            </w:r>
            <w:r>
              <w:rPr>
                <w:color w:val="auto"/>
              </w:rPr>
              <w:t>接受委托后，我公司立即组织评价人员深入现场踏勘，收集基础资料，详细调查项目周边环境现状，对本工程内容进行了仔细分析，在此基础上，结合《建设项目环境影响报告表编制技术指南（污染影响类）（试行）》的要求，编制完成了《</w:t>
            </w:r>
            <w:r>
              <w:rPr>
                <w:rFonts w:hint="eastAsia"/>
                <w:color w:val="auto"/>
                <w:sz w:val="26"/>
              </w:rPr>
              <w:t>重型电驱桥</w:t>
            </w:r>
            <w:r>
              <w:rPr>
                <w:rFonts w:hint="eastAsia"/>
                <w:color w:val="auto"/>
                <w:sz w:val="26"/>
                <w:lang w:eastAsia="zh-CN"/>
              </w:rPr>
              <w:t>（</w:t>
            </w:r>
            <w:r>
              <w:rPr>
                <w:rFonts w:hint="eastAsia"/>
                <w:color w:val="auto"/>
                <w:sz w:val="26"/>
                <w:lang w:val="en-US" w:eastAsia="zh-CN"/>
              </w:rPr>
              <w:t>二期</w:t>
            </w:r>
            <w:r>
              <w:rPr>
                <w:rFonts w:hint="eastAsia"/>
                <w:color w:val="auto"/>
                <w:sz w:val="26"/>
                <w:lang w:eastAsia="zh-CN"/>
              </w:rPr>
              <w:t>）、</w:t>
            </w:r>
            <w:r>
              <w:rPr>
                <w:rFonts w:hint="eastAsia"/>
                <w:color w:val="auto"/>
                <w:sz w:val="26"/>
              </w:rPr>
              <w:t>氢瓶瓶口阀</w:t>
            </w:r>
            <w:r>
              <w:rPr>
                <w:rFonts w:hint="eastAsia"/>
                <w:color w:val="auto"/>
                <w:sz w:val="26"/>
                <w:lang w:val="en-US" w:eastAsia="zh-CN"/>
              </w:rPr>
              <w:t>/</w:t>
            </w:r>
            <w:r>
              <w:rPr>
                <w:rFonts w:hint="eastAsia"/>
                <w:color w:val="auto"/>
                <w:sz w:val="26"/>
              </w:rPr>
              <w:t>瓶底阀项目</w:t>
            </w:r>
            <w:r>
              <w:rPr>
                <w:color w:val="auto"/>
              </w:rPr>
              <w:t>环境影响报告表》。</w:t>
            </w:r>
          </w:p>
          <w:p w14:paraId="5083CCD6">
            <w:pPr>
              <w:pStyle w:val="82"/>
              <w:ind w:firstLine="522"/>
              <w:rPr>
                <w:b/>
                <w:color w:val="auto"/>
              </w:rPr>
            </w:pPr>
            <w:r>
              <w:rPr>
                <w:b/>
                <w:color w:val="auto"/>
              </w:rPr>
              <w:t>2.2项目概况</w:t>
            </w:r>
          </w:p>
          <w:p w14:paraId="33D10C5C">
            <w:pPr>
              <w:pStyle w:val="82"/>
              <w:ind w:firstLine="520"/>
              <w:rPr>
                <w:color w:val="auto"/>
              </w:rPr>
            </w:pPr>
            <w:r>
              <w:rPr>
                <w:color w:val="auto"/>
              </w:rPr>
              <w:t>项目名称：</w:t>
            </w:r>
            <w:r>
              <w:rPr>
                <w:rFonts w:hint="eastAsia"/>
                <w:color w:val="auto"/>
                <w:sz w:val="26"/>
              </w:rPr>
              <w:t>重型电驱桥</w:t>
            </w:r>
            <w:r>
              <w:rPr>
                <w:rFonts w:hint="eastAsia"/>
                <w:color w:val="auto"/>
                <w:sz w:val="26"/>
                <w:lang w:eastAsia="zh-CN"/>
              </w:rPr>
              <w:t>（</w:t>
            </w:r>
            <w:r>
              <w:rPr>
                <w:rFonts w:hint="eastAsia"/>
                <w:color w:val="auto"/>
                <w:sz w:val="26"/>
                <w:lang w:val="en-US" w:eastAsia="zh-CN"/>
              </w:rPr>
              <w:t>二期</w:t>
            </w:r>
            <w:r>
              <w:rPr>
                <w:rFonts w:hint="eastAsia"/>
                <w:color w:val="auto"/>
                <w:sz w:val="26"/>
                <w:lang w:eastAsia="zh-CN"/>
              </w:rPr>
              <w:t>）、</w:t>
            </w:r>
            <w:r>
              <w:rPr>
                <w:rFonts w:hint="eastAsia"/>
                <w:color w:val="auto"/>
                <w:sz w:val="26"/>
              </w:rPr>
              <w:t>氢瓶瓶口阀</w:t>
            </w:r>
            <w:r>
              <w:rPr>
                <w:rFonts w:hint="eastAsia"/>
                <w:color w:val="auto"/>
                <w:sz w:val="26"/>
                <w:lang w:val="en-US" w:eastAsia="zh-CN"/>
              </w:rPr>
              <w:t>/</w:t>
            </w:r>
            <w:r>
              <w:rPr>
                <w:rFonts w:hint="eastAsia"/>
                <w:color w:val="auto"/>
                <w:sz w:val="26"/>
              </w:rPr>
              <w:t>瓶底阀项目</w:t>
            </w:r>
            <w:r>
              <w:rPr>
                <w:color w:val="auto"/>
              </w:rPr>
              <w:t>；</w:t>
            </w:r>
          </w:p>
          <w:p w14:paraId="771057D6">
            <w:pPr>
              <w:pStyle w:val="82"/>
              <w:ind w:firstLine="520"/>
              <w:rPr>
                <w:color w:val="auto"/>
              </w:rPr>
            </w:pPr>
            <w:r>
              <w:rPr>
                <w:color w:val="auto"/>
              </w:rPr>
              <w:t>建设单位：博世氢动力系统（重庆）有限公司；</w:t>
            </w:r>
          </w:p>
          <w:p w14:paraId="07F48D58">
            <w:pPr>
              <w:pStyle w:val="82"/>
              <w:ind w:firstLine="520"/>
              <w:rPr>
                <w:color w:val="auto"/>
              </w:rPr>
            </w:pPr>
            <w:r>
              <w:rPr>
                <w:color w:val="auto"/>
              </w:rPr>
              <w:t>建设地点：重庆市九龙坡区陶家镇（</w:t>
            </w:r>
            <w:r>
              <w:rPr>
                <w:rFonts w:hint="eastAsia"/>
                <w:color w:val="auto"/>
              </w:rPr>
              <w:t>西彭园区陶家</w:t>
            </w:r>
            <w:r>
              <w:rPr>
                <w:color w:val="auto"/>
              </w:rPr>
              <w:t>组团L分区L17-02/02地块及L15-03/02地块）；</w:t>
            </w:r>
          </w:p>
          <w:p w14:paraId="7086D618">
            <w:pPr>
              <w:pStyle w:val="82"/>
              <w:ind w:firstLine="520"/>
              <w:rPr>
                <w:color w:val="auto"/>
                <w:szCs w:val="26"/>
              </w:rPr>
            </w:pPr>
            <w:r>
              <w:rPr>
                <w:color w:val="auto"/>
                <w:szCs w:val="26"/>
              </w:rPr>
              <w:t>建设性质：</w:t>
            </w:r>
            <w:r>
              <w:rPr>
                <w:rFonts w:hint="eastAsia"/>
                <w:color w:val="auto"/>
                <w:szCs w:val="26"/>
              </w:rPr>
              <w:t>工业技改</w:t>
            </w:r>
            <w:r>
              <w:rPr>
                <w:color w:val="auto"/>
                <w:szCs w:val="26"/>
              </w:rPr>
              <w:t>；</w:t>
            </w:r>
          </w:p>
          <w:p w14:paraId="4CE194FD">
            <w:pPr>
              <w:pStyle w:val="82"/>
              <w:ind w:firstLine="520"/>
              <w:rPr>
                <w:rFonts w:hint="eastAsia" w:eastAsia="宋体"/>
                <w:color w:val="auto"/>
                <w:szCs w:val="26"/>
                <w:lang w:val="en-US" w:eastAsia="zh-CN"/>
              </w:rPr>
            </w:pPr>
            <w:r>
              <w:rPr>
                <w:color w:val="auto"/>
                <w:szCs w:val="26"/>
              </w:rPr>
              <w:t>行业类别：汽车零部件及配件制造；</w:t>
            </w:r>
          </w:p>
          <w:p w14:paraId="696CC21D">
            <w:pPr>
              <w:pStyle w:val="82"/>
              <w:ind w:firstLine="520"/>
              <w:rPr>
                <w:color w:val="auto"/>
                <w:szCs w:val="26"/>
              </w:rPr>
            </w:pPr>
            <w:r>
              <w:rPr>
                <w:color w:val="auto"/>
                <w:szCs w:val="26"/>
              </w:rPr>
              <w:t>占地面积：不新增用地；</w:t>
            </w:r>
          </w:p>
          <w:p w14:paraId="5678C4FA">
            <w:pPr>
              <w:pStyle w:val="82"/>
              <w:ind w:firstLine="520"/>
              <w:rPr>
                <w:color w:val="auto"/>
                <w:szCs w:val="26"/>
              </w:rPr>
            </w:pPr>
            <w:r>
              <w:rPr>
                <w:color w:val="auto"/>
                <w:szCs w:val="26"/>
              </w:rPr>
              <w:t>建筑面积：</w:t>
            </w:r>
            <w:r>
              <w:rPr>
                <w:rFonts w:hint="eastAsia"/>
                <w:color w:val="auto"/>
                <w:szCs w:val="26"/>
                <w:lang w:val="en-US" w:eastAsia="zh-CN"/>
              </w:rPr>
              <w:t>3000</w:t>
            </w:r>
            <w:r>
              <w:rPr>
                <w:color w:val="auto"/>
                <w:szCs w:val="26"/>
              </w:rPr>
              <w:t>m</w:t>
            </w:r>
            <w:r>
              <w:rPr>
                <w:color w:val="auto"/>
                <w:szCs w:val="26"/>
                <w:vertAlign w:val="superscript"/>
              </w:rPr>
              <w:t>2</w:t>
            </w:r>
            <w:r>
              <w:rPr>
                <w:color w:val="auto"/>
                <w:szCs w:val="26"/>
              </w:rPr>
              <w:t>；</w:t>
            </w:r>
          </w:p>
          <w:p w14:paraId="1C54E4DF">
            <w:pPr>
              <w:pStyle w:val="82"/>
              <w:ind w:firstLine="520"/>
              <w:rPr>
                <w:color w:val="auto"/>
                <w:szCs w:val="26"/>
                <w:highlight w:val="yellow"/>
              </w:rPr>
            </w:pPr>
            <w:r>
              <w:rPr>
                <w:color w:val="auto"/>
                <w:szCs w:val="26"/>
              </w:rPr>
              <w:t>项目投资：总投资1</w:t>
            </w:r>
            <w:r>
              <w:rPr>
                <w:rFonts w:hint="eastAsia"/>
                <w:color w:val="auto"/>
                <w:szCs w:val="26"/>
              </w:rPr>
              <w:t>1</w:t>
            </w:r>
            <w:r>
              <w:rPr>
                <w:color w:val="auto"/>
                <w:szCs w:val="26"/>
              </w:rPr>
              <w:t>000万元，其中环保投资</w:t>
            </w:r>
            <w:r>
              <w:rPr>
                <w:rFonts w:hint="eastAsia"/>
                <w:color w:val="auto"/>
                <w:szCs w:val="26"/>
                <w:lang w:val="en-US" w:eastAsia="zh-CN"/>
              </w:rPr>
              <w:t>20</w:t>
            </w:r>
            <w:r>
              <w:rPr>
                <w:color w:val="auto"/>
                <w:szCs w:val="26"/>
              </w:rPr>
              <w:t>万元，占总投资的0.</w:t>
            </w:r>
            <w:r>
              <w:rPr>
                <w:rFonts w:hint="eastAsia"/>
                <w:color w:val="auto"/>
                <w:szCs w:val="26"/>
                <w:lang w:val="en-US" w:eastAsia="zh-CN"/>
              </w:rPr>
              <w:t>18</w:t>
            </w:r>
            <w:r>
              <w:rPr>
                <w:color w:val="auto"/>
                <w:szCs w:val="26"/>
              </w:rPr>
              <w:t>%；</w:t>
            </w:r>
          </w:p>
          <w:p w14:paraId="46938139">
            <w:pPr>
              <w:pStyle w:val="82"/>
              <w:ind w:firstLine="520"/>
              <w:rPr>
                <w:szCs w:val="26"/>
              </w:rPr>
            </w:pPr>
            <w:r>
              <w:rPr>
                <w:szCs w:val="26"/>
              </w:rPr>
              <w:t>建设工期：</w:t>
            </w:r>
            <w:r>
              <w:rPr>
                <w:rFonts w:hint="eastAsia"/>
                <w:szCs w:val="26"/>
                <w:lang w:val="en-US" w:eastAsia="zh-CN"/>
              </w:rPr>
              <w:t>5</w:t>
            </w:r>
            <w:r>
              <w:rPr>
                <w:szCs w:val="26"/>
              </w:rPr>
              <w:t>个月。</w:t>
            </w:r>
          </w:p>
          <w:p w14:paraId="45C73A6A">
            <w:pPr>
              <w:pStyle w:val="82"/>
              <w:ind w:firstLine="520"/>
              <w:rPr>
                <w:szCs w:val="26"/>
              </w:rPr>
            </w:pPr>
            <w:r>
              <w:rPr>
                <w:rFonts w:hint="eastAsia"/>
                <w:szCs w:val="26"/>
              </w:rPr>
              <w:t>劳动定员</w:t>
            </w:r>
            <w:r>
              <w:rPr>
                <w:szCs w:val="26"/>
              </w:rPr>
              <w:t>：</w:t>
            </w:r>
            <w:r>
              <w:rPr>
                <w:rFonts w:hint="eastAsia"/>
                <w:szCs w:val="26"/>
                <w:lang w:val="en-US" w:eastAsia="zh-CN"/>
              </w:rPr>
              <w:t>新增劳动定员70人</w:t>
            </w:r>
            <w:r>
              <w:t>（</w:t>
            </w:r>
            <w:r>
              <w:rPr>
                <w:rFonts w:hint="eastAsia"/>
                <w:szCs w:val="26"/>
              </w:rPr>
              <w:t>东地块新增</w:t>
            </w:r>
            <w:r>
              <w:rPr>
                <w:rFonts w:hint="eastAsia"/>
                <w:szCs w:val="26"/>
                <w:lang w:val="en-US" w:eastAsia="zh-CN"/>
              </w:rPr>
              <w:t>5</w:t>
            </w:r>
            <w:r>
              <w:rPr>
                <w:rFonts w:hint="eastAsia"/>
                <w:szCs w:val="26"/>
              </w:rPr>
              <w:t>0人，</w:t>
            </w:r>
            <w:r>
              <w:rPr>
                <w:rFonts w:hint="eastAsia"/>
                <w:szCs w:val="26"/>
                <w:lang w:val="en-US" w:eastAsia="zh-CN"/>
              </w:rPr>
              <w:t>西地块新增20</w:t>
            </w:r>
            <w:r>
              <w:rPr>
                <w:rFonts w:hint="eastAsia"/>
                <w:szCs w:val="26"/>
                <w:highlight w:val="none"/>
                <w:lang w:val="en-US" w:eastAsia="zh-CN"/>
              </w:rPr>
              <w:t>人</w:t>
            </w:r>
            <w:r>
              <w:t>）</w:t>
            </w:r>
            <w:r>
              <w:rPr>
                <w:szCs w:val="26"/>
              </w:rPr>
              <w:t>，</w:t>
            </w:r>
            <w:r>
              <w:rPr>
                <w:szCs w:val="26"/>
                <w:highlight w:val="none"/>
              </w:rPr>
              <w:t>其中管理及研发技术人员</w:t>
            </w:r>
            <w:r>
              <w:rPr>
                <w:rFonts w:hint="eastAsia"/>
                <w:szCs w:val="26"/>
                <w:highlight w:val="none"/>
                <w:lang w:val="en-US" w:eastAsia="zh-CN"/>
              </w:rPr>
              <w:t>25</w:t>
            </w:r>
            <w:r>
              <w:rPr>
                <w:szCs w:val="26"/>
                <w:highlight w:val="none"/>
              </w:rPr>
              <w:t>人，生产人员</w:t>
            </w:r>
            <w:r>
              <w:rPr>
                <w:rFonts w:hint="eastAsia"/>
                <w:szCs w:val="26"/>
                <w:highlight w:val="none"/>
                <w:lang w:val="en-US" w:eastAsia="zh-CN"/>
              </w:rPr>
              <w:t>45</w:t>
            </w:r>
            <w:r>
              <w:rPr>
                <w:szCs w:val="26"/>
                <w:highlight w:val="none"/>
              </w:rPr>
              <w:t>人</w:t>
            </w:r>
            <w:r>
              <w:rPr>
                <w:rFonts w:hint="eastAsia"/>
                <w:szCs w:val="26"/>
                <w:highlight w:val="none"/>
              </w:rPr>
              <w:t>。</w:t>
            </w:r>
          </w:p>
          <w:p w14:paraId="59218992">
            <w:pPr>
              <w:pStyle w:val="82"/>
              <w:ind w:firstLine="520"/>
              <w:rPr>
                <w:szCs w:val="26"/>
              </w:rPr>
            </w:pPr>
            <w:r>
              <w:rPr>
                <w:szCs w:val="26"/>
              </w:rPr>
              <w:t>工作制度：全年生产天数300天。生产人员采用</w:t>
            </w:r>
            <w:r>
              <w:rPr>
                <w:rFonts w:hint="eastAsia"/>
                <w:szCs w:val="26"/>
                <w:lang w:val="en-US" w:eastAsia="zh-CN"/>
              </w:rPr>
              <w:t>2</w:t>
            </w:r>
            <w:r>
              <w:rPr>
                <w:szCs w:val="26"/>
              </w:rPr>
              <w:t>班工作制度，每班工作8小时。</w:t>
            </w:r>
          </w:p>
          <w:p w14:paraId="4B225D7C">
            <w:pPr>
              <w:pStyle w:val="82"/>
              <w:ind w:firstLine="522"/>
              <w:rPr>
                <w:b/>
              </w:rPr>
            </w:pPr>
            <w:r>
              <w:rPr>
                <w:b/>
              </w:rPr>
              <w:t>2.3项目产品方案</w:t>
            </w:r>
          </w:p>
          <w:p w14:paraId="21CF47E4">
            <w:pPr>
              <w:pStyle w:val="82"/>
              <w:ind w:firstLine="520"/>
              <w:rPr>
                <w:szCs w:val="26"/>
              </w:rPr>
            </w:pPr>
            <w:r>
              <w:rPr>
                <w:szCs w:val="26"/>
              </w:rPr>
              <w:t>本项目主要</w:t>
            </w:r>
            <w:r>
              <w:rPr>
                <w:rFonts w:hint="eastAsia"/>
                <w:szCs w:val="26"/>
              </w:rPr>
              <w:t>包括电驱桥生产线、氢瓶瓶口阀、瓶底阀生产线</w:t>
            </w:r>
            <w:r>
              <w:rPr>
                <w:szCs w:val="26"/>
              </w:rPr>
              <w:t>，</w:t>
            </w:r>
            <w:r>
              <w:rPr>
                <w:rFonts w:hint="eastAsia"/>
                <w:szCs w:val="26"/>
              </w:rPr>
              <w:t>各生产线</w:t>
            </w:r>
            <w:r>
              <w:rPr>
                <w:szCs w:val="26"/>
              </w:rPr>
              <w:t>产品方案见下表。</w:t>
            </w:r>
          </w:p>
          <w:p w14:paraId="66F4472D">
            <w:pPr>
              <w:pStyle w:val="82"/>
              <w:ind w:firstLine="522"/>
              <w:rPr>
                <w:szCs w:val="26"/>
              </w:rPr>
            </w:pPr>
            <w:r>
              <w:rPr>
                <w:b/>
              </w:rPr>
              <w:t>2.</w:t>
            </w:r>
            <w:r>
              <w:rPr>
                <w:rFonts w:hint="eastAsia"/>
                <w:b/>
              </w:rPr>
              <w:t>3</w:t>
            </w:r>
            <w:r>
              <w:rPr>
                <w:b/>
              </w:rPr>
              <w:t>.1</w:t>
            </w:r>
            <w:r>
              <w:rPr>
                <w:rFonts w:hint="eastAsia"/>
                <w:b/>
              </w:rPr>
              <w:t>产能规模</w:t>
            </w:r>
          </w:p>
          <w:p w14:paraId="218F825F">
            <w:pPr>
              <w:pStyle w:val="12"/>
              <w:spacing w:before="120"/>
              <w:rPr>
                <w:szCs w:val="26"/>
              </w:rPr>
            </w:pPr>
            <w:bookmarkStart w:id="5" w:name="_Ref2614455"/>
            <w:r>
              <w:rPr>
                <w:szCs w:val="26"/>
              </w:rPr>
              <w:t>表</w:t>
            </w:r>
            <w:bookmarkEnd w:id="5"/>
            <w:r>
              <w:rPr>
                <w:szCs w:val="26"/>
              </w:rPr>
              <w:t>2.3-1</w:t>
            </w:r>
            <w:r>
              <w:rPr>
                <w:rFonts w:hint="eastAsia"/>
                <w:szCs w:val="26"/>
                <w:lang w:val="en-US" w:eastAsia="zh-CN"/>
              </w:rPr>
              <w:t xml:space="preserve">  改扩建后全厂</w:t>
            </w:r>
            <w:r>
              <w:rPr>
                <w:szCs w:val="26"/>
              </w:rPr>
              <w:t>产能规模</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00"/>
              <w:gridCol w:w="1588"/>
              <w:gridCol w:w="2050"/>
              <w:gridCol w:w="1612"/>
              <w:gridCol w:w="844"/>
            </w:tblGrid>
            <w:tr w14:paraId="4037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7" w:type="dxa"/>
                  <w:vAlign w:val="center"/>
                </w:tcPr>
                <w:p w14:paraId="5861F7B8">
                  <w:pPr>
                    <w:pStyle w:val="65"/>
                    <w:spacing w:before="24" w:after="24"/>
                    <w:rPr>
                      <w:rFonts w:hint="eastAsia"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生产线</w:t>
                  </w:r>
                </w:p>
              </w:tc>
              <w:tc>
                <w:tcPr>
                  <w:tcW w:w="1100" w:type="dxa"/>
                  <w:vAlign w:val="center"/>
                </w:tcPr>
                <w:p w14:paraId="270DF84B">
                  <w:pPr>
                    <w:pStyle w:val="65"/>
                    <w:spacing w:before="24" w:after="24"/>
                    <w:rPr>
                      <w:rFonts w:ascii="Times New Roman" w:hAnsi="Times New Roman" w:eastAsia="宋体" w:cs="Times New Roman"/>
                      <w:color w:val="auto"/>
                      <w:sz w:val="22"/>
                    </w:rPr>
                  </w:pPr>
                  <w:r>
                    <w:rPr>
                      <w:rFonts w:hint="eastAsia" w:ascii="Times New Roman" w:hAnsi="Times New Roman" w:eastAsia="宋体" w:cs="Times New Roman"/>
                      <w:color w:val="auto"/>
                      <w:sz w:val="22"/>
                    </w:rPr>
                    <w:t>产品名称</w:t>
                  </w:r>
                </w:p>
              </w:tc>
              <w:tc>
                <w:tcPr>
                  <w:tcW w:w="1588" w:type="dxa"/>
                  <w:vAlign w:val="center"/>
                </w:tcPr>
                <w:p w14:paraId="0D82C77C">
                  <w:pPr>
                    <w:pStyle w:val="65"/>
                    <w:spacing w:before="24" w:after="24"/>
                    <w:rPr>
                      <w:rFonts w:ascii="Times New Roman" w:hAnsi="Times New Roman" w:eastAsia="宋体" w:cs="Times New Roman"/>
                      <w:color w:val="auto"/>
                      <w:sz w:val="22"/>
                    </w:rPr>
                  </w:pPr>
                  <w:r>
                    <w:rPr>
                      <w:rFonts w:hint="eastAsia" w:ascii="Times New Roman" w:hAnsi="Times New Roman" w:eastAsia="宋体" w:cs="Times New Roman"/>
                      <w:color w:val="auto"/>
                      <w:sz w:val="22"/>
                    </w:rPr>
                    <w:t>现有工程产量</w:t>
                  </w:r>
                </w:p>
                <w:p w14:paraId="39A8CD02">
                  <w:pPr>
                    <w:pStyle w:val="65"/>
                    <w:spacing w:before="24" w:after="24"/>
                    <w:rPr>
                      <w:rFonts w:ascii="Times New Roman" w:hAnsi="Times New Roman" w:eastAsia="宋体" w:cs="Times New Roman"/>
                      <w:color w:val="auto"/>
                      <w:sz w:val="22"/>
                    </w:rPr>
                  </w:pPr>
                  <w:r>
                    <w:rPr>
                      <w:rFonts w:hint="eastAsia" w:ascii="Times New Roman" w:hAnsi="Times New Roman" w:eastAsia="宋体" w:cs="Times New Roman"/>
                      <w:color w:val="auto"/>
                      <w:sz w:val="22"/>
                    </w:rPr>
                    <w:t>（套/年）</w:t>
                  </w:r>
                </w:p>
              </w:tc>
              <w:tc>
                <w:tcPr>
                  <w:tcW w:w="2050" w:type="dxa"/>
                  <w:vAlign w:val="center"/>
                </w:tcPr>
                <w:p w14:paraId="5AAD62C9">
                  <w:pPr>
                    <w:pStyle w:val="65"/>
                    <w:spacing w:before="24" w:after="24"/>
                    <w:rPr>
                      <w:rFonts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改</w:t>
                  </w:r>
                  <w:r>
                    <w:rPr>
                      <w:rFonts w:hint="eastAsia" w:ascii="Times New Roman" w:hAnsi="Times New Roman" w:eastAsia="宋体" w:cs="Times New Roman"/>
                      <w:color w:val="auto"/>
                      <w:sz w:val="22"/>
                    </w:rPr>
                    <w:t>扩建项目产量</w:t>
                  </w:r>
                </w:p>
                <w:p w14:paraId="24F70BF0">
                  <w:pPr>
                    <w:pStyle w:val="65"/>
                    <w:spacing w:before="24" w:after="24"/>
                    <w:rPr>
                      <w:rFonts w:ascii="Times New Roman" w:hAnsi="Times New Roman" w:eastAsia="宋体" w:cs="Times New Roman"/>
                      <w:color w:val="auto"/>
                      <w:sz w:val="22"/>
                    </w:rPr>
                  </w:pPr>
                  <w:r>
                    <w:rPr>
                      <w:rFonts w:hint="eastAsia" w:ascii="Times New Roman" w:hAnsi="Times New Roman" w:eastAsia="宋体" w:cs="Times New Roman"/>
                      <w:color w:val="auto"/>
                      <w:sz w:val="22"/>
                    </w:rPr>
                    <w:t>（套/年）</w:t>
                  </w:r>
                </w:p>
              </w:tc>
              <w:tc>
                <w:tcPr>
                  <w:tcW w:w="1612" w:type="dxa"/>
                  <w:vAlign w:val="center"/>
                </w:tcPr>
                <w:p w14:paraId="4077E4BC">
                  <w:pPr>
                    <w:pStyle w:val="65"/>
                    <w:spacing w:before="24" w:after="24"/>
                    <w:rPr>
                      <w:rFonts w:ascii="Times New Roman" w:hAnsi="Times New Roman" w:eastAsia="宋体" w:cs="Times New Roman"/>
                      <w:color w:val="auto"/>
                      <w:sz w:val="22"/>
                    </w:rPr>
                  </w:pPr>
                  <w:r>
                    <w:rPr>
                      <w:rFonts w:hint="eastAsia" w:ascii="Times New Roman" w:hAnsi="Times New Roman" w:eastAsia="宋体" w:cs="Times New Roman"/>
                      <w:color w:val="auto"/>
                      <w:sz w:val="22"/>
                    </w:rPr>
                    <w:t>合计全厂产量</w:t>
                  </w:r>
                </w:p>
                <w:p w14:paraId="24599CDC">
                  <w:pPr>
                    <w:pStyle w:val="65"/>
                    <w:spacing w:before="24" w:after="24"/>
                    <w:rPr>
                      <w:rFonts w:ascii="Times New Roman" w:hAnsi="Times New Roman" w:eastAsia="宋体" w:cs="Times New Roman"/>
                      <w:color w:val="auto"/>
                      <w:sz w:val="22"/>
                    </w:rPr>
                  </w:pPr>
                  <w:r>
                    <w:rPr>
                      <w:rFonts w:hint="eastAsia" w:ascii="Times New Roman" w:hAnsi="Times New Roman" w:eastAsia="宋体" w:cs="Times New Roman"/>
                      <w:color w:val="auto"/>
                      <w:sz w:val="22"/>
                    </w:rPr>
                    <w:t>（套/年）</w:t>
                  </w:r>
                </w:p>
              </w:tc>
              <w:tc>
                <w:tcPr>
                  <w:tcW w:w="844" w:type="dxa"/>
                  <w:vAlign w:val="center"/>
                </w:tcPr>
                <w:p w14:paraId="1F350F55">
                  <w:pPr>
                    <w:pStyle w:val="65"/>
                    <w:spacing w:before="24" w:after="24"/>
                    <w:rPr>
                      <w:rFonts w:hint="eastAsia"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备注</w:t>
                  </w:r>
                </w:p>
              </w:tc>
            </w:tr>
            <w:tr w14:paraId="434E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Align w:val="center"/>
                </w:tcPr>
                <w:p w14:paraId="342EFD82">
                  <w:pPr>
                    <w:pStyle w:val="65"/>
                    <w:spacing w:before="24" w:after="24"/>
                    <w:rPr>
                      <w:rFonts w:hint="default"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电驱桥生产线</w:t>
                  </w:r>
                </w:p>
              </w:tc>
              <w:tc>
                <w:tcPr>
                  <w:tcW w:w="1100" w:type="dxa"/>
                  <w:vAlign w:val="center"/>
                </w:tcPr>
                <w:p w14:paraId="3FE30DB2">
                  <w:pPr>
                    <w:pStyle w:val="65"/>
                    <w:spacing w:before="24" w:after="24"/>
                    <w:rPr>
                      <w:rFonts w:hint="eastAsia"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重型电驱桥</w:t>
                  </w:r>
                </w:p>
              </w:tc>
              <w:tc>
                <w:tcPr>
                  <w:tcW w:w="1588" w:type="dxa"/>
                  <w:vAlign w:val="center"/>
                </w:tcPr>
                <w:p w14:paraId="70EDADFE">
                  <w:pPr>
                    <w:pStyle w:val="65"/>
                    <w:spacing w:before="24" w:after="24"/>
                    <w:rPr>
                      <w:rFonts w:hint="eastAsia"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10000</w:t>
                  </w:r>
                </w:p>
              </w:tc>
              <w:tc>
                <w:tcPr>
                  <w:tcW w:w="2050" w:type="dxa"/>
                  <w:vAlign w:val="center"/>
                </w:tcPr>
                <w:p w14:paraId="4B124B23">
                  <w:pPr>
                    <w:pStyle w:val="65"/>
                    <w:spacing w:before="24" w:after="24"/>
                    <w:rPr>
                      <w:rFonts w:hint="eastAsia"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70000</w:t>
                  </w:r>
                </w:p>
              </w:tc>
              <w:tc>
                <w:tcPr>
                  <w:tcW w:w="1612" w:type="dxa"/>
                  <w:vAlign w:val="center"/>
                </w:tcPr>
                <w:p w14:paraId="20281179">
                  <w:pPr>
                    <w:pStyle w:val="65"/>
                    <w:spacing w:before="24" w:after="24"/>
                    <w:rPr>
                      <w:rFonts w:hint="eastAsia"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80000</w:t>
                  </w:r>
                </w:p>
              </w:tc>
              <w:tc>
                <w:tcPr>
                  <w:tcW w:w="844" w:type="dxa"/>
                  <w:vAlign w:val="center"/>
                </w:tcPr>
                <w:p w14:paraId="2D42BB0B">
                  <w:pPr>
                    <w:pStyle w:val="65"/>
                    <w:spacing w:before="24" w:after="24"/>
                    <w:rPr>
                      <w:rFonts w:hint="default"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扩建</w:t>
                  </w:r>
                </w:p>
              </w:tc>
            </w:tr>
            <w:tr w14:paraId="745E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Align w:val="center"/>
                </w:tcPr>
                <w:p w14:paraId="5D4DA229">
                  <w:pPr>
                    <w:pStyle w:val="65"/>
                    <w:spacing w:before="24" w:after="24"/>
                    <w:rPr>
                      <w:rFonts w:hint="eastAsia"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氢瓶瓶口阀、瓶底阀生产线</w:t>
                  </w:r>
                </w:p>
              </w:tc>
              <w:tc>
                <w:tcPr>
                  <w:tcW w:w="1100" w:type="dxa"/>
                  <w:vAlign w:val="center"/>
                </w:tcPr>
                <w:p w14:paraId="69CE9FBC">
                  <w:pPr>
                    <w:pStyle w:val="65"/>
                    <w:spacing w:before="24" w:after="24"/>
                    <w:rPr>
                      <w:rFonts w:hint="eastAsia"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氢瓶瓶口阀、瓶底阀</w:t>
                  </w:r>
                </w:p>
              </w:tc>
              <w:tc>
                <w:tcPr>
                  <w:tcW w:w="1588" w:type="dxa"/>
                  <w:vAlign w:val="center"/>
                </w:tcPr>
                <w:p w14:paraId="4077B182">
                  <w:pPr>
                    <w:pStyle w:val="65"/>
                    <w:spacing w:before="24" w:after="24"/>
                    <w:rPr>
                      <w:rFonts w:hint="eastAsia"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w:t>
                  </w:r>
                </w:p>
              </w:tc>
              <w:tc>
                <w:tcPr>
                  <w:tcW w:w="2050" w:type="dxa"/>
                  <w:vAlign w:val="center"/>
                </w:tcPr>
                <w:p w14:paraId="6E4686CA">
                  <w:pPr>
                    <w:pStyle w:val="65"/>
                    <w:spacing w:before="24" w:after="24"/>
                    <w:rPr>
                      <w:rFonts w:hint="default"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60000</w:t>
                  </w:r>
                </w:p>
              </w:tc>
              <w:tc>
                <w:tcPr>
                  <w:tcW w:w="1612" w:type="dxa"/>
                  <w:vAlign w:val="center"/>
                </w:tcPr>
                <w:p w14:paraId="3854FB27">
                  <w:pPr>
                    <w:pStyle w:val="65"/>
                    <w:spacing w:before="24" w:after="24"/>
                    <w:rPr>
                      <w:rFonts w:hint="default"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60000</w:t>
                  </w:r>
                </w:p>
              </w:tc>
              <w:tc>
                <w:tcPr>
                  <w:tcW w:w="844" w:type="dxa"/>
                  <w:vAlign w:val="center"/>
                </w:tcPr>
                <w:p w14:paraId="11B7C1B0">
                  <w:pPr>
                    <w:pStyle w:val="65"/>
                    <w:spacing w:before="24" w:after="24"/>
                    <w:rPr>
                      <w:rFonts w:hint="default"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新建</w:t>
                  </w:r>
                </w:p>
              </w:tc>
            </w:tr>
          </w:tbl>
          <w:p w14:paraId="5B686AC8">
            <w:pPr>
              <w:pStyle w:val="82"/>
              <w:ind w:firstLine="522"/>
              <w:rPr>
                <w:b/>
              </w:rPr>
            </w:pPr>
            <w:r>
              <w:rPr>
                <w:b/>
              </w:rPr>
              <w:t>2.4项目组成</w:t>
            </w:r>
          </w:p>
          <w:p w14:paraId="10FC945A">
            <w:pPr>
              <w:pStyle w:val="82"/>
              <w:ind w:firstLine="520"/>
            </w:pPr>
            <w:r>
              <w:t>本项目主要由主体工程、辅助工程、储运工程、公用工程及环保工程组成，具体组成内容详见表2.4-1、</w:t>
            </w:r>
            <w:r>
              <w:rPr>
                <w:rFonts w:hint="eastAsia"/>
                <w:lang w:eastAsia="zh-Hans"/>
              </w:rPr>
              <w:t>表</w:t>
            </w:r>
            <w:r>
              <w:rPr>
                <w:lang w:eastAsia="zh-Hans"/>
              </w:rPr>
              <w:t>2</w:t>
            </w:r>
            <w:r>
              <w:rPr>
                <w:rFonts w:hint="eastAsia"/>
                <w:lang w:eastAsia="zh-Hans"/>
              </w:rPr>
              <w:t>.</w:t>
            </w:r>
            <w:r>
              <w:rPr>
                <w:lang w:eastAsia="zh-Hans"/>
              </w:rPr>
              <w:t>4-2</w:t>
            </w:r>
            <w:r>
              <w:t>。</w:t>
            </w:r>
          </w:p>
          <w:p w14:paraId="39563777">
            <w:pPr>
              <w:pStyle w:val="12"/>
              <w:spacing w:before="120"/>
            </w:pPr>
            <w:r>
              <w:t>表2.4-1</w:t>
            </w:r>
            <w:r>
              <w:rPr>
                <w:rFonts w:hint="eastAsia"/>
                <w:lang w:val="en-US" w:eastAsia="zh-CN"/>
              </w:rPr>
              <w:t xml:space="preserve">  </w:t>
            </w:r>
            <w:r>
              <w:rPr>
                <w:rFonts w:hint="eastAsia"/>
                <w:lang w:eastAsia="zh-Hans"/>
              </w:rPr>
              <w:t>技改</w:t>
            </w:r>
            <w:r>
              <w:t>项目组成内容一览表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07"/>
              <w:gridCol w:w="586"/>
              <w:gridCol w:w="5363"/>
              <w:gridCol w:w="751"/>
            </w:tblGrid>
            <w:tr w14:paraId="672B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4" w:type="dxa"/>
                  <w:shd w:val="clear" w:color="auto" w:fill="FFFFFF"/>
                  <w:vAlign w:val="center"/>
                </w:tcPr>
                <w:p w14:paraId="4DF63594">
                  <w:pPr>
                    <w:pStyle w:val="65"/>
                    <w:spacing w:before="24" w:after="24"/>
                    <w:rPr>
                      <w:rFonts w:ascii="Times New Roman" w:hAnsi="Times New Roman" w:eastAsia="宋体" w:cs="Times New Roman"/>
                      <w:sz w:val="22"/>
                    </w:rPr>
                  </w:pPr>
                  <w:bookmarkStart w:id="6" w:name="_Hlk77587907"/>
                  <w:r>
                    <w:rPr>
                      <w:rFonts w:ascii="Times New Roman" w:hAnsi="Times New Roman" w:eastAsia="宋体" w:cs="Times New Roman"/>
                      <w:sz w:val="22"/>
                    </w:rPr>
                    <w:t>工程分类</w:t>
                  </w:r>
                </w:p>
              </w:tc>
              <w:tc>
                <w:tcPr>
                  <w:tcW w:w="1593" w:type="dxa"/>
                  <w:gridSpan w:val="2"/>
                  <w:shd w:val="clear" w:color="auto" w:fill="FFFFFF"/>
                  <w:vAlign w:val="center"/>
                </w:tcPr>
                <w:p w14:paraId="20626325">
                  <w:pPr>
                    <w:pStyle w:val="65"/>
                    <w:spacing w:before="24" w:after="24"/>
                    <w:rPr>
                      <w:rFonts w:ascii="Times New Roman" w:hAnsi="Times New Roman" w:eastAsia="宋体" w:cs="Times New Roman"/>
                      <w:sz w:val="22"/>
                    </w:rPr>
                  </w:pPr>
                  <w:r>
                    <w:rPr>
                      <w:rFonts w:ascii="Times New Roman" w:hAnsi="Times New Roman" w:eastAsia="宋体" w:cs="Times New Roman"/>
                      <w:sz w:val="22"/>
                    </w:rPr>
                    <w:t>项目组成</w:t>
                  </w:r>
                </w:p>
              </w:tc>
              <w:tc>
                <w:tcPr>
                  <w:tcW w:w="5363" w:type="dxa"/>
                  <w:shd w:val="clear" w:color="auto" w:fill="FFFFFF"/>
                  <w:vAlign w:val="center"/>
                </w:tcPr>
                <w:p w14:paraId="6B962501">
                  <w:pPr>
                    <w:pStyle w:val="65"/>
                    <w:spacing w:before="24" w:after="24"/>
                    <w:rPr>
                      <w:rFonts w:ascii="Times New Roman" w:hAnsi="Times New Roman" w:eastAsia="宋体" w:cs="Times New Roman"/>
                      <w:sz w:val="22"/>
                    </w:rPr>
                  </w:pPr>
                  <w:r>
                    <w:rPr>
                      <w:rFonts w:ascii="Times New Roman" w:hAnsi="Times New Roman" w:eastAsia="宋体" w:cs="Times New Roman"/>
                      <w:sz w:val="22"/>
                    </w:rPr>
                    <w:t>主要建设内容及规模</w:t>
                  </w:r>
                </w:p>
              </w:tc>
              <w:tc>
                <w:tcPr>
                  <w:tcW w:w="751" w:type="dxa"/>
                  <w:shd w:val="clear" w:color="auto" w:fill="FFFFFF"/>
                  <w:vAlign w:val="center"/>
                </w:tcPr>
                <w:p w14:paraId="50E1CB3D">
                  <w:pPr>
                    <w:pStyle w:val="65"/>
                    <w:spacing w:before="24" w:after="24"/>
                    <w:rPr>
                      <w:rFonts w:ascii="Times New Roman" w:hAnsi="Times New Roman" w:eastAsia="宋体" w:cs="Times New Roman"/>
                      <w:sz w:val="22"/>
                    </w:rPr>
                  </w:pPr>
                  <w:r>
                    <w:rPr>
                      <w:rFonts w:ascii="Times New Roman" w:hAnsi="Times New Roman" w:eastAsia="宋体" w:cs="Times New Roman"/>
                      <w:sz w:val="22"/>
                    </w:rPr>
                    <w:t>备注</w:t>
                  </w:r>
                </w:p>
              </w:tc>
            </w:tr>
            <w:tr w14:paraId="5C11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4" w:type="dxa"/>
                  <w:vMerge w:val="restart"/>
                  <w:shd w:val="clear" w:color="auto" w:fill="FFFFFF"/>
                  <w:vAlign w:val="center"/>
                </w:tcPr>
                <w:p w14:paraId="3A338898">
                  <w:pPr>
                    <w:pStyle w:val="65"/>
                    <w:spacing w:before="24" w:after="24"/>
                    <w:rPr>
                      <w:rFonts w:ascii="Times New Roman" w:hAnsi="Times New Roman" w:eastAsia="宋体" w:cs="Times New Roman"/>
                      <w:sz w:val="22"/>
                    </w:rPr>
                  </w:pPr>
                  <w:r>
                    <w:rPr>
                      <w:rFonts w:ascii="Times New Roman" w:hAnsi="Times New Roman" w:eastAsia="宋体" w:cs="Times New Roman"/>
                      <w:sz w:val="22"/>
                    </w:rPr>
                    <w:t>主体工程</w:t>
                  </w:r>
                </w:p>
              </w:tc>
              <w:tc>
                <w:tcPr>
                  <w:tcW w:w="1593" w:type="dxa"/>
                  <w:gridSpan w:val="2"/>
                  <w:shd w:val="clear" w:color="auto" w:fill="FFFFFF"/>
                  <w:vAlign w:val="center"/>
                </w:tcPr>
                <w:p w14:paraId="3749302A">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电驱桥生产线</w:t>
                  </w:r>
                </w:p>
              </w:tc>
              <w:tc>
                <w:tcPr>
                  <w:tcW w:w="5363" w:type="dxa"/>
                  <w:shd w:val="clear" w:color="auto" w:fill="FFFFFF"/>
                  <w:vAlign w:val="center"/>
                </w:tcPr>
                <w:p w14:paraId="642AB5DC">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位于东地块060厂房内，</w:t>
                  </w:r>
                  <w:r>
                    <w:rPr>
                      <w:rFonts w:hint="eastAsia" w:ascii="Times New Roman" w:hAnsi="Times New Roman" w:eastAsia="宋体" w:cs="Times New Roman"/>
                      <w:color w:val="auto"/>
                      <w:sz w:val="22"/>
                    </w:rPr>
                    <w:t>厂房</w:t>
                  </w:r>
                  <w:r>
                    <w:rPr>
                      <w:rFonts w:hint="eastAsia" w:ascii="Times New Roman" w:hAnsi="Times New Roman" w:eastAsia="宋体" w:cs="Times New Roman"/>
                      <w:color w:val="auto"/>
                      <w:sz w:val="22"/>
                      <w:lang w:val="en-US" w:eastAsia="zh-CN"/>
                    </w:rPr>
                    <w:t>西部已</w:t>
                  </w:r>
                  <w:r>
                    <w:rPr>
                      <w:rFonts w:hint="eastAsia" w:ascii="Times New Roman" w:hAnsi="Times New Roman" w:eastAsia="宋体" w:cs="Times New Roman"/>
                      <w:color w:val="auto"/>
                      <w:sz w:val="22"/>
                    </w:rPr>
                    <w:t>建</w:t>
                  </w:r>
                  <w:r>
                    <w:rPr>
                      <w:rFonts w:ascii="Times New Roman" w:hAnsi="Times New Roman" w:eastAsia="宋体" w:cs="Times New Roman"/>
                      <w:color w:val="auto"/>
                      <w:sz w:val="22"/>
                    </w:rPr>
                    <w:t>重型电驱桥装配和测试线1条，并配套设置原材料仓库等。</w:t>
                  </w:r>
                  <w:r>
                    <w:rPr>
                      <w:rFonts w:hint="eastAsia" w:ascii="Times New Roman" w:hAnsi="Times New Roman" w:eastAsia="宋体" w:cs="Times New Roman"/>
                      <w:color w:val="auto"/>
                      <w:sz w:val="22"/>
                    </w:rPr>
                    <w:t>本项目</w:t>
                  </w:r>
                  <w:r>
                    <w:rPr>
                      <w:rFonts w:hint="eastAsia" w:ascii="Times New Roman" w:hAnsi="Times New Roman" w:eastAsia="宋体" w:cs="Times New Roman"/>
                      <w:color w:val="auto"/>
                      <w:sz w:val="22"/>
                      <w:lang w:val="en-US" w:eastAsia="zh-CN"/>
                    </w:rPr>
                    <w:t>在原有</w:t>
                  </w:r>
                  <w:r>
                    <w:rPr>
                      <w:rFonts w:ascii="Times New Roman" w:hAnsi="Times New Roman" w:eastAsia="宋体" w:cs="Times New Roman"/>
                      <w:color w:val="auto"/>
                      <w:sz w:val="22"/>
                    </w:rPr>
                    <w:t>电驱桥装配测试线</w:t>
                  </w:r>
                  <w:r>
                    <w:rPr>
                      <w:rFonts w:hint="eastAsia" w:ascii="Times New Roman" w:hAnsi="Times New Roman" w:eastAsia="宋体" w:cs="Times New Roman"/>
                      <w:color w:val="auto"/>
                      <w:sz w:val="22"/>
                      <w:lang w:val="en-US" w:eastAsia="zh-CN"/>
                    </w:rPr>
                    <w:t>上新增</w:t>
                  </w:r>
                  <w:r>
                    <w:rPr>
                      <w:rFonts w:hint="eastAsia" w:ascii="Times New Roman" w:hAnsi="Times New Roman" w:eastAsia="宋体" w:cs="Times New Roman"/>
                      <w:color w:val="auto"/>
                      <w:sz w:val="22"/>
                    </w:rPr>
                    <w:t>一条</w:t>
                  </w:r>
                  <w:r>
                    <w:rPr>
                      <w:rFonts w:ascii="Times New Roman" w:hAnsi="Times New Roman" w:eastAsia="宋体" w:cs="Times New Roman"/>
                      <w:color w:val="auto"/>
                      <w:sz w:val="22"/>
                    </w:rPr>
                    <w:t>重型电驱桥</w:t>
                  </w:r>
                  <w:r>
                    <w:rPr>
                      <w:rFonts w:hint="eastAsia" w:ascii="Times New Roman" w:hAnsi="Times New Roman" w:eastAsia="宋体" w:cs="Times New Roman"/>
                      <w:color w:val="auto"/>
                      <w:sz w:val="22"/>
                    </w:rPr>
                    <w:t>装配线（</w:t>
                  </w:r>
                  <w:r>
                    <w:rPr>
                      <w:rFonts w:ascii="Times New Roman" w:hAnsi="Times New Roman" w:eastAsia="宋体" w:cs="Times New Roman"/>
                      <w:color w:val="auto"/>
                      <w:sz w:val="22"/>
                    </w:rPr>
                    <w:t>下线测试、测试工装拆解等</w:t>
                  </w:r>
                  <w:r>
                    <w:rPr>
                      <w:rFonts w:hint="eastAsia" w:ascii="Times New Roman" w:hAnsi="Times New Roman" w:eastAsia="宋体" w:cs="Times New Roman"/>
                      <w:color w:val="auto"/>
                      <w:sz w:val="22"/>
                    </w:rPr>
                    <w:t>工序与</w:t>
                  </w:r>
                  <w:r>
                    <w:rPr>
                      <w:rFonts w:hint="eastAsia" w:ascii="Times New Roman" w:hAnsi="Times New Roman" w:eastAsia="宋体" w:cs="Times New Roman"/>
                      <w:color w:val="auto"/>
                      <w:sz w:val="22"/>
                      <w:lang w:val="en-US" w:eastAsia="zh-CN"/>
                    </w:rPr>
                    <w:t>已建</w:t>
                  </w:r>
                  <w:r>
                    <w:rPr>
                      <w:rFonts w:ascii="Times New Roman" w:hAnsi="Times New Roman" w:eastAsia="宋体" w:cs="Times New Roman"/>
                      <w:color w:val="auto"/>
                      <w:sz w:val="22"/>
                    </w:rPr>
                    <w:t>电驱桥</w:t>
                  </w:r>
                  <w:r>
                    <w:rPr>
                      <w:rFonts w:hint="eastAsia" w:ascii="Times New Roman" w:hAnsi="Times New Roman" w:eastAsia="宋体" w:cs="Times New Roman"/>
                      <w:color w:val="auto"/>
                      <w:sz w:val="22"/>
                    </w:rPr>
                    <w:t>生产线共用）；在厂房</w:t>
                  </w:r>
                  <w:r>
                    <w:rPr>
                      <w:rFonts w:hint="eastAsia" w:ascii="Times New Roman" w:hAnsi="Times New Roman" w:eastAsia="宋体" w:cs="Times New Roman"/>
                      <w:color w:val="auto"/>
                      <w:sz w:val="22"/>
                      <w:lang w:val="en-US" w:eastAsia="zh-CN"/>
                    </w:rPr>
                    <w:t>东部</w:t>
                  </w:r>
                  <w:r>
                    <w:rPr>
                      <w:rFonts w:hint="eastAsia" w:ascii="Times New Roman" w:hAnsi="Times New Roman" w:eastAsia="宋体" w:cs="Times New Roman"/>
                      <w:color w:val="auto"/>
                      <w:sz w:val="22"/>
                    </w:rPr>
                    <w:t>新增一条</w:t>
                  </w:r>
                  <w:r>
                    <w:rPr>
                      <w:rFonts w:ascii="Times New Roman" w:hAnsi="Times New Roman" w:eastAsia="宋体" w:cs="Times New Roman"/>
                      <w:color w:val="auto"/>
                      <w:sz w:val="22"/>
                    </w:rPr>
                    <w:t>重型电驱桥装配和测试线</w:t>
                  </w:r>
                  <w:r>
                    <w:rPr>
                      <w:rFonts w:hint="eastAsia" w:ascii="Times New Roman" w:hAnsi="Times New Roman" w:eastAsia="宋体" w:cs="Times New Roman"/>
                      <w:color w:val="auto"/>
                      <w:sz w:val="22"/>
                    </w:rPr>
                    <w:t>，</w:t>
                  </w:r>
                  <w:r>
                    <w:rPr>
                      <w:rFonts w:ascii="Times New Roman" w:hAnsi="Times New Roman" w:eastAsia="宋体" w:cs="Times New Roman"/>
                      <w:color w:val="auto"/>
                      <w:sz w:val="22"/>
                    </w:rPr>
                    <w:t>含电机装配及泄露测试、变速箱组件及桥腿安装、系统泄露测试及线速装配、下线测试、测试工装拆解等</w:t>
                  </w:r>
                  <w:r>
                    <w:rPr>
                      <w:rFonts w:hint="eastAsia" w:ascii="Times New Roman" w:hAnsi="Times New Roman" w:eastAsia="宋体" w:cs="Times New Roman"/>
                      <w:color w:val="auto"/>
                      <w:sz w:val="22"/>
                    </w:rPr>
                    <w:t>。</w:t>
                  </w:r>
                </w:p>
              </w:tc>
              <w:tc>
                <w:tcPr>
                  <w:tcW w:w="751" w:type="dxa"/>
                  <w:shd w:val="clear" w:color="auto" w:fill="FFFFFF"/>
                  <w:vAlign w:val="center"/>
                </w:tcPr>
                <w:p w14:paraId="7BD20171">
                  <w:pPr>
                    <w:pStyle w:val="65"/>
                    <w:spacing w:before="24" w:after="24"/>
                    <w:rPr>
                      <w:rFonts w:ascii="Times New Roman" w:hAnsi="Times New Roman" w:eastAsia="宋体" w:cs="Times New Roman"/>
                      <w:sz w:val="22"/>
                      <w:lang w:eastAsia="zh-Hans"/>
                    </w:rPr>
                  </w:pPr>
                  <w:r>
                    <w:rPr>
                      <w:rFonts w:hint="eastAsia" w:ascii="Times New Roman" w:hAnsi="Times New Roman" w:eastAsia="宋体" w:cs="Times New Roman"/>
                      <w:sz w:val="22"/>
                      <w:lang w:eastAsia="zh-Hans"/>
                    </w:rPr>
                    <w:t>依托厂房</w:t>
                  </w:r>
                  <w:r>
                    <w:rPr>
                      <w:rFonts w:ascii="Times New Roman" w:hAnsi="Times New Roman" w:eastAsia="宋体" w:cs="Times New Roman"/>
                      <w:sz w:val="22"/>
                      <w:lang w:eastAsia="zh-Hans"/>
                    </w:rPr>
                    <w:t>+</w:t>
                  </w:r>
                  <w:r>
                    <w:rPr>
                      <w:rFonts w:ascii="Times New Roman" w:hAnsi="Times New Roman" w:eastAsia="宋体" w:cs="Times New Roman"/>
                      <w:sz w:val="22"/>
                    </w:rPr>
                    <w:t>新建</w:t>
                  </w:r>
                  <w:r>
                    <w:rPr>
                      <w:rFonts w:hint="eastAsia" w:ascii="Times New Roman" w:hAnsi="Times New Roman" w:eastAsia="宋体" w:cs="Times New Roman"/>
                      <w:sz w:val="22"/>
                      <w:lang w:eastAsia="zh-Hans"/>
                    </w:rPr>
                    <w:t>产线</w:t>
                  </w:r>
                </w:p>
              </w:tc>
            </w:tr>
            <w:tr w14:paraId="6B07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4" w:type="dxa"/>
                  <w:vMerge w:val="continue"/>
                  <w:shd w:val="clear" w:color="auto" w:fill="FFFFFF"/>
                  <w:vAlign w:val="center"/>
                </w:tcPr>
                <w:p w14:paraId="2B8CC6A3">
                  <w:pPr>
                    <w:pStyle w:val="65"/>
                    <w:spacing w:before="24" w:after="24"/>
                    <w:rPr>
                      <w:rFonts w:ascii="Times New Roman" w:hAnsi="Times New Roman" w:eastAsia="宋体" w:cs="Times New Roman"/>
                      <w:sz w:val="22"/>
                    </w:rPr>
                  </w:pPr>
                </w:p>
              </w:tc>
              <w:tc>
                <w:tcPr>
                  <w:tcW w:w="1593" w:type="dxa"/>
                  <w:gridSpan w:val="2"/>
                  <w:shd w:val="clear" w:color="auto" w:fill="FFFFFF"/>
                  <w:vAlign w:val="center"/>
                </w:tcPr>
                <w:p w14:paraId="4762C2E1">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氢瓶瓶口阀、瓶底阀生产线</w:t>
                  </w:r>
                </w:p>
              </w:tc>
              <w:tc>
                <w:tcPr>
                  <w:tcW w:w="5363" w:type="dxa"/>
                  <w:shd w:val="clear" w:color="auto" w:fill="FFFFFF"/>
                  <w:vAlign w:val="center"/>
                </w:tcPr>
                <w:p w14:paraId="0AEB6CE2">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位于东地块060厂房内</w:t>
                  </w:r>
                  <w:r>
                    <w:rPr>
                      <w:rFonts w:hint="eastAsia" w:ascii="Times New Roman" w:hAnsi="Times New Roman" w:eastAsia="宋体" w:cs="Times New Roman"/>
                      <w:color w:val="auto"/>
                      <w:sz w:val="22"/>
                    </w:rPr>
                    <w:t>洁净房</w:t>
                  </w:r>
                  <w:r>
                    <w:rPr>
                      <w:rFonts w:ascii="Times New Roman" w:hAnsi="Times New Roman" w:eastAsia="宋体" w:cs="Times New Roman"/>
                      <w:color w:val="auto"/>
                      <w:sz w:val="22"/>
                    </w:rPr>
                    <w:t>，</w:t>
                  </w:r>
                  <w:r>
                    <w:rPr>
                      <w:rFonts w:hint="eastAsia" w:ascii="Times New Roman" w:hAnsi="Times New Roman" w:eastAsia="宋体" w:cs="Times New Roman"/>
                      <w:color w:val="auto"/>
                      <w:sz w:val="22"/>
                    </w:rPr>
                    <w:t>新建</w:t>
                  </w:r>
                  <w:r>
                    <w:rPr>
                      <w:rFonts w:hint="eastAsia" w:ascii="Times New Roman" w:hAnsi="Times New Roman" w:eastAsia="宋体" w:cs="Times New Roman"/>
                      <w:color w:val="auto"/>
                      <w:sz w:val="22"/>
                      <w:lang w:val="en-US" w:eastAsia="zh-CN"/>
                    </w:rPr>
                    <w:t>两</w:t>
                  </w:r>
                  <w:r>
                    <w:rPr>
                      <w:rFonts w:hint="eastAsia" w:ascii="Times New Roman" w:hAnsi="Times New Roman" w:eastAsia="宋体" w:cs="Times New Roman"/>
                      <w:color w:val="auto"/>
                      <w:sz w:val="22"/>
                    </w:rPr>
                    <w:t>条</w:t>
                  </w:r>
                  <w:r>
                    <w:rPr>
                      <w:rFonts w:ascii="Times New Roman" w:hAnsi="Times New Roman" w:eastAsia="宋体" w:cs="Times New Roman"/>
                      <w:color w:val="auto"/>
                      <w:sz w:val="22"/>
                    </w:rPr>
                    <w:t>氢瓶瓶口阀、瓶底阀生产线</w:t>
                  </w:r>
                  <w:r>
                    <w:rPr>
                      <w:rFonts w:hint="eastAsia" w:ascii="Times New Roman" w:hAnsi="Times New Roman" w:eastAsia="宋体" w:cs="Times New Roman"/>
                      <w:color w:val="auto"/>
                      <w:sz w:val="22"/>
                    </w:rPr>
                    <w:t>，含零件分选、阀门预装配、阀门总装配、电阻测试和泄漏测试工序等。</w:t>
                  </w:r>
                </w:p>
              </w:tc>
              <w:tc>
                <w:tcPr>
                  <w:tcW w:w="751" w:type="dxa"/>
                  <w:shd w:val="clear" w:color="auto" w:fill="FFFFFF"/>
                  <w:vAlign w:val="center"/>
                </w:tcPr>
                <w:p w14:paraId="04F22D17">
                  <w:pPr>
                    <w:pStyle w:val="65"/>
                    <w:spacing w:before="24" w:after="24"/>
                    <w:rPr>
                      <w:rFonts w:ascii="Times New Roman" w:hAnsi="Times New Roman" w:eastAsia="宋体" w:cs="Times New Roman"/>
                      <w:sz w:val="22"/>
                      <w:lang w:eastAsia="zh-Hans"/>
                    </w:rPr>
                  </w:pPr>
                  <w:r>
                    <w:rPr>
                      <w:rFonts w:hint="eastAsia" w:ascii="Times New Roman" w:hAnsi="Times New Roman" w:eastAsia="宋体" w:cs="Times New Roman"/>
                      <w:sz w:val="22"/>
                      <w:lang w:eastAsia="zh-Hans"/>
                    </w:rPr>
                    <w:t>依托厂房</w:t>
                  </w:r>
                  <w:r>
                    <w:rPr>
                      <w:rFonts w:ascii="Times New Roman" w:hAnsi="Times New Roman" w:eastAsia="宋体" w:cs="Times New Roman"/>
                      <w:sz w:val="22"/>
                      <w:lang w:eastAsia="zh-Hans"/>
                    </w:rPr>
                    <w:t>+</w:t>
                  </w:r>
                  <w:r>
                    <w:rPr>
                      <w:rFonts w:ascii="Times New Roman" w:hAnsi="Times New Roman" w:eastAsia="宋体" w:cs="Times New Roman"/>
                      <w:sz w:val="22"/>
                    </w:rPr>
                    <w:t>新建</w:t>
                  </w:r>
                  <w:r>
                    <w:rPr>
                      <w:rFonts w:hint="eastAsia" w:ascii="Times New Roman" w:hAnsi="Times New Roman" w:eastAsia="宋体" w:cs="Times New Roman"/>
                      <w:sz w:val="22"/>
                      <w:lang w:eastAsia="zh-Hans"/>
                    </w:rPr>
                    <w:t>产线</w:t>
                  </w:r>
                </w:p>
              </w:tc>
            </w:tr>
            <w:tr w14:paraId="49B3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4" w:type="dxa"/>
                  <w:vMerge w:val="continue"/>
                  <w:shd w:val="clear" w:color="auto" w:fill="FFFFFF"/>
                  <w:vAlign w:val="center"/>
                </w:tcPr>
                <w:p w14:paraId="47D0C692">
                  <w:pPr>
                    <w:pStyle w:val="65"/>
                    <w:spacing w:before="24" w:after="24"/>
                    <w:rPr>
                      <w:rFonts w:ascii="Times New Roman" w:hAnsi="Times New Roman" w:eastAsia="宋体" w:cs="Times New Roman"/>
                      <w:sz w:val="22"/>
                    </w:rPr>
                  </w:pPr>
                </w:p>
              </w:tc>
              <w:tc>
                <w:tcPr>
                  <w:tcW w:w="1593" w:type="dxa"/>
                  <w:gridSpan w:val="2"/>
                  <w:shd w:val="clear" w:color="auto" w:fill="FFFFFF"/>
                  <w:vAlign w:val="center"/>
                </w:tcPr>
                <w:p w14:paraId="5EDE0697">
                  <w:pPr>
                    <w:pStyle w:val="65"/>
                    <w:spacing w:before="24" w:after="24"/>
                    <w:rPr>
                      <w:rFonts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电驱桥</w:t>
                  </w:r>
                  <w:r>
                    <w:rPr>
                      <w:rFonts w:hint="eastAsia" w:ascii="Times New Roman" w:hAnsi="Times New Roman" w:eastAsia="宋体" w:cs="Times New Roman"/>
                      <w:color w:val="auto"/>
                      <w:sz w:val="22"/>
                    </w:rPr>
                    <w:t>检测实验室</w:t>
                  </w:r>
                </w:p>
              </w:tc>
              <w:tc>
                <w:tcPr>
                  <w:tcW w:w="5363" w:type="dxa"/>
                  <w:shd w:val="clear" w:color="auto" w:fill="FFFFFF"/>
                  <w:vAlign w:val="center"/>
                </w:tcPr>
                <w:p w14:paraId="355A4BBD">
                  <w:pPr>
                    <w:pStyle w:val="65"/>
                    <w:spacing w:before="24" w:after="24"/>
                    <w:rPr>
                      <w:rFonts w:hint="default"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位于西地块071厂房内1F，主要布设3台重型电驱桥测试台架、3台冷水机（其中两台循环水量8m</w:t>
                  </w:r>
                  <w:r>
                    <w:rPr>
                      <w:rFonts w:hint="eastAsia" w:ascii="Times New Roman" w:hAnsi="Times New Roman" w:eastAsia="宋体" w:cs="Times New Roman"/>
                      <w:color w:val="auto"/>
                      <w:sz w:val="22"/>
                      <w:vertAlign w:val="superscript"/>
                      <w:lang w:val="en-US" w:eastAsia="zh-CN"/>
                    </w:rPr>
                    <w:t>3</w:t>
                  </w:r>
                  <w:r>
                    <w:rPr>
                      <w:rFonts w:hint="eastAsia" w:ascii="Times New Roman" w:hAnsi="Times New Roman" w:eastAsia="宋体" w:cs="Times New Roman"/>
                      <w:color w:val="auto"/>
                      <w:sz w:val="22"/>
                      <w:lang w:val="en-US" w:eastAsia="zh-CN"/>
                    </w:rPr>
                    <w:t>/h，一台为14m</w:t>
                  </w:r>
                  <w:r>
                    <w:rPr>
                      <w:rFonts w:hint="eastAsia" w:ascii="Times New Roman" w:hAnsi="Times New Roman" w:eastAsia="宋体" w:cs="Times New Roman"/>
                      <w:color w:val="auto"/>
                      <w:sz w:val="22"/>
                      <w:vertAlign w:val="superscript"/>
                      <w:lang w:val="en-US" w:eastAsia="zh-CN"/>
                    </w:rPr>
                    <w:t>3</w:t>
                  </w:r>
                  <w:r>
                    <w:rPr>
                      <w:rFonts w:hint="eastAsia" w:ascii="Times New Roman" w:hAnsi="Times New Roman" w:eastAsia="宋体" w:cs="Times New Roman"/>
                      <w:color w:val="auto"/>
                      <w:sz w:val="22"/>
                      <w:lang w:val="en-US" w:eastAsia="zh-CN"/>
                    </w:rPr>
                    <w:t>/h）、1台环境舱（涡旋式压缩机，采用R404A和R23制冷剂制冷，循环水量15m</w:t>
                  </w:r>
                  <w:r>
                    <w:rPr>
                      <w:rFonts w:hint="eastAsia" w:ascii="Times New Roman" w:hAnsi="Times New Roman" w:eastAsia="宋体" w:cs="Times New Roman"/>
                      <w:color w:val="auto"/>
                      <w:sz w:val="22"/>
                      <w:vertAlign w:val="superscript"/>
                      <w:lang w:val="en-US" w:eastAsia="zh-CN"/>
                    </w:rPr>
                    <w:t>3</w:t>
                  </w:r>
                  <w:r>
                    <w:rPr>
                      <w:rFonts w:hint="eastAsia" w:ascii="Times New Roman" w:hAnsi="Times New Roman" w:eastAsia="宋体" w:cs="Times New Roman"/>
                      <w:color w:val="auto"/>
                      <w:sz w:val="22"/>
                      <w:lang w:val="en-US" w:eastAsia="zh-CN"/>
                    </w:rPr>
                    <w:t>/h）等，用于测试燃料电池系统整机及部件性能，评测控制策略，验证系统可靠性等。实验室和检测室均仅进行物理性实验，不使用化学试剂。</w:t>
                  </w:r>
                </w:p>
              </w:tc>
              <w:tc>
                <w:tcPr>
                  <w:tcW w:w="751" w:type="dxa"/>
                  <w:shd w:val="clear" w:color="auto" w:fill="FFFFFF"/>
                  <w:vAlign w:val="center"/>
                </w:tcPr>
                <w:p w14:paraId="41F525F3">
                  <w:pPr>
                    <w:pStyle w:val="65"/>
                    <w:spacing w:before="24" w:after="24"/>
                    <w:rPr>
                      <w:rFonts w:hint="eastAsia" w:ascii="Times New Roman" w:hAnsi="Times New Roman" w:eastAsia="宋体" w:cs="Times New Roman"/>
                      <w:sz w:val="22"/>
                      <w:lang w:eastAsia="zh-Hans"/>
                    </w:rPr>
                  </w:pPr>
                  <w:r>
                    <w:rPr>
                      <w:rFonts w:hint="eastAsia" w:ascii="Times New Roman" w:hAnsi="Times New Roman" w:eastAsia="宋体" w:cs="Times New Roman"/>
                      <w:sz w:val="22"/>
                      <w:lang w:eastAsia="zh-Hans"/>
                    </w:rPr>
                    <w:t>依托厂房</w:t>
                  </w:r>
                  <w:r>
                    <w:rPr>
                      <w:rFonts w:ascii="Times New Roman" w:hAnsi="Times New Roman" w:eastAsia="宋体" w:cs="Times New Roman"/>
                      <w:sz w:val="22"/>
                      <w:lang w:eastAsia="zh-Hans"/>
                    </w:rPr>
                    <w:t>+</w:t>
                  </w:r>
                  <w:r>
                    <w:rPr>
                      <w:rFonts w:ascii="Times New Roman" w:hAnsi="Times New Roman" w:eastAsia="宋体" w:cs="Times New Roman"/>
                      <w:sz w:val="22"/>
                    </w:rPr>
                    <w:t>新建</w:t>
                  </w:r>
                  <w:r>
                    <w:rPr>
                      <w:rFonts w:hint="eastAsia" w:ascii="Times New Roman" w:hAnsi="Times New Roman" w:eastAsia="宋体" w:cs="Times New Roman"/>
                      <w:sz w:val="22"/>
                      <w:lang w:eastAsia="zh-Hans"/>
                    </w:rPr>
                    <w:t>产线</w:t>
                  </w:r>
                </w:p>
              </w:tc>
            </w:tr>
            <w:tr w14:paraId="7F3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4" w:type="dxa"/>
                  <w:vMerge w:val="restart"/>
                  <w:shd w:val="clear" w:color="auto" w:fill="FFFFFF"/>
                  <w:vAlign w:val="center"/>
                </w:tcPr>
                <w:p w14:paraId="47397379">
                  <w:pPr>
                    <w:pStyle w:val="65"/>
                    <w:spacing w:before="24" w:after="24"/>
                    <w:rPr>
                      <w:rFonts w:ascii="Times New Roman" w:hAnsi="Times New Roman" w:eastAsia="宋体" w:cs="Times New Roman"/>
                      <w:sz w:val="22"/>
                    </w:rPr>
                  </w:pPr>
                  <w:r>
                    <w:rPr>
                      <w:rFonts w:ascii="Times New Roman" w:hAnsi="Times New Roman" w:eastAsia="宋体" w:cs="Times New Roman"/>
                      <w:sz w:val="22"/>
                    </w:rPr>
                    <w:t>辅助工程</w:t>
                  </w:r>
                </w:p>
              </w:tc>
              <w:tc>
                <w:tcPr>
                  <w:tcW w:w="1593" w:type="dxa"/>
                  <w:gridSpan w:val="2"/>
                  <w:shd w:val="clear" w:color="auto" w:fill="FFFFFF"/>
                  <w:vAlign w:val="center"/>
                </w:tcPr>
                <w:p w14:paraId="148F13D3">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食堂063</w:t>
                  </w:r>
                </w:p>
              </w:tc>
              <w:tc>
                <w:tcPr>
                  <w:tcW w:w="5363" w:type="dxa"/>
                  <w:shd w:val="clear" w:color="auto" w:fill="FFFFFF"/>
                  <w:vAlign w:val="center"/>
                </w:tcPr>
                <w:p w14:paraId="3220EF51">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东地块1栋，1F（局部地下一层），2#食堂，建筑面积5027.63m</w:t>
                  </w:r>
                  <w:r>
                    <w:rPr>
                      <w:rFonts w:ascii="Times New Roman" w:hAnsi="Times New Roman" w:eastAsia="宋体" w:cs="Times New Roman"/>
                      <w:color w:val="auto"/>
                      <w:sz w:val="22"/>
                      <w:vertAlign w:val="superscript"/>
                    </w:rPr>
                    <w:t>2</w:t>
                  </w:r>
                  <w:r>
                    <w:rPr>
                      <w:rFonts w:ascii="Times New Roman" w:hAnsi="Times New Roman" w:eastAsia="宋体" w:cs="Times New Roman"/>
                      <w:color w:val="auto"/>
                      <w:sz w:val="22"/>
                    </w:rPr>
                    <w:t>，设灶台9个，不对外开放。</w:t>
                  </w:r>
                </w:p>
              </w:tc>
              <w:tc>
                <w:tcPr>
                  <w:tcW w:w="751" w:type="dxa"/>
                  <w:shd w:val="clear" w:color="auto" w:fill="FFFFFF"/>
                  <w:vAlign w:val="center"/>
                </w:tcPr>
                <w:p w14:paraId="2FE60FDB">
                  <w:pPr>
                    <w:pStyle w:val="65"/>
                    <w:spacing w:before="24" w:after="24"/>
                    <w:rPr>
                      <w:rFonts w:ascii="Times New Roman" w:hAnsi="Times New Roman" w:eastAsia="宋体" w:cs="Times New Roman"/>
                      <w:sz w:val="22"/>
                      <w:lang w:eastAsia="zh-Hans"/>
                    </w:rPr>
                  </w:pPr>
                  <w:r>
                    <w:rPr>
                      <w:rFonts w:ascii="Times New Roman" w:hAnsi="Times New Roman" w:eastAsia="宋体" w:cs="Times New Roman"/>
                      <w:sz w:val="22"/>
                    </w:rPr>
                    <w:t>依托</w:t>
                  </w:r>
                </w:p>
              </w:tc>
            </w:tr>
            <w:tr w14:paraId="396D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4" w:type="dxa"/>
                  <w:vMerge w:val="continue"/>
                  <w:shd w:val="clear" w:color="auto" w:fill="FFFFFF"/>
                  <w:vAlign w:val="center"/>
                </w:tcPr>
                <w:p w14:paraId="428364BF">
                  <w:pPr>
                    <w:pStyle w:val="65"/>
                    <w:spacing w:before="24" w:after="24"/>
                    <w:rPr>
                      <w:rFonts w:ascii="Times New Roman" w:hAnsi="Times New Roman" w:eastAsia="宋体" w:cs="Times New Roman"/>
                      <w:sz w:val="22"/>
                    </w:rPr>
                  </w:pPr>
                </w:p>
              </w:tc>
              <w:tc>
                <w:tcPr>
                  <w:tcW w:w="1593" w:type="dxa"/>
                  <w:gridSpan w:val="2"/>
                  <w:shd w:val="clear" w:color="auto" w:fill="FFFFFF"/>
                  <w:vAlign w:val="center"/>
                </w:tcPr>
                <w:p w14:paraId="6B56A0F0">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门卫067、068</w:t>
                  </w:r>
                </w:p>
              </w:tc>
              <w:tc>
                <w:tcPr>
                  <w:tcW w:w="5363" w:type="dxa"/>
                  <w:shd w:val="clear" w:color="auto" w:fill="FFFFFF"/>
                  <w:vAlign w:val="center"/>
                </w:tcPr>
                <w:p w14:paraId="29191DDC">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东地块共2个，设置主门卫067，建筑面积675.32m</w:t>
                  </w:r>
                  <w:r>
                    <w:rPr>
                      <w:rFonts w:ascii="Times New Roman" w:hAnsi="Times New Roman" w:eastAsia="宋体" w:cs="Times New Roman"/>
                      <w:color w:val="auto"/>
                      <w:sz w:val="22"/>
                      <w:vertAlign w:val="superscript"/>
                    </w:rPr>
                    <w:t>2</w:t>
                  </w:r>
                  <w:r>
                    <w:rPr>
                      <w:rFonts w:ascii="Times New Roman" w:hAnsi="Times New Roman" w:eastAsia="宋体" w:cs="Times New Roman"/>
                      <w:color w:val="auto"/>
                      <w:sz w:val="22"/>
                    </w:rPr>
                    <w:t>，次门卫068，建筑面积164.64m</w:t>
                  </w:r>
                  <w:r>
                    <w:rPr>
                      <w:rFonts w:ascii="Times New Roman" w:hAnsi="Times New Roman" w:eastAsia="宋体" w:cs="Times New Roman"/>
                      <w:color w:val="auto"/>
                      <w:sz w:val="22"/>
                      <w:vertAlign w:val="superscript"/>
                    </w:rPr>
                    <w:t>2</w:t>
                  </w:r>
                  <w:r>
                    <w:rPr>
                      <w:rFonts w:ascii="Times New Roman" w:hAnsi="Times New Roman" w:eastAsia="宋体" w:cs="Times New Roman"/>
                      <w:color w:val="auto"/>
                      <w:sz w:val="22"/>
                    </w:rPr>
                    <w:t>。</w:t>
                  </w:r>
                </w:p>
              </w:tc>
              <w:tc>
                <w:tcPr>
                  <w:tcW w:w="751" w:type="dxa"/>
                  <w:shd w:val="clear" w:color="auto" w:fill="FFFFFF"/>
                  <w:vAlign w:val="center"/>
                </w:tcPr>
                <w:p w14:paraId="1B4F13E9">
                  <w:pPr>
                    <w:pStyle w:val="65"/>
                    <w:spacing w:before="24" w:after="24"/>
                    <w:rPr>
                      <w:rFonts w:ascii="Times New Roman" w:hAnsi="Times New Roman" w:eastAsia="宋体" w:cs="Times New Roman"/>
                      <w:sz w:val="22"/>
                      <w:lang w:eastAsia="zh-Hans"/>
                    </w:rPr>
                  </w:pPr>
                  <w:r>
                    <w:rPr>
                      <w:rFonts w:ascii="Times New Roman" w:hAnsi="Times New Roman" w:eastAsia="宋体" w:cs="Times New Roman"/>
                      <w:sz w:val="22"/>
                    </w:rPr>
                    <w:t>依托</w:t>
                  </w:r>
                </w:p>
              </w:tc>
            </w:tr>
            <w:tr w14:paraId="7146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4" w:type="dxa"/>
                  <w:shd w:val="clear" w:color="auto" w:fill="FFFFFF"/>
                  <w:vAlign w:val="center"/>
                </w:tcPr>
                <w:p w14:paraId="2BDB87D1">
                  <w:pPr>
                    <w:pStyle w:val="65"/>
                    <w:spacing w:before="24" w:after="24"/>
                    <w:rPr>
                      <w:rFonts w:ascii="Times New Roman" w:hAnsi="Times New Roman" w:eastAsia="宋体" w:cs="Times New Roman"/>
                      <w:sz w:val="22"/>
                      <w:lang w:eastAsia="zh-Hans"/>
                    </w:rPr>
                  </w:pPr>
                  <w:r>
                    <w:rPr>
                      <w:rFonts w:hint="eastAsia" w:ascii="Times New Roman" w:hAnsi="Times New Roman" w:eastAsia="宋体" w:cs="Times New Roman"/>
                      <w:sz w:val="22"/>
                      <w:lang w:eastAsia="zh-Hans"/>
                    </w:rPr>
                    <w:t>储运工程</w:t>
                  </w:r>
                </w:p>
              </w:tc>
              <w:tc>
                <w:tcPr>
                  <w:tcW w:w="1593" w:type="dxa"/>
                  <w:gridSpan w:val="2"/>
                  <w:shd w:val="clear" w:color="auto" w:fill="FFFFFF"/>
                  <w:vAlign w:val="center"/>
                </w:tcPr>
                <w:p w14:paraId="0CC01B60">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加氢站</w:t>
                  </w:r>
                </w:p>
              </w:tc>
              <w:tc>
                <w:tcPr>
                  <w:tcW w:w="5363" w:type="dxa"/>
                  <w:shd w:val="clear" w:color="auto" w:fill="FFFFFF"/>
                  <w:vAlign w:val="center"/>
                </w:tcPr>
                <w:p w14:paraId="21707643">
                  <w:pPr>
                    <w:pStyle w:val="65"/>
                    <w:spacing w:before="24" w:after="24"/>
                    <w:rPr>
                      <w:rFonts w:ascii="Times New Roman" w:hAnsi="Times New Roman" w:cs="Times New Roman"/>
                      <w:color w:val="auto"/>
                      <w:sz w:val="22"/>
                    </w:rPr>
                  </w:pPr>
                  <w:r>
                    <w:rPr>
                      <w:rFonts w:ascii="Times New Roman" w:hAnsi="Times New Roman" w:eastAsia="宋体" w:cs="Times New Roman"/>
                      <w:color w:val="auto"/>
                      <w:sz w:val="22"/>
                    </w:rPr>
                    <w:t>现有气站074布设于西地块，主要用于储存氢气和氮气，供应071实验室测试用气。目前氢气由氢气由管束车供应，一个管束车37.8m</w:t>
                  </w:r>
                  <w:r>
                    <w:rPr>
                      <w:rFonts w:ascii="Times New Roman" w:hAnsi="Times New Roman" w:eastAsia="宋体" w:cs="Times New Roman"/>
                      <w:color w:val="auto"/>
                      <w:sz w:val="22"/>
                      <w:vertAlign w:val="superscript"/>
                    </w:rPr>
                    <w:t>3</w:t>
                  </w:r>
                  <w:r>
                    <w:rPr>
                      <w:rFonts w:ascii="Times New Roman" w:hAnsi="Times New Roman" w:eastAsia="宋体" w:cs="Times New Roman"/>
                      <w:color w:val="auto"/>
                      <w:sz w:val="22"/>
                    </w:rPr>
                    <w:t>、18.7MPa，经过减压阀组</w:t>
                  </w:r>
                  <w:r>
                    <w:rPr>
                      <w:rFonts w:hint="eastAsia" w:hAnsi="宋体" w:eastAsia="宋体" w:cs="宋体"/>
                      <w:color w:val="auto"/>
                      <w:sz w:val="22"/>
                    </w:rPr>
                    <w:t>减压后经管道送至动力系统系统试验室。现有加氢站位于现有气站空地处，面积约为</w:t>
                  </w:r>
                  <w:r>
                    <w:rPr>
                      <w:rFonts w:ascii="Times New Roman" w:hAnsi="Times New Roman" w:eastAsia="宋体" w:cs="Times New Roman"/>
                      <w:color w:val="auto"/>
                      <w:sz w:val="22"/>
                    </w:rPr>
                    <w:t>840.9m</w:t>
                  </w:r>
                  <w:r>
                    <w:rPr>
                      <w:rFonts w:ascii="Times New Roman" w:hAnsi="Times New Roman" w:eastAsia="宋体" w:cs="Times New Roman"/>
                      <w:color w:val="auto"/>
                      <w:sz w:val="22"/>
                      <w:vertAlign w:val="superscript"/>
                    </w:rPr>
                    <w:t>2</w:t>
                  </w:r>
                  <w:r>
                    <w:rPr>
                      <w:rFonts w:hint="eastAsia" w:hAnsi="宋体" w:eastAsia="宋体" w:cs="宋体"/>
                      <w:color w:val="auto"/>
                      <w:sz w:val="22"/>
                    </w:rPr>
                    <w:t>主要用于给内部燃料电池测试车辆加氢。</w:t>
                  </w:r>
                </w:p>
              </w:tc>
              <w:tc>
                <w:tcPr>
                  <w:tcW w:w="751" w:type="dxa"/>
                  <w:shd w:val="clear" w:color="auto" w:fill="FFFFFF"/>
                  <w:vAlign w:val="center"/>
                </w:tcPr>
                <w:p w14:paraId="7F13662E">
                  <w:pPr>
                    <w:pStyle w:val="65"/>
                    <w:spacing w:before="24" w:after="24"/>
                    <w:rPr>
                      <w:rFonts w:ascii="Times New Roman" w:hAnsi="Times New Roman" w:eastAsia="宋体" w:cs="Times New Roman"/>
                      <w:sz w:val="22"/>
                      <w:lang w:eastAsia="zh-Hans"/>
                    </w:rPr>
                  </w:pPr>
                  <w:r>
                    <w:rPr>
                      <w:rFonts w:ascii="Times New Roman" w:hAnsi="Times New Roman" w:eastAsia="宋体" w:cs="Times New Roman"/>
                      <w:sz w:val="22"/>
                    </w:rPr>
                    <w:t>依托</w:t>
                  </w:r>
                </w:p>
              </w:tc>
            </w:tr>
            <w:tr w14:paraId="297B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4" w:type="dxa"/>
                  <w:vMerge w:val="restart"/>
                  <w:shd w:val="clear" w:color="auto" w:fill="FFFFFF"/>
                  <w:vAlign w:val="center"/>
                </w:tcPr>
                <w:p w14:paraId="42C6EAFB">
                  <w:pPr>
                    <w:pStyle w:val="65"/>
                    <w:spacing w:before="24" w:after="24"/>
                    <w:rPr>
                      <w:rFonts w:ascii="Times New Roman" w:hAnsi="Times New Roman" w:eastAsia="宋体" w:cs="Times New Roman"/>
                      <w:sz w:val="22"/>
                      <w:lang w:eastAsia="zh-Hans"/>
                    </w:rPr>
                  </w:pPr>
                  <w:r>
                    <w:rPr>
                      <w:rFonts w:ascii="Times New Roman" w:hAnsi="Times New Roman" w:eastAsia="宋体" w:cs="Times New Roman"/>
                      <w:sz w:val="22"/>
                    </w:rPr>
                    <w:t>公用工程</w:t>
                  </w:r>
                </w:p>
              </w:tc>
              <w:tc>
                <w:tcPr>
                  <w:tcW w:w="1593" w:type="dxa"/>
                  <w:gridSpan w:val="2"/>
                  <w:shd w:val="clear" w:color="auto" w:fill="FFFFFF"/>
                  <w:vAlign w:val="center"/>
                </w:tcPr>
                <w:p w14:paraId="30D8F4CB">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给水</w:t>
                  </w:r>
                </w:p>
              </w:tc>
              <w:tc>
                <w:tcPr>
                  <w:tcW w:w="5363" w:type="dxa"/>
                  <w:shd w:val="clear" w:color="auto" w:fill="FFFFFF"/>
                  <w:vAlign w:val="center"/>
                </w:tcPr>
                <w:p w14:paraId="7A4BF7F3">
                  <w:pPr>
                    <w:pStyle w:val="65"/>
                    <w:spacing w:before="24" w:after="24"/>
                    <w:rPr>
                      <w:rFonts w:ascii="Times New Roman" w:hAnsi="Times New Roman" w:cs="Times New Roman"/>
                      <w:color w:val="auto"/>
                      <w:sz w:val="22"/>
                    </w:rPr>
                  </w:pPr>
                  <w:r>
                    <w:rPr>
                      <w:rFonts w:ascii="Times New Roman" w:hAnsi="Times New Roman" w:eastAsia="宋体" w:cs="Times New Roman"/>
                      <w:color w:val="auto"/>
                      <w:sz w:val="22"/>
                    </w:rPr>
                    <w:t>项目给水系统采用市政自来水直接供给，由厂区南侧的市政给水管网上引入（现状市政环状给水管网管径为DN300mm），其给水引入管管径为DN200mm。</w:t>
                  </w:r>
                </w:p>
              </w:tc>
              <w:tc>
                <w:tcPr>
                  <w:tcW w:w="751" w:type="dxa"/>
                  <w:shd w:val="clear" w:color="auto" w:fill="FFFFFF"/>
                  <w:vAlign w:val="center"/>
                </w:tcPr>
                <w:p w14:paraId="288BC5CC">
                  <w:pPr>
                    <w:pStyle w:val="65"/>
                    <w:spacing w:before="24" w:after="24"/>
                    <w:rPr>
                      <w:rFonts w:ascii="Times New Roman" w:hAnsi="Times New Roman" w:eastAsia="宋体" w:cs="Times New Roman"/>
                      <w:sz w:val="22"/>
                    </w:rPr>
                  </w:pPr>
                  <w:r>
                    <w:rPr>
                      <w:rFonts w:ascii="Times New Roman" w:hAnsi="Times New Roman" w:eastAsia="宋体" w:cs="Times New Roman"/>
                      <w:sz w:val="22"/>
                    </w:rPr>
                    <w:t>依托</w:t>
                  </w:r>
                </w:p>
              </w:tc>
            </w:tr>
            <w:tr w14:paraId="5D2E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4" w:type="dxa"/>
                  <w:vMerge w:val="continue"/>
                  <w:shd w:val="clear" w:color="auto" w:fill="FFFFFF"/>
                  <w:vAlign w:val="center"/>
                </w:tcPr>
                <w:p w14:paraId="7D945E39">
                  <w:pPr>
                    <w:pStyle w:val="65"/>
                    <w:spacing w:before="24" w:after="24"/>
                    <w:rPr>
                      <w:rFonts w:ascii="Times New Roman" w:hAnsi="Times New Roman" w:eastAsia="宋体" w:cs="Times New Roman"/>
                      <w:sz w:val="22"/>
                      <w:lang w:eastAsia="zh-Hans"/>
                    </w:rPr>
                  </w:pPr>
                </w:p>
              </w:tc>
              <w:tc>
                <w:tcPr>
                  <w:tcW w:w="1593" w:type="dxa"/>
                  <w:gridSpan w:val="2"/>
                  <w:shd w:val="clear" w:color="auto" w:fill="FFFFFF"/>
                  <w:vAlign w:val="center"/>
                </w:tcPr>
                <w:p w14:paraId="73877089">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排水</w:t>
                  </w:r>
                </w:p>
              </w:tc>
              <w:tc>
                <w:tcPr>
                  <w:tcW w:w="5363" w:type="dxa"/>
                  <w:shd w:val="clear" w:color="auto" w:fill="FFFFFF"/>
                  <w:vAlign w:val="center"/>
                </w:tcPr>
                <w:p w14:paraId="3F20F3B6">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（1）采用雨污分流制，</w:t>
                  </w:r>
                  <w:r>
                    <w:rPr>
                      <w:rFonts w:ascii="Times New Roman" w:hAnsi="Times New Roman" w:eastAsia="宋体" w:cs="Times New Roman"/>
                      <w:bCs/>
                      <w:color w:val="auto"/>
                      <w:sz w:val="22"/>
                    </w:rPr>
                    <w:t>雨水经雨水管网外排；</w:t>
                  </w:r>
                </w:p>
                <w:p w14:paraId="4F20DB51">
                  <w:pPr>
                    <w:widowControl/>
                    <w:adjustRightInd w:val="0"/>
                    <w:snapToGrid w:val="0"/>
                    <w:jc w:val="center"/>
                    <w:rPr>
                      <w:color w:val="auto"/>
                      <w:sz w:val="22"/>
                      <w:szCs w:val="22"/>
                    </w:rPr>
                  </w:pPr>
                  <w:r>
                    <w:rPr>
                      <w:color w:val="auto"/>
                      <w:sz w:val="22"/>
                      <w:szCs w:val="22"/>
                    </w:rPr>
                    <w:t>（2）生活污水</w:t>
                  </w:r>
                  <w:r>
                    <w:rPr>
                      <w:rFonts w:hint="eastAsia"/>
                      <w:color w:val="auto"/>
                      <w:sz w:val="22"/>
                      <w:szCs w:val="22"/>
                      <w:lang w:val="en-US" w:eastAsia="zh-CN"/>
                    </w:rPr>
                    <w:t>及厂区清洁废水</w:t>
                  </w:r>
                  <w:r>
                    <w:rPr>
                      <w:color w:val="auto"/>
                      <w:sz w:val="22"/>
                      <w:szCs w:val="22"/>
                    </w:rPr>
                    <w:t>经</w:t>
                  </w:r>
                  <w:r>
                    <w:rPr>
                      <w:rFonts w:hint="eastAsia"/>
                      <w:color w:val="auto"/>
                      <w:sz w:val="22"/>
                      <w:szCs w:val="22"/>
                      <w:highlight w:val="none"/>
                      <w:lang w:val="en-US" w:eastAsia="zh-CN"/>
                    </w:rPr>
                    <w:t>化粪池</w:t>
                  </w:r>
                  <w:r>
                    <w:rPr>
                      <w:color w:val="auto"/>
                      <w:sz w:val="22"/>
                      <w:szCs w:val="22"/>
                    </w:rPr>
                    <w:t>预处理，满足</w:t>
                  </w:r>
                  <w:r>
                    <w:rPr>
                      <w:rFonts w:hint="eastAsia"/>
                      <w:color w:val="auto"/>
                      <w:sz w:val="22"/>
                      <w:szCs w:val="22"/>
                    </w:rPr>
                    <w:t>陶家工业污水处理厂（原九龙园区L分区污水处理厂）</w:t>
                  </w:r>
                  <w:r>
                    <w:rPr>
                      <w:color w:val="auto"/>
                      <w:sz w:val="22"/>
                      <w:szCs w:val="22"/>
                    </w:rPr>
                    <w:t>接管水质要求后，接入园区污水管网排入</w:t>
                  </w:r>
                  <w:r>
                    <w:rPr>
                      <w:rFonts w:hint="eastAsia"/>
                      <w:color w:val="auto"/>
                      <w:sz w:val="22"/>
                      <w:szCs w:val="22"/>
                    </w:rPr>
                    <w:t>陶家工业污水处理厂</w:t>
                  </w:r>
                  <w:r>
                    <w:rPr>
                      <w:color w:val="auto"/>
                      <w:sz w:val="22"/>
                      <w:szCs w:val="22"/>
                    </w:rPr>
                    <w:t>进行进一步集中处理后排入大溪河支流杨柳曲河；食堂废水经隔油池处理后排入</w:t>
                  </w:r>
                  <w:r>
                    <w:rPr>
                      <w:rFonts w:hint="eastAsia"/>
                      <w:color w:val="auto"/>
                      <w:sz w:val="22"/>
                      <w:szCs w:val="22"/>
                      <w:lang w:val="en-US" w:eastAsia="zh-CN"/>
                    </w:rPr>
                    <w:t>化粪池</w:t>
                  </w:r>
                  <w:r>
                    <w:rPr>
                      <w:color w:val="auto"/>
                      <w:sz w:val="22"/>
                      <w:szCs w:val="22"/>
                    </w:rPr>
                    <w:t>，同生活污水一同处理。</w:t>
                  </w:r>
                </w:p>
              </w:tc>
              <w:tc>
                <w:tcPr>
                  <w:tcW w:w="751" w:type="dxa"/>
                  <w:shd w:val="clear" w:color="auto" w:fill="FFFFFF"/>
                  <w:vAlign w:val="center"/>
                </w:tcPr>
                <w:p w14:paraId="2CE3F01D">
                  <w:pPr>
                    <w:pStyle w:val="65"/>
                    <w:spacing w:before="24" w:after="24"/>
                    <w:rPr>
                      <w:rFonts w:ascii="Times New Roman" w:hAnsi="Times New Roman" w:eastAsia="宋体" w:cs="Times New Roman"/>
                      <w:sz w:val="22"/>
                    </w:rPr>
                  </w:pPr>
                  <w:r>
                    <w:rPr>
                      <w:rFonts w:ascii="Times New Roman" w:hAnsi="Times New Roman" w:eastAsia="宋体" w:cs="Times New Roman"/>
                      <w:sz w:val="22"/>
                    </w:rPr>
                    <w:t>依托</w:t>
                  </w:r>
                </w:p>
              </w:tc>
            </w:tr>
            <w:tr w14:paraId="2CAE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4" w:type="dxa"/>
                  <w:vMerge w:val="continue"/>
                  <w:shd w:val="clear" w:color="auto" w:fill="FFFFFF"/>
                  <w:vAlign w:val="center"/>
                </w:tcPr>
                <w:p w14:paraId="6D591783">
                  <w:pPr>
                    <w:pStyle w:val="65"/>
                    <w:spacing w:before="24" w:after="24"/>
                    <w:rPr>
                      <w:rFonts w:ascii="Times New Roman" w:hAnsi="Times New Roman" w:eastAsia="宋体" w:cs="Times New Roman"/>
                      <w:sz w:val="22"/>
                      <w:lang w:eastAsia="zh-Hans"/>
                    </w:rPr>
                  </w:pPr>
                </w:p>
              </w:tc>
              <w:tc>
                <w:tcPr>
                  <w:tcW w:w="1593" w:type="dxa"/>
                  <w:gridSpan w:val="2"/>
                  <w:shd w:val="clear" w:color="auto" w:fill="FFFFFF"/>
                  <w:vAlign w:val="center"/>
                </w:tcPr>
                <w:p w14:paraId="33D71A29">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供电</w:t>
                  </w:r>
                </w:p>
              </w:tc>
              <w:tc>
                <w:tcPr>
                  <w:tcW w:w="5363" w:type="dxa"/>
                  <w:shd w:val="clear" w:color="auto" w:fill="FFFFFF"/>
                  <w:vAlign w:val="center"/>
                </w:tcPr>
                <w:p w14:paraId="39C52335">
                  <w:pPr>
                    <w:pStyle w:val="65"/>
                    <w:spacing w:before="24" w:after="24"/>
                    <w:rPr>
                      <w:rFonts w:ascii="Times New Roman" w:hAnsi="Times New Roman" w:cs="Times New Roman"/>
                      <w:color w:val="auto"/>
                      <w:sz w:val="22"/>
                    </w:rPr>
                  </w:pPr>
                  <w:r>
                    <w:rPr>
                      <w:rFonts w:ascii="Times New Roman" w:hAnsi="Times New Roman" w:eastAsia="宋体" w:cs="Times New Roman"/>
                      <w:color w:val="auto"/>
                      <w:sz w:val="22"/>
                    </w:rPr>
                    <w:t>市政供电。厂内设置35kV配电房2间，东地块和西地块的动力中心内分别各自设置配电房1间和柴油发电机1台（用于向工程内所有二级负荷提供备用电源）。</w:t>
                  </w:r>
                </w:p>
              </w:tc>
              <w:tc>
                <w:tcPr>
                  <w:tcW w:w="751" w:type="dxa"/>
                  <w:shd w:val="clear" w:color="auto" w:fill="FFFFFF"/>
                  <w:vAlign w:val="center"/>
                </w:tcPr>
                <w:p w14:paraId="73DF5D3B">
                  <w:pPr>
                    <w:pStyle w:val="65"/>
                    <w:spacing w:before="24" w:after="24"/>
                    <w:rPr>
                      <w:rFonts w:ascii="Times New Roman" w:hAnsi="Times New Roman" w:eastAsia="宋体" w:cs="Times New Roman"/>
                      <w:sz w:val="22"/>
                    </w:rPr>
                  </w:pPr>
                  <w:r>
                    <w:rPr>
                      <w:rFonts w:ascii="Times New Roman" w:hAnsi="Times New Roman" w:eastAsia="宋体" w:cs="Times New Roman"/>
                      <w:sz w:val="22"/>
                    </w:rPr>
                    <w:t>依托</w:t>
                  </w:r>
                </w:p>
              </w:tc>
            </w:tr>
            <w:tr w14:paraId="7994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84" w:type="dxa"/>
                  <w:vMerge w:val="restart"/>
                  <w:shd w:val="clear" w:color="auto" w:fill="FFFFFF"/>
                  <w:vAlign w:val="center"/>
                </w:tcPr>
                <w:p w14:paraId="01CFA95D">
                  <w:pPr>
                    <w:pStyle w:val="65"/>
                    <w:spacing w:before="24" w:after="24"/>
                    <w:rPr>
                      <w:rFonts w:ascii="Times New Roman" w:hAnsi="Times New Roman" w:eastAsia="宋体" w:cs="Times New Roman"/>
                      <w:sz w:val="22"/>
                      <w:lang w:eastAsia="zh-Hans"/>
                    </w:rPr>
                  </w:pPr>
                  <w:r>
                    <w:rPr>
                      <w:rFonts w:ascii="Times New Roman" w:hAnsi="Times New Roman" w:eastAsia="宋体" w:cs="Times New Roman"/>
                      <w:sz w:val="22"/>
                    </w:rPr>
                    <w:t>环保工程</w:t>
                  </w:r>
                </w:p>
              </w:tc>
              <w:tc>
                <w:tcPr>
                  <w:tcW w:w="1593" w:type="dxa"/>
                  <w:gridSpan w:val="2"/>
                  <w:vMerge w:val="restart"/>
                  <w:shd w:val="clear" w:color="auto" w:fill="FFFFFF"/>
                  <w:vAlign w:val="center"/>
                </w:tcPr>
                <w:p w14:paraId="14209641">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废气治理设施</w:t>
                  </w:r>
                </w:p>
              </w:tc>
              <w:tc>
                <w:tcPr>
                  <w:tcW w:w="5363" w:type="dxa"/>
                  <w:shd w:val="clear" w:color="auto" w:fill="FFFFFF"/>
                  <w:vAlign w:val="center"/>
                </w:tcPr>
                <w:p w14:paraId="014C2F5F">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食堂产生食堂油烟，经油烟净化器处理后引至屋顶排放。</w:t>
                  </w:r>
                </w:p>
              </w:tc>
              <w:tc>
                <w:tcPr>
                  <w:tcW w:w="751" w:type="dxa"/>
                  <w:shd w:val="clear" w:color="auto" w:fill="FFFFFF"/>
                  <w:vAlign w:val="center"/>
                </w:tcPr>
                <w:p w14:paraId="06180CF5">
                  <w:pPr>
                    <w:pStyle w:val="65"/>
                    <w:spacing w:before="24" w:after="24"/>
                    <w:rPr>
                      <w:rFonts w:ascii="Times New Roman" w:hAnsi="Times New Roman" w:eastAsia="宋体" w:cs="Times New Roman"/>
                      <w:sz w:val="22"/>
                      <w:lang w:eastAsia="zh-Hans"/>
                    </w:rPr>
                  </w:pPr>
                  <w:r>
                    <w:rPr>
                      <w:rFonts w:ascii="Times New Roman" w:hAnsi="Times New Roman" w:eastAsia="宋体" w:cs="Times New Roman"/>
                      <w:sz w:val="22"/>
                    </w:rPr>
                    <w:t>依托</w:t>
                  </w:r>
                </w:p>
              </w:tc>
            </w:tr>
            <w:tr w14:paraId="6C25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684" w:type="dxa"/>
                  <w:vMerge w:val="continue"/>
                  <w:shd w:val="clear" w:color="auto" w:fill="FFFFFF"/>
                  <w:vAlign w:val="center"/>
                </w:tcPr>
                <w:p w14:paraId="55CC7F5B">
                  <w:pPr>
                    <w:pStyle w:val="65"/>
                    <w:spacing w:before="24" w:after="24"/>
                  </w:pPr>
                </w:p>
              </w:tc>
              <w:tc>
                <w:tcPr>
                  <w:tcW w:w="1593" w:type="dxa"/>
                  <w:gridSpan w:val="2"/>
                  <w:vMerge w:val="continue"/>
                  <w:shd w:val="clear" w:color="auto" w:fill="FFFFFF"/>
                  <w:vAlign w:val="center"/>
                </w:tcPr>
                <w:p w14:paraId="09A43C0B">
                  <w:pPr>
                    <w:pStyle w:val="65"/>
                    <w:spacing w:before="24" w:after="24"/>
                    <w:rPr>
                      <w:color w:val="auto"/>
                    </w:rPr>
                  </w:pPr>
                </w:p>
              </w:tc>
              <w:tc>
                <w:tcPr>
                  <w:tcW w:w="5363" w:type="dxa"/>
                  <w:shd w:val="clear" w:color="auto" w:fill="FFFFFF"/>
                  <w:vAlign w:val="center"/>
                </w:tcPr>
                <w:p w14:paraId="129C123F">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打标机产生废气颗粒物，颗粒物经</w:t>
                  </w:r>
                  <w:r>
                    <w:rPr>
                      <w:rFonts w:hint="eastAsia" w:ascii="Times New Roman" w:hAnsi="Times New Roman" w:eastAsia="宋体" w:cs="Times New Roman"/>
                      <w:color w:val="auto"/>
                      <w:sz w:val="22"/>
                      <w:lang w:val="en-US" w:eastAsia="zh-CN"/>
                    </w:rPr>
                    <w:t>打标机自带的干式</w:t>
                  </w:r>
                  <w:r>
                    <w:rPr>
                      <w:rFonts w:ascii="Times New Roman" w:hAnsi="Times New Roman" w:eastAsia="宋体" w:cs="Times New Roman"/>
                      <w:color w:val="auto"/>
                      <w:sz w:val="22"/>
                    </w:rPr>
                    <w:t>过滤器处理后无组织形式排放。</w:t>
                  </w:r>
                </w:p>
              </w:tc>
              <w:tc>
                <w:tcPr>
                  <w:tcW w:w="751" w:type="dxa"/>
                  <w:shd w:val="clear" w:color="auto" w:fill="FFFFFF"/>
                  <w:vAlign w:val="center"/>
                </w:tcPr>
                <w:p w14:paraId="16297EF1">
                  <w:pPr>
                    <w:pStyle w:val="65"/>
                    <w:spacing w:before="24" w:after="24"/>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新建</w:t>
                  </w:r>
                </w:p>
              </w:tc>
            </w:tr>
            <w:tr w14:paraId="6D3D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4" w:type="dxa"/>
                  <w:vMerge w:val="continue"/>
                  <w:shd w:val="clear" w:color="auto" w:fill="FFFFFF"/>
                  <w:vAlign w:val="center"/>
                </w:tcPr>
                <w:p w14:paraId="76557673">
                  <w:pPr>
                    <w:pStyle w:val="65"/>
                    <w:spacing w:before="24" w:after="24"/>
                    <w:rPr>
                      <w:rFonts w:ascii="Times New Roman" w:hAnsi="Times New Roman" w:eastAsia="宋体" w:cs="Times New Roman"/>
                      <w:sz w:val="22"/>
                      <w:lang w:eastAsia="zh-Hans"/>
                    </w:rPr>
                  </w:pPr>
                </w:p>
              </w:tc>
              <w:tc>
                <w:tcPr>
                  <w:tcW w:w="1007" w:type="dxa"/>
                  <w:vMerge w:val="restart"/>
                  <w:shd w:val="clear" w:color="auto" w:fill="FFFFFF"/>
                  <w:vAlign w:val="center"/>
                </w:tcPr>
                <w:p w14:paraId="32FCD262">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废水处理设施</w:t>
                  </w:r>
                </w:p>
              </w:tc>
              <w:tc>
                <w:tcPr>
                  <w:tcW w:w="586" w:type="dxa"/>
                  <w:shd w:val="clear" w:color="auto" w:fill="FFFFFF"/>
                  <w:vAlign w:val="center"/>
                </w:tcPr>
                <w:p w14:paraId="4DBEE0E1">
                  <w:pPr>
                    <w:pStyle w:val="65"/>
                    <w:spacing w:before="24" w:after="24"/>
                    <w:rPr>
                      <w:color w:val="auto"/>
                      <w:sz w:val="22"/>
                    </w:rPr>
                  </w:pPr>
                  <w:r>
                    <w:rPr>
                      <w:rFonts w:ascii="Times New Roman" w:hAnsi="Times New Roman" w:eastAsia="宋体" w:cs="Times New Roman"/>
                      <w:color w:val="auto"/>
                      <w:sz w:val="22"/>
                    </w:rPr>
                    <w:t>隔油池</w:t>
                  </w:r>
                </w:p>
              </w:tc>
              <w:tc>
                <w:tcPr>
                  <w:tcW w:w="5363" w:type="dxa"/>
                  <w:shd w:val="clear" w:color="auto" w:fill="FFFFFF"/>
                  <w:vAlign w:val="center"/>
                </w:tcPr>
                <w:p w14:paraId="1EAD8756">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2座，西地块和东地块分别各建1座，设计处理能力分别为3L/s、7L/s，处理后的食堂废水进入</w:t>
                  </w:r>
                  <w:r>
                    <w:rPr>
                      <w:rFonts w:hint="eastAsia" w:ascii="Times New Roman" w:hAnsi="Times New Roman" w:eastAsia="宋体" w:cs="Times New Roman"/>
                      <w:color w:val="auto"/>
                      <w:sz w:val="22"/>
                      <w:lang w:eastAsia="zh-CN"/>
                    </w:rPr>
                    <w:t>化粪池</w:t>
                  </w:r>
                  <w:r>
                    <w:rPr>
                      <w:rFonts w:ascii="Times New Roman" w:hAnsi="Times New Roman" w:eastAsia="宋体" w:cs="Times New Roman"/>
                      <w:color w:val="auto"/>
                      <w:sz w:val="22"/>
                    </w:rPr>
                    <w:t>同生活污水一起进一步处理。</w:t>
                  </w:r>
                </w:p>
              </w:tc>
              <w:tc>
                <w:tcPr>
                  <w:tcW w:w="751" w:type="dxa"/>
                  <w:shd w:val="clear" w:color="auto" w:fill="FFFFFF"/>
                  <w:vAlign w:val="center"/>
                </w:tcPr>
                <w:p w14:paraId="636D12AE">
                  <w:pPr>
                    <w:pStyle w:val="65"/>
                    <w:spacing w:before="24" w:after="24"/>
                    <w:rPr>
                      <w:rFonts w:ascii="Times New Roman" w:hAnsi="Times New Roman" w:eastAsia="宋体" w:cs="Times New Roman"/>
                      <w:sz w:val="22"/>
                      <w:lang w:eastAsia="zh-Hans"/>
                    </w:rPr>
                  </w:pPr>
                  <w:r>
                    <w:rPr>
                      <w:rFonts w:ascii="Times New Roman" w:hAnsi="Times New Roman" w:eastAsia="宋体" w:cs="Times New Roman"/>
                      <w:sz w:val="22"/>
                    </w:rPr>
                    <w:t>依托</w:t>
                  </w:r>
                </w:p>
              </w:tc>
            </w:tr>
            <w:tr w14:paraId="785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4" w:type="dxa"/>
                  <w:vMerge w:val="continue"/>
                  <w:shd w:val="clear" w:color="auto" w:fill="FFFFFF"/>
                  <w:vAlign w:val="center"/>
                </w:tcPr>
                <w:p w14:paraId="581CD633">
                  <w:pPr>
                    <w:pStyle w:val="65"/>
                    <w:spacing w:before="24" w:after="24"/>
                    <w:rPr>
                      <w:rFonts w:ascii="Times New Roman" w:hAnsi="Times New Roman" w:eastAsia="宋体" w:cs="Times New Roman"/>
                      <w:sz w:val="22"/>
                      <w:lang w:eastAsia="zh-Hans"/>
                    </w:rPr>
                  </w:pPr>
                </w:p>
              </w:tc>
              <w:tc>
                <w:tcPr>
                  <w:tcW w:w="1007" w:type="dxa"/>
                  <w:vMerge w:val="continue"/>
                  <w:shd w:val="clear" w:color="auto" w:fill="FFFFFF"/>
                  <w:vAlign w:val="center"/>
                </w:tcPr>
                <w:p w14:paraId="65DDE760">
                  <w:pPr>
                    <w:pStyle w:val="65"/>
                    <w:spacing w:before="24" w:after="24"/>
                    <w:rPr>
                      <w:rFonts w:ascii="Times New Roman" w:hAnsi="Times New Roman" w:eastAsia="宋体" w:cs="Times New Roman"/>
                      <w:color w:val="auto"/>
                      <w:sz w:val="22"/>
                    </w:rPr>
                  </w:pPr>
                </w:p>
              </w:tc>
              <w:tc>
                <w:tcPr>
                  <w:tcW w:w="586" w:type="dxa"/>
                  <w:shd w:val="clear" w:color="auto" w:fill="FFFFFF"/>
                  <w:vAlign w:val="center"/>
                </w:tcPr>
                <w:p w14:paraId="269215A9">
                  <w:pPr>
                    <w:pStyle w:val="65"/>
                    <w:spacing w:before="24" w:after="24"/>
                    <w:rPr>
                      <w:rFonts w:hint="eastAsia" w:eastAsiaTheme="minorEastAsia"/>
                      <w:color w:val="auto"/>
                      <w:sz w:val="22"/>
                      <w:lang w:eastAsia="zh-CN"/>
                    </w:rPr>
                  </w:pPr>
                  <w:r>
                    <w:rPr>
                      <w:rFonts w:hint="eastAsia" w:ascii="Times New Roman" w:hAnsi="Times New Roman" w:eastAsia="宋体" w:cs="Times New Roman"/>
                      <w:color w:val="auto"/>
                      <w:sz w:val="22"/>
                      <w:lang w:eastAsia="zh-CN"/>
                    </w:rPr>
                    <w:t>化粪池</w:t>
                  </w:r>
                </w:p>
              </w:tc>
              <w:tc>
                <w:tcPr>
                  <w:tcW w:w="5363" w:type="dxa"/>
                  <w:shd w:val="clear" w:color="auto" w:fill="FFFFFF"/>
                  <w:vAlign w:val="center"/>
                </w:tcPr>
                <w:p w14:paraId="5F98FF57">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生活污水</w:t>
                  </w:r>
                  <w:r>
                    <w:rPr>
                      <w:rFonts w:hint="eastAsia" w:ascii="Times New Roman" w:hAnsi="Times New Roman" w:eastAsia="宋体" w:cs="Times New Roman"/>
                      <w:color w:val="auto"/>
                      <w:sz w:val="22"/>
                      <w:lang w:val="en-US" w:eastAsia="zh-CN"/>
                    </w:rPr>
                    <w:t>及厂区设施清洁废水</w:t>
                  </w:r>
                  <w:r>
                    <w:rPr>
                      <w:rFonts w:ascii="Times New Roman" w:hAnsi="Times New Roman" w:eastAsia="宋体" w:cs="Times New Roman"/>
                      <w:color w:val="auto"/>
                      <w:sz w:val="22"/>
                    </w:rPr>
                    <w:t>依托现有的</w:t>
                  </w:r>
                  <w:r>
                    <w:rPr>
                      <w:rFonts w:hint="eastAsia" w:ascii="Times New Roman" w:hAnsi="Times New Roman" w:eastAsia="宋体" w:cs="Times New Roman"/>
                      <w:color w:val="auto"/>
                      <w:sz w:val="22"/>
                      <w:lang w:eastAsia="zh-CN"/>
                    </w:rPr>
                    <w:t>化粪池</w:t>
                  </w:r>
                  <w:r>
                    <w:rPr>
                      <w:rFonts w:ascii="Times New Roman" w:hAnsi="Times New Roman" w:eastAsia="宋体" w:cs="Times New Roman"/>
                      <w:color w:val="auto"/>
                      <w:sz w:val="22"/>
                    </w:rPr>
                    <w:t>，</w:t>
                  </w:r>
                  <w:r>
                    <w:rPr>
                      <w:rFonts w:hint="eastAsia" w:ascii="Times New Roman" w:hAnsi="Times New Roman" w:eastAsia="宋体" w:cs="Times New Roman"/>
                      <w:color w:val="auto"/>
                      <w:sz w:val="22"/>
                    </w:rPr>
                    <w:t>东西地块</w:t>
                  </w:r>
                  <w:r>
                    <w:rPr>
                      <w:rFonts w:ascii="Times New Roman" w:hAnsi="Times New Roman" w:eastAsia="宋体" w:cs="Times New Roman"/>
                      <w:color w:val="auto"/>
                      <w:sz w:val="22"/>
                    </w:rPr>
                    <w:t>设计处理能力分别为</w:t>
                  </w:r>
                  <w:r>
                    <w:rPr>
                      <w:rFonts w:hint="eastAsia" w:ascii="Times New Roman" w:hAnsi="Times New Roman" w:eastAsia="宋体" w:cs="Times New Roman"/>
                      <w:color w:val="auto"/>
                      <w:sz w:val="22"/>
                      <w:lang w:val="en-US" w:eastAsia="zh-CN"/>
                    </w:rPr>
                    <w:t>50</w:t>
                  </w:r>
                  <w:r>
                    <w:rPr>
                      <w:rFonts w:ascii="Times New Roman" w:hAnsi="Times New Roman" w:eastAsia="宋体" w:cs="Times New Roman"/>
                      <w:color w:val="auto"/>
                      <w:sz w:val="22"/>
                    </w:rPr>
                    <w:t>m</w:t>
                  </w:r>
                  <w:r>
                    <w:rPr>
                      <w:rFonts w:ascii="Times New Roman" w:hAnsi="Times New Roman" w:eastAsia="宋体" w:cs="Times New Roman"/>
                      <w:color w:val="auto"/>
                      <w:sz w:val="22"/>
                      <w:vertAlign w:val="superscript"/>
                    </w:rPr>
                    <w:t>3</w:t>
                  </w:r>
                  <w:r>
                    <w:rPr>
                      <w:rFonts w:ascii="Times New Roman" w:hAnsi="Times New Roman" w:eastAsia="宋体" w:cs="Times New Roman"/>
                      <w:color w:val="auto"/>
                      <w:sz w:val="22"/>
                    </w:rPr>
                    <w:t>/d</w:t>
                  </w:r>
                  <w:r>
                    <w:rPr>
                      <w:rFonts w:hint="eastAsia" w:ascii="Times New Roman" w:hAnsi="Times New Roman" w:eastAsia="宋体" w:cs="Times New Roman"/>
                      <w:color w:val="auto"/>
                      <w:sz w:val="22"/>
                    </w:rPr>
                    <w:t>、</w:t>
                  </w:r>
                  <w:r>
                    <w:rPr>
                      <w:rFonts w:hint="eastAsia" w:ascii="Times New Roman" w:hAnsi="Times New Roman" w:eastAsia="宋体" w:cs="Times New Roman"/>
                      <w:color w:val="auto"/>
                      <w:sz w:val="22"/>
                      <w:lang w:val="en-US" w:eastAsia="zh-CN"/>
                    </w:rPr>
                    <w:t>40</w:t>
                  </w:r>
                  <w:r>
                    <w:rPr>
                      <w:rFonts w:ascii="Times New Roman" w:hAnsi="Times New Roman" w:eastAsia="宋体" w:cs="Times New Roman"/>
                      <w:color w:val="auto"/>
                      <w:sz w:val="22"/>
                    </w:rPr>
                    <w:t>m</w:t>
                  </w:r>
                  <w:r>
                    <w:rPr>
                      <w:rFonts w:ascii="Times New Roman" w:hAnsi="Times New Roman" w:eastAsia="宋体" w:cs="Times New Roman"/>
                      <w:color w:val="auto"/>
                      <w:sz w:val="22"/>
                      <w:vertAlign w:val="superscript"/>
                    </w:rPr>
                    <w:t>3</w:t>
                  </w:r>
                  <w:r>
                    <w:rPr>
                      <w:rFonts w:ascii="Times New Roman" w:hAnsi="Times New Roman" w:eastAsia="宋体" w:cs="Times New Roman"/>
                      <w:color w:val="auto"/>
                      <w:sz w:val="22"/>
                    </w:rPr>
                    <w:t>/d，处理后的污水满足《污水综合排放标准》（GB8978-1996）三级排放标准及《污水排入城镇下水道水质标准》（GB/T31962-2015）后，经园区污水管网排入</w:t>
                  </w:r>
                  <w:r>
                    <w:rPr>
                      <w:rFonts w:hint="eastAsia" w:ascii="Times New Roman" w:hAnsi="Times New Roman" w:eastAsia="宋体" w:cs="Times New Roman"/>
                      <w:color w:val="auto"/>
                      <w:sz w:val="22"/>
                    </w:rPr>
                    <w:t>陶家工业污水处理厂</w:t>
                  </w:r>
                  <w:r>
                    <w:rPr>
                      <w:rFonts w:ascii="Times New Roman" w:hAnsi="Times New Roman" w:eastAsia="宋体" w:cs="Times New Roman"/>
                      <w:color w:val="auto"/>
                      <w:sz w:val="22"/>
                    </w:rPr>
                    <w:t>进行进一步集中处理，COD、NH</w:t>
                  </w:r>
                  <w:r>
                    <w:rPr>
                      <w:rFonts w:ascii="Times New Roman" w:hAnsi="Times New Roman" w:eastAsia="宋体" w:cs="Times New Roman"/>
                      <w:color w:val="auto"/>
                      <w:sz w:val="22"/>
                      <w:vertAlign w:val="subscript"/>
                    </w:rPr>
                    <w:t>3</w:t>
                  </w:r>
                  <w:r>
                    <w:rPr>
                      <w:rFonts w:ascii="Times New Roman" w:hAnsi="Times New Roman" w:eastAsia="宋体" w:cs="Times New Roman"/>
                      <w:color w:val="auto"/>
                      <w:sz w:val="22"/>
                    </w:rPr>
                    <w:t>-N满足《地表水环境质量标准》（GB3838-2002）IV类标准，其余指标满足《城镇污水处理厂污染物排放标准》（GB18918-2002）一级A标准后，排入大溪河支流杨柳曲河。</w:t>
                  </w:r>
                </w:p>
              </w:tc>
              <w:tc>
                <w:tcPr>
                  <w:tcW w:w="751" w:type="dxa"/>
                  <w:shd w:val="clear" w:color="auto" w:fill="FFFFFF"/>
                  <w:vAlign w:val="center"/>
                </w:tcPr>
                <w:p w14:paraId="698AE650">
                  <w:pPr>
                    <w:pStyle w:val="65"/>
                    <w:spacing w:before="24" w:after="24"/>
                    <w:rPr>
                      <w:rFonts w:ascii="Times New Roman" w:hAnsi="Times New Roman" w:eastAsia="宋体" w:cs="Times New Roman"/>
                      <w:sz w:val="22"/>
                      <w:lang w:eastAsia="zh-Hans"/>
                    </w:rPr>
                  </w:pPr>
                  <w:r>
                    <w:rPr>
                      <w:rFonts w:ascii="Times New Roman" w:hAnsi="Times New Roman" w:eastAsia="宋体" w:cs="Times New Roman"/>
                      <w:sz w:val="22"/>
                    </w:rPr>
                    <w:t>依托</w:t>
                  </w:r>
                </w:p>
              </w:tc>
            </w:tr>
            <w:tr w14:paraId="795A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4" w:type="dxa"/>
                  <w:vMerge w:val="continue"/>
                  <w:shd w:val="clear" w:color="auto" w:fill="FFFFFF"/>
                  <w:vAlign w:val="center"/>
                </w:tcPr>
                <w:p w14:paraId="69F5FB74">
                  <w:pPr>
                    <w:pStyle w:val="65"/>
                    <w:spacing w:before="24" w:after="24"/>
                    <w:rPr>
                      <w:rFonts w:ascii="Times New Roman" w:hAnsi="Times New Roman" w:eastAsia="宋体" w:cs="Times New Roman"/>
                      <w:sz w:val="22"/>
                      <w:lang w:eastAsia="zh-Hans"/>
                    </w:rPr>
                  </w:pPr>
                </w:p>
              </w:tc>
              <w:tc>
                <w:tcPr>
                  <w:tcW w:w="1007" w:type="dxa"/>
                  <w:vMerge w:val="restart"/>
                  <w:shd w:val="clear" w:color="auto" w:fill="FFFFFF"/>
                  <w:vAlign w:val="center"/>
                </w:tcPr>
                <w:p w14:paraId="5B74D64F">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固体废物暂存设施</w:t>
                  </w:r>
                </w:p>
              </w:tc>
              <w:tc>
                <w:tcPr>
                  <w:tcW w:w="586" w:type="dxa"/>
                  <w:shd w:val="clear" w:color="auto" w:fill="FFFFFF"/>
                  <w:vAlign w:val="center"/>
                </w:tcPr>
                <w:p w14:paraId="33A92839">
                  <w:pPr>
                    <w:pStyle w:val="65"/>
                    <w:spacing w:before="24" w:after="24"/>
                    <w:rPr>
                      <w:color w:val="auto"/>
                      <w:sz w:val="22"/>
                    </w:rPr>
                  </w:pPr>
                  <w:r>
                    <w:rPr>
                      <w:rFonts w:ascii="Times New Roman" w:hAnsi="Times New Roman" w:eastAsia="宋体" w:cs="Times New Roman"/>
                      <w:color w:val="auto"/>
                      <w:sz w:val="22"/>
                    </w:rPr>
                    <w:t>一般固废暂存间</w:t>
                  </w:r>
                </w:p>
              </w:tc>
              <w:tc>
                <w:tcPr>
                  <w:tcW w:w="5363" w:type="dxa"/>
                  <w:shd w:val="clear" w:color="auto" w:fill="FFFFFF"/>
                  <w:vAlign w:val="center"/>
                </w:tcPr>
                <w:p w14:paraId="40315C58">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依托厂区现有的一般固废暂存间，东地块位于动力中心064，1F，面积约20m</w:t>
                  </w:r>
                  <w:r>
                    <w:rPr>
                      <w:rFonts w:ascii="Times New Roman" w:hAnsi="Times New Roman" w:eastAsia="宋体" w:cs="Times New Roman"/>
                      <w:color w:val="auto"/>
                      <w:sz w:val="22"/>
                      <w:vertAlign w:val="superscript"/>
                    </w:rPr>
                    <w:t>2</w:t>
                  </w:r>
                  <w:r>
                    <w:rPr>
                      <w:rFonts w:ascii="Times New Roman" w:hAnsi="Times New Roman" w:eastAsia="宋体" w:cs="Times New Roman"/>
                      <w:color w:val="auto"/>
                      <w:sz w:val="22"/>
                    </w:rPr>
                    <w:t>。西地块垃圾站建筑面积108m</w:t>
                  </w:r>
                  <w:r>
                    <w:rPr>
                      <w:rFonts w:ascii="Times New Roman" w:hAnsi="Times New Roman" w:eastAsia="宋体" w:cs="Times New Roman"/>
                      <w:color w:val="auto"/>
                      <w:sz w:val="22"/>
                      <w:vertAlign w:val="superscript"/>
                    </w:rPr>
                    <w:t>2</w:t>
                  </w:r>
                  <w:r>
                    <w:rPr>
                      <w:rFonts w:ascii="Times New Roman" w:hAnsi="Times New Roman" w:eastAsia="宋体" w:cs="Times New Roman"/>
                      <w:color w:val="auto"/>
                      <w:sz w:val="22"/>
                    </w:rPr>
                    <w:t>。</w:t>
                  </w:r>
                </w:p>
              </w:tc>
              <w:tc>
                <w:tcPr>
                  <w:tcW w:w="751" w:type="dxa"/>
                  <w:shd w:val="clear" w:color="auto" w:fill="FFFFFF"/>
                  <w:vAlign w:val="center"/>
                </w:tcPr>
                <w:p w14:paraId="73A5F2F0">
                  <w:pPr>
                    <w:pStyle w:val="65"/>
                    <w:spacing w:before="24" w:after="24"/>
                    <w:rPr>
                      <w:rFonts w:ascii="Times New Roman" w:hAnsi="Times New Roman" w:eastAsia="宋体" w:cs="Times New Roman"/>
                      <w:sz w:val="22"/>
                      <w:lang w:eastAsia="zh-Hans"/>
                    </w:rPr>
                  </w:pPr>
                  <w:r>
                    <w:rPr>
                      <w:rFonts w:ascii="Times New Roman" w:hAnsi="Times New Roman" w:eastAsia="宋体" w:cs="Times New Roman"/>
                      <w:sz w:val="22"/>
                    </w:rPr>
                    <w:t>依托</w:t>
                  </w:r>
                </w:p>
              </w:tc>
            </w:tr>
            <w:tr w14:paraId="67E4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4" w:type="dxa"/>
                  <w:vMerge w:val="continue"/>
                  <w:shd w:val="clear" w:color="auto" w:fill="FFFFFF"/>
                  <w:vAlign w:val="center"/>
                </w:tcPr>
                <w:p w14:paraId="09E841F8">
                  <w:pPr>
                    <w:pStyle w:val="65"/>
                    <w:spacing w:before="24" w:after="24"/>
                    <w:rPr>
                      <w:rFonts w:ascii="Times New Roman" w:hAnsi="Times New Roman" w:eastAsia="宋体" w:cs="Times New Roman"/>
                      <w:sz w:val="22"/>
                      <w:lang w:eastAsia="zh-Hans"/>
                    </w:rPr>
                  </w:pPr>
                </w:p>
              </w:tc>
              <w:tc>
                <w:tcPr>
                  <w:tcW w:w="1007" w:type="dxa"/>
                  <w:vMerge w:val="continue"/>
                  <w:shd w:val="clear" w:color="auto" w:fill="FFFFFF"/>
                  <w:vAlign w:val="center"/>
                </w:tcPr>
                <w:p w14:paraId="105AD717">
                  <w:pPr>
                    <w:pStyle w:val="65"/>
                    <w:spacing w:before="24" w:after="24"/>
                    <w:rPr>
                      <w:rFonts w:ascii="Times New Roman" w:hAnsi="Times New Roman" w:eastAsia="宋体" w:cs="Times New Roman"/>
                      <w:color w:val="auto"/>
                      <w:sz w:val="22"/>
                    </w:rPr>
                  </w:pPr>
                </w:p>
              </w:tc>
              <w:tc>
                <w:tcPr>
                  <w:tcW w:w="586" w:type="dxa"/>
                  <w:shd w:val="clear" w:color="auto" w:fill="FFFFFF"/>
                  <w:vAlign w:val="center"/>
                </w:tcPr>
                <w:p w14:paraId="4C175DB5">
                  <w:pPr>
                    <w:pStyle w:val="65"/>
                    <w:spacing w:before="24" w:after="24"/>
                    <w:rPr>
                      <w:rFonts w:hint="default" w:ascii="Times New Roman" w:hAnsi="Times New Roman" w:eastAsia="宋体" w:cs="Times New Roman"/>
                      <w:color w:val="auto"/>
                      <w:sz w:val="22"/>
                      <w:lang w:val="en-US" w:eastAsia="zh-CN"/>
                    </w:rPr>
                  </w:pPr>
                  <w:r>
                    <w:rPr>
                      <w:rFonts w:hint="eastAsia" w:ascii="Times New Roman" w:hAnsi="Times New Roman" w:eastAsia="宋体" w:cs="Times New Roman"/>
                      <w:color w:val="auto"/>
                      <w:sz w:val="22"/>
                      <w:lang w:val="en-US" w:eastAsia="zh-CN"/>
                    </w:rPr>
                    <w:t>危废贮存库</w:t>
                  </w:r>
                </w:p>
              </w:tc>
              <w:tc>
                <w:tcPr>
                  <w:tcW w:w="5363" w:type="dxa"/>
                  <w:shd w:val="clear" w:color="auto" w:fill="FFFFFF"/>
                  <w:vAlign w:val="center"/>
                </w:tcPr>
                <w:p w14:paraId="6776E360">
                  <w:pPr>
                    <w:pStyle w:val="65"/>
                    <w:spacing w:before="24" w:after="24"/>
                    <w:rPr>
                      <w:rFonts w:ascii="Times New Roman" w:hAnsi="Times New Roman" w:eastAsia="宋体" w:cs="Times New Roman"/>
                      <w:color w:val="auto"/>
                      <w:sz w:val="22"/>
                    </w:rPr>
                  </w:pPr>
                  <w:r>
                    <w:rPr>
                      <w:rFonts w:hint="eastAsia" w:ascii="Times New Roman" w:hAnsi="Times New Roman" w:eastAsia="宋体" w:cs="Times New Roman"/>
                      <w:color w:val="auto"/>
                      <w:sz w:val="22"/>
                    </w:rPr>
                    <w:t>1间，布置于危险品库内，约</w:t>
                  </w:r>
                  <w:r>
                    <w:rPr>
                      <w:rFonts w:hint="eastAsia" w:ascii="Times New Roman" w:hAnsi="Times New Roman" w:eastAsia="宋体" w:cs="Times New Roman"/>
                      <w:color w:val="auto"/>
                      <w:sz w:val="22"/>
                      <w:lang w:val="en-US" w:eastAsia="zh-CN"/>
                    </w:rPr>
                    <w:t>3</w:t>
                  </w:r>
                  <w:r>
                    <w:rPr>
                      <w:rFonts w:hint="eastAsia" w:ascii="Times New Roman" w:hAnsi="Times New Roman" w:eastAsia="宋体" w:cs="Times New Roman"/>
                      <w:color w:val="auto"/>
                      <w:sz w:val="22"/>
                    </w:rPr>
                    <w:t>0</w:t>
                  </w:r>
                  <w:r>
                    <w:rPr>
                      <w:rFonts w:ascii="Times New Roman" w:hAnsi="Times New Roman" w:eastAsia="宋体" w:cs="Times New Roman"/>
                      <w:color w:val="auto"/>
                      <w:sz w:val="22"/>
                    </w:rPr>
                    <w:t>m</w:t>
                  </w:r>
                  <w:r>
                    <w:rPr>
                      <w:rFonts w:ascii="Times New Roman" w:hAnsi="Times New Roman" w:eastAsia="宋体" w:cs="Times New Roman"/>
                      <w:color w:val="auto"/>
                      <w:sz w:val="22"/>
                      <w:vertAlign w:val="superscript"/>
                    </w:rPr>
                    <w:t>2</w:t>
                  </w:r>
                  <w:r>
                    <w:rPr>
                      <w:rFonts w:hint="eastAsia" w:ascii="Times New Roman" w:hAnsi="Times New Roman" w:eastAsia="宋体" w:cs="Times New Roman"/>
                      <w:color w:val="auto"/>
                      <w:sz w:val="22"/>
                    </w:rPr>
                    <w:t>，采取采取必要的防风、防晒、防雨、防漏、防渗、防腐以及其他环境污染防治措施，暂存厂内产生的化学品容器、废机油、含油棉纱手套等危险废物。</w:t>
                  </w:r>
                </w:p>
              </w:tc>
              <w:tc>
                <w:tcPr>
                  <w:tcW w:w="751" w:type="dxa"/>
                  <w:shd w:val="clear" w:color="auto" w:fill="FFFFFF"/>
                  <w:vAlign w:val="center"/>
                </w:tcPr>
                <w:p w14:paraId="322E3F3A">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依托</w:t>
                  </w:r>
                </w:p>
              </w:tc>
            </w:tr>
            <w:bookmarkEnd w:id="6"/>
          </w:tbl>
          <w:p w14:paraId="73FB2077">
            <w:pPr>
              <w:pStyle w:val="82"/>
              <w:ind w:firstLine="0" w:firstLineChars="0"/>
              <w:jc w:val="center"/>
            </w:pPr>
            <w:r>
              <w:t>表2.4-2</w:t>
            </w:r>
            <w:r>
              <w:rPr>
                <w:rFonts w:hint="eastAsia"/>
                <w:lang w:val="en-US" w:eastAsia="zh-CN"/>
              </w:rPr>
              <w:t xml:space="preserve">  </w:t>
            </w:r>
            <w:r>
              <w:rPr>
                <w:rFonts w:hint="eastAsia"/>
              </w:rPr>
              <w:t>拟建项目依托工程及其可行性分析一览表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60"/>
              <w:gridCol w:w="1200"/>
              <w:gridCol w:w="1728"/>
              <w:gridCol w:w="3981"/>
            </w:tblGrid>
            <w:tr w14:paraId="05C5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14:paraId="20A08D9A">
                  <w:pPr>
                    <w:widowControl/>
                    <w:jc w:val="center"/>
                    <w:rPr>
                      <w:bCs/>
                      <w:sz w:val="22"/>
                      <w:szCs w:val="22"/>
                    </w:rPr>
                  </w:pPr>
                  <w:r>
                    <w:rPr>
                      <w:bCs/>
                      <w:sz w:val="22"/>
                      <w:szCs w:val="22"/>
                    </w:rPr>
                    <w:t>序号</w:t>
                  </w:r>
                </w:p>
              </w:tc>
              <w:tc>
                <w:tcPr>
                  <w:tcW w:w="2160" w:type="dxa"/>
                  <w:gridSpan w:val="2"/>
                  <w:vAlign w:val="center"/>
                </w:tcPr>
                <w:p w14:paraId="7C9ADAE4">
                  <w:pPr>
                    <w:widowControl/>
                    <w:jc w:val="center"/>
                    <w:rPr>
                      <w:bCs/>
                      <w:sz w:val="22"/>
                      <w:szCs w:val="22"/>
                    </w:rPr>
                  </w:pPr>
                  <w:r>
                    <w:rPr>
                      <w:bCs/>
                      <w:sz w:val="22"/>
                      <w:szCs w:val="22"/>
                    </w:rPr>
                    <w:t>项目</w:t>
                  </w:r>
                </w:p>
              </w:tc>
              <w:tc>
                <w:tcPr>
                  <w:tcW w:w="1728" w:type="dxa"/>
                  <w:vAlign w:val="center"/>
                </w:tcPr>
                <w:p w14:paraId="2672A1E6">
                  <w:pPr>
                    <w:widowControl/>
                    <w:jc w:val="center"/>
                    <w:rPr>
                      <w:bCs/>
                      <w:sz w:val="22"/>
                      <w:szCs w:val="22"/>
                    </w:rPr>
                  </w:pPr>
                  <w:r>
                    <w:rPr>
                      <w:rFonts w:hint="eastAsia"/>
                      <w:bCs/>
                      <w:sz w:val="22"/>
                      <w:szCs w:val="22"/>
                    </w:rPr>
                    <w:t>依托</w:t>
                  </w:r>
                  <w:r>
                    <w:rPr>
                      <w:bCs/>
                      <w:sz w:val="22"/>
                      <w:szCs w:val="22"/>
                    </w:rPr>
                    <w:t>情况</w:t>
                  </w:r>
                </w:p>
              </w:tc>
              <w:tc>
                <w:tcPr>
                  <w:tcW w:w="3981" w:type="dxa"/>
                  <w:vAlign w:val="center"/>
                </w:tcPr>
                <w:p w14:paraId="28045333">
                  <w:pPr>
                    <w:widowControl/>
                    <w:jc w:val="center"/>
                    <w:rPr>
                      <w:bCs/>
                      <w:sz w:val="22"/>
                      <w:szCs w:val="22"/>
                    </w:rPr>
                  </w:pPr>
                  <w:r>
                    <w:rPr>
                      <w:rFonts w:hint="eastAsia"/>
                      <w:bCs/>
                      <w:sz w:val="22"/>
                      <w:szCs w:val="22"/>
                    </w:rPr>
                    <w:t>依托可行性</w:t>
                  </w:r>
                </w:p>
              </w:tc>
            </w:tr>
            <w:tr w14:paraId="6A39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vAlign w:val="center"/>
                </w:tcPr>
                <w:p w14:paraId="1278BA59">
                  <w:pPr>
                    <w:pStyle w:val="82"/>
                    <w:spacing w:line="240" w:lineRule="auto"/>
                    <w:ind w:firstLine="0" w:firstLineChars="0"/>
                    <w:jc w:val="center"/>
                    <w:rPr>
                      <w:sz w:val="22"/>
                      <w:szCs w:val="22"/>
                    </w:rPr>
                  </w:pPr>
                  <w:r>
                    <w:rPr>
                      <w:rFonts w:hint="eastAsia"/>
                      <w:sz w:val="22"/>
                      <w:szCs w:val="22"/>
                    </w:rPr>
                    <w:t>1</w:t>
                  </w:r>
                </w:p>
              </w:tc>
              <w:tc>
                <w:tcPr>
                  <w:tcW w:w="2160" w:type="dxa"/>
                  <w:gridSpan w:val="2"/>
                  <w:vAlign w:val="center"/>
                </w:tcPr>
                <w:p w14:paraId="48BC2A62">
                  <w:pPr>
                    <w:pStyle w:val="82"/>
                    <w:spacing w:line="240" w:lineRule="auto"/>
                    <w:ind w:firstLine="0" w:firstLineChars="0"/>
                    <w:jc w:val="center"/>
                    <w:rPr>
                      <w:sz w:val="22"/>
                      <w:szCs w:val="22"/>
                    </w:rPr>
                  </w:pPr>
                  <w:r>
                    <w:rPr>
                      <w:sz w:val="22"/>
                      <w:szCs w:val="22"/>
                    </w:rPr>
                    <w:t>电驱桥生产线</w:t>
                  </w:r>
                </w:p>
              </w:tc>
              <w:tc>
                <w:tcPr>
                  <w:tcW w:w="1728" w:type="dxa"/>
                  <w:vAlign w:val="center"/>
                </w:tcPr>
                <w:p w14:paraId="0083DAE6">
                  <w:pPr>
                    <w:pStyle w:val="82"/>
                    <w:spacing w:line="240" w:lineRule="auto"/>
                    <w:ind w:firstLine="0" w:firstLineChars="0"/>
                    <w:jc w:val="center"/>
                    <w:rPr>
                      <w:sz w:val="22"/>
                      <w:szCs w:val="22"/>
                    </w:rPr>
                  </w:pPr>
                  <w:r>
                    <w:rPr>
                      <w:rFonts w:hint="eastAsia"/>
                      <w:sz w:val="22"/>
                      <w:szCs w:val="22"/>
                    </w:rPr>
                    <w:t>依托现有车间</w:t>
                  </w:r>
                </w:p>
              </w:tc>
              <w:tc>
                <w:tcPr>
                  <w:tcW w:w="3981" w:type="dxa"/>
                  <w:vAlign w:val="center"/>
                </w:tcPr>
                <w:p w14:paraId="02EDEA20">
                  <w:pPr>
                    <w:pStyle w:val="82"/>
                    <w:spacing w:line="240" w:lineRule="auto"/>
                    <w:ind w:firstLine="0" w:firstLineChars="0"/>
                    <w:jc w:val="center"/>
                    <w:rPr>
                      <w:sz w:val="22"/>
                      <w:szCs w:val="22"/>
                    </w:rPr>
                  </w:pPr>
                  <w:r>
                    <w:rPr>
                      <w:sz w:val="22"/>
                      <w:szCs w:val="22"/>
                    </w:rPr>
                    <w:t>东地块060厂房</w:t>
                  </w:r>
                  <w:r>
                    <w:rPr>
                      <w:rFonts w:hint="eastAsia"/>
                      <w:sz w:val="22"/>
                      <w:szCs w:val="22"/>
                    </w:rPr>
                    <w:t>已建成，利用现有厂房未利用区域布置新生产线，依托可行。</w:t>
                  </w:r>
                </w:p>
              </w:tc>
            </w:tr>
            <w:tr w14:paraId="05B3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shd w:val="clear" w:color="auto" w:fill="auto"/>
                  <w:vAlign w:val="center"/>
                </w:tcPr>
                <w:p w14:paraId="75162FDE">
                  <w:pPr>
                    <w:pStyle w:val="82"/>
                    <w:spacing w:line="240" w:lineRule="auto"/>
                    <w:ind w:firstLine="0" w:firstLineChars="0"/>
                    <w:jc w:val="center"/>
                    <w:rPr>
                      <w:sz w:val="22"/>
                      <w:szCs w:val="22"/>
                    </w:rPr>
                  </w:pPr>
                  <w:r>
                    <w:rPr>
                      <w:rFonts w:hint="eastAsia"/>
                      <w:sz w:val="22"/>
                      <w:szCs w:val="22"/>
                    </w:rPr>
                    <w:t>2</w:t>
                  </w:r>
                </w:p>
              </w:tc>
              <w:tc>
                <w:tcPr>
                  <w:tcW w:w="2160" w:type="dxa"/>
                  <w:gridSpan w:val="2"/>
                  <w:vAlign w:val="center"/>
                </w:tcPr>
                <w:p w14:paraId="5CC2D4BC">
                  <w:pPr>
                    <w:pStyle w:val="82"/>
                    <w:spacing w:line="240" w:lineRule="auto"/>
                    <w:ind w:firstLine="0" w:firstLineChars="0"/>
                    <w:jc w:val="center"/>
                    <w:rPr>
                      <w:sz w:val="22"/>
                      <w:szCs w:val="22"/>
                    </w:rPr>
                  </w:pPr>
                  <w:r>
                    <w:rPr>
                      <w:sz w:val="22"/>
                      <w:szCs w:val="22"/>
                    </w:rPr>
                    <w:t>氢瓶瓶口阀、瓶底阀生产线</w:t>
                  </w:r>
                </w:p>
              </w:tc>
              <w:tc>
                <w:tcPr>
                  <w:tcW w:w="1728" w:type="dxa"/>
                  <w:vAlign w:val="center"/>
                </w:tcPr>
                <w:p w14:paraId="59962448">
                  <w:pPr>
                    <w:pStyle w:val="82"/>
                    <w:spacing w:line="240" w:lineRule="auto"/>
                    <w:ind w:firstLine="0" w:firstLineChars="0"/>
                    <w:jc w:val="center"/>
                    <w:rPr>
                      <w:sz w:val="22"/>
                      <w:szCs w:val="22"/>
                    </w:rPr>
                  </w:pPr>
                  <w:r>
                    <w:rPr>
                      <w:rFonts w:hint="eastAsia"/>
                      <w:sz w:val="22"/>
                      <w:szCs w:val="22"/>
                    </w:rPr>
                    <w:t>依托现有车间</w:t>
                  </w:r>
                </w:p>
              </w:tc>
              <w:tc>
                <w:tcPr>
                  <w:tcW w:w="3981" w:type="dxa"/>
                  <w:vAlign w:val="center"/>
                </w:tcPr>
                <w:p w14:paraId="2F9AAD4B">
                  <w:pPr>
                    <w:pStyle w:val="82"/>
                    <w:spacing w:line="240" w:lineRule="auto"/>
                    <w:ind w:firstLine="0" w:firstLineChars="0"/>
                    <w:jc w:val="center"/>
                    <w:rPr>
                      <w:sz w:val="22"/>
                      <w:szCs w:val="22"/>
                    </w:rPr>
                  </w:pPr>
                  <w:r>
                    <w:rPr>
                      <w:sz w:val="22"/>
                      <w:szCs w:val="22"/>
                    </w:rPr>
                    <w:t>东地块060厂房</w:t>
                  </w:r>
                  <w:r>
                    <w:rPr>
                      <w:rFonts w:hint="eastAsia"/>
                      <w:sz w:val="22"/>
                      <w:szCs w:val="22"/>
                    </w:rPr>
                    <w:t>已建成，利用现有厂房未利用区域布置新生产线，依托可行。</w:t>
                  </w:r>
                </w:p>
              </w:tc>
            </w:tr>
            <w:tr w14:paraId="542A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shd w:val="clear" w:color="auto" w:fill="auto"/>
                  <w:vAlign w:val="center"/>
                </w:tcPr>
                <w:p w14:paraId="019B470D">
                  <w:pPr>
                    <w:pStyle w:val="82"/>
                    <w:spacing w:line="240" w:lineRule="auto"/>
                    <w:ind w:firstLine="0" w:firstLineChars="0"/>
                    <w:jc w:val="center"/>
                    <w:rPr>
                      <w:sz w:val="22"/>
                      <w:szCs w:val="22"/>
                    </w:rPr>
                  </w:pPr>
                  <w:r>
                    <w:rPr>
                      <w:rFonts w:hint="eastAsia"/>
                      <w:sz w:val="22"/>
                      <w:szCs w:val="22"/>
                    </w:rPr>
                    <w:t>3</w:t>
                  </w:r>
                </w:p>
              </w:tc>
              <w:tc>
                <w:tcPr>
                  <w:tcW w:w="2160" w:type="dxa"/>
                  <w:gridSpan w:val="2"/>
                  <w:vAlign w:val="center"/>
                </w:tcPr>
                <w:p w14:paraId="304626DC">
                  <w:pPr>
                    <w:pStyle w:val="82"/>
                    <w:spacing w:line="240" w:lineRule="auto"/>
                    <w:ind w:firstLine="0" w:firstLineChars="0"/>
                    <w:jc w:val="center"/>
                    <w:rPr>
                      <w:sz w:val="22"/>
                      <w:szCs w:val="22"/>
                    </w:rPr>
                  </w:pPr>
                  <w:r>
                    <w:rPr>
                      <w:rFonts w:hint="eastAsia"/>
                      <w:sz w:val="22"/>
                      <w:szCs w:val="22"/>
                    </w:rPr>
                    <w:t>食堂063</w:t>
                  </w:r>
                </w:p>
              </w:tc>
              <w:tc>
                <w:tcPr>
                  <w:tcW w:w="1728" w:type="dxa"/>
                  <w:vAlign w:val="center"/>
                </w:tcPr>
                <w:p w14:paraId="5502212F">
                  <w:pPr>
                    <w:pStyle w:val="82"/>
                    <w:spacing w:line="240" w:lineRule="auto"/>
                    <w:ind w:firstLine="0" w:firstLineChars="0"/>
                    <w:jc w:val="center"/>
                    <w:rPr>
                      <w:sz w:val="22"/>
                      <w:szCs w:val="22"/>
                    </w:rPr>
                  </w:pPr>
                  <w:r>
                    <w:rPr>
                      <w:rFonts w:hint="eastAsia"/>
                      <w:sz w:val="22"/>
                      <w:szCs w:val="22"/>
                    </w:rPr>
                    <w:t>依托现有食堂</w:t>
                  </w:r>
                </w:p>
              </w:tc>
              <w:tc>
                <w:tcPr>
                  <w:tcW w:w="3981" w:type="dxa"/>
                  <w:vAlign w:val="center"/>
                </w:tcPr>
                <w:p w14:paraId="7EA586E1">
                  <w:pPr>
                    <w:pStyle w:val="82"/>
                    <w:spacing w:line="240" w:lineRule="auto"/>
                    <w:ind w:firstLine="0" w:firstLineChars="0"/>
                    <w:jc w:val="center"/>
                    <w:rPr>
                      <w:sz w:val="22"/>
                      <w:szCs w:val="22"/>
                    </w:rPr>
                  </w:pPr>
                  <w:r>
                    <w:rPr>
                      <w:rFonts w:hint="eastAsia"/>
                      <w:sz w:val="22"/>
                      <w:szCs w:val="22"/>
                    </w:rPr>
                    <w:t>现有食堂能够满足新增劳动定员的用餐需求，依托可行。</w:t>
                  </w:r>
                </w:p>
              </w:tc>
            </w:tr>
            <w:tr w14:paraId="3CCA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58CD33B7">
                  <w:pPr>
                    <w:pStyle w:val="82"/>
                    <w:spacing w:line="240" w:lineRule="auto"/>
                    <w:ind w:firstLine="0" w:firstLineChars="0"/>
                    <w:jc w:val="center"/>
                    <w:rPr>
                      <w:sz w:val="22"/>
                      <w:szCs w:val="22"/>
                    </w:rPr>
                  </w:pPr>
                  <w:r>
                    <w:rPr>
                      <w:rFonts w:hint="eastAsia"/>
                      <w:sz w:val="22"/>
                      <w:szCs w:val="22"/>
                    </w:rPr>
                    <w:t>4</w:t>
                  </w:r>
                </w:p>
              </w:tc>
              <w:tc>
                <w:tcPr>
                  <w:tcW w:w="2160" w:type="dxa"/>
                  <w:gridSpan w:val="2"/>
                  <w:vAlign w:val="center"/>
                </w:tcPr>
                <w:p w14:paraId="0438A8D4">
                  <w:pPr>
                    <w:pStyle w:val="82"/>
                    <w:spacing w:line="240" w:lineRule="auto"/>
                    <w:ind w:firstLine="0" w:firstLineChars="0"/>
                    <w:jc w:val="center"/>
                    <w:rPr>
                      <w:sz w:val="22"/>
                      <w:szCs w:val="22"/>
                    </w:rPr>
                  </w:pPr>
                  <w:r>
                    <w:rPr>
                      <w:sz w:val="22"/>
                      <w:szCs w:val="22"/>
                    </w:rPr>
                    <w:t>门卫067、068</w:t>
                  </w:r>
                </w:p>
              </w:tc>
              <w:tc>
                <w:tcPr>
                  <w:tcW w:w="1728" w:type="dxa"/>
                  <w:vAlign w:val="center"/>
                </w:tcPr>
                <w:p w14:paraId="39979A86">
                  <w:pPr>
                    <w:pStyle w:val="82"/>
                    <w:spacing w:line="240" w:lineRule="auto"/>
                    <w:ind w:firstLine="0" w:firstLineChars="0"/>
                    <w:jc w:val="center"/>
                    <w:rPr>
                      <w:sz w:val="22"/>
                      <w:szCs w:val="22"/>
                    </w:rPr>
                  </w:pPr>
                  <w:r>
                    <w:rPr>
                      <w:rFonts w:hint="eastAsia"/>
                      <w:sz w:val="22"/>
                      <w:szCs w:val="22"/>
                    </w:rPr>
                    <w:t>依托现有门卫</w:t>
                  </w:r>
                </w:p>
              </w:tc>
              <w:tc>
                <w:tcPr>
                  <w:tcW w:w="3981" w:type="dxa"/>
                  <w:vAlign w:val="center"/>
                </w:tcPr>
                <w:p w14:paraId="6EB27C2E">
                  <w:pPr>
                    <w:pStyle w:val="82"/>
                    <w:spacing w:line="240" w:lineRule="auto"/>
                    <w:ind w:firstLine="0" w:firstLineChars="0"/>
                    <w:jc w:val="center"/>
                    <w:rPr>
                      <w:sz w:val="22"/>
                      <w:szCs w:val="22"/>
                    </w:rPr>
                  </w:pPr>
                  <w:r>
                    <w:rPr>
                      <w:rFonts w:hint="eastAsia"/>
                      <w:sz w:val="22"/>
                      <w:szCs w:val="22"/>
                    </w:rPr>
                    <w:t>拟建项目位于现有厂区内，依托门卫可行。</w:t>
                  </w:r>
                </w:p>
              </w:tc>
            </w:tr>
            <w:tr w14:paraId="1F1A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4962FD2D">
                  <w:pPr>
                    <w:pStyle w:val="82"/>
                    <w:spacing w:line="240" w:lineRule="auto"/>
                    <w:ind w:firstLine="0" w:firstLineChars="0"/>
                    <w:jc w:val="center"/>
                    <w:rPr>
                      <w:rFonts w:hint="eastAsia" w:eastAsia="宋体"/>
                      <w:sz w:val="22"/>
                      <w:szCs w:val="22"/>
                      <w:lang w:eastAsia="zh-CN"/>
                    </w:rPr>
                  </w:pPr>
                  <w:r>
                    <w:rPr>
                      <w:rFonts w:hint="eastAsia"/>
                      <w:sz w:val="22"/>
                      <w:szCs w:val="22"/>
                      <w:lang w:val="en-US" w:eastAsia="zh-CN"/>
                    </w:rPr>
                    <w:t>5</w:t>
                  </w:r>
                </w:p>
              </w:tc>
              <w:tc>
                <w:tcPr>
                  <w:tcW w:w="2160" w:type="dxa"/>
                  <w:gridSpan w:val="2"/>
                  <w:vAlign w:val="center"/>
                </w:tcPr>
                <w:p w14:paraId="74D67B3B">
                  <w:pPr>
                    <w:pStyle w:val="82"/>
                    <w:spacing w:line="240" w:lineRule="auto"/>
                    <w:ind w:firstLine="0" w:firstLineChars="0"/>
                    <w:jc w:val="center"/>
                    <w:rPr>
                      <w:sz w:val="22"/>
                      <w:szCs w:val="22"/>
                    </w:rPr>
                  </w:pPr>
                  <w:r>
                    <w:rPr>
                      <w:sz w:val="22"/>
                      <w:szCs w:val="22"/>
                    </w:rPr>
                    <w:t>厂内运输</w:t>
                  </w:r>
                </w:p>
              </w:tc>
              <w:tc>
                <w:tcPr>
                  <w:tcW w:w="1728" w:type="dxa"/>
                  <w:vAlign w:val="center"/>
                </w:tcPr>
                <w:p w14:paraId="6B9D29DE">
                  <w:pPr>
                    <w:pStyle w:val="82"/>
                    <w:spacing w:line="240" w:lineRule="auto"/>
                    <w:ind w:firstLine="0" w:firstLineChars="0"/>
                    <w:jc w:val="center"/>
                    <w:rPr>
                      <w:sz w:val="22"/>
                      <w:szCs w:val="22"/>
                    </w:rPr>
                  </w:pPr>
                  <w:r>
                    <w:rPr>
                      <w:rFonts w:hint="eastAsia"/>
                      <w:sz w:val="22"/>
                      <w:szCs w:val="22"/>
                    </w:rPr>
                    <w:t>依托现有运输通道</w:t>
                  </w:r>
                </w:p>
              </w:tc>
              <w:tc>
                <w:tcPr>
                  <w:tcW w:w="3981" w:type="dxa"/>
                  <w:vAlign w:val="center"/>
                </w:tcPr>
                <w:p w14:paraId="3687554D">
                  <w:pPr>
                    <w:pStyle w:val="82"/>
                    <w:spacing w:line="240" w:lineRule="auto"/>
                    <w:ind w:firstLine="0" w:firstLineChars="0"/>
                    <w:jc w:val="center"/>
                    <w:rPr>
                      <w:sz w:val="22"/>
                      <w:szCs w:val="22"/>
                    </w:rPr>
                  </w:pPr>
                  <w:r>
                    <w:rPr>
                      <w:rFonts w:hint="eastAsia"/>
                      <w:sz w:val="22"/>
                      <w:szCs w:val="22"/>
                    </w:rPr>
                    <w:t>拟建项目位于现有厂区内，依托现有运输通道可行</w:t>
                  </w:r>
                </w:p>
              </w:tc>
            </w:tr>
            <w:tr w14:paraId="3CAC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27D29C3F">
                  <w:pPr>
                    <w:pStyle w:val="82"/>
                    <w:spacing w:line="240" w:lineRule="auto"/>
                    <w:ind w:firstLine="0" w:firstLineChars="0"/>
                    <w:jc w:val="center"/>
                    <w:rPr>
                      <w:sz w:val="22"/>
                      <w:szCs w:val="22"/>
                    </w:rPr>
                  </w:pPr>
                  <w:r>
                    <w:rPr>
                      <w:rFonts w:hint="eastAsia"/>
                      <w:sz w:val="22"/>
                      <w:szCs w:val="22"/>
                    </w:rPr>
                    <w:t>6</w:t>
                  </w:r>
                </w:p>
              </w:tc>
              <w:tc>
                <w:tcPr>
                  <w:tcW w:w="2160" w:type="dxa"/>
                  <w:gridSpan w:val="2"/>
                  <w:vAlign w:val="center"/>
                </w:tcPr>
                <w:p w14:paraId="44413044">
                  <w:pPr>
                    <w:pStyle w:val="82"/>
                    <w:spacing w:line="240" w:lineRule="auto"/>
                    <w:ind w:firstLine="0" w:firstLineChars="0"/>
                    <w:jc w:val="center"/>
                    <w:rPr>
                      <w:sz w:val="22"/>
                      <w:szCs w:val="22"/>
                    </w:rPr>
                  </w:pPr>
                  <w:r>
                    <w:rPr>
                      <w:sz w:val="22"/>
                      <w:szCs w:val="22"/>
                    </w:rPr>
                    <w:t>加氢站</w:t>
                  </w:r>
                </w:p>
              </w:tc>
              <w:tc>
                <w:tcPr>
                  <w:tcW w:w="1728" w:type="dxa"/>
                  <w:vAlign w:val="center"/>
                </w:tcPr>
                <w:p w14:paraId="48653732">
                  <w:pPr>
                    <w:pStyle w:val="82"/>
                    <w:spacing w:line="240" w:lineRule="auto"/>
                    <w:ind w:firstLine="0" w:firstLineChars="0"/>
                    <w:jc w:val="center"/>
                    <w:rPr>
                      <w:sz w:val="22"/>
                      <w:szCs w:val="22"/>
                    </w:rPr>
                  </w:pPr>
                  <w:r>
                    <w:rPr>
                      <w:rFonts w:hint="eastAsia"/>
                      <w:sz w:val="22"/>
                      <w:szCs w:val="22"/>
                    </w:rPr>
                    <w:t>依托现有加氢站</w:t>
                  </w:r>
                </w:p>
              </w:tc>
              <w:tc>
                <w:tcPr>
                  <w:tcW w:w="3981" w:type="dxa"/>
                  <w:vAlign w:val="center"/>
                </w:tcPr>
                <w:p w14:paraId="2F3D0AF3">
                  <w:pPr>
                    <w:pStyle w:val="82"/>
                    <w:spacing w:line="240" w:lineRule="auto"/>
                    <w:ind w:firstLine="0" w:firstLineChars="0"/>
                    <w:jc w:val="center"/>
                    <w:rPr>
                      <w:sz w:val="22"/>
                      <w:szCs w:val="22"/>
                    </w:rPr>
                  </w:pPr>
                  <w:r>
                    <w:rPr>
                      <w:rFonts w:hint="eastAsia"/>
                      <w:sz w:val="22"/>
                      <w:szCs w:val="22"/>
                    </w:rPr>
                    <w:t>依托现有气站，在未利用区域新建设施，依托可行。</w:t>
                  </w:r>
                </w:p>
              </w:tc>
            </w:tr>
            <w:tr w14:paraId="2D42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6AAA2240">
                  <w:pPr>
                    <w:pStyle w:val="82"/>
                    <w:spacing w:line="240" w:lineRule="auto"/>
                    <w:ind w:firstLine="0" w:firstLineChars="0"/>
                    <w:jc w:val="center"/>
                    <w:rPr>
                      <w:sz w:val="22"/>
                      <w:szCs w:val="22"/>
                    </w:rPr>
                  </w:pPr>
                  <w:r>
                    <w:rPr>
                      <w:rFonts w:hint="eastAsia"/>
                      <w:sz w:val="22"/>
                      <w:szCs w:val="22"/>
                    </w:rPr>
                    <w:t>7</w:t>
                  </w:r>
                </w:p>
              </w:tc>
              <w:tc>
                <w:tcPr>
                  <w:tcW w:w="2160" w:type="dxa"/>
                  <w:gridSpan w:val="2"/>
                  <w:vAlign w:val="center"/>
                </w:tcPr>
                <w:p w14:paraId="07E46286">
                  <w:pPr>
                    <w:pStyle w:val="82"/>
                    <w:spacing w:line="240" w:lineRule="auto"/>
                    <w:ind w:firstLine="0" w:firstLineChars="0"/>
                    <w:jc w:val="center"/>
                    <w:rPr>
                      <w:sz w:val="22"/>
                      <w:szCs w:val="22"/>
                    </w:rPr>
                  </w:pPr>
                  <w:r>
                    <w:rPr>
                      <w:sz w:val="22"/>
                      <w:szCs w:val="22"/>
                    </w:rPr>
                    <w:t>给水</w:t>
                  </w:r>
                </w:p>
              </w:tc>
              <w:tc>
                <w:tcPr>
                  <w:tcW w:w="1728" w:type="dxa"/>
                  <w:vAlign w:val="center"/>
                </w:tcPr>
                <w:p w14:paraId="7D0E3BD2">
                  <w:pPr>
                    <w:pStyle w:val="82"/>
                    <w:spacing w:line="240" w:lineRule="auto"/>
                    <w:ind w:firstLine="0" w:firstLineChars="0"/>
                    <w:jc w:val="center"/>
                    <w:rPr>
                      <w:sz w:val="22"/>
                      <w:szCs w:val="22"/>
                    </w:rPr>
                  </w:pPr>
                  <w:r>
                    <w:rPr>
                      <w:rFonts w:hint="eastAsia"/>
                      <w:sz w:val="22"/>
                      <w:szCs w:val="22"/>
                    </w:rPr>
                    <w:t>依托市政供水</w:t>
                  </w:r>
                </w:p>
              </w:tc>
              <w:tc>
                <w:tcPr>
                  <w:tcW w:w="3981" w:type="dxa"/>
                  <w:vAlign w:val="center"/>
                </w:tcPr>
                <w:p w14:paraId="3F33FEC5">
                  <w:pPr>
                    <w:pStyle w:val="82"/>
                    <w:spacing w:line="240" w:lineRule="auto"/>
                    <w:ind w:firstLine="0" w:firstLineChars="0"/>
                    <w:jc w:val="center"/>
                    <w:rPr>
                      <w:sz w:val="22"/>
                      <w:szCs w:val="22"/>
                    </w:rPr>
                  </w:pPr>
                  <w:r>
                    <w:rPr>
                      <w:rFonts w:hint="eastAsia"/>
                      <w:sz w:val="22"/>
                      <w:szCs w:val="22"/>
                    </w:rPr>
                    <w:t>厂区用水均由市政供水，依托可行。</w:t>
                  </w:r>
                </w:p>
              </w:tc>
            </w:tr>
            <w:tr w14:paraId="2A41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4074ADCC">
                  <w:pPr>
                    <w:pStyle w:val="82"/>
                    <w:spacing w:line="240" w:lineRule="auto"/>
                    <w:ind w:firstLine="0" w:firstLineChars="0"/>
                    <w:jc w:val="center"/>
                    <w:rPr>
                      <w:sz w:val="22"/>
                      <w:szCs w:val="22"/>
                    </w:rPr>
                  </w:pPr>
                  <w:r>
                    <w:rPr>
                      <w:rFonts w:hint="eastAsia"/>
                      <w:sz w:val="22"/>
                      <w:szCs w:val="22"/>
                    </w:rPr>
                    <w:t>8</w:t>
                  </w:r>
                </w:p>
              </w:tc>
              <w:tc>
                <w:tcPr>
                  <w:tcW w:w="2160" w:type="dxa"/>
                  <w:gridSpan w:val="2"/>
                  <w:vAlign w:val="center"/>
                </w:tcPr>
                <w:p w14:paraId="54C7EF58">
                  <w:pPr>
                    <w:pStyle w:val="82"/>
                    <w:spacing w:line="240" w:lineRule="auto"/>
                    <w:ind w:firstLine="0" w:firstLineChars="0"/>
                    <w:jc w:val="center"/>
                    <w:rPr>
                      <w:sz w:val="22"/>
                      <w:szCs w:val="22"/>
                    </w:rPr>
                  </w:pPr>
                  <w:r>
                    <w:rPr>
                      <w:sz w:val="22"/>
                      <w:szCs w:val="22"/>
                    </w:rPr>
                    <w:t>排水</w:t>
                  </w:r>
                </w:p>
              </w:tc>
              <w:tc>
                <w:tcPr>
                  <w:tcW w:w="1728" w:type="dxa"/>
                  <w:vAlign w:val="center"/>
                </w:tcPr>
                <w:p w14:paraId="3820342B">
                  <w:pPr>
                    <w:pStyle w:val="82"/>
                    <w:spacing w:line="240" w:lineRule="auto"/>
                    <w:ind w:firstLine="0" w:firstLineChars="0"/>
                    <w:jc w:val="center"/>
                    <w:rPr>
                      <w:sz w:val="22"/>
                      <w:szCs w:val="22"/>
                    </w:rPr>
                  </w:pPr>
                  <w:r>
                    <w:rPr>
                      <w:rFonts w:hint="eastAsia"/>
                      <w:sz w:val="22"/>
                      <w:szCs w:val="22"/>
                    </w:rPr>
                    <w:t>依托现有排水工程</w:t>
                  </w:r>
                </w:p>
              </w:tc>
              <w:tc>
                <w:tcPr>
                  <w:tcW w:w="3981" w:type="dxa"/>
                  <w:vAlign w:val="center"/>
                </w:tcPr>
                <w:p w14:paraId="03859CC0">
                  <w:pPr>
                    <w:pStyle w:val="65"/>
                    <w:spacing w:beforeLines="0" w:afterLines="0" w:line="240" w:lineRule="auto"/>
                    <w:rPr>
                      <w:rFonts w:ascii="Times New Roman" w:hAnsi="Times New Roman" w:eastAsia="宋体" w:cs="Times New Roman"/>
                      <w:sz w:val="22"/>
                    </w:rPr>
                  </w:pPr>
                  <w:r>
                    <w:rPr>
                      <w:rFonts w:hint="eastAsia" w:ascii="Times New Roman" w:hAnsi="Times New Roman" w:eastAsia="宋体" w:cs="Times New Roman"/>
                      <w:sz w:val="22"/>
                    </w:rPr>
                    <w:t>（1）拟建项目位于现有厂区内，依托现有排水工程，</w:t>
                  </w:r>
                  <w:r>
                    <w:rPr>
                      <w:rFonts w:ascii="Times New Roman" w:hAnsi="Times New Roman" w:eastAsia="宋体" w:cs="Times New Roman"/>
                      <w:sz w:val="22"/>
                    </w:rPr>
                    <w:t>采用雨污分流制，</w:t>
                  </w:r>
                  <w:r>
                    <w:rPr>
                      <w:rFonts w:ascii="Times New Roman" w:hAnsi="Times New Roman" w:eastAsia="宋体" w:cs="Times New Roman"/>
                      <w:bCs/>
                      <w:sz w:val="22"/>
                    </w:rPr>
                    <w:t>雨水经雨水管网外排</w:t>
                  </w:r>
                  <w:r>
                    <w:rPr>
                      <w:rFonts w:hint="eastAsia" w:ascii="Times New Roman" w:hAnsi="Times New Roman" w:eastAsia="宋体" w:cs="Times New Roman"/>
                      <w:bCs/>
                      <w:sz w:val="22"/>
                    </w:rPr>
                    <w:t>，依托可行。</w:t>
                  </w:r>
                </w:p>
                <w:p w14:paraId="7BCB4945">
                  <w:pPr>
                    <w:pStyle w:val="82"/>
                    <w:spacing w:line="240" w:lineRule="auto"/>
                    <w:ind w:firstLine="0" w:firstLineChars="0"/>
                    <w:jc w:val="center"/>
                    <w:rPr>
                      <w:sz w:val="22"/>
                      <w:szCs w:val="22"/>
                    </w:rPr>
                  </w:pPr>
                  <w:r>
                    <w:rPr>
                      <w:sz w:val="22"/>
                      <w:szCs w:val="22"/>
                    </w:rPr>
                    <w:t>（2）</w:t>
                  </w:r>
                  <w:r>
                    <w:rPr>
                      <w:rFonts w:hint="eastAsia"/>
                      <w:sz w:val="22"/>
                      <w:szCs w:val="22"/>
                    </w:rPr>
                    <w:t>拟建项目在东地块内新增人员，东地块</w:t>
                  </w:r>
                  <w:r>
                    <w:rPr>
                      <w:rFonts w:hint="eastAsia"/>
                      <w:sz w:val="22"/>
                      <w:szCs w:val="22"/>
                      <w:lang w:eastAsia="zh-CN"/>
                    </w:rPr>
                    <w:t>化粪池</w:t>
                  </w:r>
                  <w:r>
                    <w:rPr>
                      <w:rFonts w:hint="eastAsia"/>
                      <w:sz w:val="22"/>
                      <w:szCs w:val="22"/>
                    </w:rPr>
                    <w:t>剩余容量能够满足新增生活污水的处理需求，依托可行。</w:t>
                  </w:r>
                </w:p>
              </w:tc>
            </w:tr>
            <w:tr w14:paraId="5CF3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1C0ED00E">
                  <w:pPr>
                    <w:pStyle w:val="82"/>
                    <w:spacing w:line="240" w:lineRule="auto"/>
                    <w:ind w:firstLine="0" w:firstLineChars="0"/>
                    <w:jc w:val="center"/>
                    <w:rPr>
                      <w:sz w:val="22"/>
                      <w:szCs w:val="22"/>
                    </w:rPr>
                  </w:pPr>
                  <w:r>
                    <w:rPr>
                      <w:rFonts w:hint="eastAsia"/>
                      <w:sz w:val="22"/>
                      <w:szCs w:val="22"/>
                    </w:rPr>
                    <w:t>9</w:t>
                  </w:r>
                </w:p>
              </w:tc>
              <w:tc>
                <w:tcPr>
                  <w:tcW w:w="2160" w:type="dxa"/>
                  <w:gridSpan w:val="2"/>
                  <w:vAlign w:val="center"/>
                </w:tcPr>
                <w:p w14:paraId="79D44BB4">
                  <w:pPr>
                    <w:pStyle w:val="82"/>
                    <w:spacing w:line="240" w:lineRule="auto"/>
                    <w:ind w:firstLine="0" w:firstLineChars="0"/>
                    <w:jc w:val="center"/>
                    <w:rPr>
                      <w:sz w:val="22"/>
                      <w:szCs w:val="22"/>
                    </w:rPr>
                  </w:pPr>
                  <w:r>
                    <w:rPr>
                      <w:sz w:val="22"/>
                      <w:szCs w:val="22"/>
                    </w:rPr>
                    <w:t>供电</w:t>
                  </w:r>
                </w:p>
              </w:tc>
              <w:tc>
                <w:tcPr>
                  <w:tcW w:w="1728" w:type="dxa"/>
                  <w:vAlign w:val="center"/>
                </w:tcPr>
                <w:p w14:paraId="29960558">
                  <w:pPr>
                    <w:pStyle w:val="82"/>
                    <w:spacing w:line="240" w:lineRule="auto"/>
                    <w:ind w:firstLine="0" w:firstLineChars="0"/>
                    <w:jc w:val="center"/>
                    <w:rPr>
                      <w:sz w:val="22"/>
                      <w:szCs w:val="22"/>
                    </w:rPr>
                  </w:pPr>
                  <w:r>
                    <w:rPr>
                      <w:rFonts w:hint="eastAsia"/>
                      <w:sz w:val="22"/>
                      <w:szCs w:val="22"/>
                    </w:rPr>
                    <w:t>依托</w:t>
                  </w:r>
                  <w:r>
                    <w:rPr>
                      <w:sz w:val="22"/>
                      <w:szCs w:val="22"/>
                    </w:rPr>
                    <w:t>市政供电</w:t>
                  </w:r>
                </w:p>
              </w:tc>
              <w:tc>
                <w:tcPr>
                  <w:tcW w:w="3981" w:type="dxa"/>
                  <w:vAlign w:val="center"/>
                </w:tcPr>
                <w:p w14:paraId="7FDC8569">
                  <w:pPr>
                    <w:pStyle w:val="82"/>
                    <w:spacing w:line="240" w:lineRule="auto"/>
                    <w:ind w:firstLine="0" w:firstLineChars="0"/>
                    <w:jc w:val="center"/>
                    <w:rPr>
                      <w:sz w:val="22"/>
                      <w:szCs w:val="22"/>
                    </w:rPr>
                  </w:pPr>
                  <w:r>
                    <w:rPr>
                      <w:rFonts w:hint="eastAsia"/>
                      <w:sz w:val="22"/>
                      <w:szCs w:val="22"/>
                    </w:rPr>
                    <w:t>厂区用电均由市政供电，依托可行。</w:t>
                  </w:r>
                </w:p>
              </w:tc>
            </w:tr>
            <w:tr w14:paraId="09BF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4CC1FD52">
                  <w:pPr>
                    <w:pStyle w:val="82"/>
                    <w:spacing w:line="240" w:lineRule="auto"/>
                    <w:ind w:firstLine="0" w:firstLineChars="0"/>
                    <w:jc w:val="center"/>
                    <w:rPr>
                      <w:sz w:val="22"/>
                      <w:szCs w:val="22"/>
                    </w:rPr>
                  </w:pPr>
                  <w:r>
                    <w:rPr>
                      <w:rFonts w:hint="eastAsia"/>
                      <w:sz w:val="22"/>
                      <w:szCs w:val="22"/>
                    </w:rPr>
                    <w:t>10</w:t>
                  </w:r>
                </w:p>
              </w:tc>
              <w:tc>
                <w:tcPr>
                  <w:tcW w:w="2160" w:type="dxa"/>
                  <w:gridSpan w:val="2"/>
                  <w:vAlign w:val="center"/>
                </w:tcPr>
                <w:p w14:paraId="2B62ED79">
                  <w:pPr>
                    <w:pStyle w:val="82"/>
                    <w:spacing w:line="240" w:lineRule="auto"/>
                    <w:ind w:firstLine="0" w:firstLineChars="0"/>
                    <w:jc w:val="center"/>
                    <w:rPr>
                      <w:sz w:val="22"/>
                      <w:szCs w:val="22"/>
                    </w:rPr>
                  </w:pPr>
                  <w:r>
                    <w:rPr>
                      <w:sz w:val="22"/>
                      <w:szCs w:val="22"/>
                    </w:rPr>
                    <w:t>废气治理设施</w:t>
                  </w:r>
                </w:p>
              </w:tc>
              <w:tc>
                <w:tcPr>
                  <w:tcW w:w="1728" w:type="dxa"/>
                  <w:vAlign w:val="center"/>
                </w:tcPr>
                <w:p w14:paraId="7BC6390D">
                  <w:pPr>
                    <w:pStyle w:val="82"/>
                    <w:spacing w:line="240" w:lineRule="auto"/>
                    <w:ind w:firstLine="0" w:firstLineChars="0"/>
                    <w:jc w:val="center"/>
                    <w:rPr>
                      <w:sz w:val="22"/>
                      <w:szCs w:val="22"/>
                    </w:rPr>
                  </w:pPr>
                  <w:r>
                    <w:rPr>
                      <w:rFonts w:hint="eastAsia"/>
                      <w:sz w:val="22"/>
                      <w:szCs w:val="22"/>
                    </w:rPr>
                    <w:t>依托现有食堂废气治理设施</w:t>
                  </w:r>
                </w:p>
              </w:tc>
              <w:tc>
                <w:tcPr>
                  <w:tcW w:w="3981" w:type="dxa"/>
                  <w:vAlign w:val="center"/>
                </w:tcPr>
                <w:p w14:paraId="40D5C578">
                  <w:pPr>
                    <w:pStyle w:val="82"/>
                    <w:spacing w:line="240" w:lineRule="auto"/>
                    <w:ind w:firstLine="0" w:firstLineChars="0"/>
                    <w:jc w:val="center"/>
                    <w:rPr>
                      <w:sz w:val="22"/>
                      <w:szCs w:val="22"/>
                    </w:rPr>
                  </w:pPr>
                  <w:r>
                    <w:rPr>
                      <w:rFonts w:hint="eastAsia"/>
                      <w:sz w:val="22"/>
                      <w:szCs w:val="22"/>
                    </w:rPr>
                    <w:t>依托现有食堂，</w:t>
                  </w:r>
                  <w:r>
                    <w:rPr>
                      <w:sz w:val="22"/>
                      <w:szCs w:val="22"/>
                    </w:rPr>
                    <w:t>食堂产生食堂油烟，经油烟净化器处理后引至屋顶排放。</w:t>
                  </w:r>
                </w:p>
              </w:tc>
            </w:tr>
            <w:tr w14:paraId="1F65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79F2F540">
                  <w:pPr>
                    <w:pStyle w:val="82"/>
                    <w:spacing w:line="240" w:lineRule="auto"/>
                    <w:ind w:firstLine="0" w:firstLineChars="0"/>
                    <w:jc w:val="center"/>
                    <w:rPr>
                      <w:sz w:val="22"/>
                      <w:szCs w:val="22"/>
                    </w:rPr>
                  </w:pPr>
                  <w:r>
                    <w:rPr>
                      <w:rFonts w:hint="eastAsia"/>
                      <w:sz w:val="22"/>
                      <w:szCs w:val="22"/>
                    </w:rPr>
                    <w:t>11</w:t>
                  </w:r>
                </w:p>
              </w:tc>
              <w:tc>
                <w:tcPr>
                  <w:tcW w:w="960" w:type="dxa"/>
                  <w:vMerge w:val="restart"/>
                  <w:vAlign w:val="center"/>
                </w:tcPr>
                <w:p w14:paraId="091F732E">
                  <w:pPr>
                    <w:pStyle w:val="82"/>
                    <w:spacing w:line="240" w:lineRule="auto"/>
                    <w:ind w:firstLine="0" w:firstLineChars="0"/>
                    <w:jc w:val="center"/>
                    <w:rPr>
                      <w:sz w:val="22"/>
                      <w:szCs w:val="22"/>
                    </w:rPr>
                  </w:pPr>
                  <w:r>
                    <w:rPr>
                      <w:sz w:val="22"/>
                      <w:szCs w:val="22"/>
                    </w:rPr>
                    <w:t>废水处理设施</w:t>
                  </w:r>
                </w:p>
              </w:tc>
              <w:tc>
                <w:tcPr>
                  <w:tcW w:w="1200" w:type="dxa"/>
                  <w:vAlign w:val="center"/>
                </w:tcPr>
                <w:p w14:paraId="792A9AFF">
                  <w:pPr>
                    <w:pStyle w:val="82"/>
                    <w:spacing w:line="240" w:lineRule="auto"/>
                    <w:ind w:firstLine="0" w:firstLineChars="0"/>
                    <w:jc w:val="center"/>
                    <w:rPr>
                      <w:sz w:val="22"/>
                      <w:szCs w:val="22"/>
                    </w:rPr>
                  </w:pPr>
                  <w:r>
                    <w:rPr>
                      <w:sz w:val="22"/>
                      <w:szCs w:val="22"/>
                    </w:rPr>
                    <w:t>隔油池</w:t>
                  </w:r>
                </w:p>
              </w:tc>
              <w:tc>
                <w:tcPr>
                  <w:tcW w:w="1728" w:type="dxa"/>
                  <w:vAlign w:val="center"/>
                </w:tcPr>
                <w:p w14:paraId="53906D1D">
                  <w:pPr>
                    <w:pStyle w:val="82"/>
                    <w:spacing w:line="240" w:lineRule="auto"/>
                    <w:ind w:firstLine="0" w:firstLineChars="0"/>
                    <w:jc w:val="center"/>
                    <w:rPr>
                      <w:sz w:val="22"/>
                      <w:szCs w:val="22"/>
                    </w:rPr>
                  </w:pPr>
                  <w:r>
                    <w:rPr>
                      <w:rFonts w:hint="eastAsia"/>
                      <w:sz w:val="22"/>
                      <w:szCs w:val="22"/>
                    </w:rPr>
                    <w:t>依托现有隔油池</w:t>
                  </w:r>
                </w:p>
              </w:tc>
              <w:tc>
                <w:tcPr>
                  <w:tcW w:w="3981" w:type="dxa"/>
                  <w:vAlign w:val="center"/>
                </w:tcPr>
                <w:p w14:paraId="1E44EF13">
                  <w:pPr>
                    <w:pStyle w:val="82"/>
                    <w:spacing w:line="240" w:lineRule="auto"/>
                    <w:ind w:firstLine="0" w:firstLineChars="0"/>
                    <w:jc w:val="center"/>
                    <w:rPr>
                      <w:sz w:val="22"/>
                      <w:szCs w:val="22"/>
                    </w:rPr>
                  </w:pPr>
                  <w:r>
                    <w:rPr>
                      <w:rFonts w:hint="eastAsia"/>
                      <w:sz w:val="22"/>
                      <w:szCs w:val="22"/>
                    </w:rPr>
                    <w:t>拟建项目不新增食堂，隔油池处理能力能够满足新增劳动定员产生的食堂废水处理需求，依托可行。</w:t>
                  </w:r>
                </w:p>
              </w:tc>
            </w:tr>
            <w:tr w14:paraId="463D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101CFAEE">
                  <w:pPr>
                    <w:pStyle w:val="82"/>
                    <w:spacing w:line="240" w:lineRule="auto"/>
                    <w:ind w:firstLine="0" w:firstLineChars="0"/>
                    <w:jc w:val="center"/>
                    <w:rPr>
                      <w:sz w:val="22"/>
                      <w:szCs w:val="22"/>
                    </w:rPr>
                  </w:pPr>
                  <w:r>
                    <w:rPr>
                      <w:rFonts w:hint="eastAsia"/>
                      <w:sz w:val="22"/>
                      <w:szCs w:val="22"/>
                    </w:rPr>
                    <w:t>12</w:t>
                  </w:r>
                </w:p>
              </w:tc>
              <w:tc>
                <w:tcPr>
                  <w:tcW w:w="960" w:type="dxa"/>
                  <w:vMerge w:val="continue"/>
                  <w:vAlign w:val="center"/>
                </w:tcPr>
                <w:p w14:paraId="023C0173">
                  <w:pPr>
                    <w:pStyle w:val="82"/>
                    <w:spacing w:line="240" w:lineRule="auto"/>
                    <w:ind w:firstLine="0" w:firstLineChars="0"/>
                    <w:jc w:val="center"/>
                    <w:rPr>
                      <w:sz w:val="22"/>
                      <w:szCs w:val="22"/>
                    </w:rPr>
                  </w:pPr>
                </w:p>
              </w:tc>
              <w:tc>
                <w:tcPr>
                  <w:tcW w:w="1200" w:type="dxa"/>
                  <w:vAlign w:val="center"/>
                </w:tcPr>
                <w:p w14:paraId="568E963B">
                  <w:pPr>
                    <w:pStyle w:val="82"/>
                    <w:spacing w:line="240" w:lineRule="auto"/>
                    <w:ind w:firstLine="0" w:firstLineChars="0"/>
                    <w:jc w:val="center"/>
                    <w:rPr>
                      <w:rFonts w:hint="eastAsia" w:eastAsia="宋体"/>
                      <w:sz w:val="22"/>
                      <w:szCs w:val="22"/>
                      <w:lang w:eastAsia="zh-CN"/>
                    </w:rPr>
                  </w:pPr>
                  <w:r>
                    <w:rPr>
                      <w:rFonts w:hint="eastAsia"/>
                      <w:sz w:val="22"/>
                      <w:szCs w:val="22"/>
                      <w:lang w:eastAsia="zh-CN"/>
                    </w:rPr>
                    <w:t>化粪池</w:t>
                  </w:r>
                </w:p>
              </w:tc>
              <w:tc>
                <w:tcPr>
                  <w:tcW w:w="1728" w:type="dxa"/>
                  <w:vAlign w:val="center"/>
                </w:tcPr>
                <w:p w14:paraId="776F15E2">
                  <w:pPr>
                    <w:pStyle w:val="82"/>
                    <w:spacing w:line="240" w:lineRule="auto"/>
                    <w:ind w:firstLine="0" w:firstLineChars="0"/>
                    <w:jc w:val="center"/>
                    <w:rPr>
                      <w:rFonts w:hint="eastAsia" w:eastAsia="宋体"/>
                      <w:sz w:val="22"/>
                      <w:szCs w:val="22"/>
                      <w:lang w:eastAsia="zh-CN"/>
                    </w:rPr>
                  </w:pPr>
                  <w:r>
                    <w:rPr>
                      <w:rFonts w:hint="eastAsia"/>
                      <w:sz w:val="22"/>
                      <w:szCs w:val="22"/>
                    </w:rPr>
                    <w:t>依托现有</w:t>
                  </w:r>
                  <w:r>
                    <w:rPr>
                      <w:rFonts w:hint="eastAsia"/>
                      <w:sz w:val="22"/>
                      <w:szCs w:val="22"/>
                      <w:lang w:eastAsia="zh-CN"/>
                    </w:rPr>
                    <w:t>化粪池</w:t>
                  </w:r>
                </w:p>
              </w:tc>
              <w:tc>
                <w:tcPr>
                  <w:tcW w:w="3981" w:type="dxa"/>
                  <w:vAlign w:val="center"/>
                </w:tcPr>
                <w:p w14:paraId="4B02B704">
                  <w:pPr>
                    <w:pStyle w:val="82"/>
                    <w:spacing w:line="240" w:lineRule="auto"/>
                    <w:ind w:firstLine="0" w:firstLineChars="0"/>
                    <w:jc w:val="center"/>
                    <w:rPr>
                      <w:sz w:val="22"/>
                      <w:szCs w:val="22"/>
                    </w:rPr>
                  </w:pPr>
                  <w:r>
                    <w:rPr>
                      <w:sz w:val="22"/>
                      <w:szCs w:val="22"/>
                    </w:rPr>
                    <w:t>生活污水依托现有的</w:t>
                  </w:r>
                  <w:r>
                    <w:rPr>
                      <w:rFonts w:hint="eastAsia"/>
                      <w:sz w:val="22"/>
                      <w:szCs w:val="22"/>
                      <w:lang w:eastAsia="zh-CN"/>
                    </w:rPr>
                    <w:t>化粪池</w:t>
                  </w:r>
                  <w:r>
                    <w:rPr>
                      <w:sz w:val="22"/>
                      <w:szCs w:val="22"/>
                    </w:rPr>
                    <w:t>，</w:t>
                  </w:r>
                  <w:r>
                    <w:rPr>
                      <w:rFonts w:hint="eastAsia"/>
                      <w:sz w:val="22"/>
                      <w:szCs w:val="22"/>
                    </w:rPr>
                    <w:t>东西地块</w:t>
                  </w:r>
                  <w:r>
                    <w:rPr>
                      <w:sz w:val="22"/>
                      <w:szCs w:val="22"/>
                    </w:rPr>
                    <w:t>设计处理能力分别为</w:t>
                  </w:r>
                  <w:r>
                    <w:rPr>
                      <w:rFonts w:hint="eastAsia"/>
                      <w:sz w:val="22"/>
                      <w:szCs w:val="22"/>
                      <w:lang w:val="en-US" w:eastAsia="zh-CN"/>
                    </w:rPr>
                    <w:t>50</w:t>
                  </w:r>
                  <w:r>
                    <w:rPr>
                      <w:sz w:val="22"/>
                      <w:szCs w:val="22"/>
                    </w:rPr>
                    <w:t>m</w:t>
                  </w:r>
                  <w:r>
                    <w:rPr>
                      <w:sz w:val="22"/>
                      <w:szCs w:val="22"/>
                      <w:vertAlign w:val="superscript"/>
                    </w:rPr>
                    <w:t>3</w:t>
                  </w:r>
                  <w:r>
                    <w:rPr>
                      <w:sz w:val="22"/>
                      <w:szCs w:val="22"/>
                    </w:rPr>
                    <w:t>/d</w:t>
                  </w:r>
                  <w:r>
                    <w:rPr>
                      <w:rFonts w:hint="eastAsia"/>
                      <w:sz w:val="22"/>
                      <w:szCs w:val="22"/>
                    </w:rPr>
                    <w:t>、</w:t>
                  </w:r>
                  <w:r>
                    <w:rPr>
                      <w:rFonts w:hint="eastAsia"/>
                      <w:sz w:val="22"/>
                      <w:szCs w:val="22"/>
                      <w:lang w:val="en-US" w:eastAsia="zh-CN"/>
                    </w:rPr>
                    <w:t>40</w:t>
                  </w:r>
                  <w:r>
                    <w:rPr>
                      <w:sz w:val="22"/>
                      <w:szCs w:val="22"/>
                    </w:rPr>
                    <w:t>m</w:t>
                  </w:r>
                  <w:r>
                    <w:rPr>
                      <w:sz w:val="22"/>
                      <w:szCs w:val="22"/>
                      <w:vertAlign w:val="superscript"/>
                    </w:rPr>
                    <w:t>3</w:t>
                  </w:r>
                  <w:r>
                    <w:rPr>
                      <w:sz w:val="22"/>
                      <w:szCs w:val="22"/>
                    </w:rPr>
                    <w:t>/d，</w:t>
                  </w:r>
                  <w:r>
                    <w:rPr>
                      <w:rFonts w:hint="eastAsia"/>
                      <w:sz w:val="22"/>
                      <w:szCs w:val="22"/>
                    </w:rPr>
                    <w:t>剩余处理能力能够满足拟建项目的处理需求，依托可行。</w:t>
                  </w:r>
                </w:p>
              </w:tc>
            </w:tr>
            <w:tr w14:paraId="5104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shd w:val="clear" w:color="auto" w:fill="auto"/>
                  <w:vAlign w:val="center"/>
                </w:tcPr>
                <w:p w14:paraId="03373209">
                  <w:pPr>
                    <w:pStyle w:val="82"/>
                    <w:spacing w:line="240" w:lineRule="auto"/>
                    <w:ind w:firstLine="0" w:firstLineChars="0"/>
                    <w:jc w:val="center"/>
                    <w:rPr>
                      <w:sz w:val="22"/>
                      <w:szCs w:val="22"/>
                    </w:rPr>
                  </w:pPr>
                  <w:r>
                    <w:rPr>
                      <w:rFonts w:hint="eastAsia"/>
                      <w:sz w:val="22"/>
                      <w:szCs w:val="22"/>
                    </w:rPr>
                    <w:t>13</w:t>
                  </w:r>
                </w:p>
              </w:tc>
              <w:tc>
                <w:tcPr>
                  <w:tcW w:w="960" w:type="dxa"/>
                  <w:vMerge w:val="restart"/>
                  <w:vAlign w:val="center"/>
                </w:tcPr>
                <w:p w14:paraId="6E1805F2">
                  <w:pPr>
                    <w:pStyle w:val="82"/>
                    <w:spacing w:line="240" w:lineRule="auto"/>
                    <w:ind w:firstLine="0" w:firstLineChars="0"/>
                    <w:jc w:val="center"/>
                    <w:rPr>
                      <w:sz w:val="22"/>
                      <w:szCs w:val="22"/>
                    </w:rPr>
                  </w:pPr>
                  <w:r>
                    <w:rPr>
                      <w:sz w:val="22"/>
                      <w:szCs w:val="22"/>
                    </w:rPr>
                    <w:t>固体废物暂存设施</w:t>
                  </w:r>
                </w:p>
              </w:tc>
              <w:tc>
                <w:tcPr>
                  <w:tcW w:w="1200" w:type="dxa"/>
                  <w:vAlign w:val="center"/>
                </w:tcPr>
                <w:p w14:paraId="6E00CAE6">
                  <w:pPr>
                    <w:pStyle w:val="82"/>
                    <w:spacing w:line="240" w:lineRule="auto"/>
                    <w:ind w:firstLine="0" w:firstLineChars="0"/>
                    <w:jc w:val="center"/>
                    <w:rPr>
                      <w:sz w:val="22"/>
                      <w:szCs w:val="22"/>
                    </w:rPr>
                  </w:pPr>
                  <w:r>
                    <w:rPr>
                      <w:sz w:val="22"/>
                      <w:szCs w:val="22"/>
                    </w:rPr>
                    <w:t>一般固废暂存间</w:t>
                  </w:r>
                </w:p>
              </w:tc>
              <w:tc>
                <w:tcPr>
                  <w:tcW w:w="1728" w:type="dxa"/>
                  <w:vAlign w:val="center"/>
                </w:tcPr>
                <w:p w14:paraId="7D536D18">
                  <w:pPr>
                    <w:pStyle w:val="82"/>
                    <w:spacing w:line="240" w:lineRule="auto"/>
                    <w:ind w:firstLine="0" w:firstLineChars="0"/>
                    <w:jc w:val="center"/>
                    <w:rPr>
                      <w:sz w:val="22"/>
                      <w:szCs w:val="22"/>
                    </w:rPr>
                  </w:pPr>
                  <w:r>
                    <w:rPr>
                      <w:rFonts w:hint="eastAsia"/>
                      <w:sz w:val="22"/>
                      <w:szCs w:val="22"/>
                    </w:rPr>
                    <w:t>依托现有固废暂存间</w:t>
                  </w:r>
                </w:p>
              </w:tc>
              <w:tc>
                <w:tcPr>
                  <w:tcW w:w="3981" w:type="dxa"/>
                  <w:vAlign w:val="center"/>
                </w:tcPr>
                <w:p w14:paraId="72430D75">
                  <w:pPr>
                    <w:pStyle w:val="82"/>
                    <w:spacing w:line="240" w:lineRule="auto"/>
                    <w:ind w:firstLine="0" w:firstLineChars="0"/>
                    <w:jc w:val="center"/>
                    <w:rPr>
                      <w:sz w:val="22"/>
                      <w:szCs w:val="22"/>
                    </w:rPr>
                  </w:pPr>
                  <w:r>
                    <w:rPr>
                      <w:sz w:val="22"/>
                      <w:szCs w:val="22"/>
                    </w:rPr>
                    <w:t>依托厂区现有的一般固废暂存间，东地块位于动力中心064，1F，面积约20m</w:t>
                  </w:r>
                  <w:r>
                    <w:rPr>
                      <w:sz w:val="22"/>
                      <w:szCs w:val="22"/>
                      <w:vertAlign w:val="superscript"/>
                    </w:rPr>
                    <w:t>2</w:t>
                  </w:r>
                  <w:r>
                    <w:rPr>
                      <w:sz w:val="22"/>
                      <w:szCs w:val="22"/>
                    </w:rPr>
                    <w:t>。西地块垃圾站建筑面积108m</w:t>
                  </w:r>
                  <w:r>
                    <w:rPr>
                      <w:sz w:val="22"/>
                      <w:szCs w:val="22"/>
                      <w:vertAlign w:val="superscript"/>
                    </w:rPr>
                    <w:t>2</w:t>
                  </w:r>
                  <w:r>
                    <w:rPr>
                      <w:rFonts w:hint="eastAsia"/>
                      <w:sz w:val="22"/>
                      <w:szCs w:val="22"/>
                    </w:rPr>
                    <w:t>，暂存剩余容量能够满足拟建工程的一般固废的暂存需求，依托可行。</w:t>
                  </w:r>
                </w:p>
              </w:tc>
            </w:tr>
            <w:tr w14:paraId="38E0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14:paraId="7607A25C">
                  <w:pPr>
                    <w:pStyle w:val="82"/>
                    <w:spacing w:line="240" w:lineRule="auto"/>
                    <w:ind w:firstLine="0" w:firstLineChars="0"/>
                    <w:jc w:val="center"/>
                    <w:rPr>
                      <w:sz w:val="22"/>
                      <w:szCs w:val="22"/>
                    </w:rPr>
                  </w:pPr>
                  <w:r>
                    <w:rPr>
                      <w:rFonts w:hint="eastAsia"/>
                      <w:sz w:val="22"/>
                      <w:szCs w:val="22"/>
                    </w:rPr>
                    <w:t>14</w:t>
                  </w:r>
                </w:p>
              </w:tc>
              <w:tc>
                <w:tcPr>
                  <w:tcW w:w="960" w:type="dxa"/>
                  <w:vMerge w:val="continue"/>
                  <w:vAlign w:val="center"/>
                </w:tcPr>
                <w:p w14:paraId="444C2C2A">
                  <w:pPr>
                    <w:pStyle w:val="82"/>
                    <w:spacing w:line="240" w:lineRule="auto"/>
                    <w:ind w:firstLine="0" w:firstLineChars="0"/>
                    <w:jc w:val="center"/>
                    <w:rPr>
                      <w:sz w:val="22"/>
                      <w:szCs w:val="22"/>
                    </w:rPr>
                  </w:pPr>
                </w:p>
              </w:tc>
              <w:tc>
                <w:tcPr>
                  <w:tcW w:w="1200" w:type="dxa"/>
                  <w:vAlign w:val="center"/>
                </w:tcPr>
                <w:p w14:paraId="3AC20938">
                  <w:pPr>
                    <w:pStyle w:val="82"/>
                    <w:spacing w:line="240" w:lineRule="auto"/>
                    <w:ind w:firstLine="0" w:firstLineChars="0"/>
                    <w:jc w:val="center"/>
                    <w:rPr>
                      <w:rFonts w:hint="eastAsia" w:eastAsia="宋体"/>
                      <w:sz w:val="22"/>
                      <w:szCs w:val="22"/>
                      <w:lang w:eastAsia="zh-CN"/>
                    </w:rPr>
                  </w:pPr>
                  <w:r>
                    <w:rPr>
                      <w:sz w:val="22"/>
                      <w:szCs w:val="22"/>
                    </w:rPr>
                    <w:t>危废</w:t>
                  </w:r>
                  <w:r>
                    <w:rPr>
                      <w:rFonts w:hint="eastAsia"/>
                      <w:sz w:val="22"/>
                      <w:szCs w:val="22"/>
                      <w:lang w:val="en-US" w:eastAsia="zh-CN"/>
                    </w:rPr>
                    <w:t>贮存库</w:t>
                  </w:r>
                </w:p>
              </w:tc>
              <w:tc>
                <w:tcPr>
                  <w:tcW w:w="1728" w:type="dxa"/>
                  <w:vAlign w:val="center"/>
                </w:tcPr>
                <w:p w14:paraId="139F2955">
                  <w:pPr>
                    <w:pStyle w:val="82"/>
                    <w:spacing w:line="240" w:lineRule="auto"/>
                    <w:ind w:firstLine="0" w:firstLineChars="0"/>
                    <w:jc w:val="center"/>
                    <w:rPr>
                      <w:rFonts w:hint="eastAsia" w:eastAsia="宋体"/>
                      <w:sz w:val="22"/>
                      <w:szCs w:val="22"/>
                      <w:lang w:eastAsia="zh-CN"/>
                    </w:rPr>
                  </w:pPr>
                  <w:r>
                    <w:rPr>
                      <w:rFonts w:hint="eastAsia"/>
                      <w:sz w:val="22"/>
                      <w:szCs w:val="22"/>
                    </w:rPr>
                    <w:t>依托现有</w:t>
                  </w:r>
                  <w:r>
                    <w:rPr>
                      <w:sz w:val="22"/>
                      <w:szCs w:val="22"/>
                    </w:rPr>
                    <w:t>危废</w:t>
                  </w:r>
                  <w:r>
                    <w:rPr>
                      <w:rFonts w:hint="eastAsia"/>
                      <w:sz w:val="22"/>
                      <w:szCs w:val="22"/>
                      <w:lang w:val="en-US" w:eastAsia="zh-CN"/>
                    </w:rPr>
                    <w:t>贮存库</w:t>
                  </w:r>
                </w:p>
              </w:tc>
              <w:tc>
                <w:tcPr>
                  <w:tcW w:w="3981" w:type="dxa"/>
                  <w:vAlign w:val="center"/>
                </w:tcPr>
                <w:p w14:paraId="0BE773A6">
                  <w:pPr>
                    <w:pStyle w:val="82"/>
                    <w:spacing w:line="240" w:lineRule="auto"/>
                    <w:ind w:firstLine="0" w:firstLineChars="0"/>
                    <w:jc w:val="center"/>
                    <w:rPr>
                      <w:sz w:val="22"/>
                      <w:szCs w:val="22"/>
                    </w:rPr>
                  </w:pPr>
                  <w:r>
                    <w:rPr>
                      <w:sz w:val="22"/>
                      <w:szCs w:val="22"/>
                    </w:rPr>
                    <w:t>现有的</w:t>
                  </w:r>
                  <w:r>
                    <w:rPr>
                      <w:rFonts w:hint="eastAsia"/>
                      <w:sz w:val="22"/>
                      <w:szCs w:val="22"/>
                      <w:lang w:eastAsia="zh-CN"/>
                    </w:rPr>
                    <w:t>危废贮存库</w:t>
                  </w:r>
                  <w:r>
                    <w:rPr>
                      <w:sz w:val="22"/>
                      <w:szCs w:val="22"/>
                    </w:rPr>
                    <w:t>，位于东地块危险品库内，约</w:t>
                  </w:r>
                  <w:r>
                    <w:rPr>
                      <w:rFonts w:hint="eastAsia"/>
                      <w:sz w:val="22"/>
                      <w:szCs w:val="22"/>
                      <w:lang w:val="en-US" w:eastAsia="zh-CN"/>
                    </w:rPr>
                    <w:t>3</w:t>
                  </w:r>
                  <w:r>
                    <w:rPr>
                      <w:sz w:val="22"/>
                      <w:szCs w:val="22"/>
                    </w:rPr>
                    <w:t>0m</w:t>
                  </w:r>
                  <w:r>
                    <w:rPr>
                      <w:sz w:val="22"/>
                      <w:szCs w:val="22"/>
                      <w:vertAlign w:val="superscript"/>
                    </w:rPr>
                    <w:t>2</w:t>
                  </w:r>
                  <w:r>
                    <w:rPr>
                      <w:sz w:val="22"/>
                      <w:szCs w:val="22"/>
                    </w:rPr>
                    <w:t>，</w:t>
                  </w:r>
                  <w:r>
                    <w:rPr>
                      <w:rFonts w:hint="eastAsia"/>
                      <w:sz w:val="22"/>
                      <w:szCs w:val="22"/>
                    </w:rPr>
                    <w:t>剩余暂存容量能够满足拟建项目危险废物的暂存需求，依托可行。</w:t>
                  </w:r>
                </w:p>
              </w:tc>
            </w:tr>
          </w:tbl>
          <w:p w14:paraId="6257C444">
            <w:pPr>
              <w:pStyle w:val="82"/>
              <w:ind w:firstLine="522"/>
              <w:rPr>
                <w:b/>
              </w:rPr>
            </w:pPr>
            <w:r>
              <w:rPr>
                <w:b/>
              </w:rPr>
              <w:t>2.5工程建构筑物</w:t>
            </w:r>
          </w:p>
          <w:p w14:paraId="3CEDB57B">
            <w:pPr>
              <w:pStyle w:val="82"/>
              <w:ind w:firstLine="520"/>
              <w:rPr>
                <w:b/>
              </w:rPr>
            </w:pPr>
            <w:r>
              <w:t>项目建构筑物情况见表2.4-</w:t>
            </w:r>
            <w:r>
              <w:rPr>
                <w:rFonts w:hint="eastAsia"/>
              </w:rPr>
              <w:t>2</w:t>
            </w:r>
            <w:r>
              <w:t>。</w:t>
            </w:r>
          </w:p>
          <w:p w14:paraId="22309FE8">
            <w:pPr>
              <w:pStyle w:val="82"/>
              <w:ind w:firstLine="520"/>
              <w:jc w:val="center"/>
              <w:rPr>
                <w:bCs w:val="0"/>
                <w:szCs w:val="20"/>
              </w:rPr>
            </w:pPr>
            <w:r>
              <w:rPr>
                <w:bCs w:val="0"/>
                <w:szCs w:val="20"/>
              </w:rPr>
              <w:t>表2.4-</w:t>
            </w:r>
            <w:r>
              <w:rPr>
                <w:rFonts w:hint="eastAsia"/>
                <w:bCs w:val="0"/>
                <w:szCs w:val="20"/>
              </w:rPr>
              <w:t>2</w:t>
            </w:r>
            <w:r>
              <w:rPr>
                <w:rFonts w:hint="eastAsia"/>
                <w:bCs w:val="0"/>
                <w:szCs w:val="20"/>
                <w:lang w:val="en-US" w:eastAsia="zh-CN"/>
              </w:rPr>
              <w:t xml:space="preserve">  </w:t>
            </w:r>
            <w:r>
              <w:rPr>
                <w:bCs w:val="0"/>
                <w:szCs w:val="20"/>
              </w:rPr>
              <w:t>项目建构筑物一览表</w:t>
            </w:r>
          </w:p>
          <w:tbl>
            <w:tblPr>
              <w:tblStyle w:val="30"/>
              <w:tblW w:w="8391" w:type="dxa"/>
              <w:tblInd w:w="0" w:type="dxa"/>
              <w:tblLayout w:type="fixed"/>
              <w:tblCellMar>
                <w:top w:w="0" w:type="dxa"/>
                <w:left w:w="108" w:type="dxa"/>
                <w:bottom w:w="0" w:type="dxa"/>
                <w:right w:w="108" w:type="dxa"/>
              </w:tblCellMar>
            </w:tblPr>
            <w:tblGrid>
              <w:gridCol w:w="1146"/>
              <w:gridCol w:w="1411"/>
              <w:gridCol w:w="1680"/>
              <w:gridCol w:w="1259"/>
              <w:gridCol w:w="1559"/>
              <w:gridCol w:w="1336"/>
            </w:tblGrid>
            <w:tr w14:paraId="58BB8CBD">
              <w:tblPrEx>
                <w:tblCellMar>
                  <w:top w:w="0" w:type="dxa"/>
                  <w:left w:w="108" w:type="dxa"/>
                  <w:bottom w:w="0" w:type="dxa"/>
                  <w:right w:w="108" w:type="dxa"/>
                </w:tblCellMar>
              </w:tblPrEx>
              <w:trPr>
                <w:cantSplit/>
                <w:trHeight w:val="369"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99AF90">
                  <w:pPr>
                    <w:pStyle w:val="41"/>
                    <w:spacing w:line="240" w:lineRule="auto"/>
                    <w:rPr>
                      <w:sz w:val="22"/>
                      <w:szCs w:val="22"/>
                    </w:rPr>
                  </w:pPr>
                  <w:r>
                    <w:rPr>
                      <w:sz w:val="22"/>
                      <w:szCs w:val="22"/>
                    </w:rPr>
                    <w:t>建筑编号</w:t>
                  </w:r>
                </w:p>
              </w:tc>
              <w:tc>
                <w:tcPr>
                  <w:tcW w:w="8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A66635">
                  <w:pPr>
                    <w:pStyle w:val="41"/>
                    <w:spacing w:line="240" w:lineRule="auto"/>
                    <w:rPr>
                      <w:sz w:val="22"/>
                      <w:szCs w:val="22"/>
                    </w:rPr>
                  </w:pPr>
                  <w:r>
                    <w:rPr>
                      <w:sz w:val="22"/>
                      <w:szCs w:val="22"/>
                    </w:rPr>
                    <w:t>建筑名称</w:t>
                  </w:r>
                </w:p>
              </w:tc>
              <w:tc>
                <w:tcPr>
                  <w:tcW w:w="10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E7F695">
                  <w:pPr>
                    <w:pStyle w:val="41"/>
                    <w:spacing w:line="240" w:lineRule="auto"/>
                    <w:rPr>
                      <w:sz w:val="22"/>
                      <w:szCs w:val="22"/>
                    </w:rPr>
                  </w:pPr>
                  <w:r>
                    <w:rPr>
                      <w:sz w:val="22"/>
                      <w:szCs w:val="22"/>
                    </w:rPr>
                    <w:t>建筑面积（</w:t>
                  </w:r>
                  <w:r>
                    <w:rPr>
                      <w:rFonts w:hint="eastAsia"/>
                      <w:sz w:val="22"/>
                      <w:szCs w:val="22"/>
                    </w:rPr>
                    <w:t>m</w:t>
                  </w:r>
                  <w:r>
                    <w:rPr>
                      <w:rFonts w:hint="eastAsia"/>
                      <w:sz w:val="22"/>
                      <w:szCs w:val="22"/>
                      <w:vertAlign w:val="superscript"/>
                    </w:rPr>
                    <w:t>2</w:t>
                  </w:r>
                  <w:r>
                    <w:rPr>
                      <w:sz w:val="22"/>
                      <w:szCs w:val="22"/>
                    </w:rPr>
                    <w:t>）</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E77364">
                  <w:pPr>
                    <w:pStyle w:val="41"/>
                    <w:spacing w:line="240" w:lineRule="auto"/>
                    <w:rPr>
                      <w:sz w:val="22"/>
                      <w:szCs w:val="22"/>
                    </w:rPr>
                  </w:pPr>
                  <w:r>
                    <w:rPr>
                      <w:sz w:val="22"/>
                      <w:szCs w:val="22"/>
                    </w:rPr>
                    <w:t>建筑高度（m）</w:t>
                  </w:r>
                </w:p>
              </w:tc>
              <w:tc>
                <w:tcPr>
                  <w:tcW w:w="9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D19EB5">
                  <w:pPr>
                    <w:pStyle w:val="41"/>
                    <w:spacing w:line="240" w:lineRule="auto"/>
                    <w:rPr>
                      <w:sz w:val="22"/>
                      <w:szCs w:val="22"/>
                    </w:rPr>
                  </w:pPr>
                  <w:r>
                    <w:rPr>
                      <w:sz w:val="22"/>
                      <w:szCs w:val="22"/>
                    </w:rPr>
                    <w:t>最大层数</w:t>
                  </w:r>
                </w:p>
              </w:tc>
              <w:tc>
                <w:tcPr>
                  <w:tcW w:w="7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E6A5F2">
                  <w:pPr>
                    <w:pStyle w:val="41"/>
                    <w:spacing w:line="240" w:lineRule="auto"/>
                    <w:rPr>
                      <w:sz w:val="22"/>
                      <w:szCs w:val="22"/>
                    </w:rPr>
                  </w:pPr>
                  <w:r>
                    <w:rPr>
                      <w:sz w:val="22"/>
                      <w:szCs w:val="22"/>
                    </w:rPr>
                    <w:t>备注</w:t>
                  </w:r>
                </w:p>
              </w:tc>
            </w:tr>
            <w:tr w14:paraId="08DA24DD">
              <w:tblPrEx>
                <w:tblCellMar>
                  <w:top w:w="0" w:type="dxa"/>
                  <w:left w:w="108" w:type="dxa"/>
                  <w:bottom w:w="0" w:type="dxa"/>
                  <w:right w:w="108" w:type="dxa"/>
                </w:tblCellMar>
              </w:tblPrEx>
              <w:trPr>
                <w:cantSplit/>
                <w:trHeight w:val="369"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DAC294">
                  <w:pPr>
                    <w:pStyle w:val="41"/>
                    <w:spacing w:line="240" w:lineRule="auto"/>
                    <w:rPr>
                      <w:sz w:val="22"/>
                      <w:szCs w:val="22"/>
                    </w:rPr>
                  </w:pPr>
                  <w:r>
                    <w:rPr>
                      <w:sz w:val="22"/>
                      <w:szCs w:val="22"/>
                    </w:rPr>
                    <w:t>060</w:t>
                  </w:r>
                </w:p>
              </w:tc>
              <w:tc>
                <w:tcPr>
                  <w:tcW w:w="8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7BA050">
                  <w:pPr>
                    <w:pStyle w:val="41"/>
                    <w:spacing w:line="240" w:lineRule="auto"/>
                    <w:rPr>
                      <w:sz w:val="22"/>
                      <w:szCs w:val="22"/>
                    </w:rPr>
                  </w:pPr>
                  <w:r>
                    <w:rPr>
                      <w:sz w:val="22"/>
                      <w:szCs w:val="22"/>
                    </w:rPr>
                    <w:t>发动机生产车间</w:t>
                  </w:r>
                </w:p>
              </w:tc>
              <w:tc>
                <w:tcPr>
                  <w:tcW w:w="10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EAA0AA">
                  <w:pPr>
                    <w:pStyle w:val="41"/>
                    <w:spacing w:line="240" w:lineRule="auto"/>
                    <w:rPr>
                      <w:sz w:val="22"/>
                      <w:szCs w:val="22"/>
                    </w:rPr>
                  </w:pPr>
                  <w:r>
                    <w:rPr>
                      <w:sz w:val="22"/>
                      <w:szCs w:val="22"/>
                    </w:rPr>
                    <w:t>22188.67</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62CA1B">
                  <w:pPr>
                    <w:pStyle w:val="41"/>
                    <w:spacing w:line="240" w:lineRule="auto"/>
                    <w:rPr>
                      <w:sz w:val="22"/>
                      <w:szCs w:val="22"/>
                    </w:rPr>
                  </w:pPr>
                  <w:r>
                    <w:rPr>
                      <w:sz w:val="22"/>
                      <w:szCs w:val="22"/>
                    </w:rPr>
                    <w:t>15.6</w:t>
                  </w:r>
                </w:p>
              </w:tc>
              <w:tc>
                <w:tcPr>
                  <w:tcW w:w="9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89C407">
                  <w:pPr>
                    <w:pStyle w:val="41"/>
                    <w:spacing w:line="240" w:lineRule="auto"/>
                    <w:rPr>
                      <w:sz w:val="22"/>
                      <w:szCs w:val="22"/>
                    </w:rPr>
                  </w:pPr>
                  <w:r>
                    <w:rPr>
                      <w:sz w:val="22"/>
                      <w:szCs w:val="22"/>
                    </w:rPr>
                    <w:t>1F，局部2F</w:t>
                  </w:r>
                </w:p>
              </w:tc>
              <w:tc>
                <w:tcPr>
                  <w:tcW w:w="7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028C72">
                  <w:pPr>
                    <w:pStyle w:val="41"/>
                    <w:spacing w:line="240" w:lineRule="auto"/>
                    <w:rPr>
                      <w:sz w:val="22"/>
                      <w:szCs w:val="22"/>
                    </w:rPr>
                  </w:pPr>
                  <w:r>
                    <w:rPr>
                      <w:sz w:val="22"/>
                      <w:szCs w:val="22"/>
                    </w:rPr>
                    <w:t>依托</w:t>
                  </w:r>
                </w:p>
              </w:tc>
            </w:tr>
            <w:tr w14:paraId="561C2619">
              <w:tblPrEx>
                <w:tblCellMar>
                  <w:top w:w="0" w:type="dxa"/>
                  <w:left w:w="108" w:type="dxa"/>
                  <w:bottom w:w="0" w:type="dxa"/>
                  <w:right w:w="108" w:type="dxa"/>
                </w:tblCellMar>
              </w:tblPrEx>
              <w:trPr>
                <w:cantSplit/>
                <w:trHeight w:val="369"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E97937">
                  <w:pPr>
                    <w:pStyle w:val="41"/>
                    <w:spacing w:line="240" w:lineRule="auto"/>
                    <w:rPr>
                      <w:rFonts w:hint="default" w:eastAsia="宋体"/>
                      <w:sz w:val="22"/>
                      <w:szCs w:val="22"/>
                      <w:lang w:val="en-US" w:eastAsia="zh-CN"/>
                    </w:rPr>
                  </w:pPr>
                  <w:r>
                    <w:rPr>
                      <w:rFonts w:hint="eastAsia"/>
                      <w:sz w:val="22"/>
                      <w:szCs w:val="22"/>
                      <w:lang w:val="en-US" w:eastAsia="zh-CN"/>
                    </w:rPr>
                    <w:t>071</w:t>
                  </w:r>
                </w:p>
              </w:tc>
              <w:tc>
                <w:tcPr>
                  <w:tcW w:w="14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11696">
                  <w:pPr>
                    <w:pStyle w:val="41"/>
                    <w:rPr>
                      <w:sz w:val="22"/>
                      <w:szCs w:val="22"/>
                    </w:rPr>
                  </w:pPr>
                  <w:r>
                    <w:rPr>
                      <w:rFonts w:hint="eastAsia"/>
                      <w:color w:val="000000" w:themeColor="text1"/>
                      <w:sz w:val="22"/>
                      <w:szCs w:val="22"/>
                      <w14:textFill>
                        <w14:solidFill>
                          <w14:schemeClr w14:val="tx1"/>
                        </w14:solidFill>
                      </w14:textFill>
                    </w:rPr>
                    <w:t>发动机检测实验室</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DE888">
                  <w:pPr>
                    <w:pStyle w:val="41"/>
                    <w:rPr>
                      <w:sz w:val="22"/>
                      <w:szCs w:val="22"/>
                    </w:rPr>
                  </w:pPr>
                  <w:r>
                    <w:rPr>
                      <w:color w:val="000000" w:themeColor="text1"/>
                      <w:sz w:val="22"/>
                      <w:szCs w:val="22"/>
                      <w14:textFill>
                        <w14:solidFill>
                          <w14:schemeClr w14:val="tx1"/>
                        </w14:solidFill>
                      </w14:textFill>
                    </w:rPr>
                    <w:t>12962.2</w:t>
                  </w:r>
                </w:p>
              </w:tc>
              <w:tc>
                <w:tcPr>
                  <w:tcW w:w="12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1A0AD">
                  <w:pPr>
                    <w:pStyle w:val="41"/>
                    <w:rPr>
                      <w:sz w:val="22"/>
                      <w:szCs w:val="22"/>
                    </w:rPr>
                  </w:pPr>
                  <w:r>
                    <w:rPr>
                      <w:color w:val="000000" w:themeColor="text1"/>
                      <w:sz w:val="22"/>
                      <w:szCs w:val="22"/>
                      <w14:textFill>
                        <w14:solidFill>
                          <w14:schemeClr w14:val="tx1"/>
                        </w14:solidFill>
                      </w14:textFill>
                    </w:rPr>
                    <w:t>14</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65975">
                  <w:pPr>
                    <w:pStyle w:val="41"/>
                    <w:rPr>
                      <w:sz w:val="22"/>
                      <w:szCs w:val="22"/>
                    </w:rPr>
                  </w:pPr>
                  <w:r>
                    <w:rPr>
                      <w:rFonts w:hint="eastAsia"/>
                      <w:color w:val="000000" w:themeColor="text1"/>
                      <w:sz w:val="22"/>
                      <w:szCs w:val="22"/>
                      <w14:textFill>
                        <w14:solidFill>
                          <w14:schemeClr w14:val="tx1"/>
                        </w14:solidFill>
                      </w14:textFill>
                    </w:rPr>
                    <w:t>1F，局部2F</w:t>
                  </w:r>
                </w:p>
              </w:tc>
              <w:tc>
                <w:tcPr>
                  <w:tcW w:w="13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9993A">
                  <w:pPr>
                    <w:pStyle w:val="41"/>
                    <w:rPr>
                      <w:sz w:val="22"/>
                      <w:szCs w:val="22"/>
                    </w:rPr>
                  </w:pPr>
                  <w:r>
                    <w:rPr>
                      <w:sz w:val="22"/>
                      <w:szCs w:val="22"/>
                    </w:rPr>
                    <w:t>依托</w:t>
                  </w:r>
                </w:p>
              </w:tc>
            </w:tr>
            <w:tr w14:paraId="475D6D16">
              <w:tblPrEx>
                <w:tblCellMar>
                  <w:top w:w="0" w:type="dxa"/>
                  <w:left w:w="108" w:type="dxa"/>
                  <w:bottom w:w="0" w:type="dxa"/>
                  <w:right w:w="108" w:type="dxa"/>
                </w:tblCellMar>
              </w:tblPrEx>
              <w:trPr>
                <w:cantSplit/>
                <w:trHeight w:val="369"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5F3E54">
                  <w:pPr>
                    <w:pStyle w:val="41"/>
                    <w:spacing w:line="240" w:lineRule="auto"/>
                    <w:rPr>
                      <w:sz w:val="22"/>
                      <w:szCs w:val="22"/>
                    </w:rPr>
                  </w:pPr>
                  <w:r>
                    <w:rPr>
                      <w:sz w:val="22"/>
                      <w:szCs w:val="22"/>
                    </w:rPr>
                    <w:t>064</w:t>
                  </w:r>
                </w:p>
              </w:tc>
              <w:tc>
                <w:tcPr>
                  <w:tcW w:w="8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29FB6F">
                  <w:pPr>
                    <w:pStyle w:val="41"/>
                    <w:spacing w:line="240" w:lineRule="auto"/>
                    <w:rPr>
                      <w:sz w:val="22"/>
                      <w:szCs w:val="22"/>
                    </w:rPr>
                  </w:pPr>
                  <w:r>
                    <w:rPr>
                      <w:sz w:val="22"/>
                      <w:szCs w:val="22"/>
                    </w:rPr>
                    <w:t>动力中心</w:t>
                  </w:r>
                </w:p>
              </w:tc>
              <w:tc>
                <w:tcPr>
                  <w:tcW w:w="10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5D7F8B">
                  <w:pPr>
                    <w:pStyle w:val="41"/>
                    <w:spacing w:line="240" w:lineRule="auto"/>
                    <w:rPr>
                      <w:sz w:val="22"/>
                      <w:szCs w:val="22"/>
                    </w:rPr>
                  </w:pPr>
                  <w:r>
                    <w:rPr>
                      <w:sz w:val="22"/>
                      <w:szCs w:val="22"/>
                    </w:rPr>
                    <w:t>2797.77</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3EC192">
                  <w:pPr>
                    <w:pStyle w:val="41"/>
                    <w:spacing w:line="240" w:lineRule="auto"/>
                    <w:rPr>
                      <w:sz w:val="22"/>
                      <w:szCs w:val="22"/>
                    </w:rPr>
                  </w:pPr>
                  <w:r>
                    <w:rPr>
                      <w:sz w:val="22"/>
                      <w:szCs w:val="22"/>
                    </w:rPr>
                    <w:t>11.5</w:t>
                  </w:r>
                </w:p>
              </w:tc>
              <w:tc>
                <w:tcPr>
                  <w:tcW w:w="9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6F5924">
                  <w:pPr>
                    <w:pStyle w:val="41"/>
                    <w:spacing w:line="240" w:lineRule="auto"/>
                    <w:rPr>
                      <w:sz w:val="22"/>
                      <w:szCs w:val="22"/>
                    </w:rPr>
                  </w:pPr>
                  <w:r>
                    <w:rPr>
                      <w:sz w:val="22"/>
                      <w:szCs w:val="22"/>
                    </w:rPr>
                    <w:t>1F</w:t>
                  </w:r>
                </w:p>
              </w:tc>
              <w:tc>
                <w:tcPr>
                  <w:tcW w:w="7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8C0C9C">
                  <w:pPr>
                    <w:pStyle w:val="41"/>
                    <w:spacing w:line="240" w:lineRule="auto"/>
                    <w:rPr>
                      <w:sz w:val="22"/>
                      <w:szCs w:val="22"/>
                    </w:rPr>
                  </w:pPr>
                  <w:r>
                    <w:rPr>
                      <w:sz w:val="22"/>
                      <w:szCs w:val="22"/>
                    </w:rPr>
                    <w:t>依托</w:t>
                  </w:r>
                </w:p>
              </w:tc>
            </w:tr>
            <w:tr w14:paraId="1DFEB843">
              <w:tblPrEx>
                <w:tblCellMar>
                  <w:top w:w="0" w:type="dxa"/>
                  <w:left w:w="108" w:type="dxa"/>
                  <w:bottom w:w="0" w:type="dxa"/>
                  <w:right w:w="108" w:type="dxa"/>
                </w:tblCellMar>
              </w:tblPrEx>
              <w:trPr>
                <w:cantSplit/>
                <w:trHeight w:val="369"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B872DF">
                  <w:pPr>
                    <w:pStyle w:val="41"/>
                    <w:spacing w:line="240" w:lineRule="auto"/>
                    <w:rPr>
                      <w:sz w:val="22"/>
                      <w:szCs w:val="22"/>
                    </w:rPr>
                  </w:pPr>
                  <w:r>
                    <w:rPr>
                      <w:sz w:val="22"/>
                      <w:szCs w:val="22"/>
                    </w:rPr>
                    <w:t>074</w:t>
                  </w:r>
                </w:p>
              </w:tc>
              <w:tc>
                <w:tcPr>
                  <w:tcW w:w="8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793D3F">
                  <w:pPr>
                    <w:pStyle w:val="41"/>
                    <w:spacing w:line="240" w:lineRule="auto"/>
                    <w:rPr>
                      <w:sz w:val="22"/>
                      <w:szCs w:val="22"/>
                    </w:rPr>
                  </w:pPr>
                  <w:r>
                    <w:rPr>
                      <w:sz w:val="22"/>
                      <w:szCs w:val="22"/>
                    </w:rPr>
                    <w:t>气站站房</w:t>
                  </w:r>
                </w:p>
              </w:tc>
              <w:tc>
                <w:tcPr>
                  <w:tcW w:w="10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A564C6">
                  <w:pPr>
                    <w:pStyle w:val="41"/>
                    <w:spacing w:line="240" w:lineRule="auto"/>
                    <w:rPr>
                      <w:sz w:val="22"/>
                      <w:szCs w:val="22"/>
                    </w:rPr>
                  </w:pPr>
                  <w:r>
                    <w:rPr>
                      <w:sz w:val="22"/>
                      <w:szCs w:val="22"/>
                    </w:rPr>
                    <w:t>56.25</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291C46">
                  <w:pPr>
                    <w:pStyle w:val="41"/>
                    <w:spacing w:line="240" w:lineRule="auto"/>
                    <w:rPr>
                      <w:sz w:val="22"/>
                      <w:szCs w:val="22"/>
                    </w:rPr>
                  </w:pPr>
                  <w:r>
                    <w:rPr>
                      <w:sz w:val="22"/>
                      <w:szCs w:val="22"/>
                    </w:rPr>
                    <w:t>4.2</w:t>
                  </w:r>
                </w:p>
              </w:tc>
              <w:tc>
                <w:tcPr>
                  <w:tcW w:w="9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BD4D98">
                  <w:pPr>
                    <w:pStyle w:val="41"/>
                    <w:spacing w:line="240" w:lineRule="auto"/>
                    <w:rPr>
                      <w:sz w:val="22"/>
                      <w:szCs w:val="22"/>
                    </w:rPr>
                  </w:pPr>
                  <w:r>
                    <w:rPr>
                      <w:sz w:val="22"/>
                      <w:szCs w:val="22"/>
                    </w:rPr>
                    <w:t>1F</w:t>
                  </w:r>
                </w:p>
              </w:tc>
              <w:tc>
                <w:tcPr>
                  <w:tcW w:w="7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8245D1">
                  <w:pPr>
                    <w:pStyle w:val="41"/>
                    <w:spacing w:line="240" w:lineRule="auto"/>
                    <w:rPr>
                      <w:sz w:val="22"/>
                      <w:szCs w:val="22"/>
                    </w:rPr>
                  </w:pPr>
                  <w:r>
                    <w:rPr>
                      <w:sz w:val="22"/>
                      <w:szCs w:val="22"/>
                    </w:rPr>
                    <w:t>依托</w:t>
                  </w:r>
                </w:p>
              </w:tc>
            </w:tr>
            <w:tr w14:paraId="74E82C72">
              <w:tblPrEx>
                <w:tblCellMar>
                  <w:top w:w="0" w:type="dxa"/>
                  <w:left w:w="108" w:type="dxa"/>
                  <w:bottom w:w="0" w:type="dxa"/>
                  <w:right w:w="108" w:type="dxa"/>
                </w:tblCellMar>
              </w:tblPrEx>
              <w:trPr>
                <w:cantSplit/>
                <w:trHeight w:val="369"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D56E62">
                  <w:pPr>
                    <w:pStyle w:val="41"/>
                    <w:spacing w:line="240" w:lineRule="auto"/>
                    <w:rPr>
                      <w:sz w:val="22"/>
                      <w:szCs w:val="22"/>
                    </w:rPr>
                  </w:pPr>
                  <w:r>
                    <w:rPr>
                      <w:sz w:val="22"/>
                      <w:szCs w:val="22"/>
                    </w:rPr>
                    <w:t>082</w:t>
                  </w:r>
                </w:p>
              </w:tc>
              <w:tc>
                <w:tcPr>
                  <w:tcW w:w="8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D28F39">
                  <w:pPr>
                    <w:pStyle w:val="41"/>
                    <w:spacing w:line="240" w:lineRule="auto"/>
                    <w:rPr>
                      <w:sz w:val="22"/>
                      <w:szCs w:val="22"/>
                    </w:rPr>
                  </w:pPr>
                  <w:r>
                    <w:rPr>
                      <w:sz w:val="22"/>
                      <w:szCs w:val="22"/>
                    </w:rPr>
                    <w:t>危险品库</w:t>
                  </w:r>
                </w:p>
              </w:tc>
              <w:tc>
                <w:tcPr>
                  <w:tcW w:w="10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1EB9A5">
                  <w:pPr>
                    <w:pStyle w:val="41"/>
                    <w:spacing w:line="240" w:lineRule="auto"/>
                    <w:rPr>
                      <w:sz w:val="22"/>
                      <w:szCs w:val="22"/>
                    </w:rPr>
                  </w:pPr>
                  <w:r>
                    <w:rPr>
                      <w:sz w:val="22"/>
                      <w:szCs w:val="22"/>
                    </w:rPr>
                    <w:t>313.69</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3B2B2D">
                  <w:pPr>
                    <w:pStyle w:val="41"/>
                    <w:spacing w:line="240" w:lineRule="auto"/>
                    <w:rPr>
                      <w:sz w:val="22"/>
                      <w:szCs w:val="22"/>
                    </w:rPr>
                  </w:pPr>
                  <w:r>
                    <w:rPr>
                      <w:sz w:val="22"/>
                      <w:szCs w:val="22"/>
                    </w:rPr>
                    <w:t>6.2</w:t>
                  </w:r>
                </w:p>
              </w:tc>
              <w:tc>
                <w:tcPr>
                  <w:tcW w:w="9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85EB18">
                  <w:pPr>
                    <w:pStyle w:val="41"/>
                    <w:spacing w:line="240" w:lineRule="auto"/>
                    <w:rPr>
                      <w:sz w:val="22"/>
                      <w:szCs w:val="22"/>
                    </w:rPr>
                  </w:pPr>
                  <w:r>
                    <w:rPr>
                      <w:sz w:val="22"/>
                      <w:szCs w:val="22"/>
                    </w:rPr>
                    <w:t>1F</w:t>
                  </w:r>
                </w:p>
              </w:tc>
              <w:tc>
                <w:tcPr>
                  <w:tcW w:w="7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4C9C68">
                  <w:pPr>
                    <w:pStyle w:val="41"/>
                    <w:spacing w:line="240" w:lineRule="auto"/>
                    <w:rPr>
                      <w:sz w:val="22"/>
                      <w:szCs w:val="22"/>
                    </w:rPr>
                  </w:pPr>
                  <w:r>
                    <w:rPr>
                      <w:sz w:val="22"/>
                      <w:szCs w:val="22"/>
                    </w:rPr>
                    <w:t>依托</w:t>
                  </w:r>
                </w:p>
              </w:tc>
            </w:tr>
            <w:tr w14:paraId="4A881A76">
              <w:tblPrEx>
                <w:tblCellMar>
                  <w:top w:w="0" w:type="dxa"/>
                  <w:left w:w="108" w:type="dxa"/>
                  <w:bottom w:w="0" w:type="dxa"/>
                  <w:right w:w="108" w:type="dxa"/>
                </w:tblCellMar>
              </w:tblPrEx>
              <w:trPr>
                <w:cantSplit/>
                <w:trHeight w:val="369" w:hRule="atLeast"/>
              </w:trPr>
              <w:tc>
                <w:tcPr>
                  <w:tcW w:w="6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4F1AD7">
                  <w:pPr>
                    <w:pStyle w:val="41"/>
                    <w:spacing w:line="240" w:lineRule="auto"/>
                    <w:rPr>
                      <w:sz w:val="22"/>
                      <w:szCs w:val="22"/>
                    </w:rPr>
                  </w:pPr>
                  <w:r>
                    <w:rPr>
                      <w:sz w:val="22"/>
                      <w:szCs w:val="22"/>
                    </w:rPr>
                    <w:t>070</w:t>
                  </w:r>
                </w:p>
              </w:tc>
              <w:tc>
                <w:tcPr>
                  <w:tcW w:w="8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60E806">
                  <w:pPr>
                    <w:pStyle w:val="41"/>
                    <w:spacing w:line="240" w:lineRule="auto"/>
                    <w:rPr>
                      <w:sz w:val="22"/>
                      <w:szCs w:val="22"/>
                    </w:rPr>
                  </w:pPr>
                  <w:r>
                    <w:rPr>
                      <w:sz w:val="22"/>
                      <w:szCs w:val="22"/>
                    </w:rPr>
                    <w:t>办公楼</w:t>
                  </w:r>
                </w:p>
              </w:tc>
              <w:tc>
                <w:tcPr>
                  <w:tcW w:w="10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0945B4">
                  <w:pPr>
                    <w:pStyle w:val="41"/>
                    <w:spacing w:line="240" w:lineRule="auto"/>
                    <w:rPr>
                      <w:sz w:val="22"/>
                      <w:szCs w:val="22"/>
                    </w:rPr>
                  </w:pPr>
                  <w:r>
                    <w:rPr>
                      <w:sz w:val="22"/>
                      <w:szCs w:val="22"/>
                    </w:rPr>
                    <w:t>22669.9</w:t>
                  </w:r>
                </w:p>
              </w:tc>
              <w:tc>
                <w:tcPr>
                  <w:tcW w:w="7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4FAA63">
                  <w:pPr>
                    <w:pStyle w:val="41"/>
                    <w:spacing w:line="240" w:lineRule="auto"/>
                    <w:rPr>
                      <w:sz w:val="22"/>
                      <w:szCs w:val="22"/>
                    </w:rPr>
                  </w:pPr>
                  <w:r>
                    <w:rPr>
                      <w:sz w:val="22"/>
                      <w:szCs w:val="22"/>
                    </w:rPr>
                    <w:t>23.9</w:t>
                  </w:r>
                </w:p>
              </w:tc>
              <w:tc>
                <w:tcPr>
                  <w:tcW w:w="9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D4F32D">
                  <w:pPr>
                    <w:pStyle w:val="41"/>
                    <w:spacing w:line="240" w:lineRule="auto"/>
                    <w:rPr>
                      <w:sz w:val="22"/>
                      <w:szCs w:val="22"/>
                    </w:rPr>
                  </w:pPr>
                  <w:r>
                    <w:rPr>
                      <w:sz w:val="22"/>
                      <w:szCs w:val="22"/>
                    </w:rPr>
                    <w:t>5F</w:t>
                  </w:r>
                </w:p>
              </w:tc>
              <w:tc>
                <w:tcPr>
                  <w:tcW w:w="7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5B4434">
                  <w:pPr>
                    <w:pStyle w:val="41"/>
                    <w:spacing w:line="240" w:lineRule="auto"/>
                    <w:rPr>
                      <w:sz w:val="22"/>
                      <w:szCs w:val="22"/>
                    </w:rPr>
                  </w:pPr>
                  <w:r>
                    <w:rPr>
                      <w:sz w:val="22"/>
                      <w:szCs w:val="22"/>
                    </w:rPr>
                    <w:t>依托</w:t>
                  </w:r>
                </w:p>
              </w:tc>
            </w:tr>
            <w:tr w14:paraId="3794943B">
              <w:tblPrEx>
                <w:tblCellMar>
                  <w:top w:w="0" w:type="dxa"/>
                  <w:left w:w="108" w:type="dxa"/>
                  <w:bottom w:w="0" w:type="dxa"/>
                  <w:right w:w="108" w:type="dxa"/>
                </w:tblCellMar>
              </w:tblPrEx>
              <w:trPr>
                <w:cantSplit/>
                <w:trHeight w:val="369" w:hRule="atLeast"/>
              </w:trPr>
              <w:tc>
                <w:tcPr>
                  <w:tcW w:w="682" w:type="pct"/>
                  <w:tcBorders>
                    <w:top w:val="nil"/>
                    <w:left w:val="single" w:color="000000" w:sz="8" w:space="0"/>
                    <w:bottom w:val="single" w:color="000000" w:sz="8" w:space="0"/>
                    <w:right w:val="single" w:color="000000" w:sz="8" w:space="0"/>
                  </w:tcBorders>
                  <w:shd w:val="clear" w:color="auto" w:fill="auto"/>
                  <w:vAlign w:val="center"/>
                </w:tcPr>
                <w:p w14:paraId="6B82EE7E">
                  <w:pPr>
                    <w:pStyle w:val="41"/>
                    <w:spacing w:line="240" w:lineRule="auto"/>
                    <w:rPr>
                      <w:sz w:val="22"/>
                      <w:szCs w:val="22"/>
                    </w:rPr>
                  </w:pPr>
                  <w:r>
                    <w:rPr>
                      <w:sz w:val="22"/>
                      <w:szCs w:val="22"/>
                    </w:rPr>
                    <w:t>063</w:t>
                  </w:r>
                </w:p>
              </w:tc>
              <w:tc>
                <w:tcPr>
                  <w:tcW w:w="840" w:type="pct"/>
                  <w:tcBorders>
                    <w:top w:val="nil"/>
                    <w:left w:val="single" w:color="000000" w:sz="8" w:space="0"/>
                    <w:bottom w:val="single" w:color="000000" w:sz="8" w:space="0"/>
                    <w:right w:val="single" w:color="000000" w:sz="8" w:space="0"/>
                  </w:tcBorders>
                  <w:shd w:val="clear" w:color="auto" w:fill="auto"/>
                  <w:vAlign w:val="center"/>
                </w:tcPr>
                <w:p w14:paraId="120A6D30">
                  <w:pPr>
                    <w:pStyle w:val="41"/>
                    <w:spacing w:line="240" w:lineRule="auto"/>
                    <w:rPr>
                      <w:sz w:val="22"/>
                      <w:szCs w:val="22"/>
                    </w:rPr>
                  </w:pPr>
                  <w:r>
                    <w:rPr>
                      <w:sz w:val="22"/>
                      <w:szCs w:val="22"/>
                    </w:rPr>
                    <w:t>食堂</w:t>
                  </w:r>
                </w:p>
              </w:tc>
              <w:tc>
                <w:tcPr>
                  <w:tcW w:w="1001" w:type="pct"/>
                  <w:tcBorders>
                    <w:top w:val="nil"/>
                    <w:left w:val="single" w:color="000000" w:sz="8" w:space="0"/>
                    <w:bottom w:val="single" w:color="000000" w:sz="8" w:space="0"/>
                    <w:right w:val="single" w:color="000000" w:sz="8" w:space="0"/>
                  </w:tcBorders>
                  <w:shd w:val="clear" w:color="auto" w:fill="auto"/>
                  <w:vAlign w:val="center"/>
                </w:tcPr>
                <w:p w14:paraId="31B957C6">
                  <w:pPr>
                    <w:pStyle w:val="41"/>
                    <w:spacing w:line="240" w:lineRule="auto"/>
                    <w:rPr>
                      <w:sz w:val="22"/>
                      <w:szCs w:val="22"/>
                    </w:rPr>
                  </w:pPr>
                  <w:r>
                    <w:rPr>
                      <w:sz w:val="22"/>
                      <w:szCs w:val="22"/>
                    </w:rPr>
                    <w:t>5027.63</w:t>
                  </w:r>
                </w:p>
              </w:tc>
              <w:tc>
                <w:tcPr>
                  <w:tcW w:w="750" w:type="pct"/>
                  <w:tcBorders>
                    <w:top w:val="nil"/>
                    <w:left w:val="single" w:color="000000" w:sz="8" w:space="0"/>
                    <w:bottom w:val="single" w:color="000000" w:sz="8" w:space="0"/>
                    <w:right w:val="single" w:color="000000" w:sz="8" w:space="0"/>
                  </w:tcBorders>
                  <w:shd w:val="clear" w:color="auto" w:fill="auto"/>
                  <w:vAlign w:val="center"/>
                </w:tcPr>
                <w:p w14:paraId="4001EF6E">
                  <w:pPr>
                    <w:pStyle w:val="41"/>
                    <w:spacing w:line="240" w:lineRule="auto"/>
                    <w:rPr>
                      <w:sz w:val="22"/>
                      <w:szCs w:val="22"/>
                    </w:rPr>
                  </w:pPr>
                  <w:r>
                    <w:rPr>
                      <w:sz w:val="22"/>
                      <w:szCs w:val="22"/>
                    </w:rPr>
                    <w:t>12.7</w:t>
                  </w:r>
                </w:p>
              </w:tc>
              <w:tc>
                <w:tcPr>
                  <w:tcW w:w="929" w:type="pct"/>
                  <w:tcBorders>
                    <w:top w:val="nil"/>
                    <w:left w:val="single" w:color="000000" w:sz="8" w:space="0"/>
                    <w:bottom w:val="single" w:color="000000" w:sz="8" w:space="0"/>
                    <w:right w:val="single" w:color="000000" w:sz="8" w:space="0"/>
                  </w:tcBorders>
                  <w:shd w:val="clear" w:color="auto" w:fill="auto"/>
                  <w:vAlign w:val="center"/>
                </w:tcPr>
                <w:p w14:paraId="73B2226E">
                  <w:pPr>
                    <w:pStyle w:val="41"/>
                    <w:spacing w:line="240" w:lineRule="auto"/>
                    <w:rPr>
                      <w:sz w:val="22"/>
                      <w:szCs w:val="22"/>
                    </w:rPr>
                  </w:pPr>
                  <w:r>
                    <w:rPr>
                      <w:sz w:val="22"/>
                      <w:szCs w:val="22"/>
                    </w:rPr>
                    <w:t>1F</w:t>
                  </w:r>
                </w:p>
              </w:tc>
              <w:tc>
                <w:tcPr>
                  <w:tcW w:w="796" w:type="pct"/>
                  <w:tcBorders>
                    <w:top w:val="nil"/>
                    <w:left w:val="single" w:color="000000" w:sz="8" w:space="0"/>
                    <w:bottom w:val="single" w:color="000000" w:sz="8" w:space="0"/>
                    <w:right w:val="single" w:color="000000" w:sz="8" w:space="0"/>
                  </w:tcBorders>
                  <w:shd w:val="clear" w:color="auto" w:fill="auto"/>
                  <w:vAlign w:val="center"/>
                </w:tcPr>
                <w:p w14:paraId="58970EEF">
                  <w:pPr>
                    <w:pStyle w:val="41"/>
                    <w:spacing w:line="240" w:lineRule="auto"/>
                    <w:rPr>
                      <w:sz w:val="22"/>
                      <w:szCs w:val="22"/>
                    </w:rPr>
                  </w:pPr>
                  <w:r>
                    <w:rPr>
                      <w:sz w:val="22"/>
                      <w:szCs w:val="22"/>
                    </w:rPr>
                    <w:t>依托</w:t>
                  </w:r>
                </w:p>
              </w:tc>
            </w:tr>
            <w:tr w14:paraId="1BC6808B">
              <w:tblPrEx>
                <w:tblCellMar>
                  <w:top w:w="0" w:type="dxa"/>
                  <w:left w:w="108" w:type="dxa"/>
                  <w:bottom w:w="0" w:type="dxa"/>
                  <w:right w:w="108" w:type="dxa"/>
                </w:tblCellMar>
              </w:tblPrEx>
              <w:trPr>
                <w:cantSplit/>
                <w:trHeight w:val="369" w:hRule="atLeast"/>
              </w:trPr>
              <w:tc>
                <w:tcPr>
                  <w:tcW w:w="682" w:type="pct"/>
                  <w:tcBorders>
                    <w:top w:val="nil"/>
                    <w:left w:val="single" w:color="000000" w:sz="8" w:space="0"/>
                    <w:bottom w:val="single" w:color="000000" w:sz="8" w:space="0"/>
                    <w:right w:val="single" w:color="000000" w:sz="8" w:space="0"/>
                  </w:tcBorders>
                  <w:shd w:val="clear" w:color="auto" w:fill="auto"/>
                  <w:vAlign w:val="center"/>
                </w:tcPr>
                <w:p w14:paraId="6561685B">
                  <w:pPr>
                    <w:pStyle w:val="41"/>
                    <w:spacing w:line="240" w:lineRule="auto"/>
                    <w:rPr>
                      <w:sz w:val="22"/>
                      <w:szCs w:val="22"/>
                    </w:rPr>
                  </w:pPr>
                  <w:r>
                    <w:rPr>
                      <w:sz w:val="22"/>
                      <w:szCs w:val="22"/>
                    </w:rPr>
                    <w:t>067</w:t>
                  </w:r>
                </w:p>
              </w:tc>
              <w:tc>
                <w:tcPr>
                  <w:tcW w:w="840" w:type="pct"/>
                  <w:tcBorders>
                    <w:top w:val="nil"/>
                    <w:left w:val="single" w:color="000000" w:sz="8" w:space="0"/>
                    <w:bottom w:val="single" w:color="000000" w:sz="8" w:space="0"/>
                    <w:right w:val="single" w:color="000000" w:sz="8" w:space="0"/>
                  </w:tcBorders>
                  <w:shd w:val="clear" w:color="auto" w:fill="auto"/>
                  <w:vAlign w:val="center"/>
                </w:tcPr>
                <w:p w14:paraId="2F9AD085">
                  <w:pPr>
                    <w:pStyle w:val="41"/>
                    <w:spacing w:line="240" w:lineRule="auto"/>
                    <w:rPr>
                      <w:sz w:val="22"/>
                      <w:szCs w:val="22"/>
                    </w:rPr>
                  </w:pPr>
                  <w:r>
                    <w:rPr>
                      <w:sz w:val="22"/>
                      <w:szCs w:val="22"/>
                    </w:rPr>
                    <w:t>067主门卫</w:t>
                  </w:r>
                </w:p>
              </w:tc>
              <w:tc>
                <w:tcPr>
                  <w:tcW w:w="1001" w:type="pct"/>
                  <w:tcBorders>
                    <w:top w:val="nil"/>
                    <w:left w:val="single" w:color="000000" w:sz="8" w:space="0"/>
                    <w:bottom w:val="single" w:color="000000" w:sz="8" w:space="0"/>
                    <w:right w:val="single" w:color="000000" w:sz="8" w:space="0"/>
                  </w:tcBorders>
                  <w:shd w:val="clear" w:color="auto" w:fill="auto"/>
                  <w:vAlign w:val="center"/>
                </w:tcPr>
                <w:p w14:paraId="4292864A">
                  <w:pPr>
                    <w:pStyle w:val="41"/>
                    <w:spacing w:line="240" w:lineRule="auto"/>
                    <w:rPr>
                      <w:sz w:val="22"/>
                      <w:szCs w:val="22"/>
                    </w:rPr>
                  </w:pPr>
                  <w:r>
                    <w:rPr>
                      <w:sz w:val="22"/>
                      <w:szCs w:val="22"/>
                    </w:rPr>
                    <w:t>675.32</w:t>
                  </w:r>
                </w:p>
              </w:tc>
              <w:tc>
                <w:tcPr>
                  <w:tcW w:w="750" w:type="pct"/>
                  <w:tcBorders>
                    <w:top w:val="nil"/>
                    <w:left w:val="single" w:color="000000" w:sz="8" w:space="0"/>
                    <w:bottom w:val="single" w:color="000000" w:sz="8" w:space="0"/>
                    <w:right w:val="single" w:color="000000" w:sz="8" w:space="0"/>
                  </w:tcBorders>
                  <w:shd w:val="clear" w:color="auto" w:fill="auto"/>
                  <w:vAlign w:val="center"/>
                </w:tcPr>
                <w:p w14:paraId="4EFAA6E7">
                  <w:pPr>
                    <w:pStyle w:val="41"/>
                    <w:spacing w:line="240" w:lineRule="auto"/>
                    <w:rPr>
                      <w:sz w:val="22"/>
                      <w:szCs w:val="22"/>
                    </w:rPr>
                  </w:pPr>
                  <w:r>
                    <w:rPr>
                      <w:sz w:val="22"/>
                      <w:szCs w:val="22"/>
                    </w:rPr>
                    <w:t>6.2</w:t>
                  </w:r>
                </w:p>
              </w:tc>
              <w:tc>
                <w:tcPr>
                  <w:tcW w:w="929" w:type="pct"/>
                  <w:tcBorders>
                    <w:top w:val="nil"/>
                    <w:left w:val="single" w:color="000000" w:sz="8" w:space="0"/>
                    <w:bottom w:val="single" w:color="000000" w:sz="8" w:space="0"/>
                    <w:right w:val="single" w:color="000000" w:sz="8" w:space="0"/>
                  </w:tcBorders>
                  <w:shd w:val="clear" w:color="auto" w:fill="auto"/>
                  <w:vAlign w:val="center"/>
                </w:tcPr>
                <w:p w14:paraId="00F60637">
                  <w:pPr>
                    <w:pStyle w:val="41"/>
                    <w:spacing w:line="240" w:lineRule="auto"/>
                    <w:rPr>
                      <w:sz w:val="22"/>
                      <w:szCs w:val="22"/>
                    </w:rPr>
                  </w:pPr>
                  <w:r>
                    <w:rPr>
                      <w:sz w:val="22"/>
                      <w:szCs w:val="22"/>
                    </w:rPr>
                    <w:t>1F</w:t>
                  </w:r>
                </w:p>
              </w:tc>
              <w:tc>
                <w:tcPr>
                  <w:tcW w:w="796" w:type="pct"/>
                  <w:tcBorders>
                    <w:top w:val="nil"/>
                    <w:left w:val="single" w:color="000000" w:sz="8" w:space="0"/>
                    <w:bottom w:val="single" w:color="000000" w:sz="8" w:space="0"/>
                    <w:right w:val="single" w:color="000000" w:sz="8" w:space="0"/>
                  </w:tcBorders>
                  <w:shd w:val="clear" w:color="auto" w:fill="auto"/>
                  <w:vAlign w:val="center"/>
                </w:tcPr>
                <w:p w14:paraId="63B37A05">
                  <w:pPr>
                    <w:pStyle w:val="41"/>
                    <w:spacing w:line="240" w:lineRule="auto"/>
                    <w:rPr>
                      <w:sz w:val="22"/>
                      <w:szCs w:val="22"/>
                    </w:rPr>
                  </w:pPr>
                  <w:r>
                    <w:rPr>
                      <w:sz w:val="22"/>
                      <w:szCs w:val="22"/>
                    </w:rPr>
                    <w:t>依托</w:t>
                  </w:r>
                </w:p>
              </w:tc>
            </w:tr>
            <w:tr w14:paraId="5F81F169">
              <w:tblPrEx>
                <w:tblCellMar>
                  <w:top w:w="0" w:type="dxa"/>
                  <w:left w:w="108" w:type="dxa"/>
                  <w:bottom w:w="0" w:type="dxa"/>
                  <w:right w:w="108" w:type="dxa"/>
                </w:tblCellMar>
              </w:tblPrEx>
              <w:trPr>
                <w:cantSplit/>
                <w:trHeight w:val="369" w:hRule="atLeast"/>
              </w:trPr>
              <w:tc>
                <w:tcPr>
                  <w:tcW w:w="682" w:type="pct"/>
                  <w:tcBorders>
                    <w:top w:val="nil"/>
                    <w:left w:val="single" w:color="000000" w:sz="8" w:space="0"/>
                    <w:bottom w:val="single" w:color="000000" w:sz="8" w:space="0"/>
                    <w:right w:val="single" w:color="000000" w:sz="8" w:space="0"/>
                  </w:tcBorders>
                  <w:shd w:val="clear" w:color="auto" w:fill="auto"/>
                  <w:vAlign w:val="center"/>
                </w:tcPr>
                <w:p w14:paraId="377A5E32">
                  <w:pPr>
                    <w:pStyle w:val="41"/>
                    <w:spacing w:line="240" w:lineRule="auto"/>
                    <w:rPr>
                      <w:sz w:val="22"/>
                      <w:szCs w:val="22"/>
                    </w:rPr>
                  </w:pPr>
                  <w:r>
                    <w:rPr>
                      <w:sz w:val="22"/>
                      <w:szCs w:val="22"/>
                    </w:rPr>
                    <w:t>068</w:t>
                  </w:r>
                </w:p>
              </w:tc>
              <w:tc>
                <w:tcPr>
                  <w:tcW w:w="840" w:type="pct"/>
                  <w:tcBorders>
                    <w:top w:val="nil"/>
                    <w:left w:val="single" w:color="000000" w:sz="8" w:space="0"/>
                    <w:bottom w:val="single" w:color="000000" w:sz="8" w:space="0"/>
                    <w:right w:val="single" w:color="000000" w:sz="8" w:space="0"/>
                  </w:tcBorders>
                  <w:shd w:val="clear" w:color="auto" w:fill="auto"/>
                  <w:vAlign w:val="center"/>
                </w:tcPr>
                <w:p w14:paraId="71229E16">
                  <w:pPr>
                    <w:pStyle w:val="41"/>
                    <w:spacing w:line="240" w:lineRule="auto"/>
                    <w:rPr>
                      <w:sz w:val="22"/>
                      <w:szCs w:val="22"/>
                    </w:rPr>
                  </w:pPr>
                  <w:r>
                    <w:rPr>
                      <w:sz w:val="22"/>
                      <w:szCs w:val="22"/>
                    </w:rPr>
                    <w:t>068次门卫</w:t>
                  </w:r>
                </w:p>
              </w:tc>
              <w:tc>
                <w:tcPr>
                  <w:tcW w:w="1001" w:type="pct"/>
                  <w:tcBorders>
                    <w:top w:val="nil"/>
                    <w:left w:val="single" w:color="000000" w:sz="8" w:space="0"/>
                    <w:bottom w:val="single" w:color="000000" w:sz="8" w:space="0"/>
                    <w:right w:val="single" w:color="000000" w:sz="8" w:space="0"/>
                  </w:tcBorders>
                  <w:shd w:val="clear" w:color="auto" w:fill="auto"/>
                  <w:vAlign w:val="center"/>
                </w:tcPr>
                <w:p w14:paraId="2A0E7ADB">
                  <w:pPr>
                    <w:pStyle w:val="41"/>
                    <w:spacing w:line="240" w:lineRule="auto"/>
                    <w:rPr>
                      <w:sz w:val="22"/>
                      <w:szCs w:val="22"/>
                    </w:rPr>
                  </w:pPr>
                  <w:r>
                    <w:rPr>
                      <w:sz w:val="22"/>
                      <w:szCs w:val="22"/>
                    </w:rPr>
                    <w:t>164.64</w:t>
                  </w:r>
                </w:p>
              </w:tc>
              <w:tc>
                <w:tcPr>
                  <w:tcW w:w="750" w:type="pct"/>
                  <w:tcBorders>
                    <w:top w:val="nil"/>
                    <w:left w:val="single" w:color="000000" w:sz="8" w:space="0"/>
                    <w:bottom w:val="single" w:color="000000" w:sz="8" w:space="0"/>
                    <w:right w:val="single" w:color="000000" w:sz="8" w:space="0"/>
                  </w:tcBorders>
                  <w:shd w:val="clear" w:color="auto" w:fill="auto"/>
                  <w:vAlign w:val="center"/>
                </w:tcPr>
                <w:p w14:paraId="32B07A42">
                  <w:pPr>
                    <w:pStyle w:val="41"/>
                    <w:spacing w:line="240" w:lineRule="auto"/>
                    <w:rPr>
                      <w:sz w:val="22"/>
                      <w:szCs w:val="22"/>
                    </w:rPr>
                  </w:pPr>
                  <w:r>
                    <w:rPr>
                      <w:sz w:val="22"/>
                      <w:szCs w:val="22"/>
                    </w:rPr>
                    <w:t>5.2</w:t>
                  </w:r>
                </w:p>
              </w:tc>
              <w:tc>
                <w:tcPr>
                  <w:tcW w:w="929" w:type="pct"/>
                  <w:tcBorders>
                    <w:top w:val="nil"/>
                    <w:left w:val="single" w:color="000000" w:sz="8" w:space="0"/>
                    <w:bottom w:val="single" w:color="000000" w:sz="8" w:space="0"/>
                    <w:right w:val="single" w:color="000000" w:sz="8" w:space="0"/>
                  </w:tcBorders>
                  <w:shd w:val="clear" w:color="auto" w:fill="auto"/>
                  <w:vAlign w:val="center"/>
                </w:tcPr>
                <w:p w14:paraId="1D2E7B0F">
                  <w:pPr>
                    <w:pStyle w:val="41"/>
                    <w:spacing w:line="240" w:lineRule="auto"/>
                    <w:rPr>
                      <w:sz w:val="22"/>
                      <w:szCs w:val="22"/>
                    </w:rPr>
                  </w:pPr>
                  <w:r>
                    <w:rPr>
                      <w:sz w:val="22"/>
                      <w:szCs w:val="22"/>
                    </w:rPr>
                    <w:t>1F</w:t>
                  </w:r>
                </w:p>
              </w:tc>
              <w:tc>
                <w:tcPr>
                  <w:tcW w:w="796" w:type="pct"/>
                  <w:tcBorders>
                    <w:top w:val="nil"/>
                    <w:left w:val="single" w:color="000000" w:sz="8" w:space="0"/>
                    <w:bottom w:val="single" w:color="000000" w:sz="8" w:space="0"/>
                    <w:right w:val="single" w:color="000000" w:sz="8" w:space="0"/>
                  </w:tcBorders>
                  <w:shd w:val="clear" w:color="auto" w:fill="auto"/>
                  <w:vAlign w:val="center"/>
                </w:tcPr>
                <w:p w14:paraId="18F0395E">
                  <w:pPr>
                    <w:pStyle w:val="41"/>
                    <w:spacing w:line="240" w:lineRule="auto"/>
                    <w:rPr>
                      <w:sz w:val="22"/>
                      <w:szCs w:val="22"/>
                    </w:rPr>
                  </w:pPr>
                  <w:r>
                    <w:rPr>
                      <w:sz w:val="22"/>
                      <w:szCs w:val="22"/>
                    </w:rPr>
                    <w:t>依托</w:t>
                  </w:r>
                </w:p>
              </w:tc>
            </w:tr>
            <w:tr w14:paraId="72F3DC67">
              <w:tblPrEx>
                <w:tblCellMar>
                  <w:top w:w="0" w:type="dxa"/>
                  <w:left w:w="108" w:type="dxa"/>
                  <w:bottom w:w="0" w:type="dxa"/>
                  <w:right w:w="108" w:type="dxa"/>
                </w:tblCellMar>
              </w:tblPrEx>
              <w:trPr>
                <w:cantSplit/>
                <w:trHeight w:val="369" w:hRule="atLeast"/>
              </w:trPr>
              <w:tc>
                <w:tcPr>
                  <w:tcW w:w="682" w:type="pct"/>
                  <w:tcBorders>
                    <w:top w:val="nil"/>
                    <w:left w:val="single" w:color="000000" w:sz="8" w:space="0"/>
                    <w:bottom w:val="single" w:color="000000" w:sz="8" w:space="0"/>
                    <w:right w:val="single" w:color="000000" w:sz="8" w:space="0"/>
                  </w:tcBorders>
                  <w:shd w:val="clear" w:color="auto" w:fill="auto"/>
                  <w:vAlign w:val="center"/>
                </w:tcPr>
                <w:p w14:paraId="58EC7755">
                  <w:pPr>
                    <w:pStyle w:val="41"/>
                    <w:spacing w:line="240" w:lineRule="auto"/>
                    <w:rPr>
                      <w:sz w:val="22"/>
                      <w:szCs w:val="22"/>
                    </w:rPr>
                  </w:pPr>
                  <w:r>
                    <w:rPr>
                      <w:sz w:val="22"/>
                      <w:szCs w:val="22"/>
                    </w:rPr>
                    <w:t>072</w:t>
                  </w:r>
                </w:p>
              </w:tc>
              <w:tc>
                <w:tcPr>
                  <w:tcW w:w="840" w:type="pct"/>
                  <w:tcBorders>
                    <w:top w:val="nil"/>
                    <w:left w:val="single" w:color="000000" w:sz="8" w:space="0"/>
                    <w:bottom w:val="single" w:color="000000" w:sz="8" w:space="0"/>
                    <w:right w:val="single" w:color="000000" w:sz="8" w:space="0"/>
                  </w:tcBorders>
                  <w:shd w:val="clear" w:color="auto" w:fill="auto"/>
                  <w:vAlign w:val="center"/>
                </w:tcPr>
                <w:p w14:paraId="2B50F3A1">
                  <w:pPr>
                    <w:pStyle w:val="41"/>
                    <w:spacing w:line="240" w:lineRule="auto"/>
                    <w:rPr>
                      <w:sz w:val="22"/>
                      <w:szCs w:val="22"/>
                    </w:rPr>
                  </w:pPr>
                  <w:r>
                    <w:rPr>
                      <w:sz w:val="22"/>
                      <w:szCs w:val="22"/>
                    </w:rPr>
                    <w:t>072垃圾站</w:t>
                  </w:r>
                </w:p>
              </w:tc>
              <w:tc>
                <w:tcPr>
                  <w:tcW w:w="1001" w:type="pct"/>
                  <w:tcBorders>
                    <w:top w:val="nil"/>
                    <w:left w:val="single" w:color="000000" w:sz="8" w:space="0"/>
                    <w:bottom w:val="single" w:color="000000" w:sz="8" w:space="0"/>
                    <w:right w:val="single" w:color="000000" w:sz="8" w:space="0"/>
                  </w:tcBorders>
                  <w:shd w:val="clear" w:color="auto" w:fill="auto"/>
                  <w:vAlign w:val="center"/>
                </w:tcPr>
                <w:p w14:paraId="105BEF69">
                  <w:pPr>
                    <w:pStyle w:val="41"/>
                    <w:spacing w:line="240" w:lineRule="auto"/>
                    <w:rPr>
                      <w:sz w:val="22"/>
                      <w:szCs w:val="22"/>
                    </w:rPr>
                  </w:pPr>
                  <w:r>
                    <w:rPr>
                      <w:sz w:val="22"/>
                      <w:szCs w:val="22"/>
                    </w:rPr>
                    <w:t>108</w:t>
                  </w:r>
                </w:p>
              </w:tc>
              <w:tc>
                <w:tcPr>
                  <w:tcW w:w="750" w:type="pct"/>
                  <w:tcBorders>
                    <w:top w:val="nil"/>
                    <w:left w:val="single" w:color="000000" w:sz="8" w:space="0"/>
                    <w:bottom w:val="single" w:color="000000" w:sz="8" w:space="0"/>
                    <w:right w:val="single" w:color="000000" w:sz="8" w:space="0"/>
                  </w:tcBorders>
                  <w:shd w:val="clear" w:color="auto" w:fill="auto"/>
                  <w:vAlign w:val="center"/>
                </w:tcPr>
                <w:p w14:paraId="223CD634">
                  <w:pPr>
                    <w:pStyle w:val="41"/>
                    <w:spacing w:line="240" w:lineRule="auto"/>
                    <w:rPr>
                      <w:sz w:val="22"/>
                      <w:szCs w:val="22"/>
                    </w:rPr>
                  </w:pPr>
                  <w:r>
                    <w:rPr>
                      <w:sz w:val="22"/>
                      <w:szCs w:val="22"/>
                    </w:rPr>
                    <w:t>4.5</w:t>
                  </w:r>
                </w:p>
              </w:tc>
              <w:tc>
                <w:tcPr>
                  <w:tcW w:w="929" w:type="pct"/>
                  <w:tcBorders>
                    <w:top w:val="nil"/>
                    <w:left w:val="single" w:color="000000" w:sz="8" w:space="0"/>
                    <w:bottom w:val="single" w:color="000000" w:sz="8" w:space="0"/>
                    <w:right w:val="single" w:color="000000" w:sz="8" w:space="0"/>
                  </w:tcBorders>
                  <w:shd w:val="clear" w:color="auto" w:fill="auto"/>
                  <w:vAlign w:val="center"/>
                </w:tcPr>
                <w:p w14:paraId="7787B53B">
                  <w:pPr>
                    <w:pStyle w:val="41"/>
                    <w:spacing w:line="240" w:lineRule="auto"/>
                    <w:rPr>
                      <w:sz w:val="22"/>
                      <w:szCs w:val="22"/>
                    </w:rPr>
                  </w:pPr>
                  <w:r>
                    <w:rPr>
                      <w:sz w:val="22"/>
                      <w:szCs w:val="22"/>
                    </w:rPr>
                    <w:t>1F</w:t>
                  </w:r>
                </w:p>
              </w:tc>
              <w:tc>
                <w:tcPr>
                  <w:tcW w:w="796" w:type="pct"/>
                  <w:tcBorders>
                    <w:top w:val="nil"/>
                    <w:left w:val="single" w:color="000000" w:sz="8" w:space="0"/>
                    <w:bottom w:val="single" w:color="000000" w:sz="8" w:space="0"/>
                    <w:right w:val="single" w:color="000000" w:sz="8" w:space="0"/>
                  </w:tcBorders>
                  <w:shd w:val="clear" w:color="auto" w:fill="auto"/>
                  <w:vAlign w:val="center"/>
                </w:tcPr>
                <w:p w14:paraId="24CD13F9">
                  <w:pPr>
                    <w:pStyle w:val="41"/>
                    <w:spacing w:line="240" w:lineRule="auto"/>
                    <w:rPr>
                      <w:sz w:val="22"/>
                      <w:szCs w:val="22"/>
                    </w:rPr>
                  </w:pPr>
                  <w:r>
                    <w:rPr>
                      <w:sz w:val="22"/>
                      <w:szCs w:val="22"/>
                    </w:rPr>
                    <w:t>依托</w:t>
                  </w:r>
                </w:p>
              </w:tc>
            </w:tr>
          </w:tbl>
          <w:p w14:paraId="4B8B2623">
            <w:pPr>
              <w:pStyle w:val="82"/>
              <w:ind w:firstLine="522"/>
              <w:rPr>
                <w:b/>
              </w:rPr>
            </w:pPr>
            <w:r>
              <w:rPr>
                <w:b/>
              </w:rPr>
              <w:t>2.6工程总平面布置</w:t>
            </w:r>
          </w:p>
          <w:p w14:paraId="0EAD8A31">
            <w:pPr>
              <w:pStyle w:val="82"/>
              <w:ind w:firstLine="520"/>
              <w:rPr>
                <w:rFonts w:hint="default" w:eastAsia="宋体"/>
                <w:lang w:val="en-US" w:eastAsia="zh-CN"/>
              </w:rPr>
            </w:pPr>
            <w:r>
              <w:rPr>
                <w:rFonts w:hint="eastAsia"/>
                <w:color w:val="auto"/>
                <w:szCs w:val="26"/>
                <w:lang w:val="en-US" w:eastAsia="zh-CN"/>
              </w:rPr>
              <w:t>现有</w:t>
            </w:r>
            <w:r>
              <w:rPr>
                <w:color w:val="auto"/>
                <w:szCs w:val="26"/>
              </w:rPr>
              <w:t>工程分东地块（L17-02/02）及西地块（L15-03/02）两个地块，两个地块中间间隔铜陶路，西地块西侧为最高点，东地块东侧为最低点。工程作为一个生产和参</w:t>
            </w:r>
            <w:r>
              <w:rPr>
                <w:szCs w:val="26"/>
              </w:rPr>
              <w:t>观并重的厂区，充分考虑流线设计及生产效率并考虑两期建完后的整体效果，在东地块主要布设发动机主生产车间及危险品库等配套用房，在西地块主要布设发动机检测实验室、办公楼及配套气站用房。拟建项目东地块现有060发动机生产车间内新增</w:t>
            </w:r>
            <w:r>
              <w:rPr>
                <w:rFonts w:hint="eastAsia"/>
                <w:szCs w:val="26"/>
              </w:rPr>
              <w:t>1条</w:t>
            </w:r>
            <w:r>
              <w:rPr>
                <w:szCs w:val="26"/>
              </w:rPr>
              <w:t>重型电驱桥</w:t>
            </w:r>
            <w:r>
              <w:rPr>
                <w:rFonts w:hint="eastAsia"/>
                <w:szCs w:val="26"/>
              </w:rPr>
              <w:t>装配线</w:t>
            </w:r>
            <w:r>
              <w:rPr>
                <w:rFonts w:hint="eastAsia"/>
                <w:szCs w:val="26"/>
                <w:lang w:eastAsia="zh-CN"/>
              </w:rPr>
              <w:t>、</w:t>
            </w:r>
            <w:r>
              <w:rPr>
                <w:szCs w:val="26"/>
              </w:rPr>
              <w:t>1</w:t>
            </w:r>
            <w:r>
              <w:rPr>
                <w:rFonts w:hint="eastAsia"/>
                <w:szCs w:val="26"/>
              </w:rPr>
              <w:t>条</w:t>
            </w:r>
            <w:r>
              <w:rPr>
                <w:szCs w:val="26"/>
              </w:rPr>
              <w:t>重型电驱桥</w:t>
            </w:r>
            <w:r>
              <w:rPr>
                <w:rFonts w:hint="eastAsia"/>
                <w:szCs w:val="26"/>
              </w:rPr>
              <w:t>装配测试</w:t>
            </w:r>
            <w:r>
              <w:rPr>
                <w:szCs w:val="26"/>
              </w:rPr>
              <w:t>线</w:t>
            </w:r>
            <w:r>
              <w:rPr>
                <w:rFonts w:hint="eastAsia"/>
                <w:szCs w:val="26"/>
              </w:rPr>
              <w:t>和</w:t>
            </w:r>
            <w:r>
              <w:rPr>
                <w:rFonts w:hint="eastAsia"/>
                <w:szCs w:val="26"/>
                <w:lang w:val="en-US" w:eastAsia="zh-CN"/>
              </w:rPr>
              <w:t>2</w:t>
            </w:r>
            <w:r>
              <w:rPr>
                <w:rFonts w:hint="eastAsia"/>
                <w:szCs w:val="26"/>
              </w:rPr>
              <w:t>条</w:t>
            </w:r>
            <w:r>
              <w:rPr>
                <w:szCs w:val="26"/>
              </w:rPr>
              <w:t>氢瓶瓶口阀瓶底阀生产线</w:t>
            </w:r>
            <w:r>
              <w:rPr>
                <w:rFonts w:hint="eastAsia"/>
                <w:szCs w:val="26"/>
                <w:lang w:eastAsia="zh-CN"/>
              </w:rPr>
              <w:t>，</w:t>
            </w:r>
            <w:r>
              <w:rPr>
                <w:rFonts w:hint="eastAsia"/>
                <w:szCs w:val="26"/>
                <w:lang w:val="en-US" w:eastAsia="zh-CN"/>
              </w:rPr>
              <w:t>在西地块现有</w:t>
            </w:r>
            <w:r>
              <w:t>发动机检测实验室071</w:t>
            </w:r>
            <w:r>
              <w:rPr>
                <w:rFonts w:hint="eastAsia"/>
                <w:lang w:val="en-US" w:eastAsia="zh-CN"/>
              </w:rPr>
              <w:t>内新建重型电驱桥实验室</w:t>
            </w:r>
            <w:r>
              <w:rPr>
                <w:szCs w:val="26"/>
              </w:rPr>
              <w:t>。项目平面布置充分考虑了各生产工序的流畅，以及原料、产品的物流顺畅，平面布置较为合理。项目总平面布置图</w:t>
            </w:r>
            <w:r>
              <w:rPr>
                <w:rFonts w:hint="eastAsia"/>
                <w:szCs w:val="26"/>
                <w:lang w:val="en-US" w:eastAsia="zh-CN"/>
              </w:rPr>
              <w:t>见附图2。</w:t>
            </w:r>
          </w:p>
          <w:p w14:paraId="2648B1F2">
            <w:pPr>
              <w:pStyle w:val="82"/>
              <w:ind w:firstLine="522"/>
              <w:rPr>
                <w:b/>
              </w:rPr>
            </w:pPr>
            <w:r>
              <w:rPr>
                <w:b/>
              </w:rPr>
              <w:t>2.7主要生产设施设备</w:t>
            </w:r>
          </w:p>
          <w:p w14:paraId="1B358F0E">
            <w:pPr>
              <w:pStyle w:val="82"/>
              <w:ind w:left="105" w:leftChars="50" w:firstLine="390" w:firstLineChars="150"/>
              <w:rPr>
                <w:color w:val="auto"/>
              </w:rPr>
            </w:pPr>
            <w:r>
              <w:t>工程主要生产工艺为电机装配及泄漏测试、变速箱组件及桥腿安装</w:t>
            </w:r>
            <w:r>
              <w:rPr>
                <w:rFonts w:hint="eastAsia"/>
              </w:rPr>
              <w:t>、</w:t>
            </w:r>
            <w:r>
              <w:t>氢瓶瓶口阀、</w:t>
            </w:r>
            <w:r>
              <w:rPr>
                <w:color w:val="auto"/>
              </w:rPr>
              <w:t>瓶底阀装配及泄漏测试等，主要生产设施设备见下表。</w:t>
            </w:r>
          </w:p>
          <w:p w14:paraId="22C6CD46">
            <w:pPr>
              <w:pStyle w:val="12"/>
              <w:spacing w:beforeLines="0"/>
            </w:pPr>
            <w:r>
              <w:t>表2.7-1</w:t>
            </w:r>
            <w:r>
              <w:rPr>
                <w:rFonts w:hint="eastAsia"/>
                <w:lang w:val="en-US" w:eastAsia="zh-CN"/>
              </w:rPr>
              <w:t xml:space="preserve">  </w:t>
            </w:r>
            <w:r>
              <w:t>主要生产设施设备一览表</w:t>
            </w:r>
          </w:p>
          <w:tbl>
            <w:tblPr>
              <w:tblStyle w:val="31"/>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300"/>
              <w:gridCol w:w="1397"/>
              <w:gridCol w:w="775"/>
              <w:gridCol w:w="707"/>
              <w:gridCol w:w="1066"/>
              <w:gridCol w:w="1034"/>
              <w:gridCol w:w="1051"/>
            </w:tblGrid>
            <w:tr w14:paraId="3021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restart"/>
                  <w:vAlign w:val="center"/>
                </w:tcPr>
                <w:p w14:paraId="0D29E832">
                  <w:pPr>
                    <w:widowControl/>
                    <w:jc w:val="center"/>
                    <w:textAlignment w:val="center"/>
                    <w:rPr>
                      <w:sz w:val="22"/>
                      <w:szCs w:val="22"/>
                    </w:rPr>
                  </w:pPr>
                  <w:r>
                    <w:rPr>
                      <w:color w:val="000000"/>
                      <w:kern w:val="0"/>
                      <w:sz w:val="22"/>
                      <w:szCs w:val="22"/>
                      <w:lang w:bidi="ar"/>
                    </w:rPr>
                    <w:t>生产线</w:t>
                  </w:r>
                </w:p>
              </w:tc>
              <w:tc>
                <w:tcPr>
                  <w:tcW w:w="1300" w:type="dxa"/>
                  <w:vMerge w:val="restart"/>
                  <w:vAlign w:val="center"/>
                </w:tcPr>
                <w:p w14:paraId="46F492A1">
                  <w:pPr>
                    <w:widowControl/>
                    <w:jc w:val="center"/>
                    <w:textAlignment w:val="center"/>
                    <w:rPr>
                      <w:sz w:val="22"/>
                      <w:szCs w:val="22"/>
                    </w:rPr>
                  </w:pPr>
                  <w:r>
                    <w:rPr>
                      <w:color w:val="000000"/>
                      <w:kern w:val="0"/>
                      <w:sz w:val="22"/>
                      <w:szCs w:val="22"/>
                      <w:lang w:bidi="ar"/>
                    </w:rPr>
                    <w:t>生产单元名称及工艺环节</w:t>
                  </w:r>
                </w:p>
              </w:tc>
              <w:tc>
                <w:tcPr>
                  <w:tcW w:w="1397" w:type="dxa"/>
                  <w:vMerge w:val="restart"/>
                  <w:vAlign w:val="center"/>
                </w:tcPr>
                <w:p w14:paraId="4FBF9851">
                  <w:pPr>
                    <w:widowControl/>
                    <w:jc w:val="center"/>
                    <w:textAlignment w:val="center"/>
                    <w:rPr>
                      <w:sz w:val="22"/>
                      <w:szCs w:val="22"/>
                    </w:rPr>
                  </w:pPr>
                  <w:r>
                    <w:rPr>
                      <w:color w:val="000000"/>
                      <w:kern w:val="0"/>
                      <w:sz w:val="22"/>
                      <w:szCs w:val="22"/>
                      <w:lang w:bidi="ar"/>
                    </w:rPr>
                    <w:t>生产设施名称</w:t>
                  </w:r>
                </w:p>
              </w:tc>
              <w:tc>
                <w:tcPr>
                  <w:tcW w:w="775" w:type="dxa"/>
                  <w:vMerge w:val="restart"/>
                  <w:vAlign w:val="center"/>
                </w:tcPr>
                <w:p w14:paraId="43703829">
                  <w:pPr>
                    <w:widowControl/>
                    <w:jc w:val="center"/>
                    <w:textAlignment w:val="center"/>
                    <w:rPr>
                      <w:sz w:val="22"/>
                      <w:szCs w:val="22"/>
                    </w:rPr>
                  </w:pPr>
                  <w:r>
                    <w:rPr>
                      <w:color w:val="000000"/>
                      <w:kern w:val="0"/>
                      <w:sz w:val="22"/>
                      <w:szCs w:val="22"/>
                      <w:lang w:bidi="ar"/>
                    </w:rPr>
                    <w:t>设施数量</w:t>
                  </w:r>
                </w:p>
              </w:tc>
              <w:tc>
                <w:tcPr>
                  <w:tcW w:w="707" w:type="dxa"/>
                  <w:vMerge w:val="restart"/>
                  <w:shd w:val="clear" w:color="auto" w:fill="auto"/>
                  <w:vAlign w:val="center"/>
                </w:tcPr>
                <w:p w14:paraId="4D5C85F9">
                  <w:pPr>
                    <w:widowControl/>
                    <w:jc w:val="center"/>
                    <w:textAlignment w:val="center"/>
                    <w:rPr>
                      <w:sz w:val="22"/>
                      <w:szCs w:val="22"/>
                    </w:rPr>
                  </w:pPr>
                  <w:r>
                    <w:rPr>
                      <w:color w:val="000000"/>
                      <w:kern w:val="0"/>
                      <w:sz w:val="22"/>
                      <w:szCs w:val="22"/>
                      <w:lang w:bidi="ar"/>
                    </w:rPr>
                    <w:t>设备参数</w:t>
                  </w:r>
                </w:p>
              </w:tc>
              <w:tc>
                <w:tcPr>
                  <w:tcW w:w="1066" w:type="dxa"/>
                  <w:vMerge w:val="restart"/>
                  <w:vAlign w:val="center"/>
                </w:tcPr>
                <w:p w14:paraId="573EE0A5">
                  <w:pPr>
                    <w:widowControl/>
                    <w:jc w:val="center"/>
                    <w:textAlignment w:val="center"/>
                    <w:rPr>
                      <w:sz w:val="22"/>
                      <w:szCs w:val="22"/>
                    </w:rPr>
                  </w:pPr>
                  <w:r>
                    <w:rPr>
                      <w:color w:val="000000"/>
                      <w:kern w:val="0"/>
                      <w:sz w:val="22"/>
                      <w:szCs w:val="22"/>
                      <w:lang w:bidi="ar"/>
                    </w:rPr>
                    <w:t>设备能力</w:t>
                  </w:r>
                </w:p>
              </w:tc>
              <w:tc>
                <w:tcPr>
                  <w:tcW w:w="2085" w:type="dxa"/>
                  <w:gridSpan w:val="2"/>
                  <w:vAlign w:val="center"/>
                </w:tcPr>
                <w:p w14:paraId="7DA7386B">
                  <w:pPr>
                    <w:widowControl/>
                    <w:jc w:val="center"/>
                    <w:textAlignment w:val="center"/>
                    <w:rPr>
                      <w:sz w:val="22"/>
                      <w:szCs w:val="22"/>
                    </w:rPr>
                  </w:pPr>
                  <w:r>
                    <w:rPr>
                      <w:color w:val="000000"/>
                      <w:kern w:val="0"/>
                      <w:sz w:val="22"/>
                      <w:szCs w:val="22"/>
                      <w:lang w:bidi="ar"/>
                    </w:rPr>
                    <w:t>对应产品信息</w:t>
                  </w:r>
                </w:p>
              </w:tc>
            </w:tr>
            <w:tr w14:paraId="3A59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4AC02269">
                  <w:pPr>
                    <w:jc w:val="center"/>
                    <w:rPr>
                      <w:sz w:val="22"/>
                      <w:szCs w:val="22"/>
                    </w:rPr>
                  </w:pPr>
                </w:p>
              </w:tc>
              <w:tc>
                <w:tcPr>
                  <w:tcW w:w="1300" w:type="dxa"/>
                  <w:vMerge w:val="continue"/>
                  <w:vAlign w:val="center"/>
                </w:tcPr>
                <w:p w14:paraId="775EEA9B">
                  <w:pPr>
                    <w:jc w:val="center"/>
                    <w:rPr>
                      <w:sz w:val="22"/>
                      <w:szCs w:val="22"/>
                    </w:rPr>
                  </w:pPr>
                </w:p>
              </w:tc>
              <w:tc>
                <w:tcPr>
                  <w:tcW w:w="1397" w:type="dxa"/>
                  <w:vMerge w:val="continue"/>
                  <w:vAlign w:val="center"/>
                </w:tcPr>
                <w:p w14:paraId="62FABBEA">
                  <w:pPr>
                    <w:jc w:val="center"/>
                    <w:rPr>
                      <w:sz w:val="22"/>
                      <w:szCs w:val="22"/>
                    </w:rPr>
                  </w:pPr>
                </w:p>
              </w:tc>
              <w:tc>
                <w:tcPr>
                  <w:tcW w:w="775" w:type="dxa"/>
                  <w:vMerge w:val="continue"/>
                  <w:vAlign w:val="center"/>
                </w:tcPr>
                <w:p w14:paraId="6C8211E3">
                  <w:pPr>
                    <w:jc w:val="center"/>
                    <w:rPr>
                      <w:sz w:val="22"/>
                      <w:szCs w:val="22"/>
                    </w:rPr>
                  </w:pPr>
                </w:p>
              </w:tc>
              <w:tc>
                <w:tcPr>
                  <w:tcW w:w="707" w:type="dxa"/>
                  <w:vMerge w:val="continue"/>
                  <w:vAlign w:val="center"/>
                </w:tcPr>
                <w:p w14:paraId="6866F760">
                  <w:pPr>
                    <w:jc w:val="center"/>
                    <w:rPr>
                      <w:sz w:val="22"/>
                      <w:szCs w:val="22"/>
                    </w:rPr>
                  </w:pPr>
                </w:p>
              </w:tc>
              <w:tc>
                <w:tcPr>
                  <w:tcW w:w="1066" w:type="dxa"/>
                  <w:vMerge w:val="continue"/>
                  <w:vAlign w:val="center"/>
                </w:tcPr>
                <w:p w14:paraId="6ADE660B">
                  <w:pPr>
                    <w:jc w:val="center"/>
                    <w:rPr>
                      <w:sz w:val="22"/>
                      <w:szCs w:val="22"/>
                    </w:rPr>
                  </w:pPr>
                </w:p>
              </w:tc>
              <w:tc>
                <w:tcPr>
                  <w:tcW w:w="1034" w:type="dxa"/>
                  <w:vAlign w:val="center"/>
                </w:tcPr>
                <w:p w14:paraId="73A2064E">
                  <w:pPr>
                    <w:widowControl/>
                    <w:jc w:val="center"/>
                    <w:textAlignment w:val="center"/>
                    <w:rPr>
                      <w:sz w:val="22"/>
                      <w:szCs w:val="22"/>
                    </w:rPr>
                  </w:pPr>
                  <w:r>
                    <w:rPr>
                      <w:color w:val="000000"/>
                      <w:kern w:val="0"/>
                      <w:sz w:val="22"/>
                      <w:szCs w:val="22"/>
                      <w:lang w:bidi="ar"/>
                    </w:rPr>
                    <w:t>产品名称</w:t>
                  </w:r>
                </w:p>
              </w:tc>
              <w:tc>
                <w:tcPr>
                  <w:tcW w:w="1051" w:type="dxa"/>
                  <w:vAlign w:val="center"/>
                </w:tcPr>
                <w:p w14:paraId="3AA1AE4B">
                  <w:pPr>
                    <w:widowControl/>
                    <w:jc w:val="center"/>
                    <w:textAlignment w:val="center"/>
                    <w:rPr>
                      <w:sz w:val="22"/>
                      <w:szCs w:val="22"/>
                    </w:rPr>
                  </w:pPr>
                  <w:r>
                    <w:rPr>
                      <w:color w:val="000000"/>
                      <w:kern w:val="0"/>
                      <w:sz w:val="22"/>
                      <w:szCs w:val="22"/>
                      <w:lang w:bidi="ar"/>
                    </w:rPr>
                    <w:t>设计产能</w:t>
                  </w:r>
                  <w:r>
                    <w:rPr>
                      <w:color w:val="000000"/>
                      <w:kern w:val="0"/>
                      <w:sz w:val="22"/>
                      <w:szCs w:val="22"/>
                      <w:lang w:bidi="ar"/>
                    </w:rPr>
                    <w:br w:type="textWrapping"/>
                  </w:r>
                  <w:r>
                    <w:rPr>
                      <w:color w:val="000000"/>
                      <w:kern w:val="0"/>
                      <w:sz w:val="22"/>
                      <w:szCs w:val="22"/>
                      <w:lang w:bidi="ar"/>
                    </w:rPr>
                    <w:t>（套/a）</w:t>
                  </w:r>
                </w:p>
              </w:tc>
            </w:tr>
            <w:tr w14:paraId="78C1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restart"/>
                  <w:vAlign w:val="center"/>
                </w:tcPr>
                <w:p w14:paraId="727FAB6D">
                  <w:pPr>
                    <w:jc w:val="center"/>
                    <w:rPr>
                      <w:rFonts w:hint="eastAsia"/>
                      <w:color w:val="auto"/>
                      <w:sz w:val="22"/>
                      <w:szCs w:val="22"/>
                    </w:rPr>
                  </w:pPr>
                  <w:r>
                    <w:rPr>
                      <w:rFonts w:hint="eastAsia"/>
                      <w:color w:val="auto"/>
                      <w:sz w:val="22"/>
                      <w:szCs w:val="22"/>
                    </w:rPr>
                    <w:t>电驱桥生产</w:t>
                  </w:r>
                  <w:r>
                    <w:rPr>
                      <w:rFonts w:hint="eastAsia"/>
                      <w:color w:val="auto"/>
                      <w:sz w:val="22"/>
                      <w:szCs w:val="22"/>
                      <w:lang w:val="en-US" w:eastAsia="zh-CN"/>
                    </w:rPr>
                    <w:t>测试</w:t>
                  </w:r>
                  <w:r>
                    <w:rPr>
                      <w:rFonts w:hint="eastAsia"/>
                      <w:color w:val="auto"/>
                      <w:sz w:val="22"/>
                      <w:szCs w:val="22"/>
                    </w:rPr>
                    <w:t>线</w:t>
                  </w:r>
                </w:p>
                <w:p w14:paraId="7B02A7C4">
                  <w:pPr>
                    <w:jc w:val="center"/>
                    <w:rPr>
                      <w:rFonts w:hint="eastAsia" w:eastAsia="宋体"/>
                      <w:color w:val="auto"/>
                      <w:sz w:val="22"/>
                      <w:szCs w:val="22"/>
                      <w:lang w:eastAsia="zh-CN"/>
                    </w:rPr>
                  </w:pPr>
                  <w:r>
                    <w:rPr>
                      <w:rFonts w:hint="eastAsia"/>
                      <w:color w:val="auto"/>
                      <w:sz w:val="22"/>
                      <w:szCs w:val="22"/>
                      <w:lang w:eastAsia="zh-CN"/>
                    </w:rPr>
                    <w:t>（</w:t>
                  </w:r>
                  <w:r>
                    <w:rPr>
                      <w:rFonts w:hint="eastAsia"/>
                      <w:color w:val="auto"/>
                      <w:sz w:val="22"/>
                      <w:szCs w:val="22"/>
                      <w:lang w:val="en-US" w:eastAsia="zh-CN"/>
                    </w:rPr>
                    <w:t>2线</w:t>
                  </w:r>
                  <w:r>
                    <w:rPr>
                      <w:rFonts w:hint="eastAsia"/>
                      <w:color w:val="auto"/>
                      <w:sz w:val="22"/>
                      <w:szCs w:val="22"/>
                      <w:lang w:eastAsia="zh-CN"/>
                    </w:rPr>
                    <w:t>）</w:t>
                  </w:r>
                </w:p>
              </w:tc>
              <w:tc>
                <w:tcPr>
                  <w:tcW w:w="1300" w:type="dxa"/>
                  <w:vAlign w:val="center"/>
                </w:tcPr>
                <w:p w14:paraId="39C54101">
                  <w:pPr>
                    <w:widowControl/>
                    <w:jc w:val="center"/>
                    <w:textAlignment w:val="center"/>
                    <w:rPr>
                      <w:sz w:val="22"/>
                      <w:szCs w:val="22"/>
                    </w:rPr>
                  </w:pPr>
                  <w:r>
                    <w:rPr>
                      <w:sz w:val="22"/>
                      <w:szCs w:val="22"/>
                    </w:rPr>
                    <w:t>电机装配及泄漏测试</w:t>
                  </w:r>
                </w:p>
              </w:tc>
              <w:tc>
                <w:tcPr>
                  <w:tcW w:w="1397" w:type="dxa"/>
                  <w:vAlign w:val="center"/>
                </w:tcPr>
                <w:p w14:paraId="73DA5152">
                  <w:pPr>
                    <w:widowControl/>
                    <w:jc w:val="center"/>
                    <w:textAlignment w:val="center"/>
                    <w:rPr>
                      <w:sz w:val="22"/>
                      <w:szCs w:val="22"/>
                    </w:rPr>
                  </w:pPr>
                  <w:r>
                    <w:rPr>
                      <w:color w:val="000000"/>
                      <w:kern w:val="0"/>
                      <w:sz w:val="22"/>
                      <w:szCs w:val="22"/>
                      <w:lang w:bidi="ar"/>
                    </w:rPr>
                    <w:t>减速箱&amp;电机压装台</w:t>
                  </w:r>
                </w:p>
              </w:tc>
              <w:tc>
                <w:tcPr>
                  <w:tcW w:w="775" w:type="dxa"/>
                  <w:vAlign w:val="center"/>
                </w:tcPr>
                <w:p w14:paraId="2FDD33CC">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728F2284">
                  <w:pPr>
                    <w:widowControl/>
                    <w:jc w:val="center"/>
                    <w:textAlignment w:val="center"/>
                    <w:rPr>
                      <w:sz w:val="22"/>
                      <w:szCs w:val="22"/>
                    </w:rPr>
                  </w:pPr>
                  <w:r>
                    <w:rPr>
                      <w:color w:val="000000"/>
                      <w:kern w:val="0"/>
                      <w:sz w:val="22"/>
                      <w:szCs w:val="22"/>
                      <w:lang w:bidi="ar"/>
                    </w:rPr>
                    <w:t>非标</w:t>
                  </w:r>
                </w:p>
              </w:tc>
              <w:tc>
                <w:tcPr>
                  <w:tcW w:w="1066" w:type="dxa"/>
                  <w:vAlign w:val="center"/>
                </w:tcPr>
                <w:p w14:paraId="44DC264D">
                  <w:pPr>
                    <w:widowControl/>
                    <w:jc w:val="center"/>
                    <w:textAlignment w:val="bottom"/>
                    <w:rPr>
                      <w:sz w:val="22"/>
                      <w:szCs w:val="22"/>
                    </w:rPr>
                  </w:pPr>
                  <w:r>
                    <w:rPr>
                      <w:color w:val="000000"/>
                      <w:kern w:val="0"/>
                      <w:sz w:val="22"/>
                      <w:szCs w:val="22"/>
                      <w:lang w:bidi="ar"/>
                    </w:rPr>
                    <w:t>7mins/1套</w:t>
                  </w:r>
                </w:p>
              </w:tc>
              <w:tc>
                <w:tcPr>
                  <w:tcW w:w="1034" w:type="dxa"/>
                  <w:vAlign w:val="center"/>
                </w:tcPr>
                <w:p w14:paraId="56191FAB">
                  <w:pPr>
                    <w:widowControl/>
                    <w:jc w:val="center"/>
                    <w:textAlignment w:val="bottom"/>
                    <w:rPr>
                      <w:sz w:val="22"/>
                      <w:szCs w:val="22"/>
                    </w:rPr>
                  </w:pPr>
                  <w:r>
                    <w:rPr>
                      <w:color w:val="000000"/>
                      <w:kern w:val="0"/>
                      <w:sz w:val="22"/>
                      <w:szCs w:val="22"/>
                      <w:lang w:bidi="ar"/>
                    </w:rPr>
                    <w:t>减速箱总成</w:t>
                  </w:r>
                </w:p>
              </w:tc>
              <w:tc>
                <w:tcPr>
                  <w:tcW w:w="1051" w:type="dxa"/>
                  <w:vAlign w:val="center"/>
                </w:tcPr>
                <w:p w14:paraId="11E0796C">
                  <w:pPr>
                    <w:widowControl/>
                    <w:jc w:val="center"/>
                    <w:textAlignment w:val="center"/>
                    <w:rPr>
                      <w:sz w:val="22"/>
                      <w:szCs w:val="22"/>
                    </w:rPr>
                  </w:pPr>
                  <w:r>
                    <w:rPr>
                      <w:color w:val="000000"/>
                      <w:kern w:val="0"/>
                      <w:sz w:val="22"/>
                      <w:szCs w:val="22"/>
                      <w:lang w:bidi="ar"/>
                    </w:rPr>
                    <w:t>50000</w:t>
                  </w:r>
                </w:p>
              </w:tc>
            </w:tr>
            <w:tr w14:paraId="2D84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317EBC9A">
                  <w:pPr>
                    <w:jc w:val="center"/>
                    <w:rPr>
                      <w:sz w:val="22"/>
                      <w:szCs w:val="22"/>
                    </w:rPr>
                  </w:pPr>
                </w:p>
              </w:tc>
              <w:tc>
                <w:tcPr>
                  <w:tcW w:w="1300" w:type="dxa"/>
                  <w:vAlign w:val="center"/>
                </w:tcPr>
                <w:p w14:paraId="1477F5EC">
                  <w:pPr>
                    <w:widowControl/>
                    <w:jc w:val="center"/>
                    <w:textAlignment w:val="center"/>
                    <w:rPr>
                      <w:sz w:val="22"/>
                      <w:szCs w:val="22"/>
                    </w:rPr>
                  </w:pPr>
                  <w:r>
                    <w:rPr>
                      <w:sz w:val="22"/>
                      <w:szCs w:val="22"/>
                    </w:rPr>
                    <w:t>电机装配及泄漏测试</w:t>
                  </w:r>
                </w:p>
              </w:tc>
              <w:tc>
                <w:tcPr>
                  <w:tcW w:w="1397" w:type="dxa"/>
                  <w:vAlign w:val="center"/>
                </w:tcPr>
                <w:p w14:paraId="60FA0155">
                  <w:pPr>
                    <w:widowControl/>
                    <w:jc w:val="center"/>
                    <w:textAlignment w:val="center"/>
                    <w:rPr>
                      <w:sz w:val="22"/>
                      <w:szCs w:val="22"/>
                    </w:rPr>
                  </w:pPr>
                  <w:r>
                    <w:rPr>
                      <w:color w:val="000000"/>
                      <w:kern w:val="0"/>
                      <w:sz w:val="22"/>
                      <w:szCs w:val="22"/>
                      <w:lang w:bidi="ar"/>
                    </w:rPr>
                    <w:t>机器人</w:t>
                  </w:r>
                </w:p>
              </w:tc>
              <w:tc>
                <w:tcPr>
                  <w:tcW w:w="775" w:type="dxa"/>
                  <w:vAlign w:val="center"/>
                </w:tcPr>
                <w:p w14:paraId="7D5F9795">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330AF35F">
                  <w:pPr>
                    <w:widowControl/>
                    <w:jc w:val="center"/>
                    <w:textAlignment w:val="center"/>
                    <w:rPr>
                      <w:sz w:val="22"/>
                      <w:szCs w:val="22"/>
                    </w:rPr>
                  </w:pPr>
                  <w:r>
                    <w:rPr>
                      <w:color w:val="000000"/>
                      <w:kern w:val="0"/>
                      <w:sz w:val="22"/>
                      <w:szCs w:val="22"/>
                      <w:lang w:bidi="ar"/>
                    </w:rPr>
                    <w:t>KUKA</w:t>
                  </w:r>
                </w:p>
              </w:tc>
              <w:tc>
                <w:tcPr>
                  <w:tcW w:w="1066" w:type="dxa"/>
                  <w:vAlign w:val="center"/>
                </w:tcPr>
                <w:p w14:paraId="631C82E7">
                  <w:pPr>
                    <w:widowControl/>
                    <w:jc w:val="center"/>
                    <w:textAlignment w:val="bottom"/>
                    <w:rPr>
                      <w:sz w:val="22"/>
                      <w:szCs w:val="22"/>
                    </w:rPr>
                  </w:pPr>
                  <w:r>
                    <w:rPr>
                      <w:color w:val="000000"/>
                      <w:kern w:val="0"/>
                      <w:sz w:val="22"/>
                      <w:szCs w:val="22"/>
                      <w:lang w:bidi="ar"/>
                    </w:rPr>
                    <w:t>7mins/1套</w:t>
                  </w:r>
                </w:p>
              </w:tc>
              <w:tc>
                <w:tcPr>
                  <w:tcW w:w="1034" w:type="dxa"/>
                  <w:vAlign w:val="center"/>
                </w:tcPr>
                <w:p w14:paraId="735C1ECC">
                  <w:pPr>
                    <w:widowControl/>
                    <w:jc w:val="center"/>
                    <w:textAlignment w:val="bottom"/>
                    <w:rPr>
                      <w:sz w:val="22"/>
                      <w:szCs w:val="22"/>
                    </w:rPr>
                  </w:pPr>
                  <w:r>
                    <w:rPr>
                      <w:color w:val="000000"/>
                      <w:kern w:val="0"/>
                      <w:sz w:val="22"/>
                      <w:szCs w:val="22"/>
                      <w:lang w:bidi="ar"/>
                    </w:rPr>
                    <w:t>减速箱总成</w:t>
                  </w:r>
                </w:p>
              </w:tc>
              <w:tc>
                <w:tcPr>
                  <w:tcW w:w="1051" w:type="dxa"/>
                  <w:vAlign w:val="center"/>
                </w:tcPr>
                <w:p w14:paraId="2A06A747">
                  <w:pPr>
                    <w:widowControl/>
                    <w:jc w:val="center"/>
                    <w:textAlignment w:val="center"/>
                    <w:rPr>
                      <w:sz w:val="22"/>
                      <w:szCs w:val="22"/>
                    </w:rPr>
                  </w:pPr>
                  <w:r>
                    <w:rPr>
                      <w:color w:val="000000"/>
                      <w:kern w:val="0"/>
                      <w:sz w:val="22"/>
                      <w:szCs w:val="22"/>
                      <w:lang w:bidi="ar"/>
                    </w:rPr>
                    <w:t>50000</w:t>
                  </w:r>
                </w:p>
              </w:tc>
            </w:tr>
            <w:tr w14:paraId="2A55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093EC58E">
                  <w:pPr>
                    <w:jc w:val="center"/>
                    <w:rPr>
                      <w:sz w:val="22"/>
                      <w:szCs w:val="22"/>
                    </w:rPr>
                  </w:pPr>
                </w:p>
              </w:tc>
              <w:tc>
                <w:tcPr>
                  <w:tcW w:w="1300" w:type="dxa"/>
                  <w:vAlign w:val="center"/>
                </w:tcPr>
                <w:p w14:paraId="5771DCBC">
                  <w:pPr>
                    <w:widowControl/>
                    <w:jc w:val="center"/>
                    <w:textAlignment w:val="center"/>
                    <w:rPr>
                      <w:sz w:val="22"/>
                      <w:szCs w:val="22"/>
                    </w:rPr>
                  </w:pPr>
                  <w:r>
                    <w:rPr>
                      <w:sz w:val="22"/>
                      <w:szCs w:val="22"/>
                    </w:rPr>
                    <w:t>电机装配及泄漏测试</w:t>
                  </w:r>
                </w:p>
              </w:tc>
              <w:tc>
                <w:tcPr>
                  <w:tcW w:w="1397" w:type="dxa"/>
                  <w:vAlign w:val="center"/>
                </w:tcPr>
                <w:p w14:paraId="71523FDB">
                  <w:pPr>
                    <w:widowControl/>
                    <w:jc w:val="center"/>
                    <w:textAlignment w:val="center"/>
                    <w:rPr>
                      <w:sz w:val="22"/>
                      <w:szCs w:val="22"/>
                    </w:rPr>
                  </w:pPr>
                  <w:r>
                    <w:rPr>
                      <w:color w:val="000000"/>
                      <w:kern w:val="0"/>
                      <w:sz w:val="22"/>
                      <w:szCs w:val="22"/>
                      <w:lang w:bidi="ar"/>
                    </w:rPr>
                    <w:t>电机拧紧台</w:t>
                  </w:r>
                </w:p>
              </w:tc>
              <w:tc>
                <w:tcPr>
                  <w:tcW w:w="775" w:type="dxa"/>
                  <w:vAlign w:val="center"/>
                </w:tcPr>
                <w:p w14:paraId="3841DD8D">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00BB4637">
                  <w:pPr>
                    <w:widowControl/>
                    <w:jc w:val="center"/>
                    <w:textAlignment w:val="center"/>
                    <w:rPr>
                      <w:sz w:val="22"/>
                      <w:szCs w:val="22"/>
                    </w:rPr>
                  </w:pPr>
                  <w:r>
                    <w:rPr>
                      <w:color w:val="000000"/>
                      <w:kern w:val="0"/>
                      <w:sz w:val="22"/>
                      <w:szCs w:val="22"/>
                      <w:lang w:bidi="ar"/>
                    </w:rPr>
                    <w:t>非标</w:t>
                  </w:r>
                </w:p>
              </w:tc>
              <w:tc>
                <w:tcPr>
                  <w:tcW w:w="1066" w:type="dxa"/>
                  <w:vAlign w:val="center"/>
                </w:tcPr>
                <w:p w14:paraId="1CAD9C81">
                  <w:pPr>
                    <w:widowControl/>
                    <w:jc w:val="center"/>
                    <w:textAlignment w:val="bottom"/>
                    <w:rPr>
                      <w:sz w:val="22"/>
                      <w:szCs w:val="22"/>
                    </w:rPr>
                  </w:pPr>
                  <w:r>
                    <w:rPr>
                      <w:color w:val="000000"/>
                      <w:kern w:val="0"/>
                      <w:sz w:val="22"/>
                      <w:szCs w:val="22"/>
                      <w:lang w:bidi="ar"/>
                    </w:rPr>
                    <w:t>7mins/1套</w:t>
                  </w:r>
                </w:p>
              </w:tc>
              <w:tc>
                <w:tcPr>
                  <w:tcW w:w="1034" w:type="dxa"/>
                  <w:vAlign w:val="center"/>
                </w:tcPr>
                <w:p w14:paraId="3BA9866B">
                  <w:pPr>
                    <w:widowControl/>
                    <w:jc w:val="center"/>
                    <w:textAlignment w:val="bottom"/>
                    <w:rPr>
                      <w:sz w:val="22"/>
                      <w:szCs w:val="22"/>
                    </w:rPr>
                  </w:pPr>
                  <w:r>
                    <w:rPr>
                      <w:color w:val="000000"/>
                      <w:kern w:val="0"/>
                      <w:sz w:val="22"/>
                      <w:szCs w:val="22"/>
                      <w:lang w:bidi="ar"/>
                    </w:rPr>
                    <w:t>减速箱总成</w:t>
                  </w:r>
                </w:p>
              </w:tc>
              <w:tc>
                <w:tcPr>
                  <w:tcW w:w="1051" w:type="dxa"/>
                  <w:vAlign w:val="center"/>
                </w:tcPr>
                <w:p w14:paraId="417C1893">
                  <w:pPr>
                    <w:widowControl/>
                    <w:jc w:val="center"/>
                    <w:textAlignment w:val="center"/>
                    <w:rPr>
                      <w:sz w:val="22"/>
                      <w:szCs w:val="22"/>
                    </w:rPr>
                  </w:pPr>
                  <w:r>
                    <w:rPr>
                      <w:color w:val="000000"/>
                      <w:kern w:val="0"/>
                      <w:sz w:val="22"/>
                      <w:szCs w:val="22"/>
                      <w:lang w:bidi="ar"/>
                    </w:rPr>
                    <w:t>50000</w:t>
                  </w:r>
                </w:p>
              </w:tc>
            </w:tr>
            <w:tr w14:paraId="0278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5B76B722">
                  <w:pPr>
                    <w:jc w:val="center"/>
                    <w:rPr>
                      <w:sz w:val="22"/>
                      <w:szCs w:val="22"/>
                    </w:rPr>
                  </w:pPr>
                </w:p>
              </w:tc>
              <w:tc>
                <w:tcPr>
                  <w:tcW w:w="1300" w:type="dxa"/>
                  <w:vAlign w:val="center"/>
                </w:tcPr>
                <w:p w14:paraId="59A5D7DE">
                  <w:pPr>
                    <w:widowControl/>
                    <w:jc w:val="center"/>
                    <w:textAlignment w:val="center"/>
                    <w:rPr>
                      <w:sz w:val="22"/>
                      <w:szCs w:val="22"/>
                    </w:rPr>
                  </w:pPr>
                  <w:r>
                    <w:rPr>
                      <w:sz w:val="22"/>
                      <w:szCs w:val="22"/>
                    </w:rPr>
                    <w:t>电机装配及泄漏测试</w:t>
                  </w:r>
                </w:p>
              </w:tc>
              <w:tc>
                <w:tcPr>
                  <w:tcW w:w="1397" w:type="dxa"/>
                  <w:vAlign w:val="center"/>
                </w:tcPr>
                <w:p w14:paraId="3CDA5A85">
                  <w:pPr>
                    <w:widowControl/>
                    <w:jc w:val="center"/>
                    <w:textAlignment w:val="center"/>
                    <w:rPr>
                      <w:sz w:val="22"/>
                      <w:szCs w:val="22"/>
                    </w:rPr>
                  </w:pPr>
                  <w:r>
                    <w:rPr>
                      <w:color w:val="000000"/>
                      <w:kern w:val="0"/>
                      <w:sz w:val="22"/>
                      <w:szCs w:val="22"/>
                      <w:lang w:bidi="ar"/>
                    </w:rPr>
                    <w:t>B端盖组件装配台1</w:t>
                  </w:r>
                </w:p>
              </w:tc>
              <w:tc>
                <w:tcPr>
                  <w:tcW w:w="775" w:type="dxa"/>
                  <w:vAlign w:val="center"/>
                </w:tcPr>
                <w:p w14:paraId="701E1F10">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75DC936A">
                  <w:pPr>
                    <w:widowControl/>
                    <w:jc w:val="center"/>
                    <w:textAlignment w:val="center"/>
                    <w:rPr>
                      <w:sz w:val="22"/>
                      <w:szCs w:val="22"/>
                    </w:rPr>
                  </w:pPr>
                  <w:r>
                    <w:rPr>
                      <w:color w:val="000000"/>
                      <w:kern w:val="0"/>
                      <w:sz w:val="22"/>
                      <w:szCs w:val="22"/>
                      <w:lang w:bidi="ar"/>
                    </w:rPr>
                    <w:t>非标</w:t>
                  </w:r>
                </w:p>
              </w:tc>
              <w:tc>
                <w:tcPr>
                  <w:tcW w:w="1066" w:type="dxa"/>
                  <w:vAlign w:val="center"/>
                </w:tcPr>
                <w:p w14:paraId="2FB778D3">
                  <w:pPr>
                    <w:widowControl/>
                    <w:jc w:val="center"/>
                    <w:textAlignment w:val="bottom"/>
                    <w:rPr>
                      <w:sz w:val="22"/>
                      <w:szCs w:val="22"/>
                    </w:rPr>
                  </w:pPr>
                  <w:r>
                    <w:rPr>
                      <w:color w:val="000000"/>
                      <w:kern w:val="0"/>
                      <w:sz w:val="22"/>
                      <w:szCs w:val="22"/>
                      <w:lang w:bidi="ar"/>
                    </w:rPr>
                    <w:t>7mins/1套</w:t>
                  </w:r>
                </w:p>
              </w:tc>
              <w:tc>
                <w:tcPr>
                  <w:tcW w:w="1034" w:type="dxa"/>
                  <w:vAlign w:val="center"/>
                </w:tcPr>
                <w:p w14:paraId="034734FC">
                  <w:pPr>
                    <w:widowControl/>
                    <w:jc w:val="center"/>
                    <w:textAlignment w:val="bottom"/>
                    <w:rPr>
                      <w:sz w:val="22"/>
                      <w:szCs w:val="22"/>
                    </w:rPr>
                  </w:pPr>
                  <w:r>
                    <w:rPr>
                      <w:color w:val="000000"/>
                      <w:kern w:val="0"/>
                      <w:sz w:val="22"/>
                      <w:szCs w:val="22"/>
                      <w:lang w:bidi="ar"/>
                    </w:rPr>
                    <w:t>减速箱总成</w:t>
                  </w:r>
                </w:p>
              </w:tc>
              <w:tc>
                <w:tcPr>
                  <w:tcW w:w="1051" w:type="dxa"/>
                  <w:vAlign w:val="center"/>
                </w:tcPr>
                <w:p w14:paraId="320F0797">
                  <w:pPr>
                    <w:widowControl/>
                    <w:jc w:val="center"/>
                    <w:textAlignment w:val="center"/>
                    <w:rPr>
                      <w:sz w:val="22"/>
                      <w:szCs w:val="22"/>
                    </w:rPr>
                  </w:pPr>
                  <w:r>
                    <w:rPr>
                      <w:color w:val="000000"/>
                      <w:kern w:val="0"/>
                      <w:sz w:val="22"/>
                      <w:szCs w:val="22"/>
                      <w:lang w:bidi="ar"/>
                    </w:rPr>
                    <w:t>50000</w:t>
                  </w:r>
                </w:p>
              </w:tc>
            </w:tr>
            <w:tr w14:paraId="5AC7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24E0F905">
                  <w:pPr>
                    <w:jc w:val="center"/>
                    <w:rPr>
                      <w:sz w:val="22"/>
                      <w:szCs w:val="22"/>
                    </w:rPr>
                  </w:pPr>
                </w:p>
              </w:tc>
              <w:tc>
                <w:tcPr>
                  <w:tcW w:w="1300" w:type="dxa"/>
                  <w:vAlign w:val="center"/>
                </w:tcPr>
                <w:p w14:paraId="6CCDAA92">
                  <w:pPr>
                    <w:widowControl/>
                    <w:jc w:val="center"/>
                    <w:textAlignment w:val="center"/>
                    <w:rPr>
                      <w:sz w:val="22"/>
                      <w:szCs w:val="22"/>
                    </w:rPr>
                  </w:pPr>
                  <w:r>
                    <w:rPr>
                      <w:sz w:val="22"/>
                      <w:szCs w:val="22"/>
                    </w:rPr>
                    <w:t>电机装配及泄漏测试</w:t>
                  </w:r>
                </w:p>
              </w:tc>
              <w:tc>
                <w:tcPr>
                  <w:tcW w:w="1397" w:type="dxa"/>
                  <w:vAlign w:val="center"/>
                </w:tcPr>
                <w:p w14:paraId="5C6C507E">
                  <w:pPr>
                    <w:widowControl/>
                    <w:jc w:val="center"/>
                    <w:textAlignment w:val="center"/>
                    <w:rPr>
                      <w:sz w:val="22"/>
                      <w:szCs w:val="22"/>
                    </w:rPr>
                  </w:pPr>
                  <w:r>
                    <w:rPr>
                      <w:color w:val="000000"/>
                      <w:kern w:val="0"/>
                      <w:sz w:val="22"/>
                      <w:szCs w:val="22"/>
                      <w:lang w:bidi="ar"/>
                    </w:rPr>
                    <w:t>B端盖组件装配台2</w:t>
                  </w:r>
                </w:p>
              </w:tc>
              <w:tc>
                <w:tcPr>
                  <w:tcW w:w="775" w:type="dxa"/>
                  <w:vAlign w:val="center"/>
                </w:tcPr>
                <w:p w14:paraId="64F99420">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2CD817EB">
                  <w:pPr>
                    <w:widowControl/>
                    <w:jc w:val="center"/>
                    <w:textAlignment w:val="center"/>
                    <w:rPr>
                      <w:sz w:val="22"/>
                      <w:szCs w:val="22"/>
                    </w:rPr>
                  </w:pPr>
                  <w:r>
                    <w:rPr>
                      <w:color w:val="000000"/>
                      <w:kern w:val="0"/>
                      <w:sz w:val="22"/>
                      <w:szCs w:val="22"/>
                      <w:lang w:bidi="ar"/>
                    </w:rPr>
                    <w:t>非标</w:t>
                  </w:r>
                </w:p>
              </w:tc>
              <w:tc>
                <w:tcPr>
                  <w:tcW w:w="1066" w:type="dxa"/>
                  <w:vAlign w:val="center"/>
                </w:tcPr>
                <w:p w14:paraId="0839650A">
                  <w:pPr>
                    <w:widowControl/>
                    <w:jc w:val="center"/>
                    <w:textAlignment w:val="bottom"/>
                    <w:rPr>
                      <w:sz w:val="22"/>
                      <w:szCs w:val="22"/>
                    </w:rPr>
                  </w:pPr>
                  <w:r>
                    <w:rPr>
                      <w:color w:val="000000"/>
                      <w:kern w:val="0"/>
                      <w:sz w:val="22"/>
                      <w:szCs w:val="22"/>
                      <w:lang w:bidi="ar"/>
                    </w:rPr>
                    <w:t>7mins/1套</w:t>
                  </w:r>
                </w:p>
              </w:tc>
              <w:tc>
                <w:tcPr>
                  <w:tcW w:w="1034" w:type="dxa"/>
                  <w:vAlign w:val="center"/>
                </w:tcPr>
                <w:p w14:paraId="0D6B871A">
                  <w:pPr>
                    <w:widowControl/>
                    <w:jc w:val="center"/>
                    <w:textAlignment w:val="bottom"/>
                    <w:rPr>
                      <w:sz w:val="22"/>
                      <w:szCs w:val="22"/>
                    </w:rPr>
                  </w:pPr>
                  <w:r>
                    <w:rPr>
                      <w:color w:val="000000"/>
                      <w:kern w:val="0"/>
                      <w:sz w:val="22"/>
                      <w:szCs w:val="22"/>
                      <w:lang w:bidi="ar"/>
                    </w:rPr>
                    <w:t>减速箱总成</w:t>
                  </w:r>
                </w:p>
              </w:tc>
              <w:tc>
                <w:tcPr>
                  <w:tcW w:w="1051" w:type="dxa"/>
                  <w:vAlign w:val="center"/>
                </w:tcPr>
                <w:p w14:paraId="63BAB17D">
                  <w:pPr>
                    <w:widowControl/>
                    <w:jc w:val="center"/>
                    <w:textAlignment w:val="center"/>
                    <w:rPr>
                      <w:sz w:val="22"/>
                      <w:szCs w:val="22"/>
                    </w:rPr>
                  </w:pPr>
                  <w:r>
                    <w:rPr>
                      <w:color w:val="000000"/>
                      <w:kern w:val="0"/>
                      <w:sz w:val="22"/>
                      <w:szCs w:val="22"/>
                      <w:lang w:bidi="ar"/>
                    </w:rPr>
                    <w:t>50000</w:t>
                  </w:r>
                </w:p>
              </w:tc>
            </w:tr>
            <w:tr w14:paraId="7B39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38B64B05">
                  <w:pPr>
                    <w:jc w:val="center"/>
                    <w:rPr>
                      <w:sz w:val="22"/>
                      <w:szCs w:val="22"/>
                    </w:rPr>
                  </w:pPr>
                </w:p>
              </w:tc>
              <w:tc>
                <w:tcPr>
                  <w:tcW w:w="1300" w:type="dxa"/>
                  <w:vAlign w:val="center"/>
                </w:tcPr>
                <w:p w14:paraId="570B362B">
                  <w:pPr>
                    <w:widowControl/>
                    <w:jc w:val="center"/>
                    <w:textAlignment w:val="center"/>
                    <w:rPr>
                      <w:sz w:val="22"/>
                      <w:szCs w:val="22"/>
                    </w:rPr>
                  </w:pPr>
                  <w:r>
                    <w:rPr>
                      <w:sz w:val="22"/>
                      <w:szCs w:val="22"/>
                    </w:rPr>
                    <w:t>电机装配及泄漏测试</w:t>
                  </w:r>
                </w:p>
              </w:tc>
              <w:tc>
                <w:tcPr>
                  <w:tcW w:w="1397" w:type="dxa"/>
                  <w:vAlign w:val="center"/>
                </w:tcPr>
                <w:p w14:paraId="28289AD6">
                  <w:pPr>
                    <w:widowControl/>
                    <w:jc w:val="center"/>
                    <w:textAlignment w:val="center"/>
                    <w:rPr>
                      <w:sz w:val="22"/>
                      <w:szCs w:val="22"/>
                    </w:rPr>
                  </w:pPr>
                  <w:r>
                    <w:rPr>
                      <w:color w:val="000000"/>
                      <w:kern w:val="0"/>
                      <w:sz w:val="22"/>
                      <w:szCs w:val="22"/>
                      <w:lang w:bidi="ar"/>
                    </w:rPr>
                    <w:t>电阻检测台</w:t>
                  </w:r>
                </w:p>
              </w:tc>
              <w:tc>
                <w:tcPr>
                  <w:tcW w:w="775" w:type="dxa"/>
                  <w:vAlign w:val="center"/>
                </w:tcPr>
                <w:p w14:paraId="3B71D518">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3EDE23F0">
                  <w:pPr>
                    <w:widowControl/>
                    <w:jc w:val="center"/>
                    <w:textAlignment w:val="center"/>
                    <w:rPr>
                      <w:sz w:val="22"/>
                      <w:szCs w:val="22"/>
                    </w:rPr>
                  </w:pPr>
                  <w:r>
                    <w:rPr>
                      <w:color w:val="000000"/>
                      <w:kern w:val="0"/>
                      <w:sz w:val="22"/>
                      <w:szCs w:val="22"/>
                      <w:lang w:bidi="ar"/>
                    </w:rPr>
                    <w:t>非标</w:t>
                  </w:r>
                </w:p>
              </w:tc>
              <w:tc>
                <w:tcPr>
                  <w:tcW w:w="1066" w:type="dxa"/>
                  <w:vAlign w:val="center"/>
                </w:tcPr>
                <w:p w14:paraId="1894C639">
                  <w:pPr>
                    <w:widowControl/>
                    <w:jc w:val="center"/>
                    <w:textAlignment w:val="bottom"/>
                    <w:rPr>
                      <w:sz w:val="22"/>
                      <w:szCs w:val="22"/>
                    </w:rPr>
                  </w:pPr>
                  <w:r>
                    <w:rPr>
                      <w:color w:val="000000"/>
                      <w:kern w:val="0"/>
                      <w:sz w:val="22"/>
                      <w:szCs w:val="22"/>
                      <w:lang w:bidi="ar"/>
                    </w:rPr>
                    <w:t>7mins/1套</w:t>
                  </w:r>
                </w:p>
              </w:tc>
              <w:tc>
                <w:tcPr>
                  <w:tcW w:w="1034" w:type="dxa"/>
                  <w:vAlign w:val="center"/>
                </w:tcPr>
                <w:p w14:paraId="088A4290">
                  <w:pPr>
                    <w:widowControl/>
                    <w:jc w:val="center"/>
                    <w:textAlignment w:val="bottom"/>
                    <w:rPr>
                      <w:sz w:val="22"/>
                      <w:szCs w:val="22"/>
                    </w:rPr>
                  </w:pPr>
                  <w:r>
                    <w:rPr>
                      <w:color w:val="000000"/>
                      <w:kern w:val="0"/>
                      <w:sz w:val="22"/>
                      <w:szCs w:val="22"/>
                      <w:lang w:bidi="ar"/>
                    </w:rPr>
                    <w:t>减速箱总成</w:t>
                  </w:r>
                </w:p>
              </w:tc>
              <w:tc>
                <w:tcPr>
                  <w:tcW w:w="1051" w:type="dxa"/>
                  <w:vAlign w:val="center"/>
                </w:tcPr>
                <w:p w14:paraId="0774DD53">
                  <w:pPr>
                    <w:widowControl/>
                    <w:jc w:val="center"/>
                    <w:textAlignment w:val="center"/>
                    <w:rPr>
                      <w:sz w:val="22"/>
                      <w:szCs w:val="22"/>
                    </w:rPr>
                  </w:pPr>
                  <w:r>
                    <w:rPr>
                      <w:color w:val="000000"/>
                      <w:kern w:val="0"/>
                      <w:sz w:val="22"/>
                      <w:szCs w:val="22"/>
                      <w:lang w:bidi="ar"/>
                    </w:rPr>
                    <w:t>50000</w:t>
                  </w:r>
                </w:p>
              </w:tc>
            </w:tr>
            <w:tr w14:paraId="17D1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1" w:type="dxa"/>
                  <w:vMerge w:val="continue"/>
                  <w:vAlign w:val="center"/>
                </w:tcPr>
                <w:p w14:paraId="137BDF82">
                  <w:pPr>
                    <w:jc w:val="center"/>
                    <w:rPr>
                      <w:sz w:val="22"/>
                      <w:szCs w:val="22"/>
                    </w:rPr>
                  </w:pPr>
                </w:p>
              </w:tc>
              <w:tc>
                <w:tcPr>
                  <w:tcW w:w="1300" w:type="dxa"/>
                  <w:vAlign w:val="center"/>
                </w:tcPr>
                <w:p w14:paraId="25E8F5A8">
                  <w:pPr>
                    <w:widowControl/>
                    <w:jc w:val="center"/>
                    <w:textAlignment w:val="center"/>
                    <w:rPr>
                      <w:sz w:val="22"/>
                      <w:szCs w:val="22"/>
                    </w:rPr>
                  </w:pPr>
                  <w:r>
                    <w:rPr>
                      <w:sz w:val="22"/>
                      <w:szCs w:val="22"/>
                    </w:rPr>
                    <w:t>电机装配及泄漏测试</w:t>
                  </w:r>
                </w:p>
              </w:tc>
              <w:tc>
                <w:tcPr>
                  <w:tcW w:w="1397" w:type="dxa"/>
                  <w:vAlign w:val="center"/>
                </w:tcPr>
                <w:p w14:paraId="43979ED3">
                  <w:pPr>
                    <w:widowControl/>
                    <w:jc w:val="center"/>
                    <w:textAlignment w:val="center"/>
                    <w:rPr>
                      <w:sz w:val="22"/>
                      <w:szCs w:val="22"/>
                    </w:rPr>
                  </w:pPr>
                  <w:r>
                    <w:rPr>
                      <w:color w:val="000000"/>
                      <w:kern w:val="0"/>
                      <w:sz w:val="22"/>
                      <w:szCs w:val="22"/>
                      <w:lang w:bidi="ar"/>
                    </w:rPr>
                    <w:t>激光打标台</w:t>
                  </w:r>
                </w:p>
              </w:tc>
              <w:tc>
                <w:tcPr>
                  <w:tcW w:w="775" w:type="dxa"/>
                  <w:vAlign w:val="center"/>
                </w:tcPr>
                <w:p w14:paraId="7EEC1A8E">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4DB3846E">
                  <w:pPr>
                    <w:widowControl/>
                    <w:jc w:val="center"/>
                    <w:textAlignment w:val="center"/>
                    <w:rPr>
                      <w:sz w:val="22"/>
                      <w:szCs w:val="22"/>
                    </w:rPr>
                  </w:pPr>
                  <w:r>
                    <w:rPr>
                      <w:color w:val="000000"/>
                      <w:kern w:val="0"/>
                      <w:sz w:val="22"/>
                      <w:szCs w:val="22"/>
                      <w:lang w:bidi="ar"/>
                    </w:rPr>
                    <w:t>非标</w:t>
                  </w:r>
                </w:p>
              </w:tc>
              <w:tc>
                <w:tcPr>
                  <w:tcW w:w="1066" w:type="dxa"/>
                  <w:vAlign w:val="center"/>
                </w:tcPr>
                <w:p w14:paraId="70AFB5A8">
                  <w:pPr>
                    <w:widowControl/>
                    <w:jc w:val="center"/>
                    <w:textAlignment w:val="bottom"/>
                    <w:rPr>
                      <w:sz w:val="22"/>
                      <w:szCs w:val="22"/>
                    </w:rPr>
                  </w:pPr>
                  <w:r>
                    <w:rPr>
                      <w:color w:val="000000"/>
                      <w:kern w:val="0"/>
                      <w:sz w:val="22"/>
                      <w:szCs w:val="22"/>
                      <w:lang w:bidi="ar"/>
                    </w:rPr>
                    <w:t>7mins/1套</w:t>
                  </w:r>
                </w:p>
              </w:tc>
              <w:tc>
                <w:tcPr>
                  <w:tcW w:w="1034" w:type="dxa"/>
                  <w:vAlign w:val="center"/>
                </w:tcPr>
                <w:p w14:paraId="4DEC509D">
                  <w:pPr>
                    <w:widowControl/>
                    <w:jc w:val="center"/>
                    <w:textAlignment w:val="bottom"/>
                    <w:rPr>
                      <w:sz w:val="22"/>
                      <w:szCs w:val="22"/>
                    </w:rPr>
                  </w:pPr>
                  <w:r>
                    <w:rPr>
                      <w:color w:val="000000"/>
                      <w:kern w:val="0"/>
                      <w:sz w:val="22"/>
                      <w:szCs w:val="22"/>
                      <w:lang w:bidi="ar"/>
                    </w:rPr>
                    <w:t>减速箱总成</w:t>
                  </w:r>
                </w:p>
              </w:tc>
              <w:tc>
                <w:tcPr>
                  <w:tcW w:w="1051" w:type="dxa"/>
                  <w:vAlign w:val="center"/>
                </w:tcPr>
                <w:p w14:paraId="2E051CE5">
                  <w:pPr>
                    <w:widowControl/>
                    <w:jc w:val="center"/>
                    <w:textAlignment w:val="center"/>
                    <w:rPr>
                      <w:sz w:val="22"/>
                      <w:szCs w:val="22"/>
                    </w:rPr>
                  </w:pPr>
                  <w:r>
                    <w:rPr>
                      <w:color w:val="000000"/>
                      <w:kern w:val="0"/>
                      <w:sz w:val="22"/>
                      <w:szCs w:val="22"/>
                      <w:lang w:bidi="ar"/>
                    </w:rPr>
                    <w:t>50000</w:t>
                  </w:r>
                </w:p>
              </w:tc>
            </w:tr>
            <w:tr w14:paraId="0B62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43F04196">
                  <w:pPr>
                    <w:jc w:val="center"/>
                    <w:rPr>
                      <w:sz w:val="22"/>
                      <w:szCs w:val="22"/>
                    </w:rPr>
                  </w:pPr>
                </w:p>
              </w:tc>
              <w:tc>
                <w:tcPr>
                  <w:tcW w:w="1300" w:type="dxa"/>
                  <w:vAlign w:val="center"/>
                </w:tcPr>
                <w:p w14:paraId="67CAB885">
                  <w:pPr>
                    <w:widowControl/>
                    <w:jc w:val="center"/>
                    <w:textAlignment w:val="center"/>
                    <w:rPr>
                      <w:sz w:val="22"/>
                      <w:szCs w:val="22"/>
                    </w:rPr>
                  </w:pPr>
                  <w:r>
                    <w:rPr>
                      <w:sz w:val="22"/>
                      <w:szCs w:val="22"/>
                    </w:rPr>
                    <w:t>电机装配及泄漏测试</w:t>
                  </w:r>
                </w:p>
              </w:tc>
              <w:tc>
                <w:tcPr>
                  <w:tcW w:w="1397" w:type="dxa"/>
                  <w:vAlign w:val="center"/>
                </w:tcPr>
                <w:p w14:paraId="21823CB9">
                  <w:pPr>
                    <w:widowControl/>
                    <w:jc w:val="center"/>
                    <w:textAlignment w:val="center"/>
                    <w:rPr>
                      <w:sz w:val="22"/>
                      <w:szCs w:val="22"/>
                    </w:rPr>
                  </w:pPr>
                  <w:r>
                    <w:rPr>
                      <w:color w:val="000000"/>
                      <w:kern w:val="0"/>
                      <w:sz w:val="22"/>
                      <w:szCs w:val="22"/>
                      <w:lang w:bidi="ar"/>
                    </w:rPr>
                    <w:t>水路/油路装配台</w:t>
                  </w:r>
                </w:p>
              </w:tc>
              <w:tc>
                <w:tcPr>
                  <w:tcW w:w="775" w:type="dxa"/>
                  <w:vAlign w:val="center"/>
                </w:tcPr>
                <w:p w14:paraId="4F74C3BE">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68E1CEA1">
                  <w:pPr>
                    <w:widowControl/>
                    <w:jc w:val="center"/>
                    <w:textAlignment w:val="center"/>
                    <w:rPr>
                      <w:sz w:val="22"/>
                      <w:szCs w:val="22"/>
                    </w:rPr>
                  </w:pPr>
                  <w:r>
                    <w:rPr>
                      <w:color w:val="000000"/>
                      <w:kern w:val="0"/>
                      <w:sz w:val="22"/>
                      <w:szCs w:val="22"/>
                      <w:lang w:bidi="ar"/>
                    </w:rPr>
                    <w:t>非标</w:t>
                  </w:r>
                </w:p>
              </w:tc>
              <w:tc>
                <w:tcPr>
                  <w:tcW w:w="1066" w:type="dxa"/>
                  <w:vAlign w:val="center"/>
                </w:tcPr>
                <w:p w14:paraId="1556ED9F">
                  <w:pPr>
                    <w:widowControl/>
                    <w:jc w:val="center"/>
                    <w:textAlignment w:val="bottom"/>
                    <w:rPr>
                      <w:sz w:val="22"/>
                      <w:szCs w:val="22"/>
                    </w:rPr>
                  </w:pPr>
                  <w:r>
                    <w:rPr>
                      <w:color w:val="000000"/>
                      <w:kern w:val="0"/>
                      <w:sz w:val="22"/>
                      <w:szCs w:val="22"/>
                      <w:lang w:bidi="ar"/>
                    </w:rPr>
                    <w:t>7mins/1套</w:t>
                  </w:r>
                </w:p>
              </w:tc>
              <w:tc>
                <w:tcPr>
                  <w:tcW w:w="1034" w:type="dxa"/>
                  <w:vAlign w:val="center"/>
                </w:tcPr>
                <w:p w14:paraId="009E6C27">
                  <w:pPr>
                    <w:widowControl/>
                    <w:jc w:val="center"/>
                    <w:textAlignment w:val="bottom"/>
                    <w:rPr>
                      <w:sz w:val="22"/>
                      <w:szCs w:val="22"/>
                    </w:rPr>
                  </w:pPr>
                  <w:r>
                    <w:rPr>
                      <w:color w:val="000000"/>
                      <w:kern w:val="0"/>
                      <w:sz w:val="22"/>
                      <w:szCs w:val="22"/>
                      <w:lang w:bidi="ar"/>
                    </w:rPr>
                    <w:t>减速箱总成</w:t>
                  </w:r>
                </w:p>
              </w:tc>
              <w:tc>
                <w:tcPr>
                  <w:tcW w:w="1051" w:type="dxa"/>
                  <w:vAlign w:val="center"/>
                </w:tcPr>
                <w:p w14:paraId="6C213D6B">
                  <w:pPr>
                    <w:widowControl/>
                    <w:jc w:val="center"/>
                    <w:textAlignment w:val="center"/>
                    <w:rPr>
                      <w:sz w:val="22"/>
                      <w:szCs w:val="22"/>
                    </w:rPr>
                  </w:pPr>
                  <w:r>
                    <w:rPr>
                      <w:color w:val="000000"/>
                      <w:kern w:val="0"/>
                      <w:sz w:val="22"/>
                      <w:szCs w:val="22"/>
                      <w:lang w:bidi="ar"/>
                    </w:rPr>
                    <w:t>50000</w:t>
                  </w:r>
                </w:p>
              </w:tc>
            </w:tr>
            <w:tr w14:paraId="0539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6A450F46">
                  <w:pPr>
                    <w:jc w:val="center"/>
                    <w:rPr>
                      <w:sz w:val="22"/>
                      <w:szCs w:val="22"/>
                    </w:rPr>
                  </w:pPr>
                </w:p>
              </w:tc>
              <w:tc>
                <w:tcPr>
                  <w:tcW w:w="1300" w:type="dxa"/>
                  <w:vAlign w:val="center"/>
                </w:tcPr>
                <w:p w14:paraId="26577F56">
                  <w:pPr>
                    <w:widowControl/>
                    <w:jc w:val="center"/>
                    <w:textAlignment w:val="center"/>
                    <w:rPr>
                      <w:sz w:val="22"/>
                      <w:szCs w:val="22"/>
                    </w:rPr>
                  </w:pPr>
                  <w:r>
                    <w:rPr>
                      <w:sz w:val="22"/>
                      <w:szCs w:val="22"/>
                    </w:rPr>
                    <w:t>电机装配及泄漏测试</w:t>
                  </w:r>
                </w:p>
              </w:tc>
              <w:tc>
                <w:tcPr>
                  <w:tcW w:w="1397" w:type="dxa"/>
                  <w:vAlign w:val="center"/>
                </w:tcPr>
                <w:p w14:paraId="5D162505">
                  <w:pPr>
                    <w:widowControl/>
                    <w:jc w:val="center"/>
                    <w:textAlignment w:val="center"/>
                    <w:rPr>
                      <w:sz w:val="22"/>
                      <w:szCs w:val="22"/>
                    </w:rPr>
                  </w:pPr>
                  <w:r>
                    <w:rPr>
                      <w:color w:val="000000"/>
                      <w:kern w:val="0"/>
                      <w:sz w:val="22"/>
                      <w:szCs w:val="22"/>
                      <w:lang w:bidi="ar"/>
                    </w:rPr>
                    <w:t>电机泄露测试台</w:t>
                  </w:r>
                </w:p>
              </w:tc>
              <w:tc>
                <w:tcPr>
                  <w:tcW w:w="775" w:type="dxa"/>
                  <w:vAlign w:val="center"/>
                </w:tcPr>
                <w:p w14:paraId="6A15B978">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51E9AD0E">
                  <w:pPr>
                    <w:widowControl/>
                    <w:jc w:val="center"/>
                    <w:textAlignment w:val="center"/>
                    <w:rPr>
                      <w:sz w:val="22"/>
                      <w:szCs w:val="22"/>
                    </w:rPr>
                  </w:pPr>
                  <w:r>
                    <w:rPr>
                      <w:color w:val="000000"/>
                      <w:kern w:val="0"/>
                      <w:sz w:val="22"/>
                      <w:szCs w:val="22"/>
                      <w:lang w:bidi="ar"/>
                    </w:rPr>
                    <w:t>非标</w:t>
                  </w:r>
                </w:p>
              </w:tc>
              <w:tc>
                <w:tcPr>
                  <w:tcW w:w="1066" w:type="dxa"/>
                  <w:vAlign w:val="center"/>
                </w:tcPr>
                <w:p w14:paraId="1C9391CA">
                  <w:pPr>
                    <w:widowControl/>
                    <w:jc w:val="center"/>
                    <w:textAlignment w:val="bottom"/>
                    <w:rPr>
                      <w:sz w:val="22"/>
                      <w:szCs w:val="22"/>
                    </w:rPr>
                  </w:pPr>
                  <w:r>
                    <w:rPr>
                      <w:color w:val="000000"/>
                      <w:kern w:val="0"/>
                      <w:sz w:val="22"/>
                      <w:szCs w:val="22"/>
                      <w:lang w:bidi="ar"/>
                    </w:rPr>
                    <w:t>7mins/1套</w:t>
                  </w:r>
                </w:p>
              </w:tc>
              <w:tc>
                <w:tcPr>
                  <w:tcW w:w="1034" w:type="dxa"/>
                  <w:vAlign w:val="center"/>
                </w:tcPr>
                <w:p w14:paraId="2198F374">
                  <w:pPr>
                    <w:widowControl/>
                    <w:jc w:val="center"/>
                    <w:textAlignment w:val="bottom"/>
                    <w:rPr>
                      <w:sz w:val="22"/>
                      <w:szCs w:val="22"/>
                    </w:rPr>
                  </w:pPr>
                  <w:r>
                    <w:rPr>
                      <w:color w:val="000000"/>
                      <w:kern w:val="0"/>
                      <w:sz w:val="22"/>
                      <w:szCs w:val="22"/>
                      <w:lang w:bidi="ar"/>
                    </w:rPr>
                    <w:t>减速箱总成</w:t>
                  </w:r>
                </w:p>
              </w:tc>
              <w:tc>
                <w:tcPr>
                  <w:tcW w:w="1051" w:type="dxa"/>
                  <w:vAlign w:val="center"/>
                </w:tcPr>
                <w:p w14:paraId="412B4819">
                  <w:pPr>
                    <w:widowControl/>
                    <w:jc w:val="center"/>
                    <w:textAlignment w:val="center"/>
                    <w:rPr>
                      <w:sz w:val="22"/>
                      <w:szCs w:val="22"/>
                    </w:rPr>
                  </w:pPr>
                  <w:r>
                    <w:rPr>
                      <w:color w:val="000000"/>
                      <w:kern w:val="0"/>
                      <w:sz w:val="22"/>
                      <w:szCs w:val="22"/>
                      <w:lang w:bidi="ar"/>
                    </w:rPr>
                    <w:t>50000</w:t>
                  </w:r>
                </w:p>
              </w:tc>
            </w:tr>
            <w:tr w14:paraId="0A73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1" w:type="dxa"/>
                  <w:vMerge w:val="continue"/>
                  <w:vAlign w:val="center"/>
                </w:tcPr>
                <w:p w14:paraId="17ABFE5E">
                  <w:pPr>
                    <w:jc w:val="center"/>
                    <w:rPr>
                      <w:sz w:val="22"/>
                      <w:szCs w:val="22"/>
                    </w:rPr>
                  </w:pPr>
                </w:p>
              </w:tc>
              <w:tc>
                <w:tcPr>
                  <w:tcW w:w="1300" w:type="dxa"/>
                  <w:vAlign w:val="center"/>
                </w:tcPr>
                <w:p w14:paraId="37521A83">
                  <w:pPr>
                    <w:widowControl/>
                    <w:jc w:val="center"/>
                    <w:textAlignment w:val="center"/>
                    <w:rPr>
                      <w:sz w:val="22"/>
                      <w:szCs w:val="22"/>
                    </w:rPr>
                  </w:pPr>
                  <w:r>
                    <w:rPr>
                      <w:sz w:val="22"/>
                      <w:szCs w:val="22"/>
                    </w:rPr>
                    <w:t>变速箱组件及桥腿安装</w:t>
                  </w:r>
                </w:p>
              </w:tc>
              <w:tc>
                <w:tcPr>
                  <w:tcW w:w="1397" w:type="dxa"/>
                  <w:vAlign w:val="center"/>
                </w:tcPr>
                <w:p w14:paraId="6AD81846">
                  <w:pPr>
                    <w:widowControl/>
                    <w:jc w:val="center"/>
                    <w:textAlignment w:val="center"/>
                    <w:rPr>
                      <w:sz w:val="22"/>
                      <w:szCs w:val="22"/>
                    </w:rPr>
                  </w:pPr>
                  <w:r>
                    <w:rPr>
                      <w:color w:val="000000"/>
                      <w:kern w:val="0"/>
                      <w:sz w:val="22"/>
                      <w:szCs w:val="22"/>
                      <w:lang w:bidi="ar"/>
                    </w:rPr>
                    <w:t>桥腿预装台</w:t>
                  </w:r>
                </w:p>
              </w:tc>
              <w:tc>
                <w:tcPr>
                  <w:tcW w:w="775" w:type="dxa"/>
                  <w:vAlign w:val="center"/>
                </w:tcPr>
                <w:p w14:paraId="5962A0A3">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5554D148">
                  <w:pPr>
                    <w:widowControl/>
                    <w:jc w:val="center"/>
                    <w:textAlignment w:val="center"/>
                    <w:rPr>
                      <w:sz w:val="22"/>
                      <w:szCs w:val="22"/>
                    </w:rPr>
                  </w:pPr>
                  <w:r>
                    <w:rPr>
                      <w:color w:val="000000"/>
                      <w:kern w:val="0"/>
                      <w:sz w:val="22"/>
                      <w:szCs w:val="22"/>
                      <w:lang w:bidi="ar"/>
                    </w:rPr>
                    <w:t>非标</w:t>
                  </w:r>
                </w:p>
              </w:tc>
              <w:tc>
                <w:tcPr>
                  <w:tcW w:w="1066" w:type="dxa"/>
                  <w:vAlign w:val="center"/>
                </w:tcPr>
                <w:p w14:paraId="25BEA02D">
                  <w:pPr>
                    <w:widowControl/>
                    <w:jc w:val="center"/>
                    <w:textAlignment w:val="bottom"/>
                    <w:rPr>
                      <w:sz w:val="22"/>
                      <w:szCs w:val="22"/>
                    </w:rPr>
                  </w:pPr>
                  <w:r>
                    <w:rPr>
                      <w:color w:val="000000"/>
                      <w:kern w:val="0"/>
                      <w:sz w:val="22"/>
                      <w:szCs w:val="22"/>
                      <w:lang w:bidi="ar"/>
                    </w:rPr>
                    <w:t>7mins/1套</w:t>
                  </w:r>
                </w:p>
              </w:tc>
              <w:tc>
                <w:tcPr>
                  <w:tcW w:w="1034" w:type="dxa"/>
                  <w:vAlign w:val="center"/>
                </w:tcPr>
                <w:p w14:paraId="53D03EAB">
                  <w:pPr>
                    <w:widowControl/>
                    <w:jc w:val="center"/>
                    <w:textAlignment w:val="bottom"/>
                    <w:rPr>
                      <w:sz w:val="22"/>
                      <w:szCs w:val="22"/>
                    </w:rPr>
                  </w:pPr>
                  <w:r>
                    <w:rPr>
                      <w:color w:val="000000"/>
                      <w:kern w:val="0"/>
                      <w:sz w:val="22"/>
                      <w:szCs w:val="22"/>
                      <w:lang w:bidi="ar"/>
                    </w:rPr>
                    <w:t>电驱桥总成</w:t>
                  </w:r>
                </w:p>
              </w:tc>
              <w:tc>
                <w:tcPr>
                  <w:tcW w:w="1051" w:type="dxa"/>
                  <w:vAlign w:val="center"/>
                </w:tcPr>
                <w:p w14:paraId="72FF635A">
                  <w:pPr>
                    <w:widowControl/>
                    <w:jc w:val="center"/>
                    <w:textAlignment w:val="center"/>
                    <w:rPr>
                      <w:sz w:val="22"/>
                      <w:szCs w:val="22"/>
                    </w:rPr>
                  </w:pPr>
                  <w:r>
                    <w:rPr>
                      <w:color w:val="000000"/>
                      <w:kern w:val="0"/>
                      <w:sz w:val="22"/>
                      <w:szCs w:val="22"/>
                      <w:lang w:bidi="ar"/>
                    </w:rPr>
                    <w:t>50000</w:t>
                  </w:r>
                </w:p>
              </w:tc>
            </w:tr>
            <w:tr w14:paraId="5CC4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25DBF703">
                  <w:pPr>
                    <w:jc w:val="center"/>
                    <w:rPr>
                      <w:sz w:val="22"/>
                      <w:szCs w:val="22"/>
                    </w:rPr>
                  </w:pPr>
                </w:p>
              </w:tc>
              <w:tc>
                <w:tcPr>
                  <w:tcW w:w="1300" w:type="dxa"/>
                  <w:vAlign w:val="center"/>
                </w:tcPr>
                <w:p w14:paraId="530DE136">
                  <w:pPr>
                    <w:widowControl/>
                    <w:jc w:val="center"/>
                    <w:textAlignment w:val="center"/>
                    <w:rPr>
                      <w:sz w:val="22"/>
                      <w:szCs w:val="22"/>
                    </w:rPr>
                  </w:pPr>
                  <w:r>
                    <w:rPr>
                      <w:sz w:val="22"/>
                      <w:szCs w:val="22"/>
                    </w:rPr>
                    <w:t>变速箱组件及桥腿安装</w:t>
                  </w:r>
                </w:p>
              </w:tc>
              <w:tc>
                <w:tcPr>
                  <w:tcW w:w="1397" w:type="dxa"/>
                  <w:vAlign w:val="center"/>
                </w:tcPr>
                <w:p w14:paraId="3A615BA9">
                  <w:pPr>
                    <w:widowControl/>
                    <w:jc w:val="center"/>
                    <w:textAlignment w:val="center"/>
                    <w:rPr>
                      <w:sz w:val="22"/>
                      <w:szCs w:val="22"/>
                    </w:rPr>
                  </w:pPr>
                  <w:r>
                    <w:rPr>
                      <w:color w:val="000000"/>
                      <w:kern w:val="0"/>
                      <w:sz w:val="22"/>
                      <w:szCs w:val="22"/>
                      <w:lang w:bidi="ar"/>
                    </w:rPr>
                    <w:t>桥腿终装台</w:t>
                  </w:r>
                </w:p>
              </w:tc>
              <w:tc>
                <w:tcPr>
                  <w:tcW w:w="775" w:type="dxa"/>
                  <w:vAlign w:val="center"/>
                </w:tcPr>
                <w:p w14:paraId="58142B40">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2401FBE5">
                  <w:pPr>
                    <w:widowControl/>
                    <w:jc w:val="center"/>
                    <w:textAlignment w:val="center"/>
                    <w:rPr>
                      <w:sz w:val="22"/>
                      <w:szCs w:val="22"/>
                    </w:rPr>
                  </w:pPr>
                  <w:r>
                    <w:rPr>
                      <w:color w:val="000000"/>
                      <w:kern w:val="0"/>
                      <w:sz w:val="22"/>
                      <w:szCs w:val="22"/>
                      <w:lang w:bidi="ar"/>
                    </w:rPr>
                    <w:t>非标</w:t>
                  </w:r>
                </w:p>
              </w:tc>
              <w:tc>
                <w:tcPr>
                  <w:tcW w:w="1066" w:type="dxa"/>
                  <w:vAlign w:val="center"/>
                </w:tcPr>
                <w:p w14:paraId="58CF2803">
                  <w:pPr>
                    <w:widowControl/>
                    <w:jc w:val="center"/>
                    <w:textAlignment w:val="bottom"/>
                    <w:rPr>
                      <w:sz w:val="22"/>
                      <w:szCs w:val="22"/>
                    </w:rPr>
                  </w:pPr>
                  <w:r>
                    <w:rPr>
                      <w:color w:val="000000"/>
                      <w:kern w:val="0"/>
                      <w:sz w:val="22"/>
                      <w:szCs w:val="22"/>
                      <w:lang w:bidi="ar"/>
                    </w:rPr>
                    <w:t>7mins/1套</w:t>
                  </w:r>
                </w:p>
              </w:tc>
              <w:tc>
                <w:tcPr>
                  <w:tcW w:w="1034" w:type="dxa"/>
                  <w:vAlign w:val="center"/>
                </w:tcPr>
                <w:p w14:paraId="3C7FCDA3">
                  <w:pPr>
                    <w:widowControl/>
                    <w:jc w:val="center"/>
                    <w:textAlignment w:val="bottom"/>
                    <w:rPr>
                      <w:sz w:val="22"/>
                      <w:szCs w:val="22"/>
                    </w:rPr>
                  </w:pPr>
                  <w:r>
                    <w:rPr>
                      <w:color w:val="000000"/>
                      <w:kern w:val="0"/>
                      <w:sz w:val="22"/>
                      <w:szCs w:val="22"/>
                      <w:lang w:bidi="ar"/>
                    </w:rPr>
                    <w:t>电驱桥总成</w:t>
                  </w:r>
                </w:p>
              </w:tc>
              <w:tc>
                <w:tcPr>
                  <w:tcW w:w="1051" w:type="dxa"/>
                  <w:vAlign w:val="center"/>
                </w:tcPr>
                <w:p w14:paraId="77139C62">
                  <w:pPr>
                    <w:widowControl/>
                    <w:jc w:val="center"/>
                    <w:textAlignment w:val="center"/>
                    <w:rPr>
                      <w:sz w:val="22"/>
                      <w:szCs w:val="22"/>
                    </w:rPr>
                  </w:pPr>
                  <w:r>
                    <w:rPr>
                      <w:color w:val="000000"/>
                      <w:kern w:val="0"/>
                      <w:sz w:val="22"/>
                      <w:szCs w:val="22"/>
                      <w:lang w:bidi="ar"/>
                    </w:rPr>
                    <w:t>50000</w:t>
                  </w:r>
                </w:p>
              </w:tc>
            </w:tr>
            <w:tr w14:paraId="1FB3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08CCBEA0">
                  <w:pPr>
                    <w:jc w:val="center"/>
                    <w:rPr>
                      <w:sz w:val="22"/>
                      <w:szCs w:val="22"/>
                    </w:rPr>
                  </w:pPr>
                </w:p>
              </w:tc>
              <w:tc>
                <w:tcPr>
                  <w:tcW w:w="1300" w:type="dxa"/>
                  <w:vAlign w:val="center"/>
                </w:tcPr>
                <w:p w14:paraId="0712F1C3">
                  <w:pPr>
                    <w:widowControl/>
                    <w:jc w:val="center"/>
                    <w:textAlignment w:val="center"/>
                    <w:rPr>
                      <w:sz w:val="22"/>
                      <w:szCs w:val="22"/>
                    </w:rPr>
                  </w:pPr>
                  <w:r>
                    <w:rPr>
                      <w:sz w:val="22"/>
                      <w:szCs w:val="22"/>
                    </w:rPr>
                    <w:t>变速箱组件及桥腿安装</w:t>
                  </w:r>
                </w:p>
              </w:tc>
              <w:tc>
                <w:tcPr>
                  <w:tcW w:w="1397" w:type="dxa"/>
                  <w:vAlign w:val="center"/>
                </w:tcPr>
                <w:p w14:paraId="36AEB1D5">
                  <w:pPr>
                    <w:widowControl/>
                    <w:jc w:val="center"/>
                    <w:textAlignment w:val="center"/>
                    <w:rPr>
                      <w:sz w:val="22"/>
                      <w:szCs w:val="22"/>
                    </w:rPr>
                  </w:pPr>
                  <w:r>
                    <w:rPr>
                      <w:color w:val="000000"/>
                      <w:kern w:val="0"/>
                      <w:sz w:val="22"/>
                      <w:szCs w:val="22"/>
                      <w:lang w:bidi="ar"/>
                    </w:rPr>
                    <w:t>DCA&amp;传感器装配台</w:t>
                  </w:r>
                </w:p>
              </w:tc>
              <w:tc>
                <w:tcPr>
                  <w:tcW w:w="775" w:type="dxa"/>
                  <w:vAlign w:val="center"/>
                </w:tcPr>
                <w:p w14:paraId="6972EE67">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23489E59">
                  <w:pPr>
                    <w:widowControl/>
                    <w:jc w:val="center"/>
                    <w:textAlignment w:val="center"/>
                    <w:rPr>
                      <w:sz w:val="22"/>
                      <w:szCs w:val="22"/>
                    </w:rPr>
                  </w:pPr>
                  <w:r>
                    <w:rPr>
                      <w:color w:val="000000"/>
                      <w:kern w:val="0"/>
                      <w:sz w:val="22"/>
                      <w:szCs w:val="22"/>
                      <w:lang w:bidi="ar"/>
                    </w:rPr>
                    <w:t>非标</w:t>
                  </w:r>
                </w:p>
              </w:tc>
              <w:tc>
                <w:tcPr>
                  <w:tcW w:w="1066" w:type="dxa"/>
                  <w:vAlign w:val="center"/>
                </w:tcPr>
                <w:p w14:paraId="1FA17D8C">
                  <w:pPr>
                    <w:widowControl/>
                    <w:jc w:val="center"/>
                    <w:textAlignment w:val="bottom"/>
                    <w:rPr>
                      <w:sz w:val="22"/>
                      <w:szCs w:val="22"/>
                    </w:rPr>
                  </w:pPr>
                  <w:r>
                    <w:rPr>
                      <w:color w:val="000000"/>
                      <w:kern w:val="0"/>
                      <w:sz w:val="22"/>
                      <w:szCs w:val="22"/>
                      <w:lang w:bidi="ar"/>
                    </w:rPr>
                    <w:t>7mins/1套</w:t>
                  </w:r>
                </w:p>
              </w:tc>
              <w:tc>
                <w:tcPr>
                  <w:tcW w:w="1034" w:type="dxa"/>
                  <w:vAlign w:val="center"/>
                </w:tcPr>
                <w:p w14:paraId="3FBE15BA">
                  <w:pPr>
                    <w:widowControl/>
                    <w:jc w:val="center"/>
                    <w:textAlignment w:val="bottom"/>
                    <w:rPr>
                      <w:sz w:val="22"/>
                      <w:szCs w:val="22"/>
                    </w:rPr>
                  </w:pPr>
                  <w:r>
                    <w:rPr>
                      <w:color w:val="000000"/>
                      <w:kern w:val="0"/>
                      <w:sz w:val="22"/>
                      <w:szCs w:val="22"/>
                      <w:lang w:bidi="ar"/>
                    </w:rPr>
                    <w:t>电驱桥总成</w:t>
                  </w:r>
                </w:p>
              </w:tc>
              <w:tc>
                <w:tcPr>
                  <w:tcW w:w="1051" w:type="dxa"/>
                  <w:vAlign w:val="center"/>
                </w:tcPr>
                <w:p w14:paraId="480B921F">
                  <w:pPr>
                    <w:widowControl/>
                    <w:jc w:val="center"/>
                    <w:textAlignment w:val="center"/>
                    <w:rPr>
                      <w:sz w:val="22"/>
                      <w:szCs w:val="22"/>
                    </w:rPr>
                  </w:pPr>
                  <w:r>
                    <w:rPr>
                      <w:color w:val="000000"/>
                      <w:kern w:val="0"/>
                      <w:sz w:val="22"/>
                      <w:szCs w:val="22"/>
                      <w:lang w:bidi="ar"/>
                    </w:rPr>
                    <w:t>50000</w:t>
                  </w:r>
                </w:p>
              </w:tc>
            </w:tr>
            <w:tr w14:paraId="5AE8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4D32CF40">
                  <w:pPr>
                    <w:jc w:val="center"/>
                    <w:rPr>
                      <w:sz w:val="22"/>
                      <w:szCs w:val="22"/>
                    </w:rPr>
                  </w:pPr>
                </w:p>
              </w:tc>
              <w:tc>
                <w:tcPr>
                  <w:tcW w:w="1300" w:type="dxa"/>
                  <w:vAlign w:val="center"/>
                </w:tcPr>
                <w:p w14:paraId="4C39102B">
                  <w:pPr>
                    <w:widowControl/>
                    <w:jc w:val="center"/>
                    <w:textAlignment w:val="center"/>
                    <w:rPr>
                      <w:sz w:val="22"/>
                      <w:szCs w:val="22"/>
                    </w:rPr>
                  </w:pPr>
                  <w:r>
                    <w:rPr>
                      <w:sz w:val="22"/>
                      <w:szCs w:val="22"/>
                    </w:rPr>
                    <w:t>线束装配及系统泄漏测试</w:t>
                  </w:r>
                </w:p>
              </w:tc>
              <w:tc>
                <w:tcPr>
                  <w:tcW w:w="1397" w:type="dxa"/>
                  <w:vAlign w:val="center"/>
                </w:tcPr>
                <w:p w14:paraId="373C2E01">
                  <w:pPr>
                    <w:widowControl/>
                    <w:jc w:val="center"/>
                    <w:textAlignment w:val="center"/>
                    <w:rPr>
                      <w:sz w:val="22"/>
                      <w:szCs w:val="22"/>
                    </w:rPr>
                  </w:pPr>
                  <w:r>
                    <w:rPr>
                      <w:color w:val="000000"/>
                      <w:kern w:val="0"/>
                      <w:sz w:val="22"/>
                      <w:szCs w:val="22"/>
                      <w:lang w:bidi="ar"/>
                    </w:rPr>
                    <w:t>线束装配台</w:t>
                  </w:r>
                </w:p>
              </w:tc>
              <w:tc>
                <w:tcPr>
                  <w:tcW w:w="775" w:type="dxa"/>
                  <w:vAlign w:val="center"/>
                </w:tcPr>
                <w:p w14:paraId="1DD32218">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67DF224D">
                  <w:pPr>
                    <w:widowControl/>
                    <w:jc w:val="center"/>
                    <w:textAlignment w:val="center"/>
                    <w:rPr>
                      <w:sz w:val="22"/>
                      <w:szCs w:val="22"/>
                    </w:rPr>
                  </w:pPr>
                  <w:r>
                    <w:rPr>
                      <w:color w:val="000000"/>
                      <w:kern w:val="0"/>
                      <w:sz w:val="22"/>
                      <w:szCs w:val="22"/>
                      <w:lang w:bidi="ar"/>
                    </w:rPr>
                    <w:t>非标</w:t>
                  </w:r>
                </w:p>
              </w:tc>
              <w:tc>
                <w:tcPr>
                  <w:tcW w:w="1066" w:type="dxa"/>
                  <w:vAlign w:val="center"/>
                </w:tcPr>
                <w:p w14:paraId="69CF849D">
                  <w:pPr>
                    <w:widowControl/>
                    <w:jc w:val="center"/>
                    <w:textAlignment w:val="bottom"/>
                    <w:rPr>
                      <w:sz w:val="22"/>
                      <w:szCs w:val="22"/>
                    </w:rPr>
                  </w:pPr>
                  <w:r>
                    <w:rPr>
                      <w:color w:val="000000"/>
                      <w:kern w:val="0"/>
                      <w:sz w:val="22"/>
                      <w:szCs w:val="22"/>
                      <w:lang w:bidi="ar"/>
                    </w:rPr>
                    <w:t>7mins/1套</w:t>
                  </w:r>
                </w:p>
              </w:tc>
              <w:tc>
                <w:tcPr>
                  <w:tcW w:w="1034" w:type="dxa"/>
                  <w:vAlign w:val="center"/>
                </w:tcPr>
                <w:p w14:paraId="71D2D787">
                  <w:pPr>
                    <w:widowControl/>
                    <w:jc w:val="center"/>
                    <w:textAlignment w:val="bottom"/>
                    <w:rPr>
                      <w:sz w:val="22"/>
                      <w:szCs w:val="22"/>
                    </w:rPr>
                  </w:pPr>
                  <w:r>
                    <w:rPr>
                      <w:color w:val="000000"/>
                      <w:kern w:val="0"/>
                      <w:sz w:val="22"/>
                      <w:szCs w:val="22"/>
                      <w:lang w:bidi="ar"/>
                    </w:rPr>
                    <w:t>电驱桥总成</w:t>
                  </w:r>
                </w:p>
              </w:tc>
              <w:tc>
                <w:tcPr>
                  <w:tcW w:w="1051" w:type="dxa"/>
                  <w:vAlign w:val="center"/>
                </w:tcPr>
                <w:p w14:paraId="055ED45E">
                  <w:pPr>
                    <w:widowControl/>
                    <w:jc w:val="center"/>
                    <w:textAlignment w:val="center"/>
                    <w:rPr>
                      <w:sz w:val="22"/>
                      <w:szCs w:val="22"/>
                    </w:rPr>
                  </w:pPr>
                  <w:r>
                    <w:rPr>
                      <w:color w:val="000000"/>
                      <w:kern w:val="0"/>
                      <w:sz w:val="22"/>
                      <w:szCs w:val="22"/>
                      <w:lang w:bidi="ar"/>
                    </w:rPr>
                    <w:t>50000</w:t>
                  </w:r>
                </w:p>
              </w:tc>
            </w:tr>
            <w:tr w14:paraId="70ED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24301EA0">
                  <w:pPr>
                    <w:jc w:val="center"/>
                    <w:rPr>
                      <w:sz w:val="22"/>
                      <w:szCs w:val="22"/>
                    </w:rPr>
                  </w:pPr>
                </w:p>
              </w:tc>
              <w:tc>
                <w:tcPr>
                  <w:tcW w:w="1300" w:type="dxa"/>
                  <w:vAlign w:val="center"/>
                </w:tcPr>
                <w:p w14:paraId="5B391D94">
                  <w:pPr>
                    <w:widowControl/>
                    <w:jc w:val="center"/>
                    <w:textAlignment w:val="center"/>
                    <w:rPr>
                      <w:sz w:val="22"/>
                      <w:szCs w:val="22"/>
                    </w:rPr>
                  </w:pPr>
                  <w:r>
                    <w:rPr>
                      <w:sz w:val="22"/>
                      <w:szCs w:val="22"/>
                    </w:rPr>
                    <w:t>线束装配及系统泄漏测试</w:t>
                  </w:r>
                </w:p>
              </w:tc>
              <w:tc>
                <w:tcPr>
                  <w:tcW w:w="1397" w:type="dxa"/>
                  <w:vAlign w:val="center"/>
                </w:tcPr>
                <w:p w14:paraId="612A03E2">
                  <w:pPr>
                    <w:widowControl/>
                    <w:jc w:val="center"/>
                    <w:textAlignment w:val="center"/>
                    <w:rPr>
                      <w:sz w:val="22"/>
                      <w:szCs w:val="22"/>
                    </w:rPr>
                  </w:pPr>
                  <w:r>
                    <w:rPr>
                      <w:color w:val="000000"/>
                      <w:kern w:val="0"/>
                      <w:sz w:val="22"/>
                      <w:szCs w:val="22"/>
                      <w:lang w:bidi="ar"/>
                    </w:rPr>
                    <w:t>整桥气密测试台</w:t>
                  </w:r>
                </w:p>
              </w:tc>
              <w:tc>
                <w:tcPr>
                  <w:tcW w:w="775" w:type="dxa"/>
                  <w:vAlign w:val="center"/>
                </w:tcPr>
                <w:p w14:paraId="239777D0">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19CEDAD1">
                  <w:pPr>
                    <w:widowControl/>
                    <w:jc w:val="center"/>
                    <w:textAlignment w:val="center"/>
                    <w:rPr>
                      <w:sz w:val="22"/>
                      <w:szCs w:val="22"/>
                    </w:rPr>
                  </w:pPr>
                  <w:r>
                    <w:rPr>
                      <w:color w:val="000000"/>
                      <w:kern w:val="0"/>
                      <w:sz w:val="22"/>
                      <w:szCs w:val="22"/>
                      <w:lang w:bidi="ar"/>
                    </w:rPr>
                    <w:t>非标</w:t>
                  </w:r>
                </w:p>
              </w:tc>
              <w:tc>
                <w:tcPr>
                  <w:tcW w:w="1066" w:type="dxa"/>
                  <w:vAlign w:val="center"/>
                </w:tcPr>
                <w:p w14:paraId="58BE68A1">
                  <w:pPr>
                    <w:widowControl/>
                    <w:jc w:val="center"/>
                    <w:textAlignment w:val="bottom"/>
                    <w:rPr>
                      <w:sz w:val="22"/>
                      <w:szCs w:val="22"/>
                    </w:rPr>
                  </w:pPr>
                  <w:r>
                    <w:rPr>
                      <w:color w:val="000000"/>
                      <w:kern w:val="0"/>
                      <w:sz w:val="22"/>
                      <w:szCs w:val="22"/>
                      <w:lang w:bidi="ar"/>
                    </w:rPr>
                    <w:t>7mins/1套</w:t>
                  </w:r>
                </w:p>
              </w:tc>
              <w:tc>
                <w:tcPr>
                  <w:tcW w:w="1034" w:type="dxa"/>
                  <w:vAlign w:val="center"/>
                </w:tcPr>
                <w:p w14:paraId="7E238AA9">
                  <w:pPr>
                    <w:widowControl/>
                    <w:jc w:val="center"/>
                    <w:textAlignment w:val="bottom"/>
                    <w:rPr>
                      <w:sz w:val="22"/>
                      <w:szCs w:val="22"/>
                    </w:rPr>
                  </w:pPr>
                  <w:r>
                    <w:rPr>
                      <w:color w:val="000000"/>
                      <w:kern w:val="0"/>
                      <w:sz w:val="22"/>
                      <w:szCs w:val="22"/>
                      <w:lang w:bidi="ar"/>
                    </w:rPr>
                    <w:t>电驱桥总成</w:t>
                  </w:r>
                </w:p>
              </w:tc>
              <w:tc>
                <w:tcPr>
                  <w:tcW w:w="1051" w:type="dxa"/>
                  <w:vAlign w:val="center"/>
                </w:tcPr>
                <w:p w14:paraId="59A41F5E">
                  <w:pPr>
                    <w:widowControl/>
                    <w:jc w:val="center"/>
                    <w:textAlignment w:val="center"/>
                    <w:rPr>
                      <w:sz w:val="22"/>
                      <w:szCs w:val="22"/>
                    </w:rPr>
                  </w:pPr>
                  <w:r>
                    <w:rPr>
                      <w:color w:val="000000"/>
                      <w:kern w:val="0"/>
                      <w:sz w:val="22"/>
                      <w:szCs w:val="22"/>
                      <w:lang w:bidi="ar"/>
                    </w:rPr>
                    <w:t>50000</w:t>
                  </w:r>
                </w:p>
              </w:tc>
            </w:tr>
            <w:tr w14:paraId="1DA7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71" w:type="dxa"/>
                  <w:vMerge w:val="continue"/>
                  <w:vAlign w:val="center"/>
                </w:tcPr>
                <w:p w14:paraId="67EEA02B">
                  <w:pPr>
                    <w:jc w:val="center"/>
                    <w:rPr>
                      <w:sz w:val="22"/>
                      <w:szCs w:val="22"/>
                    </w:rPr>
                  </w:pPr>
                </w:p>
              </w:tc>
              <w:tc>
                <w:tcPr>
                  <w:tcW w:w="1300" w:type="dxa"/>
                  <w:vAlign w:val="center"/>
                </w:tcPr>
                <w:p w14:paraId="6594DD87">
                  <w:pPr>
                    <w:widowControl/>
                    <w:jc w:val="center"/>
                    <w:textAlignment w:val="center"/>
                    <w:rPr>
                      <w:sz w:val="22"/>
                      <w:szCs w:val="22"/>
                    </w:rPr>
                  </w:pPr>
                  <w:r>
                    <w:rPr>
                      <w:sz w:val="22"/>
                      <w:szCs w:val="22"/>
                    </w:rPr>
                    <w:t>线束装配及系统泄漏测试</w:t>
                  </w:r>
                </w:p>
              </w:tc>
              <w:tc>
                <w:tcPr>
                  <w:tcW w:w="1397" w:type="dxa"/>
                  <w:vAlign w:val="center"/>
                </w:tcPr>
                <w:p w14:paraId="1861F6D1">
                  <w:pPr>
                    <w:widowControl/>
                    <w:jc w:val="center"/>
                    <w:textAlignment w:val="center"/>
                    <w:rPr>
                      <w:sz w:val="22"/>
                      <w:szCs w:val="22"/>
                    </w:rPr>
                  </w:pPr>
                  <w:r>
                    <w:rPr>
                      <w:color w:val="000000"/>
                      <w:kern w:val="0"/>
                      <w:sz w:val="22"/>
                      <w:szCs w:val="22"/>
                      <w:lang w:bidi="ar"/>
                    </w:rPr>
                    <w:t>电驱桥吊装台</w:t>
                  </w:r>
                </w:p>
              </w:tc>
              <w:tc>
                <w:tcPr>
                  <w:tcW w:w="775" w:type="dxa"/>
                  <w:vAlign w:val="center"/>
                </w:tcPr>
                <w:p w14:paraId="1CEB680C">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7922BEAE">
                  <w:pPr>
                    <w:widowControl/>
                    <w:jc w:val="center"/>
                    <w:textAlignment w:val="center"/>
                    <w:rPr>
                      <w:sz w:val="22"/>
                      <w:szCs w:val="22"/>
                    </w:rPr>
                  </w:pPr>
                  <w:r>
                    <w:rPr>
                      <w:color w:val="000000"/>
                      <w:kern w:val="0"/>
                      <w:sz w:val="22"/>
                      <w:szCs w:val="22"/>
                      <w:lang w:bidi="ar"/>
                    </w:rPr>
                    <w:t>非标</w:t>
                  </w:r>
                </w:p>
              </w:tc>
              <w:tc>
                <w:tcPr>
                  <w:tcW w:w="1066" w:type="dxa"/>
                  <w:vAlign w:val="center"/>
                </w:tcPr>
                <w:p w14:paraId="641E64A8">
                  <w:pPr>
                    <w:widowControl/>
                    <w:jc w:val="center"/>
                    <w:textAlignment w:val="bottom"/>
                    <w:rPr>
                      <w:sz w:val="22"/>
                      <w:szCs w:val="22"/>
                    </w:rPr>
                  </w:pPr>
                  <w:r>
                    <w:rPr>
                      <w:color w:val="000000"/>
                      <w:kern w:val="0"/>
                      <w:sz w:val="22"/>
                      <w:szCs w:val="22"/>
                      <w:lang w:bidi="ar"/>
                    </w:rPr>
                    <w:t>7mins/1套</w:t>
                  </w:r>
                </w:p>
              </w:tc>
              <w:tc>
                <w:tcPr>
                  <w:tcW w:w="1034" w:type="dxa"/>
                  <w:vAlign w:val="center"/>
                </w:tcPr>
                <w:p w14:paraId="6D76A2C6">
                  <w:pPr>
                    <w:widowControl/>
                    <w:jc w:val="center"/>
                    <w:textAlignment w:val="bottom"/>
                    <w:rPr>
                      <w:sz w:val="22"/>
                      <w:szCs w:val="22"/>
                    </w:rPr>
                  </w:pPr>
                  <w:r>
                    <w:rPr>
                      <w:color w:val="000000"/>
                      <w:kern w:val="0"/>
                      <w:sz w:val="22"/>
                      <w:szCs w:val="22"/>
                      <w:lang w:bidi="ar"/>
                    </w:rPr>
                    <w:t>电驱桥总成</w:t>
                  </w:r>
                </w:p>
              </w:tc>
              <w:tc>
                <w:tcPr>
                  <w:tcW w:w="1051" w:type="dxa"/>
                  <w:vAlign w:val="center"/>
                </w:tcPr>
                <w:p w14:paraId="2192628D">
                  <w:pPr>
                    <w:widowControl/>
                    <w:jc w:val="center"/>
                    <w:textAlignment w:val="center"/>
                    <w:rPr>
                      <w:sz w:val="22"/>
                      <w:szCs w:val="22"/>
                    </w:rPr>
                  </w:pPr>
                  <w:r>
                    <w:rPr>
                      <w:color w:val="000000"/>
                      <w:kern w:val="0"/>
                      <w:sz w:val="22"/>
                      <w:szCs w:val="22"/>
                      <w:lang w:bidi="ar"/>
                    </w:rPr>
                    <w:t>50000</w:t>
                  </w:r>
                </w:p>
              </w:tc>
            </w:tr>
            <w:tr w14:paraId="6ACF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1D2D8D23">
                  <w:pPr>
                    <w:jc w:val="center"/>
                    <w:rPr>
                      <w:sz w:val="22"/>
                      <w:szCs w:val="22"/>
                    </w:rPr>
                  </w:pPr>
                </w:p>
              </w:tc>
              <w:tc>
                <w:tcPr>
                  <w:tcW w:w="1300" w:type="dxa"/>
                  <w:vAlign w:val="center"/>
                </w:tcPr>
                <w:p w14:paraId="060EFF2D">
                  <w:pPr>
                    <w:widowControl/>
                    <w:jc w:val="center"/>
                    <w:textAlignment w:val="center"/>
                    <w:rPr>
                      <w:sz w:val="22"/>
                      <w:szCs w:val="22"/>
                    </w:rPr>
                  </w:pPr>
                  <w:r>
                    <w:rPr>
                      <w:sz w:val="22"/>
                      <w:szCs w:val="22"/>
                    </w:rPr>
                    <w:t>下线测试</w:t>
                  </w:r>
                </w:p>
              </w:tc>
              <w:tc>
                <w:tcPr>
                  <w:tcW w:w="1397" w:type="dxa"/>
                  <w:vAlign w:val="center"/>
                </w:tcPr>
                <w:p w14:paraId="08C74452">
                  <w:pPr>
                    <w:widowControl/>
                    <w:jc w:val="center"/>
                    <w:textAlignment w:val="center"/>
                    <w:rPr>
                      <w:sz w:val="22"/>
                      <w:szCs w:val="22"/>
                    </w:rPr>
                  </w:pPr>
                  <w:r>
                    <w:rPr>
                      <w:color w:val="000000"/>
                      <w:kern w:val="0"/>
                      <w:sz w:val="22"/>
                      <w:szCs w:val="22"/>
                      <w:lang w:bidi="ar"/>
                    </w:rPr>
                    <w:t>测试工装安装台</w:t>
                  </w:r>
                </w:p>
              </w:tc>
              <w:tc>
                <w:tcPr>
                  <w:tcW w:w="775" w:type="dxa"/>
                  <w:vAlign w:val="center"/>
                </w:tcPr>
                <w:p w14:paraId="672E2C77">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56FDA933">
                  <w:pPr>
                    <w:widowControl/>
                    <w:jc w:val="center"/>
                    <w:textAlignment w:val="center"/>
                    <w:rPr>
                      <w:sz w:val="22"/>
                      <w:szCs w:val="22"/>
                    </w:rPr>
                  </w:pPr>
                  <w:r>
                    <w:rPr>
                      <w:color w:val="000000"/>
                      <w:kern w:val="0"/>
                      <w:sz w:val="22"/>
                      <w:szCs w:val="22"/>
                      <w:lang w:bidi="ar"/>
                    </w:rPr>
                    <w:t>非标</w:t>
                  </w:r>
                </w:p>
              </w:tc>
              <w:tc>
                <w:tcPr>
                  <w:tcW w:w="1066" w:type="dxa"/>
                  <w:vAlign w:val="center"/>
                </w:tcPr>
                <w:p w14:paraId="14F92D98">
                  <w:pPr>
                    <w:widowControl/>
                    <w:jc w:val="center"/>
                    <w:textAlignment w:val="bottom"/>
                    <w:rPr>
                      <w:sz w:val="22"/>
                      <w:szCs w:val="22"/>
                    </w:rPr>
                  </w:pPr>
                  <w:r>
                    <w:rPr>
                      <w:color w:val="000000"/>
                      <w:kern w:val="0"/>
                      <w:sz w:val="22"/>
                      <w:szCs w:val="22"/>
                      <w:lang w:bidi="ar"/>
                    </w:rPr>
                    <w:t>7mins/1套</w:t>
                  </w:r>
                </w:p>
              </w:tc>
              <w:tc>
                <w:tcPr>
                  <w:tcW w:w="1034" w:type="dxa"/>
                  <w:vAlign w:val="center"/>
                </w:tcPr>
                <w:p w14:paraId="0C1E538D">
                  <w:pPr>
                    <w:widowControl/>
                    <w:jc w:val="center"/>
                    <w:textAlignment w:val="bottom"/>
                    <w:rPr>
                      <w:sz w:val="22"/>
                      <w:szCs w:val="22"/>
                    </w:rPr>
                  </w:pPr>
                  <w:r>
                    <w:rPr>
                      <w:color w:val="000000"/>
                      <w:kern w:val="0"/>
                      <w:sz w:val="22"/>
                      <w:szCs w:val="22"/>
                      <w:lang w:bidi="ar"/>
                    </w:rPr>
                    <w:t>电驱桥总成</w:t>
                  </w:r>
                </w:p>
              </w:tc>
              <w:tc>
                <w:tcPr>
                  <w:tcW w:w="1051" w:type="dxa"/>
                  <w:vAlign w:val="center"/>
                </w:tcPr>
                <w:p w14:paraId="172A08BB">
                  <w:pPr>
                    <w:widowControl/>
                    <w:jc w:val="center"/>
                    <w:textAlignment w:val="center"/>
                    <w:rPr>
                      <w:sz w:val="22"/>
                      <w:szCs w:val="22"/>
                    </w:rPr>
                  </w:pPr>
                  <w:r>
                    <w:rPr>
                      <w:color w:val="000000"/>
                      <w:kern w:val="0"/>
                      <w:sz w:val="22"/>
                      <w:szCs w:val="22"/>
                      <w:lang w:bidi="ar"/>
                    </w:rPr>
                    <w:t>50000</w:t>
                  </w:r>
                </w:p>
              </w:tc>
            </w:tr>
            <w:tr w14:paraId="4FC0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2B0A712A">
                  <w:pPr>
                    <w:jc w:val="center"/>
                    <w:rPr>
                      <w:sz w:val="22"/>
                      <w:szCs w:val="22"/>
                    </w:rPr>
                  </w:pPr>
                </w:p>
              </w:tc>
              <w:tc>
                <w:tcPr>
                  <w:tcW w:w="1300" w:type="dxa"/>
                  <w:vAlign w:val="center"/>
                </w:tcPr>
                <w:p w14:paraId="4446778F">
                  <w:pPr>
                    <w:widowControl/>
                    <w:jc w:val="center"/>
                    <w:textAlignment w:val="center"/>
                    <w:rPr>
                      <w:sz w:val="22"/>
                      <w:szCs w:val="22"/>
                    </w:rPr>
                  </w:pPr>
                  <w:r>
                    <w:rPr>
                      <w:sz w:val="22"/>
                      <w:szCs w:val="22"/>
                    </w:rPr>
                    <w:t>下线测试</w:t>
                  </w:r>
                </w:p>
              </w:tc>
              <w:tc>
                <w:tcPr>
                  <w:tcW w:w="1397" w:type="dxa"/>
                  <w:vAlign w:val="center"/>
                </w:tcPr>
                <w:p w14:paraId="09E83C1F">
                  <w:pPr>
                    <w:widowControl/>
                    <w:jc w:val="center"/>
                    <w:textAlignment w:val="center"/>
                    <w:rPr>
                      <w:sz w:val="22"/>
                      <w:szCs w:val="22"/>
                    </w:rPr>
                  </w:pPr>
                  <w:r>
                    <w:rPr>
                      <w:color w:val="000000"/>
                      <w:kern w:val="0"/>
                      <w:sz w:val="22"/>
                      <w:szCs w:val="22"/>
                      <w:lang w:bidi="ar"/>
                    </w:rPr>
                    <w:t>EOL测试台</w:t>
                  </w:r>
                </w:p>
              </w:tc>
              <w:tc>
                <w:tcPr>
                  <w:tcW w:w="775" w:type="dxa"/>
                  <w:vAlign w:val="center"/>
                </w:tcPr>
                <w:p w14:paraId="443097B6">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34AD6243">
                  <w:pPr>
                    <w:widowControl/>
                    <w:jc w:val="center"/>
                    <w:textAlignment w:val="center"/>
                    <w:rPr>
                      <w:sz w:val="22"/>
                      <w:szCs w:val="22"/>
                    </w:rPr>
                  </w:pPr>
                  <w:r>
                    <w:rPr>
                      <w:color w:val="000000"/>
                      <w:kern w:val="0"/>
                      <w:sz w:val="22"/>
                      <w:szCs w:val="22"/>
                      <w:lang w:bidi="ar"/>
                    </w:rPr>
                    <w:t>非标</w:t>
                  </w:r>
                </w:p>
              </w:tc>
              <w:tc>
                <w:tcPr>
                  <w:tcW w:w="1066" w:type="dxa"/>
                  <w:vAlign w:val="center"/>
                </w:tcPr>
                <w:p w14:paraId="4229395B">
                  <w:pPr>
                    <w:widowControl/>
                    <w:jc w:val="center"/>
                    <w:textAlignment w:val="bottom"/>
                    <w:rPr>
                      <w:sz w:val="22"/>
                      <w:szCs w:val="22"/>
                    </w:rPr>
                  </w:pPr>
                  <w:r>
                    <w:rPr>
                      <w:color w:val="000000"/>
                      <w:kern w:val="0"/>
                      <w:sz w:val="22"/>
                      <w:szCs w:val="22"/>
                      <w:lang w:bidi="ar"/>
                    </w:rPr>
                    <w:t>7mins/1套</w:t>
                  </w:r>
                </w:p>
              </w:tc>
              <w:tc>
                <w:tcPr>
                  <w:tcW w:w="1034" w:type="dxa"/>
                  <w:vAlign w:val="center"/>
                </w:tcPr>
                <w:p w14:paraId="2BA170B7">
                  <w:pPr>
                    <w:widowControl/>
                    <w:jc w:val="center"/>
                    <w:textAlignment w:val="bottom"/>
                    <w:rPr>
                      <w:sz w:val="22"/>
                      <w:szCs w:val="22"/>
                    </w:rPr>
                  </w:pPr>
                  <w:r>
                    <w:rPr>
                      <w:color w:val="000000"/>
                      <w:kern w:val="0"/>
                      <w:sz w:val="22"/>
                      <w:szCs w:val="22"/>
                      <w:lang w:bidi="ar"/>
                    </w:rPr>
                    <w:t>电驱桥总成</w:t>
                  </w:r>
                </w:p>
              </w:tc>
              <w:tc>
                <w:tcPr>
                  <w:tcW w:w="1051" w:type="dxa"/>
                  <w:vAlign w:val="center"/>
                </w:tcPr>
                <w:p w14:paraId="20141A89">
                  <w:pPr>
                    <w:widowControl/>
                    <w:jc w:val="center"/>
                    <w:textAlignment w:val="center"/>
                    <w:rPr>
                      <w:sz w:val="22"/>
                      <w:szCs w:val="22"/>
                    </w:rPr>
                  </w:pPr>
                  <w:r>
                    <w:rPr>
                      <w:color w:val="000000"/>
                      <w:kern w:val="0"/>
                      <w:sz w:val="22"/>
                      <w:szCs w:val="22"/>
                      <w:lang w:bidi="ar"/>
                    </w:rPr>
                    <w:t>50000</w:t>
                  </w:r>
                </w:p>
              </w:tc>
            </w:tr>
            <w:tr w14:paraId="215F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44021C1D">
                  <w:pPr>
                    <w:jc w:val="center"/>
                    <w:rPr>
                      <w:sz w:val="22"/>
                      <w:szCs w:val="22"/>
                    </w:rPr>
                  </w:pPr>
                </w:p>
              </w:tc>
              <w:tc>
                <w:tcPr>
                  <w:tcW w:w="1300" w:type="dxa"/>
                  <w:vAlign w:val="center"/>
                </w:tcPr>
                <w:p w14:paraId="10019851">
                  <w:pPr>
                    <w:widowControl/>
                    <w:jc w:val="center"/>
                    <w:textAlignment w:val="center"/>
                    <w:rPr>
                      <w:sz w:val="22"/>
                      <w:szCs w:val="22"/>
                    </w:rPr>
                  </w:pPr>
                  <w:r>
                    <w:rPr>
                      <w:sz w:val="22"/>
                      <w:szCs w:val="22"/>
                    </w:rPr>
                    <w:t>测试工装拆解</w:t>
                  </w:r>
                </w:p>
              </w:tc>
              <w:tc>
                <w:tcPr>
                  <w:tcW w:w="1397" w:type="dxa"/>
                  <w:vAlign w:val="center"/>
                </w:tcPr>
                <w:p w14:paraId="2AF0FBEC">
                  <w:pPr>
                    <w:widowControl/>
                    <w:jc w:val="center"/>
                    <w:textAlignment w:val="center"/>
                    <w:rPr>
                      <w:sz w:val="22"/>
                      <w:szCs w:val="22"/>
                    </w:rPr>
                  </w:pPr>
                  <w:r>
                    <w:rPr>
                      <w:color w:val="000000"/>
                      <w:kern w:val="0"/>
                      <w:sz w:val="22"/>
                      <w:szCs w:val="22"/>
                      <w:lang w:bidi="ar"/>
                    </w:rPr>
                    <w:t>测试工装拆解台</w:t>
                  </w:r>
                </w:p>
              </w:tc>
              <w:tc>
                <w:tcPr>
                  <w:tcW w:w="775" w:type="dxa"/>
                  <w:vAlign w:val="center"/>
                </w:tcPr>
                <w:p w14:paraId="5A6E1DBD">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2CA98EEE">
                  <w:pPr>
                    <w:widowControl/>
                    <w:jc w:val="center"/>
                    <w:textAlignment w:val="center"/>
                    <w:rPr>
                      <w:sz w:val="22"/>
                      <w:szCs w:val="22"/>
                    </w:rPr>
                  </w:pPr>
                  <w:r>
                    <w:rPr>
                      <w:color w:val="000000"/>
                      <w:kern w:val="0"/>
                      <w:sz w:val="22"/>
                      <w:szCs w:val="22"/>
                      <w:lang w:bidi="ar"/>
                    </w:rPr>
                    <w:t>非标</w:t>
                  </w:r>
                </w:p>
              </w:tc>
              <w:tc>
                <w:tcPr>
                  <w:tcW w:w="1066" w:type="dxa"/>
                  <w:vAlign w:val="center"/>
                </w:tcPr>
                <w:p w14:paraId="18C677AF">
                  <w:pPr>
                    <w:widowControl/>
                    <w:jc w:val="center"/>
                    <w:textAlignment w:val="bottom"/>
                    <w:rPr>
                      <w:sz w:val="22"/>
                      <w:szCs w:val="22"/>
                    </w:rPr>
                  </w:pPr>
                  <w:r>
                    <w:rPr>
                      <w:color w:val="000000"/>
                      <w:kern w:val="0"/>
                      <w:sz w:val="22"/>
                      <w:szCs w:val="22"/>
                      <w:lang w:bidi="ar"/>
                    </w:rPr>
                    <w:t>7mins/1套</w:t>
                  </w:r>
                </w:p>
              </w:tc>
              <w:tc>
                <w:tcPr>
                  <w:tcW w:w="1034" w:type="dxa"/>
                  <w:vAlign w:val="center"/>
                </w:tcPr>
                <w:p w14:paraId="50CF06CA">
                  <w:pPr>
                    <w:widowControl/>
                    <w:jc w:val="center"/>
                    <w:textAlignment w:val="bottom"/>
                    <w:rPr>
                      <w:sz w:val="22"/>
                      <w:szCs w:val="22"/>
                    </w:rPr>
                  </w:pPr>
                  <w:r>
                    <w:rPr>
                      <w:color w:val="000000"/>
                      <w:kern w:val="0"/>
                      <w:sz w:val="22"/>
                      <w:szCs w:val="22"/>
                      <w:lang w:bidi="ar"/>
                    </w:rPr>
                    <w:t>电驱桥总成</w:t>
                  </w:r>
                </w:p>
              </w:tc>
              <w:tc>
                <w:tcPr>
                  <w:tcW w:w="1051" w:type="dxa"/>
                  <w:vAlign w:val="center"/>
                </w:tcPr>
                <w:p w14:paraId="35A27517">
                  <w:pPr>
                    <w:widowControl/>
                    <w:jc w:val="center"/>
                    <w:textAlignment w:val="center"/>
                    <w:rPr>
                      <w:sz w:val="22"/>
                      <w:szCs w:val="22"/>
                    </w:rPr>
                  </w:pPr>
                  <w:r>
                    <w:rPr>
                      <w:color w:val="000000"/>
                      <w:kern w:val="0"/>
                      <w:sz w:val="22"/>
                      <w:szCs w:val="22"/>
                      <w:lang w:bidi="ar"/>
                    </w:rPr>
                    <w:t>50000</w:t>
                  </w:r>
                </w:p>
              </w:tc>
            </w:tr>
            <w:tr w14:paraId="23CB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60084995">
                  <w:pPr>
                    <w:jc w:val="center"/>
                    <w:rPr>
                      <w:sz w:val="22"/>
                      <w:szCs w:val="22"/>
                    </w:rPr>
                  </w:pPr>
                </w:p>
              </w:tc>
              <w:tc>
                <w:tcPr>
                  <w:tcW w:w="1300" w:type="dxa"/>
                  <w:vAlign w:val="center"/>
                </w:tcPr>
                <w:p w14:paraId="116C36F7">
                  <w:pPr>
                    <w:widowControl/>
                    <w:jc w:val="center"/>
                    <w:textAlignment w:val="center"/>
                    <w:rPr>
                      <w:sz w:val="22"/>
                      <w:szCs w:val="22"/>
                    </w:rPr>
                  </w:pPr>
                  <w:r>
                    <w:rPr>
                      <w:sz w:val="22"/>
                      <w:szCs w:val="22"/>
                    </w:rPr>
                    <w:t>测试工装拆解</w:t>
                  </w:r>
                </w:p>
              </w:tc>
              <w:tc>
                <w:tcPr>
                  <w:tcW w:w="1397" w:type="dxa"/>
                  <w:vAlign w:val="center"/>
                </w:tcPr>
                <w:p w14:paraId="64EF50D6">
                  <w:pPr>
                    <w:widowControl/>
                    <w:jc w:val="center"/>
                    <w:textAlignment w:val="center"/>
                    <w:rPr>
                      <w:sz w:val="22"/>
                      <w:szCs w:val="22"/>
                    </w:rPr>
                  </w:pPr>
                  <w:r>
                    <w:rPr>
                      <w:color w:val="000000"/>
                      <w:kern w:val="0"/>
                      <w:sz w:val="22"/>
                      <w:szCs w:val="22"/>
                      <w:lang w:bidi="ar"/>
                    </w:rPr>
                    <w:t>EOL吊装下线台</w:t>
                  </w:r>
                </w:p>
              </w:tc>
              <w:tc>
                <w:tcPr>
                  <w:tcW w:w="775" w:type="dxa"/>
                  <w:vAlign w:val="center"/>
                </w:tcPr>
                <w:p w14:paraId="646E70CA">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0FADF588">
                  <w:pPr>
                    <w:widowControl/>
                    <w:jc w:val="center"/>
                    <w:textAlignment w:val="center"/>
                    <w:rPr>
                      <w:sz w:val="22"/>
                      <w:szCs w:val="22"/>
                    </w:rPr>
                  </w:pPr>
                  <w:r>
                    <w:rPr>
                      <w:color w:val="000000"/>
                      <w:kern w:val="0"/>
                      <w:sz w:val="22"/>
                      <w:szCs w:val="22"/>
                      <w:lang w:bidi="ar"/>
                    </w:rPr>
                    <w:t>非标</w:t>
                  </w:r>
                </w:p>
              </w:tc>
              <w:tc>
                <w:tcPr>
                  <w:tcW w:w="1066" w:type="dxa"/>
                  <w:vAlign w:val="center"/>
                </w:tcPr>
                <w:p w14:paraId="16E7DD3D">
                  <w:pPr>
                    <w:widowControl/>
                    <w:jc w:val="center"/>
                    <w:textAlignment w:val="bottom"/>
                    <w:rPr>
                      <w:sz w:val="22"/>
                      <w:szCs w:val="22"/>
                    </w:rPr>
                  </w:pPr>
                  <w:r>
                    <w:rPr>
                      <w:color w:val="000000"/>
                      <w:kern w:val="0"/>
                      <w:sz w:val="22"/>
                      <w:szCs w:val="22"/>
                      <w:lang w:bidi="ar"/>
                    </w:rPr>
                    <w:t>7mins/1套</w:t>
                  </w:r>
                </w:p>
              </w:tc>
              <w:tc>
                <w:tcPr>
                  <w:tcW w:w="1034" w:type="dxa"/>
                  <w:vAlign w:val="center"/>
                </w:tcPr>
                <w:p w14:paraId="07C18D00">
                  <w:pPr>
                    <w:widowControl/>
                    <w:jc w:val="center"/>
                    <w:textAlignment w:val="bottom"/>
                    <w:rPr>
                      <w:sz w:val="22"/>
                      <w:szCs w:val="22"/>
                    </w:rPr>
                  </w:pPr>
                  <w:r>
                    <w:rPr>
                      <w:color w:val="000000"/>
                      <w:kern w:val="0"/>
                      <w:sz w:val="22"/>
                      <w:szCs w:val="22"/>
                      <w:lang w:bidi="ar"/>
                    </w:rPr>
                    <w:t>电驱桥总成</w:t>
                  </w:r>
                </w:p>
              </w:tc>
              <w:tc>
                <w:tcPr>
                  <w:tcW w:w="1051" w:type="dxa"/>
                  <w:vAlign w:val="center"/>
                </w:tcPr>
                <w:p w14:paraId="739E58B7">
                  <w:pPr>
                    <w:widowControl/>
                    <w:jc w:val="center"/>
                    <w:textAlignment w:val="center"/>
                    <w:rPr>
                      <w:sz w:val="22"/>
                      <w:szCs w:val="22"/>
                    </w:rPr>
                  </w:pPr>
                  <w:r>
                    <w:rPr>
                      <w:color w:val="000000"/>
                      <w:kern w:val="0"/>
                      <w:sz w:val="22"/>
                      <w:szCs w:val="22"/>
                      <w:lang w:bidi="ar"/>
                    </w:rPr>
                    <w:t>50000</w:t>
                  </w:r>
                </w:p>
              </w:tc>
            </w:tr>
            <w:tr w14:paraId="2E3F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5C400490">
                  <w:pPr>
                    <w:jc w:val="center"/>
                    <w:rPr>
                      <w:sz w:val="22"/>
                      <w:szCs w:val="22"/>
                    </w:rPr>
                  </w:pPr>
                </w:p>
              </w:tc>
              <w:tc>
                <w:tcPr>
                  <w:tcW w:w="1300" w:type="dxa"/>
                  <w:vAlign w:val="center"/>
                </w:tcPr>
                <w:p w14:paraId="5F92BC3B">
                  <w:pPr>
                    <w:widowControl/>
                    <w:jc w:val="center"/>
                    <w:textAlignment w:val="center"/>
                    <w:rPr>
                      <w:sz w:val="22"/>
                      <w:szCs w:val="22"/>
                    </w:rPr>
                  </w:pPr>
                  <w:r>
                    <w:rPr>
                      <w:sz w:val="22"/>
                      <w:szCs w:val="22"/>
                    </w:rPr>
                    <w:t>测试工装拆解</w:t>
                  </w:r>
                </w:p>
              </w:tc>
              <w:tc>
                <w:tcPr>
                  <w:tcW w:w="1397" w:type="dxa"/>
                  <w:vAlign w:val="center"/>
                </w:tcPr>
                <w:p w14:paraId="73526D65">
                  <w:pPr>
                    <w:widowControl/>
                    <w:jc w:val="center"/>
                    <w:textAlignment w:val="center"/>
                    <w:rPr>
                      <w:sz w:val="22"/>
                      <w:szCs w:val="22"/>
                    </w:rPr>
                  </w:pPr>
                  <w:r>
                    <w:rPr>
                      <w:color w:val="000000"/>
                      <w:kern w:val="0"/>
                      <w:sz w:val="22"/>
                      <w:szCs w:val="22"/>
                      <w:lang w:bidi="ar"/>
                    </w:rPr>
                    <w:t>推力杆座装配台</w:t>
                  </w:r>
                </w:p>
              </w:tc>
              <w:tc>
                <w:tcPr>
                  <w:tcW w:w="775" w:type="dxa"/>
                  <w:vAlign w:val="center"/>
                </w:tcPr>
                <w:p w14:paraId="1C653D95">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4BDC8CFE">
                  <w:pPr>
                    <w:widowControl/>
                    <w:jc w:val="center"/>
                    <w:textAlignment w:val="center"/>
                    <w:rPr>
                      <w:sz w:val="22"/>
                      <w:szCs w:val="22"/>
                    </w:rPr>
                  </w:pPr>
                  <w:r>
                    <w:rPr>
                      <w:color w:val="000000"/>
                      <w:kern w:val="0"/>
                      <w:sz w:val="22"/>
                      <w:szCs w:val="22"/>
                      <w:lang w:bidi="ar"/>
                    </w:rPr>
                    <w:t>非标</w:t>
                  </w:r>
                </w:p>
              </w:tc>
              <w:tc>
                <w:tcPr>
                  <w:tcW w:w="1066" w:type="dxa"/>
                  <w:vAlign w:val="center"/>
                </w:tcPr>
                <w:p w14:paraId="79DD0442">
                  <w:pPr>
                    <w:widowControl/>
                    <w:jc w:val="center"/>
                    <w:textAlignment w:val="bottom"/>
                    <w:rPr>
                      <w:sz w:val="22"/>
                      <w:szCs w:val="22"/>
                    </w:rPr>
                  </w:pPr>
                  <w:r>
                    <w:rPr>
                      <w:color w:val="000000"/>
                      <w:kern w:val="0"/>
                      <w:sz w:val="22"/>
                      <w:szCs w:val="22"/>
                      <w:lang w:bidi="ar"/>
                    </w:rPr>
                    <w:t>7mins/1套</w:t>
                  </w:r>
                </w:p>
              </w:tc>
              <w:tc>
                <w:tcPr>
                  <w:tcW w:w="1034" w:type="dxa"/>
                  <w:vAlign w:val="center"/>
                </w:tcPr>
                <w:p w14:paraId="33387D39">
                  <w:pPr>
                    <w:widowControl/>
                    <w:jc w:val="center"/>
                    <w:textAlignment w:val="bottom"/>
                    <w:rPr>
                      <w:sz w:val="22"/>
                      <w:szCs w:val="22"/>
                    </w:rPr>
                  </w:pPr>
                  <w:r>
                    <w:rPr>
                      <w:color w:val="000000"/>
                      <w:kern w:val="0"/>
                      <w:sz w:val="22"/>
                      <w:szCs w:val="22"/>
                      <w:lang w:bidi="ar"/>
                    </w:rPr>
                    <w:t>电驱桥总成</w:t>
                  </w:r>
                </w:p>
              </w:tc>
              <w:tc>
                <w:tcPr>
                  <w:tcW w:w="1051" w:type="dxa"/>
                  <w:vAlign w:val="center"/>
                </w:tcPr>
                <w:p w14:paraId="18FF6C18">
                  <w:pPr>
                    <w:widowControl/>
                    <w:jc w:val="center"/>
                    <w:textAlignment w:val="center"/>
                    <w:rPr>
                      <w:sz w:val="22"/>
                      <w:szCs w:val="22"/>
                    </w:rPr>
                  </w:pPr>
                  <w:r>
                    <w:rPr>
                      <w:color w:val="000000"/>
                      <w:kern w:val="0"/>
                      <w:sz w:val="22"/>
                      <w:szCs w:val="22"/>
                      <w:lang w:bidi="ar"/>
                    </w:rPr>
                    <w:t>50000</w:t>
                  </w:r>
                </w:p>
              </w:tc>
            </w:tr>
            <w:tr w14:paraId="1334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4F2E1D60">
                  <w:pPr>
                    <w:jc w:val="center"/>
                    <w:rPr>
                      <w:sz w:val="22"/>
                      <w:szCs w:val="22"/>
                    </w:rPr>
                  </w:pPr>
                </w:p>
              </w:tc>
              <w:tc>
                <w:tcPr>
                  <w:tcW w:w="1300" w:type="dxa"/>
                  <w:vAlign w:val="center"/>
                </w:tcPr>
                <w:p w14:paraId="3D0AFAD4">
                  <w:pPr>
                    <w:widowControl/>
                    <w:jc w:val="center"/>
                    <w:textAlignment w:val="center"/>
                    <w:rPr>
                      <w:sz w:val="22"/>
                      <w:szCs w:val="22"/>
                    </w:rPr>
                  </w:pPr>
                  <w:r>
                    <w:rPr>
                      <w:color w:val="000000"/>
                      <w:kern w:val="0"/>
                      <w:sz w:val="22"/>
                      <w:szCs w:val="22"/>
                      <w:lang w:bidi="ar"/>
                    </w:rPr>
                    <w:t>包装</w:t>
                  </w:r>
                </w:p>
              </w:tc>
              <w:tc>
                <w:tcPr>
                  <w:tcW w:w="1397" w:type="dxa"/>
                  <w:vAlign w:val="center"/>
                </w:tcPr>
                <w:p w14:paraId="1BFA6636">
                  <w:pPr>
                    <w:widowControl/>
                    <w:jc w:val="center"/>
                    <w:textAlignment w:val="center"/>
                    <w:rPr>
                      <w:sz w:val="22"/>
                      <w:szCs w:val="22"/>
                    </w:rPr>
                  </w:pPr>
                  <w:r>
                    <w:rPr>
                      <w:color w:val="000000"/>
                      <w:kern w:val="0"/>
                      <w:sz w:val="22"/>
                      <w:szCs w:val="22"/>
                      <w:lang w:bidi="ar"/>
                    </w:rPr>
                    <w:t>包装台</w:t>
                  </w:r>
                </w:p>
              </w:tc>
              <w:tc>
                <w:tcPr>
                  <w:tcW w:w="775" w:type="dxa"/>
                  <w:vAlign w:val="center"/>
                </w:tcPr>
                <w:p w14:paraId="40BBD51A">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67689CAC">
                  <w:pPr>
                    <w:widowControl/>
                    <w:jc w:val="center"/>
                    <w:textAlignment w:val="center"/>
                    <w:rPr>
                      <w:sz w:val="22"/>
                      <w:szCs w:val="22"/>
                    </w:rPr>
                  </w:pPr>
                  <w:r>
                    <w:rPr>
                      <w:color w:val="000000"/>
                      <w:kern w:val="0"/>
                      <w:sz w:val="22"/>
                      <w:szCs w:val="22"/>
                      <w:lang w:bidi="ar"/>
                    </w:rPr>
                    <w:t>非标</w:t>
                  </w:r>
                </w:p>
              </w:tc>
              <w:tc>
                <w:tcPr>
                  <w:tcW w:w="1066" w:type="dxa"/>
                  <w:vAlign w:val="center"/>
                </w:tcPr>
                <w:p w14:paraId="38E9219C">
                  <w:pPr>
                    <w:widowControl/>
                    <w:jc w:val="center"/>
                    <w:textAlignment w:val="bottom"/>
                    <w:rPr>
                      <w:sz w:val="22"/>
                      <w:szCs w:val="22"/>
                    </w:rPr>
                  </w:pPr>
                  <w:r>
                    <w:rPr>
                      <w:color w:val="000000"/>
                      <w:kern w:val="0"/>
                      <w:sz w:val="22"/>
                      <w:szCs w:val="22"/>
                      <w:lang w:bidi="ar"/>
                    </w:rPr>
                    <w:t>7mins/1套</w:t>
                  </w:r>
                </w:p>
              </w:tc>
              <w:tc>
                <w:tcPr>
                  <w:tcW w:w="1034" w:type="dxa"/>
                  <w:vAlign w:val="center"/>
                </w:tcPr>
                <w:p w14:paraId="16284A54">
                  <w:pPr>
                    <w:widowControl/>
                    <w:jc w:val="center"/>
                    <w:textAlignment w:val="bottom"/>
                    <w:rPr>
                      <w:sz w:val="22"/>
                      <w:szCs w:val="22"/>
                    </w:rPr>
                  </w:pPr>
                  <w:r>
                    <w:rPr>
                      <w:color w:val="000000"/>
                      <w:kern w:val="0"/>
                      <w:sz w:val="22"/>
                      <w:szCs w:val="22"/>
                      <w:lang w:bidi="ar"/>
                    </w:rPr>
                    <w:t>电驱桥总成</w:t>
                  </w:r>
                </w:p>
              </w:tc>
              <w:tc>
                <w:tcPr>
                  <w:tcW w:w="1051" w:type="dxa"/>
                  <w:vAlign w:val="center"/>
                </w:tcPr>
                <w:p w14:paraId="24C5ECC0">
                  <w:pPr>
                    <w:widowControl/>
                    <w:jc w:val="center"/>
                    <w:textAlignment w:val="center"/>
                    <w:rPr>
                      <w:sz w:val="22"/>
                      <w:szCs w:val="22"/>
                    </w:rPr>
                  </w:pPr>
                  <w:r>
                    <w:rPr>
                      <w:color w:val="000000"/>
                      <w:kern w:val="0"/>
                      <w:sz w:val="22"/>
                      <w:szCs w:val="22"/>
                      <w:lang w:bidi="ar"/>
                    </w:rPr>
                    <w:t>50000</w:t>
                  </w:r>
                </w:p>
              </w:tc>
            </w:tr>
            <w:tr w14:paraId="2F89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07D01380">
                  <w:pPr>
                    <w:jc w:val="center"/>
                    <w:rPr>
                      <w:sz w:val="22"/>
                      <w:szCs w:val="22"/>
                    </w:rPr>
                  </w:pPr>
                </w:p>
              </w:tc>
              <w:tc>
                <w:tcPr>
                  <w:tcW w:w="1300" w:type="dxa"/>
                  <w:vAlign w:val="center"/>
                </w:tcPr>
                <w:p w14:paraId="7C1C6ED8">
                  <w:pPr>
                    <w:jc w:val="center"/>
                    <w:rPr>
                      <w:sz w:val="22"/>
                      <w:szCs w:val="22"/>
                    </w:rPr>
                  </w:pPr>
                  <w:r>
                    <w:rPr>
                      <w:color w:val="000000"/>
                      <w:kern w:val="0"/>
                      <w:sz w:val="22"/>
                      <w:szCs w:val="22"/>
                      <w:lang w:bidi="ar"/>
                    </w:rPr>
                    <w:t>返修</w:t>
                  </w:r>
                </w:p>
              </w:tc>
              <w:tc>
                <w:tcPr>
                  <w:tcW w:w="1397" w:type="dxa"/>
                  <w:vAlign w:val="center"/>
                </w:tcPr>
                <w:p w14:paraId="2F11C2CC">
                  <w:pPr>
                    <w:widowControl/>
                    <w:jc w:val="center"/>
                    <w:textAlignment w:val="center"/>
                    <w:rPr>
                      <w:sz w:val="22"/>
                      <w:szCs w:val="22"/>
                    </w:rPr>
                  </w:pPr>
                  <w:r>
                    <w:rPr>
                      <w:color w:val="000000"/>
                      <w:kern w:val="0"/>
                      <w:sz w:val="22"/>
                      <w:szCs w:val="22"/>
                      <w:lang w:bidi="ar"/>
                    </w:rPr>
                    <w:t>返修台</w:t>
                  </w:r>
                </w:p>
              </w:tc>
              <w:tc>
                <w:tcPr>
                  <w:tcW w:w="775" w:type="dxa"/>
                  <w:vAlign w:val="center"/>
                </w:tcPr>
                <w:p w14:paraId="7EDC3073">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353C5AD0">
                  <w:pPr>
                    <w:widowControl/>
                    <w:jc w:val="center"/>
                    <w:textAlignment w:val="center"/>
                    <w:rPr>
                      <w:sz w:val="22"/>
                      <w:szCs w:val="22"/>
                    </w:rPr>
                  </w:pPr>
                  <w:r>
                    <w:rPr>
                      <w:color w:val="000000"/>
                      <w:kern w:val="0"/>
                      <w:sz w:val="22"/>
                      <w:szCs w:val="22"/>
                      <w:lang w:bidi="ar"/>
                    </w:rPr>
                    <w:t>非标</w:t>
                  </w:r>
                </w:p>
              </w:tc>
              <w:tc>
                <w:tcPr>
                  <w:tcW w:w="1066" w:type="dxa"/>
                  <w:vAlign w:val="center"/>
                </w:tcPr>
                <w:p w14:paraId="1F9E21C1">
                  <w:pPr>
                    <w:widowControl/>
                    <w:jc w:val="center"/>
                    <w:textAlignment w:val="bottom"/>
                    <w:rPr>
                      <w:sz w:val="22"/>
                      <w:szCs w:val="22"/>
                    </w:rPr>
                  </w:pPr>
                  <w:r>
                    <w:rPr>
                      <w:color w:val="000000"/>
                      <w:kern w:val="0"/>
                      <w:sz w:val="22"/>
                      <w:szCs w:val="22"/>
                      <w:lang w:bidi="ar"/>
                    </w:rPr>
                    <w:t>7mins/1套</w:t>
                  </w:r>
                </w:p>
              </w:tc>
              <w:tc>
                <w:tcPr>
                  <w:tcW w:w="1034" w:type="dxa"/>
                  <w:vAlign w:val="center"/>
                </w:tcPr>
                <w:p w14:paraId="30809D4A">
                  <w:pPr>
                    <w:widowControl/>
                    <w:jc w:val="center"/>
                    <w:textAlignment w:val="bottom"/>
                    <w:rPr>
                      <w:sz w:val="22"/>
                      <w:szCs w:val="22"/>
                    </w:rPr>
                  </w:pPr>
                  <w:r>
                    <w:rPr>
                      <w:color w:val="000000"/>
                      <w:kern w:val="0"/>
                      <w:sz w:val="22"/>
                      <w:szCs w:val="22"/>
                      <w:lang w:bidi="ar"/>
                    </w:rPr>
                    <w:t>电驱桥总成</w:t>
                  </w:r>
                </w:p>
              </w:tc>
              <w:tc>
                <w:tcPr>
                  <w:tcW w:w="1051" w:type="dxa"/>
                  <w:vAlign w:val="center"/>
                </w:tcPr>
                <w:p w14:paraId="36EFB0C2">
                  <w:pPr>
                    <w:widowControl/>
                    <w:jc w:val="center"/>
                    <w:textAlignment w:val="center"/>
                    <w:rPr>
                      <w:sz w:val="22"/>
                      <w:szCs w:val="22"/>
                    </w:rPr>
                  </w:pPr>
                  <w:r>
                    <w:rPr>
                      <w:color w:val="000000"/>
                      <w:kern w:val="0"/>
                      <w:sz w:val="22"/>
                      <w:szCs w:val="22"/>
                      <w:lang w:bidi="ar"/>
                    </w:rPr>
                    <w:t>50000</w:t>
                  </w:r>
                </w:p>
              </w:tc>
            </w:tr>
            <w:tr w14:paraId="1E08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restart"/>
                  <w:vAlign w:val="center"/>
                </w:tcPr>
                <w:p w14:paraId="6FE6BC17">
                  <w:pPr>
                    <w:widowControl/>
                    <w:jc w:val="center"/>
                    <w:textAlignment w:val="center"/>
                    <w:rPr>
                      <w:rFonts w:hint="eastAsia"/>
                      <w:color w:val="auto"/>
                      <w:sz w:val="22"/>
                      <w:szCs w:val="22"/>
                    </w:rPr>
                  </w:pPr>
                  <w:r>
                    <w:rPr>
                      <w:rFonts w:hint="eastAsia"/>
                      <w:color w:val="auto"/>
                      <w:sz w:val="22"/>
                      <w:szCs w:val="22"/>
                    </w:rPr>
                    <w:t>电驱桥</w:t>
                  </w:r>
                  <w:r>
                    <w:rPr>
                      <w:rFonts w:hint="eastAsia"/>
                      <w:color w:val="auto"/>
                      <w:sz w:val="22"/>
                      <w:szCs w:val="22"/>
                      <w:lang w:val="en-US" w:eastAsia="zh-CN"/>
                    </w:rPr>
                    <w:t>装配</w:t>
                  </w:r>
                  <w:r>
                    <w:rPr>
                      <w:rFonts w:hint="eastAsia"/>
                      <w:color w:val="auto"/>
                      <w:sz w:val="22"/>
                      <w:szCs w:val="22"/>
                    </w:rPr>
                    <w:t>线</w:t>
                  </w:r>
                </w:p>
                <w:p w14:paraId="5D42B622">
                  <w:pPr>
                    <w:widowControl/>
                    <w:jc w:val="both"/>
                    <w:textAlignment w:val="center"/>
                    <w:rPr>
                      <w:rFonts w:hint="eastAsia" w:eastAsia="宋体"/>
                      <w:color w:val="auto"/>
                      <w:sz w:val="22"/>
                      <w:szCs w:val="22"/>
                      <w:lang w:eastAsia="zh-CN"/>
                    </w:rPr>
                  </w:pPr>
                  <w:r>
                    <w:rPr>
                      <w:rFonts w:hint="eastAsia"/>
                      <w:color w:val="auto"/>
                      <w:sz w:val="22"/>
                      <w:szCs w:val="22"/>
                      <w:lang w:val="en-US" w:eastAsia="zh-CN"/>
                    </w:rPr>
                    <w:t>（1.2线</w:t>
                  </w:r>
                  <w:r>
                    <w:rPr>
                      <w:rFonts w:hint="eastAsia"/>
                      <w:color w:val="auto"/>
                      <w:sz w:val="22"/>
                      <w:szCs w:val="22"/>
                      <w:lang w:eastAsia="zh-CN"/>
                    </w:rPr>
                    <w:t>）</w:t>
                  </w:r>
                </w:p>
              </w:tc>
              <w:tc>
                <w:tcPr>
                  <w:tcW w:w="1300" w:type="dxa"/>
                  <w:vAlign w:val="center"/>
                </w:tcPr>
                <w:p w14:paraId="295B3C55">
                  <w:pPr>
                    <w:widowControl/>
                    <w:jc w:val="center"/>
                    <w:textAlignment w:val="center"/>
                    <w:rPr>
                      <w:sz w:val="22"/>
                      <w:szCs w:val="22"/>
                    </w:rPr>
                  </w:pPr>
                  <w:r>
                    <w:rPr>
                      <w:sz w:val="22"/>
                      <w:szCs w:val="22"/>
                    </w:rPr>
                    <w:t>电机装配及泄漏测试</w:t>
                  </w:r>
                </w:p>
              </w:tc>
              <w:tc>
                <w:tcPr>
                  <w:tcW w:w="1397" w:type="dxa"/>
                  <w:vAlign w:val="center"/>
                </w:tcPr>
                <w:p w14:paraId="6702BBE3">
                  <w:pPr>
                    <w:widowControl/>
                    <w:jc w:val="center"/>
                    <w:textAlignment w:val="center"/>
                    <w:rPr>
                      <w:sz w:val="22"/>
                      <w:szCs w:val="22"/>
                    </w:rPr>
                  </w:pPr>
                  <w:r>
                    <w:rPr>
                      <w:color w:val="000000"/>
                      <w:kern w:val="0"/>
                      <w:sz w:val="22"/>
                      <w:szCs w:val="22"/>
                      <w:lang w:bidi="ar"/>
                    </w:rPr>
                    <w:t>电机预装配台</w:t>
                  </w:r>
                </w:p>
              </w:tc>
              <w:tc>
                <w:tcPr>
                  <w:tcW w:w="775" w:type="dxa"/>
                  <w:vAlign w:val="center"/>
                </w:tcPr>
                <w:p w14:paraId="78197382">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461E0BF0">
                  <w:pPr>
                    <w:widowControl/>
                    <w:jc w:val="center"/>
                    <w:textAlignment w:val="center"/>
                    <w:rPr>
                      <w:sz w:val="22"/>
                      <w:szCs w:val="22"/>
                    </w:rPr>
                  </w:pPr>
                  <w:r>
                    <w:rPr>
                      <w:color w:val="000000"/>
                      <w:kern w:val="0"/>
                      <w:sz w:val="22"/>
                      <w:szCs w:val="22"/>
                      <w:lang w:bidi="ar"/>
                    </w:rPr>
                    <w:t>非标</w:t>
                  </w:r>
                </w:p>
              </w:tc>
              <w:tc>
                <w:tcPr>
                  <w:tcW w:w="1066" w:type="dxa"/>
                  <w:vAlign w:val="center"/>
                </w:tcPr>
                <w:p w14:paraId="12F050FB">
                  <w:pPr>
                    <w:widowControl/>
                    <w:jc w:val="center"/>
                    <w:textAlignment w:val="bottom"/>
                    <w:rPr>
                      <w:sz w:val="22"/>
                      <w:szCs w:val="22"/>
                    </w:rPr>
                  </w:pPr>
                  <w:r>
                    <w:rPr>
                      <w:color w:val="000000"/>
                      <w:kern w:val="0"/>
                      <w:sz w:val="22"/>
                      <w:szCs w:val="22"/>
                      <w:lang w:bidi="ar"/>
                    </w:rPr>
                    <w:t>20mins/1套</w:t>
                  </w:r>
                </w:p>
              </w:tc>
              <w:tc>
                <w:tcPr>
                  <w:tcW w:w="1034" w:type="dxa"/>
                  <w:vAlign w:val="center"/>
                </w:tcPr>
                <w:p w14:paraId="3F39C5D1">
                  <w:pPr>
                    <w:widowControl/>
                    <w:jc w:val="center"/>
                    <w:textAlignment w:val="bottom"/>
                    <w:rPr>
                      <w:sz w:val="22"/>
                      <w:szCs w:val="22"/>
                    </w:rPr>
                  </w:pPr>
                  <w:r>
                    <w:rPr>
                      <w:color w:val="000000"/>
                      <w:kern w:val="0"/>
                      <w:sz w:val="22"/>
                      <w:szCs w:val="22"/>
                      <w:lang w:bidi="ar"/>
                    </w:rPr>
                    <w:t>减速箱总成</w:t>
                  </w:r>
                </w:p>
              </w:tc>
              <w:tc>
                <w:tcPr>
                  <w:tcW w:w="1051" w:type="dxa"/>
                  <w:vAlign w:val="center"/>
                </w:tcPr>
                <w:p w14:paraId="33FDE31D">
                  <w:pPr>
                    <w:widowControl/>
                    <w:jc w:val="center"/>
                    <w:textAlignment w:val="center"/>
                    <w:rPr>
                      <w:sz w:val="22"/>
                      <w:szCs w:val="22"/>
                    </w:rPr>
                  </w:pPr>
                  <w:r>
                    <w:rPr>
                      <w:color w:val="000000"/>
                      <w:kern w:val="0"/>
                      <w:sz w:val="22"/>
                      <w:szCs w:val="22"/>
                      <w:lang w:bidi="ar"/>
                    </w:rPr>
                    <w:t>20000</w:t>
                  </w:r>
                </w:p>
              </w:tc>
            </w:tr>
            <w:tr w14:paraId="616C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22765D74">
                  <w:pPr>
                    <w:jc w:val="center"/>
                    <w:rPr>
                      <w:sz w:val="22"/>
                      <w:szCs w:val="22"/>
                    </w:rPr>
                  </w:pPr>
                </w:p>
              </w:tc>
              <w:tc>
                <w:tcPr>
                  <w:tcW w:w="1300" w:type="dxa"/>
                  <w:vAlign w:val="center"/>
                </w:tcPr>
                <w:p w14:paraId="2C10FCE6">
                  <w:pPr>
                    <w:widowControl/>
                    <w:jc w:val="center"/>
                    <w:textAlignment w:val="center"/>
                    <w:rPr>
                      <w:sz w:val="22"/>
                      <w:szCs w:val="22"/>
                    </w:rPr>
                  </w:pPr>
                  <w:r>
                    <w:rPr>
                      <w:sz w:val="22"/>
                      <w:szCs w:val="22"/>
                    </w:rPr>
                    <w:t>电机装配及泄漏测试</w:t>
                  </w:r>
                </w:p>
              </w:tc>
              <w:tc>
                <w:tcPr>
                  <w:tcW w:w="1397" w:type="dxa"/>
                  <w:vAlign w:val="center"/>
                </w:tcPr>
                <w:p w14:paraId="24DAEA90">
                  <w:pPr>
                    <w:widowControl/>
                    <w:jc w:val="center"/>
                    <w:textAlignment w:val="center"/>
                    <w:rPr>
                      <w:sz w:val="22"/>
                      <w:szCs w:val="22"/>
                    </w:rPr>
                  </w:pPr>
                  <w:r>
                    <w:rPr>
                      <w:color w:val="000000"/>
                      <w:kern w:val="0"/>
                      <w:sz w:val="22"/>
                      <w:szCs w:val="22"/>
                      <w:lang w:bidi="ar"/>
                    </w:rPr>
                    <w:t>电机装配台</w:t>
                  </w:r>
                </w:p>
              </w:tc>
              <w:tc>
                <w:tcPr>
                  <w:tcW w:w="775" w:type="dxa"/>
                  <w:vAlign w:val="center"/>
                </w:tcPr>
                <w:p w14:paraId="48BCC253">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2047AABD">
                  <w:pPr>
                    <w:widowControl/>
                    <w:jc w:val="center"/>
                    <w:textAlignment w:val="center"/>
                    <w:rPr>
                      <w:sz w:val="22"/>
                      <w:szCs w:val="22"/>
                    </w:rPr>
                  </w:pPr>
                  <w:r>
                    <w:rPr>
                      <w:color w:val="000000"/>
                      <w:kern w:val="0"/>
                      <w:sz w:val="22"/>
                      <w:szCs w:val="22"/>
                      <w:lang w:bidi="ar"/>
                    </w:rPr>
                    <w:t>非标</w:t>
                  </w:r>
                </w:p>
              </w:tc>
              <w:tc>
                <w:tcPr>
                  <w:tcW w:w="1066" w:type="dxa"/>
                  <w:vAlign w:val="center"/>
                </w:tcPr>
                <w:p w14:paraId="43B5FEDE">
                  <w:pPr>
                    <w:widowControl/>
                    <w:jc w:val="center"/>
                    <w:textAlignment w:val="bottom"/>
                    <w:rPr>
                      <w:sz w:val="22"/>
                      <w:szCs w:val="22"/>
                    </w:rPr>
                  </w:pPr>
                  <w:r>
                    <w:rPr>
                      <w:color w:val="000000"/>
                      <w:kern w:val="0"/>
                      <w:sz w:val="22"/>
                      <w:szCs w:val="22"/>
                      <w:lang w:bidi="ar"/>
                    </w:rPr>
                    <w:t>20mins/1套</w:t>
                  </w:r>
                </w:p>
              </w:tc>
              <w:tc>
                <w:tcPr>
                  <w:tcW w:w="1034" w:type="dxa"/>
                  <w:vAlign w:val="center"/>
                </w:tcPr>
                <w:p w14:paraId="5F05A98D">
                  <w:pPr>
                    <w:widowControl/>
                    <w:jc w:val="center"/>
                    <w:textAlignment w:val="bottom"/>
                    <w:rPr>
                      <w:sz w:val="22"/>
                      <w:szCs w:val="22"/>
                    </w:rPr>
                  </w:pPr>
                  <w:r>
                    <w:rPr>
                      <w:color w:val="000000"/>
                      <w:kern w:val="0"/>
                      <w:sz w:val="22"/>
                      <w:szCs w:val="22"/>
                      <w:lang w:bidi="ar"/>
                    </w:rPr>
                    <w:t>减速箱总成</w:t>
                  </w:r>
                </w:p>
              </w:tc>
              <w:tc>
                <w:tcPr>
                  <w:tcW w:w="1051" w:type="dxa"/>
                  <w:vAlign w:val="center"/>
                </w:tcPr>
                <w:p w14:paraId="38BD6321">
                  <w:pPr>
                    <w:widowControl/>
                    <w:jc w:val="center"/>
                    <w:textAlignment w:val="center"/>
                    <w:rPr>
                      <w:sz w:val="22"/>
                      <w:szCs w:val="22"/>
                    </w:rPr>
                  </w:pPr>
                  <w:r>
                    <w:rPr>
                      <w:color w:val="000000"/>
                      <w:kern w:val="0"/>
                      <w:sz w:val="22"/>
                      <w:szCs w:val="22"/>
                      <w:lang w:bidi="ar"/>
                    </w:rPr>
                    <w:t>20000</w:t>
                  </w:r>
                </w:p>
              </w:tc>
            </w:tr>
            <w:tr w14:paraId="398F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0A57B2A6">
                  <w:pPr>
                    <w:jc w:val="center"/>
                    <w:rPr>
                      <w:sz w:val="22"/>
                      <w:szCs w:val="22"/>
                    </w:rPr>
                  </w:pPr>
                </w:p>
              </w:tc>
              <w:tc>
                <w:tcPr>
                  <w:tcW w:w="1300" w:type="dxa"/>
                  <w:shd w:val="clear" w:color="auto" w:fill="auto"/>
                  <w:vAlign w:val="center"/>
                </w:tcPr>
                <w:p w14:paraId="165178AD">
                  <w:pPr>
                    <w:widowControl/>
                    <w:jc w:val="center"/>
                    <w:textAlignment w:val="center"/>
                    <w:rPr>
                      <w:sz w:val="22"/>
                      <w:szCs w:val="22"/>
                    </w:rPr>
                  </w:pPr>
                  <w:r>
                    <w:rPr>
                      <w:sz w:val="22"/>
                      <w:szCs w:val="22"/>
                    </w:rPr>
                    <w:t>电机装配及泄漏测试</w:t>
                  </w:r>
                </w:p>
              </w:tc>
              <w:tc>
                <w:tcPr>
                  <w:tcW w:w="1397" w:type="dxa"/>
                  <w:shd w:val="clear" w:color="auto" w:fill="auto"/>
                  <w:vAlign w:val="center"/>
                </w:tcPr>
                <w:p w14:paraId="53B6DC71">
                  <w:pPr>
                    <w:widowControl/>
                    <w:jc w:val="center"/>
                    <w:textAlignment w:val="center"/>
                    <w:rPr>
                      <w:sz w:val="22"/>
                      <w:szCs w:val="22"/>
                    </w:rPr>
                  </w:pPr>
                  <w:r>
                    <w:rPr>
                      <w:color w:val="000000"/>
                      <w:kern w:val="0"/>
                      <w:sz w:val="22"/>
                      <w:szCs w:val="22"/>
                      <w:lang w:bidi="ar"/>
                    </w:rPr>
                    <w:t>激光打标台</w:t>
                  </w:r>
                </w:p>
              </w:tc>
              <w:tc>
                <w:tcPr>
                  <w:tcW w:w="775" w:type="dxa"/>
                  <w:shd w:val="clear" w:color="auto" w:fill="auto"/>
                  <w:vAlign w:val="center"/>
                </w:tcPr>
                <w:p w14:paraId="6B280FDA">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shd w:val="clear" w:color="auto" w:fill="auto"/>
                  <w:vAlign w:val="center"/>
                </w:tcPr>
                <w:p w14:paraId="032DF990">
                  <w:pPr>
                    <w:widowControl/>
                    <w:jc w:val="center"/>
                    <w:textAlignment w:val="center"/>
                    <w:rPr>
                      <w:sz w:val="22"/>
                      <w:szCs w:val="22"/>
                    </w:rPr>
                  </w:pPr>
                  <w:r>
                    <w:rPr>
                      <w:color w:val="000000"/>
                      <w:kern w:val="0"/>
                      <w:sz w:val="22"/>
                      <w:szCs w:val="22"/>
                      <w:lang w:bidi="ar"/>
                    </w:rPr>
                    <w:t>非标</w:t>
                  </w:r>
                </w:p>
              </w:tc>
              <w:tc>
                <w:tcPr>
                  <w:tcW w:w="1066" w:type="dxa"/>
                  <w:shd w:val="clear" w:color="auto" w:fill="auto"/>
                  <w:vAlign w:val="center"/>
                </w:tcPr>
                <w:p w14:paraId="4C79321B">
                  <w:pPr>
                    <w:widowControl/>
                    <w:jc w:val="center"/>
                    <w:textAlignment w:val="bottom"/>
                    <w:rPr>
                      <w:sz w:val="22"/>
                      <w:szCs w:val="22"/>
                    </w:rPr>
                  </w:pPr>
                  <w:r>
                    <w:rPr>
                      <w:rFonts w:hint="eastAsia"/>
                      <w:color w:val="000000"/>
                      <w:kern w:val="0"/>
                      <w:sz w:val="22"/>
                      <w:szCs w:val="22"/>
                      <w:lang w:bidi="ar"/>
                    </w:rPr>
                    <w:t>20</w:t>
                  </w:r>
                  <w:r>
                    <w:rPr>
                      <w:color w:val="000000"/>
                      <w:kern w:val="0"/>
                      <w:sz w:val="22"/>
                      <w:szCs w:val="22"/>
                      <w:lang w:bidi="ar"/>
                    </w:rPr>
                    <w:t>mins/1套</w:t>
                  </w:r>
                </w:p>
              </w:tc>
              <w:tc>
                <w:tcPr>
                  <w:tcW w:w="1034" w:type="dxa"/>
                  <w:shd w:val="clear" w:color="auto" w:fill="auto"/>
                  <w:vAlign w:val="center"/>
                </w:tcPr>
                <w:p w14:paraId="6FDC3C95">
                  <w:pPr>
                    <w:widowControl/>
                    <w:jc w:val="center"/>
                    <w:textAlignment w:val="bottom"/>
                    <w:rPr>
                      <w:sz w:val="22"/>
                      <w:szCs w:val="22"/>
                    </w:rPr>
                  </w:pPr>
                  <w:r>
                    <w:rPr>
                      <w:color w:val="000000"/>
                      <w:kern w:val="0"/>
                      <w:sz w:val="22"/>
                      <w:szCs w:val="22"/>
                      <w:lang w:bidi="ar"/>
                    </w:rPr>
                    <w:t>减速箱总成</w:t>
                  </w:r>
                </w:p>
              </w:tc>
              <w:tc>
                <w:tcPr>
                  <w:tcW w:w="1051" w:type="dxa"/>
                  <w:shd w:val="clear" w:color="auto" w:fill="auto"/>
                  <w:vAlign w:val="center"/>
                </w:tcPr>
                <w:p w14:paraId="5EBC4DA7">
                  <w:pPr>
                    <w:widowControl/>
                    <w:jc w:val="center"/>
                    <w:textAlignment w:val="center"/>
                    <w:rPr>
                      <w:sz w:val="22"/>
                      <w:szCs w:val="22"/>
                    </w:rPr>
                  </w:pPr>
                  <w:r>
                    <w:rPr>
                      <w:rFonts w:hint="eastAsia"/>
                      <w:color w:val="000000"/>
                      <w:kern w:val="0"/>
                      <w:sz w:val="22"/>
                      <w:szCs w:val="22"/>
                      <w:lang w:bidi="ar"/>
                    </w:rPr>
                    <w:t>2</w:t>
                  </w:r>
                  <w:r>
                    <w:rPr>
                      <w:color w:val="000000"/>
                      <w:kern w:val="0"/>
                      <w:sz w:val="22"/>
                      <w:szCs w:val="22"/>
                      <w:lang w:bidi="ar"/>
                    </w:rPr>
                    <w:t>0000</w:t>
                  </w:r>
                </w:p>
              </w:tc>
            </w:tr>
            <w:tr w14:paraId="3415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55D5F551">
                  <w:pPr>
                    <w:jc w:val="center"/>
                    <w:rPr>
                      <w:sz w:val="22"/>
                      <w:szCs w:val="22"/>
                    </w:rPr>
                  </w:pPr>
                </w:p>
              </w:tc>
              <w:tc>
                <w:tcPr>
                  <w:tcW w:w="1300" w:type="dxa"/>
                  <w:vAlign w:val="center"/>
                </w:tcPr>
                <w:p w14:paraId="1E4FF56A">
                  <w:pPr>
                    <w:widowControl/>
                    <w:jc w:val="center"/>
                    <w:textAlignment w:val="center"/>
                    <w:rPr>
                      <w:sz w:val="22"/>
                      <w:szCs w:val="22"/>
                    </w:rPr>
                  </w:pPr>
                  <w:r>
                    <w:rPr>
                      <w:sz w:val="22"/>
                      <w:szCs w:val="22"/>
                    </w:rPr>
                    <w:t>电机装配及泄漏测试</w:t>
                  </w:r>
                </w:p>
              </w:tc>
              <w:tc>
                <w:tcPr>
                  <w:tcW w:w="1397" w:type="dxa"/>
                  <w:vAlign w:val="center"/>
                </w:tcPr>
                <w:p w14:paraId="56480BAE">
                  <w:pPr>
                    <w:widowControl/>
                    <w:jc w:val="center"/>
                    <w:textAlignment w:val="center"/>
                    <w:rPr>
                      <w:sz w:val="22"/>
                      <w:szCs w:val="22"/>
                    </w:rPr>
                  </w:pPr>
                  <w:r>
                    <w:rPr>
                      <w:color w:val="000000"/>
                      <w:kern w:val="0"/>
                      <w:sz w:val="22"/>
                      <w:szCs w:val="22"/>
                      <w:lang w:bidi="ar"/>
                    </w:rPr>
                    <w:t>电机油路测试台</w:t>
                  </w:r>
                </w:p>
              </w:tc>
              <w:tc>
                <w:tcPr>
                  <w:tcW w:w="775" w:type="dxa"/>
                  <w:vAlign w:val="center"/>
                </w:tcPr>
                <w:p w14:paraId="1AB98132">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537D5D22">
                  <w:pPr>
                    <w:widowControl/>
                    <w:jc w:val="center"/>
                    <w:textAlignment w:val="center"/>
                    <w:rPr>
                      <w:sz w:val="22"/>
                      <w:szCs w:val="22"/>
                    </w:rPr>
                  </w:pPr>
                  <w:r>
                    <w:rPr>
                      <w:color w:val="000000"/>
                      <w:kern w:val="0"/>
                      <w:sz w:val="22"/>
                      <w:szCs w:val="22"/>
                      <w:lang w:bidi="ar"/>
                    </w:rPr>
                    <w:t>非标</w:t>
                  </w:r>
                </w:p>
              </w:tc>
              <w:tc>
                <w:tcPr>
                  <w:tcW w:w="1066" w:type="dxa"/>
                  <w:vAlign w:val="center"/>
                </w:tcPr>
                <w:p w14:paraId="1E69942C">
                  <w:pPr>
                    <w:widowControl/>
                    <w:jc w:val="center"/>
                    <w:textAlignment w:val="bottom"/>
                    <w:rPr>
                      <w:sz w:val="22"/>
                      <w:szCs w:val="22"/>
                    </w:rPr>
                  </w:pPr>
                  <w:r>
                    <w:rPr>
                      <w:color w:val="000000"/>
                      <w:kern w:val="0"/>
                      <w:sz w:val="22"/>
                      <w:szCs w:val="22"/>
                      <w:lang w:bidi="ar"/>
                    </w:rPr>
                    <w:t>20mins/1套</w:t>
                  </w:r>
                </w:p>
              </w:tc>
              <w:tc>
                <w:tcPr>
                  <w:tcW w:w="1034" w:type="dxa"/>
                  <w:vAlign w:val="center"/>
                </w:tcPr>
                <w:p w14:paraId="47ECA9B8">
                  <w:pPr>
                    <w:widowControl/>
                    <w:jc w:val="center"/>
                    <w:textAlignment w:val="bottom"/>
                    <w:rPr>
                      <w:sz w:val="22"/>
                      <w:szCs w:val="22"/>
                    </w:rPr>
                  </w:pPr>
                  <w:r>
                    <w:rPr>
                      <w:color w:val="000000"/>
                      <w:kern w:val="0"/>
                      <w:sz w:val="22"/>
                      <w:szCs w:val="22"/>
                      <w:lang w:bidi="ar"/>
                    </w:rPr>
                    <w:t>减速箱总成</w:t>
                  </w:r>
                </w:p>
              </w:tc>
              <w:tc>
                <w:tcPr>
                  <w:tcW w:w="1051" w:type="dxa"/>
                  <w:vAlign w:val="center"/>
                </w:tcPr>
                <w:p w14:paraId="518B5F45">
                  <w:pPr>
                    <w:widowControl/>
                    <w:jc w:val="center"/>
                    <w:textAlignment w:val="center"/>
                    <w:rPr>
                      <w:sz w:val="22"/>
                      <w:szCs w:val="22"/>
                    </w:rPr>
                  </w:pPr>
                  <w:r>
                    <w:rPr>
                      <w:color w:val="000000"/>
                      <w:kern w:val="0"/>
                      <w:sz w:val="22"/>
                      <w:szCs w:val="22"/>
                      <w:lang w:bidi="ar"/>
                    </w:rPr>
                    <w:t>20000</w:t>
                  </w:r>
                </w:p>
              </w:tc>
            </w:tr>
            <w:tr w14:paraId="26D6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2E5DAC75">
                  <w:pPr>
                    <w:jc w:val="center"/>
                    <w:rPr>
                      <w:sz w:val="22"/>
                      <w:szCs w:val="22"/>
                    </w:rPr>
                  </w:pPr>
                </w:p>
              </w:tc>
              <w:tc>
                <w:tcPr>
                  <w:tcW w:w="1300" w:type="dxa"/>
                  <w:vAlign w:val="center"/>
                </w:tcPr>
                <w:p w14:paraId="11E50AB0">
                  <w:pPr>
                    <w:widowControl/>
                    <w:jc w:val="center"/>
                    <w:textAlignment w:val="center"/>
                    <w:rPr>
                      <w:sz w:val="22"/>
                      <w:szCs w:val="22"/>
                    </w:rPr>
                  </w:pPr>
                  <w:r>
                    <w:rPr>
                      <w:sz w:val="22"/>
                      <w:szCs w:val="22"/>
                    </w:rPr>
                    <w:t>变速箱组件及桥腿安装</w:t>
                  </w:r>
                </w:p>
              </w:tc>
              <w:tc>
                <w:tcPr>
                  <w:tcW w:w="1397" w:type="dxa"/>
                  <w:vAlign w:val="center"/>
                </w:tcPr>
                <w:p w14:paraId="414C5EFA">
                  <w:pPr>
                    <w:widowControl/>
                    <w:jc w:val="center"/>
                    <w:textAlignment w:val="center"/>
                    <w:rPr>
                      <w:sz w:val="22"/>
                      <w:szCs w:val="22"/>
                    </w:rPr>
                  </w:pPr>
                  <w:r>
                    <w:rPr>
                      <w:color w:val="000000"/>
                      <w:kern w:val="0"/>
                      <w:sz w:val="22"/>
                      <w:szCs w:val="22"/>
                      <w:lang w:bidi="ar"/>
                    </w:rPr>
                    <w:t>桥腿装配台</w:t>
                  </w:r>
                </w:p>
              </w:tc>
              <w:tc>
                <w:tcPr>
                  <w:tcW w:w="775" w:type="dxa"/>
                  <w:vAlign w:val="center"/>
                </w:tcPr>
                <w:p w14:paraId="48A08250">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3DBB4E49">
                  <w:pPr>
                    <w:widowControl/>
                    <w:jc w:val="center"/>
                    <w:textAlignment w:val="center"/>
                    <w:rPr>
                      <w:sz w:val="22"/>
                      <w:szCs w:val="22"/>
                    </w:rPr>
                  </w:pPr>
                  <w:r>
                    <w:rPr>
                      <w:color w:val="000000"/>
                      <w:kern w:val="0"/>
                      <w:sz w:val="22"/>
                      <w:szCs w:val="22"/>
                      <w:lang w:bidi="ar"/>
                    </w:rPr>
                    <w:t>非标</w:t>
                  </w:r>
                </w:p>
              </w:tc>
              <w:tc>
                <w:tcPr>
                  <w:tcW w:w="1066" w:type="dxa"/>
                  <w:vAlign w:val="center"/>
                </w:tcPr>
                <w:p w14:paraId="684DB590">
                  <w:pPr>
                    <w:widowControl/>
                    <w:jc w:val="center"/>
                    <w:textAlignment w:val="bottom"/>
                    <w:rPr>
                      <w:sz w:val="22"/>
                      <w:szCs w:val="22"/>
                    </w:rPr>
                  </w:pPr>
                  <w:r>
                    <w:rPr>
                      <w:color w:val="000000"/>
                      <w:kern w:val="0"/>
                      <w:sz w:val="22"/>
                      <w:szCs w:val="22"/>
                      <w:lang w:bidi="ar"/>
                    </w:rPr>
                    <w:t>20mins/1套</w:t>
                  </w:r>
                </w:p>
              </w:tc>
              <w:tc>
                <w:tcPr>
                  <w:tcW w:w="1034" w:type="dxa"/>
                  <w:vAlign w:val="center"/>
                </w:tcPr>
                <w:p w14:paraId="47878E06">
                  <w:pPr>
                    <w:widowControl/>
                    <w:jc w:val="center"/>
                    <w:textAlignment w:val="bottom"/>
                    <w:rPr>
                      <w:sz w:val="22"/>
                      <w:szCs w:val="22"/>
                    </w:rPr>
                  </w:pPr>
                  <w:r>
                    <w:rPr>
                      <w:color w:val="000000"/>
                      <w:kern w:val="0"/>
                      <w:sz w:val="22"/>
                      <w:szCs w:val="22"/>
                      <w:lang w:bidi="ar"/>
                    </w:rPr>
                    <w:t>电驱桥总成</w:t>
                  </w:r>
                </w:p>
              </w:tc>
              <w:tc>
                <w:tcPr>
                  <w:tcW w:w="1051" w:type="dxa"/>
                  <w:vAlign w:val="center"/>
                </w:tcPr>
                <w:p w14:paraId="187DAFB0">
                  <w:pPr>
                    <w:widowControl/>
                    <w:jc w:val="center"/>
                    <w:textAlignment w:val="center"/>
                    <w:rPr>
                      <w:sz w:val="22"/>
                      <w:szCs w:val="22"/>
                    </w:rPr>
                  </w:pPr>
                  <w:r>
                    <w:rPr>
                      <w:color w:val="000000"/>
                      <w:kern w:val="0"/>
                      <w:sz w:val="22"/>
                      <w:szCs w:val="22"/>
                      <w:lang w:bidi="ar"/>
                    </w:rPr>
                    <w:t>20000</w:t>
                  </w:r>
                </w:p>
              </w:tc>
            </w:tr>
            <w:tr w14:paraId="0D24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27643563">
                  <w:pPr>
                    <w:jc w:val="center"/>
                    <w:rPr>
                      <w:sz w:val="22"/>
                      <w:szCs w:val="22"/>
                    </w:rPr>
                  </w:pPr>
                </w:p>
              </w:tc>
              <w:tc>
                <w:tcPr>
                  <w:tcW w:w="1300" w:type="dxa"/>
                  <w:vAlign w:val="center"/>
                </w:tcPr>
                <w:p w14:paraId="3D4395C3">
                  <w:pPr>
                    <w:widowControl/>
                    <w:jc w:val="center"/>
                    <w:textAlignment w:val="center"/>
                    <w:rPr>
                      <w:sz w:val="22"/>
                      <w:szCs w:val="22"/>
                    </w:rPr>
                  </w:pPr>
                  <w:r>
                    <w:rPr>
                      <w:sz w:val="22"/>
                      <w:szCs w:val="22"/>
                    </w:rPr>
                    <w:t>线束装配及系统泄漏测试</w:t>
                  </w:r>
                </w:p>
              </w:tc>
              <w:tc>
                <w:tcPr>
                  <w:tcW w:w="1397" w:type="dxa"/>
                  <w:vAlign w:val="center"/>
                </w:tcPr>
                <w:p w14:paraId="30D980AB">
                  <w:pPr>
                    <w:widowControl/>
                    <w:jc w:val="center"/>
                    <w:textAlignment w:val="center"/>
                    <w:rPr>
                      <w:sz w:val="22"/>
                      <w:szCs w:val="22"/>
                    </w:rPr>
                  </w:pPr>
                  <w:r>
                    <w:rPr>
                      <w:color w:val="000000"/>
                      <w:kern w:val="0"/>
                      <w:sz w:val="22"/>
                      <w:szCs w:val="22"/>
                      <w:lang w:bidi="ar"/>
                    </w:rPr>
                    <w:t>整桥油路测试台</w:t>
                  </w:r>
                </w:p>
              </w:tc>
              <w:tc>
                <w:tcPr>
                  <w:tcW w:w="775" w:type="dxa"/>
                  <w:vAlign w:val="center"/>
                </w:tcPr>
                <w:p w14:paraId="22A78EC1">
                  <w:pPr>
                    <w:widowControl/>
                    <w:jc w:val="center"/>
                    <w:textAlignment w:val="center"/>
                    <w:rPr>
                      <w:sz w:val="22"/>
                      <w:szCs w:val="22"/>
                    </w:rPr>
                  </w:pPr>
                  <w:r>
                    <w:rPr>
                      <w:color w:val="000000"/>
                      <w:kern w:val="0"/>
                      <w:sz w:val="22"/>
                      <w:szCs w:val="22"/>
                      <w:lang w:bidi="ar"/>
                    </w:rPr>
                    <w:t>1</w:t>
                  </w:r>
                  <w:r>
                    <w:rPr>
                      <w:rFonts w:hint="eastAsia"/>
                      <w:color w:val="000000"/>
                      <w:kern w:val="0"/>
                      <w:sz w:val="22"/>
                      <w:szCs w:val="22"/>
                      <w:lang w:bidi="ar"/>
                    </w:rPr>
                    <w:t>台</w:t>
                  </w:r>
                </w:p>
              </w:tc>
              <w:tc>
                <w:tcPr>
                  <w:tcW w:w="707" w:type="dxa"/>
                  <w:vAlign w:val="center"/>
                </w:tcPr>
                <w:p w14:paraId="7DE8FF01">
                  <w:pPr>
                    <w:widowControl/>
                    <w:jc w:val="center"/>
                    <w:textAlignment w:val="center"/>
                    <w:rPr>
                      <w:sz w:val="22"/>
                      <w:szCs w:val="22"/>
                    </w:rPr>
                  </w:pPr>
                  <w:r>
                    <w:rPr>
                      <w:color w:val="000000"/>
                      <w:kern w:val="0"/>
                      <w:sz w:val="22"/>
                      <w:szCs w:val="22"/>
                      <w:lang w:bidi="ar"/>
                    </w:rPr>
                    <w:t>非标</w:t>
                  </w:r>
                </w:p>
              </w:tc>
              <w:tc>
                <w:tcPr>
                  <w:tcW w:w="1066" w:type="dxa"/>
                  <w:vAlign w:val="center"/>
                </w:tcPr>
                <w:p w14:paraId="125FD88B">
                  <w:pPr>
                    <w:widowControl/>
                    <w:jc w:val="center"/>
                    <w:textAlignment w:val="bottom"/>
                    <w:rPr>
                      <w:sz w:val="22"/>
                      <w:szCs w:val="22"/>
                    </w:rPr>
                  </w:pPr>
                  <w:r>
                    <w:rPr>
                      <w:color w:val="000000"/>
                      <w:kern w:val="0"/>
                      <w:sz w:val="22"/>
                      <w:szCs w:val="22"/>
                      <w:lang w:bidi="ar"/>
                    </w:rPr>
                    <w:t>20mins/1套</w:t>
                  </w:r>
                </w:p>
              </w:tc>
              <w:tc>
                <w:tcPr>
                  <w:tcW w:w="1034" w:type="dxa"/>
                  <w:vAlign w:val="center"/>
                </w:tcPr>
                <w:p w14:paraId="538FACA8">
                  <w:pPr>
                    <w:widowControl/>
                    <w:jc w:val="center"/>
                    <w:textAlignment w:val="bottom"/>
                    <w:rPr>
                      <w:sz w:val="22"/>
                      <w:szCs w:val="22"/>
                    </w:rPr>
                  </w:pPr>
                  <w:r>
                    <w:rPr>
                      <w:color w:val="000000"/>
                      <w:kern w:val="0"/>
                      <w:sz w:val="22"/>
                      <w:szCs w:val="22"/>
                      <w:lang w:bidi="ar"/>
                    </w:rPr>
                    <w:t>电驱桥总成</w:t>
                  </w:r>
                </w:p>
              </w:tc>
              <w:tc>
                <w:tcPr>
                  <w:tcW w:w="1051" w:type="dxa"/>
                  <w:vAlign w:val="center"/>
                </w:tcPr>
                <w:p w14:paraId="178A85F6">
                  <w:pPr>
                    <w:widowControl/>
                    <w:jc w:val="center"/>
                    <w:textAlignment w:val="center"/>
                    <w:rPr>
                      <w:sz w:val="22"/>
                      <w:szCs w:val="22"/>
                    </w:rPr>
                  </w:pPr>
                  <w:r>
                    <w:rPr>
                      <w:color w:val="000000"/>
                      <w:kern w:val="0"/>
                      <w:sz w:val="22"/>
                      <w:szCs w:val="22"/>
                      <w:lang w:bidi="ar"/>
                    </w:rPr>
                    <w:t>20000</w:t>
                  </w:r>
                </w:p>
              </w:tc>
            </w:tr>
            <w:tr w14:paraId="2156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restart"/>
                  <w:vAlign w:val="center"/>
                </w:tcPr>
                <w:p w14:paraId="35122398">
                  <w:pPr>
                    <w:jc w:val="center"/>
                    <w:rPr>
                      <w:sz w:val="22"/>
                      <w:szCs w:val="22"/>
                    </w:rPr>
                  </w:pPr>
                  <w:r>
                    <w:rPr>
                      <w:rFonts w:hint="eastAsia"/>
                      <w:sz w:val="22"/>
                      <w:szCs w:val="22"/>
                    </w:rPr>
                    <w:t>氢瓶瓶口阀瓶底阀生产线</w:t>
                  </w:r>
                </w:p>
              </w:tc>
              <w:tc>
                <w:tcPr>
                  <w:tcW w:w="1300" w:type="dxa"/>
                  <w:vAlign w:val="center"/>
                </w:tcPr>
                <w:p w14:paraId="463A840D">
                  <w:pPr>
                    <w:widowControl/>
                    <w:jc w:val="center"/>
                    <w:textAlignment w:val="center"/>
                    <w:rPr>
                      <w:rFonts w:hint="eastAsia"/>
                      <w:color w:val="000000"/>
                      <w:kern w:val="0"/>
                      <w:sz w:val="22"/>
                      <w:szCs w:val="22"/>
                      <w:lang w:bidi="ar"/>
                    </w:rPr>
                  </w:pPr>
                  <w:r>
                    <w:rPr>
                      <w:rFonts w:hint="eastAsia"/>
                      <w:color w:val="000000"/>
                      <w:kern w:val="0"/>
                      <w:sz w:val="22"/>
                      <w:szCs w:val="22"/>
                      <w:lang w:bidi="ar"/>
                    </w:rPr>
                    <w:t>辅助阀体及组件</w:t>
                  </w:r>
                  <w:r>
                    <w:rPr>
                      <w:color w:val="000000"/>
                      <w:kern w:val="0"/>
                      <w:sz w:val="22"/>
                      <w:szCs w:val="22"/>
                      <w:lang w:bidi="ar"/>
                    </w:rPr>
                    <w:t>预装配</w:t>
                  </w:r>
                </w:p>
              </w:tc>
              <w:tc>
                <w:tcPr>
                  <w:tcW w:w="1397" w:type="dxa"/>
                  <w:vAlign w:val="center"/>
                </w:tcPr>
                <w:p w14:paraId="3EA1A2E4">
                  <w:pPr>
                    <w:widowControl/>
                    <w:jc w:val="center"/>
                    <w:textAlignment w:val="center"/>
                    <w:rPr>
                      <w:color w:val="000000"/>
                      <w:kern w:val="0"/>
                      <w:sz w:val="22"/>
                      <w:szCs w:val="22"/>
                      <w:lang w:bidi="ar"/>
                    </w:rPr>
                  </w:pPr>
                  <w:r>
                    <w:rPr>
                      <w:color w:val="000000"/>
                      <w:kern w:val="0"/>
                      <w:sz w:val="22"/>
                      <w:szCs w:val="22"/>
                      <w:lang w:bidi="ar"/>
                    </w:rPr>
                    <w:t>装配台</w:t>
                  </w:r>
                </w:p>
              </w:tc>
              <w:tc>
                <w:tcPr>
                  <w:tcW w:w="775" w:type="dxa"/>
                  <w:vAlign w:val="center"/>
                </w:tcPr>
                <w:p w14:paraId="0A8B1229">
                  <w:pPr>
                    <w:widowControl/>
                    <w:jc w:val="center"/>
                    <w:textAlignment w:val="center"/>
                    <w:rPr>
                      <w:rFonts w:hint="eastAsia"/>
                      <w:color w:val="auto"/>
                      <w:kern w:val="0"/>
                      <w:sz w:val="22"/>
                      <w:szCs w:val="22"/>
                      <w:lang w:val="en-US" w:eastAsia="zh-CN" w:bidi="ar"/>
                    </w:rPr>
                  </w:pPr>
                  <w:r>
                    <w:rPr>
                      <w:rFonts w:hint="eastAsia"/>
                      <w:color w:val="auto"/>
                      <w:kern w:val="0"/>
                      <w:sz w:val="22"/>
                      <w:szCs w:val="22"/>
                      <w:lang w:val="en-US" w:eastAsia="zh-CN" w:bidi="ar"/>
                    </w:rPr>
                    <w:t>4</w:t>
                  </w:r>
                  <w:r>
                    <w:rPr>
                      <w:rFonts w:hint="eastAsia"/>
                      <w:color w:val="auto"/>
                      <w:kern w:val="0"/>
                      <w:sz w:val="22"/>
                      <w:szCs w:val="22"/>
                      <w:lang w:bidi="ar"/>
                    </w:rPr>
                    <w:t>台</w:t>
                  </w:r>
                </w:p>
              </w:tc>
              <w:tc>
                <w:tcPr>
                  <w:tcW w:w="707" w:type="dxa"/>
                  <w:vAlign w:val="center"/>
                </w:tcPr>
                <w:p w14:paraId="6A272185">
                  <w:pPr>
                    <w:widowControl/>
                    <w:jc w:val="center"/>
                    <w:textAlignment w:val="center"/>
                    <w:rPr>
                      <w:color w:val="000000"/>
                      <w:kern w:val="0"/>
                      <w:sz w:val="22"/>
                      <w:szCs w:val="22"/>
                      <w:lang w:bidi="ar"/>
                    </w:rPr>
                  </w:pPr>
                  <w:r>
                    <w:rPr>
                      <w:color w:val="000000"/>
                      <w:kern w:val="0"/>
                      <w:sz w:val="22"/>
                      <w:szCs w:val="22"/>
                      <w:lang w:bidi="ar"/>
                    </w:rPr>
                    <w:t>800*600</w:t>
                  </w:r>
                </w:p>
              </w:tc>
              <w:tc>
                <w:tcPr>
                  <w:tcW w:w="1066" w:type="dxa"/>
                  <w:vAlign w:val="center"/>
                </w:tcPr>
                <w:p w14:paraId="54CB9FEC">
                  <w:pPr>
                    <w:widowControl/>
                    <w:jc w:val="center"/>
                    <w:textAlignment w:val="bottom"/>
                    <w:rPr>
                      <w:color w:val="000000"/>
                      <w:kern w:val="0"/>
                      <w:sz w:val="22"/>
                      <w:szCs w:val="22"/>
                      <w:lang w:bidi="ar"/>
                    </w:rPr>
                  </w:pPr>
                  <w:r>
                    <w:rPr>
                      <w:color w:val="000000"/>
                      <w:kern w:val="0"/>
                      <w:sz w:val="22"/>
                      <w:szCs w:val="22"/>
                      <w:lang w:bidi="ar"/>
                    </w:rPr>
                    <w:t>7min/1套</w:t>
                  </w:r>
                </w:p>
              </w:tc>
              <w:tc>
                <w:tcPr>
                  <w:tcW w:w="1034" w:type="dxa"/>
                  <w:vAlign w:val="center"/>
                </w:tcPr>
                <w:p w14:paraId="4118AEAE">
                  <w:pPr>
                    <w:widowControl/>
                    <w:jc w:val="center"/>
                    <w:textAlignment w:val="bottom"/>
                    <w:rPr>
                      <w:rFonts w:hint="eastAsia"/>
                      <w:color w:val="000000"/>
                      <w:szCs w:val="21"/>
                    </w:rPr>
                  </w:pPr>
                  <w:r>
                    <w:rPr>
                      <w:rFonts w:hint="eastAsia"/>
                      <w:color w:val="000000"/>
                      <w:szCs w:val="21"/>
                    </w:rPr>
                    <w:t>H</w:t>
                  </w:r>
                  <w:r>
                    <w:rPr>
                      <w:color w:val="000000"/>
                      <w:szCs w:val="21"/>
                    </w:rPr>
                    <w:t>TV/HTP</w:t>
                  </w:r>
                </w:p>
              </w:tc>
              <w:tc>
                <w:tcPr>
                  <w:tcW w:w="1051" w:type="dxa"/>
                  <w:vAlign w:val="center"/>
                </w:tcPr>
                <w:p w14:paraId="2B0C9B68">
                  <w:pPr>
                    <w:widowControl/>
                    <w:jc w:val="center"/>
                    <w:textAlignment w:val="center"/>
                    <w:rPr>
                      <w:color w:val="000000"/>
                      <w:kern w:val="0"/>
                      <w:sz w:val="22"/>
                      <w:szCs w:val="22"/>
                      <w:lang w:bidi="ar"/>
                    </w:rPr>
                  </w:pPr>
                  <w:r>
                    <w:rPr>
                      <w:color w:val="000000"/>
                      <w:kern w:val="0"/>
                      <w:sz w:val="22"/>
                      <w:szCs w:val="22"/>
                      <w:lang w:bidi="ar"/>
                    </w:rPr>
                    <w:t>60000</w:t>
                  </w:r>
                </w:p>
              </w:tc>
            </w:tr>
            <w:tr w14:paraId="7C4A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7BA9DAF4">
                  <w:pPr>
                    <w:jc w:val="center"/>
                    <w:rPr>
                      <w:sz w:val="22"/>
                      <w:szCs w:val="22"/>
                    </w:rPr>
                  </w:pPr>
                </w:p>
              </w:tc>
              <w:tc>
                <w:tcPr>
                  <w:tcW w:w="1300" w:type="dxa"/>
                  <w:vAlign w:val="center"/>
                </w:tcPr>
                <w:p w14:paraId="69C9231A">
                  <w:pPr>
                    <w:widowControl/>
                    <w:jc w:val="center"/>
                    <w:textAlignment w:val="center"/>
                    <w:rPr>
                      <w:sz w:val="22"/>
                      <w:szCs w:val="22"/>
                    </w:rPr>
                  </w:pPr>
                  <w:r>
                    <w:rPr>
                      <w:rFonts w:hint="eastAsia"/>
                      <w:color w:val="000000"/>
                      <w:kern w:val="0"/>
                      <w:sz w:val="22"/>
                      <w:szCs w:val="22"/>
                      <w:lang w:bidi="ar"/>
                    </w:rPr>
                    <w:t>阀体</w:t>
                  </w:r>
                  <w:r>
                    <w:rPr>
                      <w:color w:val="000000"/>
                      <w:kern w:val="0"/>
                      <w:sz w:val="22"/>
                      <w:szCs w:val="22"/>
                      <w:lang w:bidi="ar"/>
                    </w:rPr>
                    <w:t>总装配</w:t>
                  </w:r>
                </w:p>
              </w:tc>
              <w:tc>
                <w:tcPr>
                  <w:tcW w:w="1397" w:type="dxa"/>
                  <w:vAlign w:val="center"/>
                </w:tcPr>
                <w:p w14:paraId="7D0F9653">
                  <w:pPr>
                    <w:widowControl/>
                    <w:jc w:val="center"/>
                    <w:textAlignment w:val="center"/>
                    <w:rPr>
                      <w:sz w:val="22"/>
                      <w:szCs w:val="22"/>
                    </w:rPr>
                  </w:pPr>
                  <w:r>
                    <w:rPr>
                      <w:color w:val="000000"/>
                      <w:kern w:val="0"/>
                      <w:sz w:val="22"/>
                      <w:szCs w:val="22"/>
                      <w:lang w:bidi="ar"/>
                    </w:rPr>
                    <w:t>装配台</w:t>
                  </w:r>
                </w:p>
              </w:tc>
              <w:tc>
                <w:tcPr>
                  <w:tcW w:w="775" w:type="dxa"/>
                  <w:vAlign w:val="center"/>
                </w:tcPr>
                <w:p w14:paraId="05C8862D">
                  <w:pPr>
                    <w:widowControl/>
                    <w:jc w:val="center"/>
                    <w:textAlignment w:val="center"/>
                    <w:rPr>
                      <w:color w:val="auto"/>
                      <w:sz w:val="22"/>
                      <w:szCs w:val="22"/>
                    </w:rPr>
                  </w:pPr>
                  <w:r>
                    <w:rPr>
                      <w:rFonts w:hint="eastAsia"/>
                      <w:color w:val="auto"/>
                      <w:kern w:val="0"/>
                      <w:sz w:val="22"/>
                      <w:szCs w:val="22"/>
                      <w:lang w:val="en-US" w:eastAsia="zh-CN" w:bidi="ar"/>
                    </w:rPr>
                    <w:t>4</w:t>
                  </w:r>
                  <w:r>
                    <w:rPr>
                      <w:rFonts w:hint="eastAsia"/>
                      <w:color w:val="auto"/>
                      <w:kern w:val="0"/>
                      <w:sz w:val="22"/>
                      <w:szCs w:val="22"/>
                      <w:lang w:bidi="ar"/>
                    </w:rPr>
                    <w:t>台</w:t>
                  </w:r>
                </w:p>
              </w:tc>
              <w:tc>
                <w:tcPr>
                  <w:tcW w:w="707" w:type="dxa"/>
                  <w:vAlign w:val="center"/>
                </w:tcPr>
                <w:p w14:paraId="5D2B1878">
                  <w:pPr>
                    <w:widowControl/>
                    <w:jc w:val="center"/>
                    <w:textAlignment w:val="center"/>
                    <w:rPr>
                      <w:sz w:val="22"/>
                      <w:szCs w:val="22"/>
                    </w:rPr>
                  </w:pPr>
                  <w:r>
                    <w:rPr>
                      <w:color w:val="000000"/>
                      <w:kern w:val="0"/>
                      <w:sz w:val="22"/>
                      <w:szCs w:val="22"/>
                      <w:lang w:bidi="ar"/>
                    </w:rPr>
                    <w:t>800*600</w:t>
                  </w:r>
                </w:p>
              </w:tc>
              <w:tc>
                <w:tcPr>
                  <w:tcW w:w="1066" w:type="dxa"/>
                  <w:vAlign w:val="center"/>
                </w:tcPr>
                <w:p w14:paraId="01D49FE2">
                  <w:pPr>
                    <w:widowControl/>
                    <w:jc w:val="center"/>
                    <w:textAlignment w:val="bottom"/>
                    <w:rPr>
                      <w:sz w:val="22"/>
                      <w:szCs w:val="22"/>
                    </w:rPr>
                  </w:pPr>
                  <w:r>
                    <w:rPr>
                      <w:color w:val="000000"/>
                      <w:kern w:val="0"/>
                      <w:sz w:val="22"/>
                      <w:szCs w:val="22"/>
                      <w:lang w:bidi="ar"/>
                    </w:rPr>
                    <w:t>7min/1套</w:t>
                  </w:r>
                </w:p>
              </w:tc>
              <w:tc>
                <w:tcPr>
                  <w:tcW w:w="1034" w:type="dxa"/>
                  <w:vAlign w:val="center"/>
                </w:tcPr>
                <w:p w14:paraId="214BF9CB">
                  <w:pPr>
                    <w:widowControl/>
                    <w:jc w:val="center"/>
                    <w:textAlignment w:val="bottom"/>
                    <w:rPr>
                      <w:sz w:val="22"/>
                      <w:szCs w:val="22"/>
                    </w:rPr>
                  </w:pPr>
                  <w:r>
                    <w:rPr>
                      <w:rFonts w:hint="eastAsia"/>
                      <w:color w:val="000000"/>
                      <w:szCs w:val="21"/>
                    </w:rPr>
                    <w:t>H</w:t>
                  </w:r>
                  <w:r>
                    <w:rPr>
                      <w:color w:val="000000"/>
                      <w:szCs w:val="21"/>
                    </w:rPr>
                    <w:t>TV/HTP</w:t>
                  </w:r>
                </w:p>
              </w:tc>
              <w:tc>
                <w:tcPr>
                  <w:tcW w:w="1051" w:type="dxa"/>
                  <w:vAlign w:val="center"/>
                </w:tcPr>
                <w:p w14:paraId="0E54A4D3">
                  <w:pPr>
                    <w:widowControl/>
                    <w:jc w:val="center"/>
                    <w:textAlignment w:val="center"/>
                    <w:rPr>
                      <w:sz w:val="22"/>
                      <w:szCs w:val="22"/>
                    </w:rPr>
                  </w:pPr>
                  <w:r>
                    <w:rPr>
                      <w:color w:val="000000"/>
                      <w:kern w:val="0"/>
                      <w:sz w:val="22"/>
                      <w:szCs w:val="22"/>
                      <w:lang w:bidi="ar"/>
                    </w:rPr>
                    <w:t>60000</w:t>
                  </w:r>
                </w:p>
              </w:tc>
            </w:tr>
            <w:tr w14:paraId="1E10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03FA0978">
                  <w:pPr>
                    <w:jc w:val="center"/>
                    <w:rPr>
                      <w:sz w:val="22"/>
                      <w:szCs w:val="22"/>
                    </w:rPr>
                  </w:pPr>
                </w:p>
              </w:tc>
              <w:tc>
                <w:tcPr>
                  <w:tcW w:w="1300" w:type="dxa"/>
                  <w:vAlign w:val="center"/>
                </w:tcPr>
                <w:p w14:paraId="3A3D3FFB">
                  <w:pPr>
                    <w:widowControl/>
                    <w:jc w:val="center"/>
                    <w:textAlignment w:val="center"/>
                    <w:rPr>
                      <w:sz w:val="22"/>
                      <w:szCs w:val="22"/>
                    </w:rPr>
                  </w:pPr>
                  <w:r>
                    <w:rPr>
                      <w:color w:val="000000"/>
                      <w:kern w:val="0"/>
                      <w:sz w:val="22"/>
                      <w:szCs w:val="22"/>
                      <w:lang w:bidi="ar"/>
                    </w:rPr>
                    <w:t>测试</w:t>
                  </w:r>
                </w:p>
              </w:tc>
              <w:tc>
                <w:tcPr>
                  <w:tcW w:w="1397" w:type="dxa"/>
                  <w:vAlign w:val="center"/>
                </w:tcPr>
                <w:p w14:paraId="768AE1A0">
                  <w:pPr>
                    <w:widowControl/>
                    <w:jc w:val="center"/>
                    <w:textAlignment w:val="center"/>
                    <w:rPr>
                      <w:sz w:val="22"/>
                      <w:szCs w:val="22"/>
                    </w:rPr>
                  </w:pPr>
                  <w:r>
                    <w:rPr>
                      <w:color w:val="000000"/>
                      <w:kern w:val="0"/>
                      <w:sz w:val="22"/>
                      <w:szCs w:val="22"/>
                      <w:lang w:bidi="ar"/>
                    </w:rPr>
                    <w:t>测试台</w:t>
                  </w:r>
                </w:p>
              </w:tc>
              <w:tc>
                <w:tcPr>
                  <w:tcW w:w="775" w:type="dxa"/>
                  <w:vAlign w:val="center"/>
                </w:tcPr>
                <w:p w14:paraId="5F94575F">
                  <w:pPr>
                    <w:widowControl/>
                    <w:jc w:val="center"/>
                    <w:textAlignment w:val="center"/>
                    <w:rPr>
                      <w:color w:val="auto"/>
                      <w:sz w:val="22"/>
                      <w:szCs w:val="22"/>
                    </w:rPr>
                  </w:pPr>
                  <w:r>
                    <w:rPr>
                      <w:rFonts w:hint="eastAsia"/>
                      <w:color w:val="auto"/>
                      <w:kern w:val="0"/>
                      <w:sz w:val="22"/>
                      <w:szCs w:val="22"/>
                      <w:lang w:val="en-US" w:eastAsia="zh-CN" w:bidi="ar"/>
                    </w:rPr>
                    <w:t>2</w:t>
                  </w:r>
                  <w:r>
                    <w:rPr>
                      <w:rFonts w:hint="eastAsia"/>
                      <w:color w:val="auto"/>
                      <w:kern w:val="0"/>
                      <w:sz w:val="22"/>
                      <w:szCs w:val="22"/>
                      <w:lang w:bidi="ar"/>
                    </w:rPr>
                    <w:t>台</w:t>
                  </w:r>
                </w:p>
              </w:tc>
              <w:tc>
                <w:tcPr>
                  <w:tcW w:w="707" w:type="dxa"/>
                  <w:vAlign w:val="center"/>
                </w:tcPr>
                <w:p w14:paraId="3EFB7DE6">
                  <w:pPr>
                    <w:widowControl/>
                    <w:jc w:val="center"/>
                    <w:textAlignment w:val="center"/>
                    <w:rPr>
                      <w:sz w:val="22"/>
                      <w:szCs w:val="22"/>
                    </w:rPr>
                  </w:pPr>
                  <w:r>
                    <w:rPr>
                      <w:color w:val="000000"/>
                      <w:kern w:val="0"/>
                      <w:sz w:val="22"/>
                      <w:szCs w:val="22"/>
                      <w:lang w:bidi="ar"/>
                    </w:rPr>
                    <w:t>非标</w:t>
                  </w:r>
                </w:p>
              </w:tc>
              <w:tc>
                <w:tcPr>
                  <w:tcW w:w="1066" w:type="dxa"/>
                  <w:vAlign w:val="center"/>
                </w:tcPr>
                <w:p w14:paraId="3D091296">
                  <w:pPr>
                    <w:widowControl/>
                    <w:jc w:val="center"/>
                    <w:textAlignment w:val="bottom"/>
                    <w:rPr>
                      <w:sz w:val="22"/>
                      <w:szCs w:val="22"/>
                    </w:rPr>
                  </w:pPr>
                  <w:r>
                    <w:rPr>
                      <w:color w:val="000000"/>
                      <w:kern w:val="0"/>
                      <w:sz w:val="22"/>
                      <w:szCs w:val="22"/>
                      <w:lang w:bidi="ar"/>
                    </w:rPr>
                    <w:t>15min/1套</w:t>
                  </w:r>
                </w:p>
              </w:tc>
              <w:tc>
                <w:tcPr>
                  <w:tcW w:w="1034" w:type="dxa"/>
                  <w:vAlign w:val="center"/>
                </w:tcPr>
                <w:p w14:paraId="70E83710">
                  <w:pPr>
                    <w:widowControl/>
                    <w:jc w:val="center"/>
                    <w:textAlignment w:val="bottom"/>
                    <w:rPr>
                      <w:sz w:val="22"/>
                      <w:szCs w:val="22"/>
                    </w:rPr>
                  </w:pPr>
                  <w:r>
                    <w:rPr>
                      <w:color w:val="000000"/>
                      <w:kern w:val="0"/>
                      <w:sz w:val="22"/>
                      <w:szCs w:val="22"/>
                      <w:lang w:bidi="ar"/>
                    </w:rPr>
                    <w:t>/</w:t>
                  </w:r>
                </w:p>
              </w:tc>
              <w:tc>
                <w:tcPr>
                  <w:tcW w:w="1051" w:type="dxa"/>
                  <w:vAlign w:val="center"/>
                </w:tcPr>
                <w:p w14:paraId="2F4AA7BB">
                  <w:pPr>
                    <w:widowControl/>
                    <w:jc w:val="center"/>
                    <w:textAlignment w:val="center"/>
                    <w:rPr>
                      <w:sz w:val="22"/>
                      <w:szCs w:val="22"/>
                    </w:rPr>
                  </w:pPr>
                  <w:r>
                    <w:rPr>
                      <w:color w:val="000000"/>
                      <w:kern w:val="0"/>
                      <w:sz w:val="22"/>
                      <w:szCs w:val="22"/>
                      <w:lang w:bidi="ar"/>
                    </w:rPr>
                    <w:t>60000</w:t>
                  </w:r>
                </w:p>
              </w:tc>
            </w:tr>
            <w:tr w14:paraId="1516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343A25AE">
                  <w:pPr>
                    <w:jc w:val="center"/>
                    <w:rPr>
                      <w:sz w:val="22"/>
                      <w:szCs w:val="22"/>
                    </w:rPr>
                  </w:pPr>
                </w:p>
              </w:tc>
              <w:tc>
                <w:tcPr>
                  <w:tcW w:w="1300" w:type="dxa"/>
                  <w:vAlign w:val="center"/>
                </w:tcPr>
                <w:p w14:paraId="022FB769">
                  <w:pPr>
                    <w:widowControl/>
                    <w:jc w:val="center"/>
                    <w:textAlignment w:val="center"/>
                    <w:rPr>
                      <w:sz w:val="22"/>
                      <w:szCs w:val="22"/>
                    </w:rPr>
                  </w:pPr>
                  <w:r>
                    <w:rPr>
                      <w:color w:val="000000"/>
                      <w:kern w:val="0"/>
                      <w:sz w:val="22"/>
                      <w:szCs w:val="22"/>
                      <w:lang w:bidi="ar"/>
                    </w:rPr>
                    <w:t>分选</w:t>
                  </w:r>
                </w:p>
              </w:tc>
              <w:tc>
                <w:tcPr>
                  <w:tcW w:w="1397" w:type="dxa"/>
                  <w:vAlign w:val="center"/>
                </w:tcPr>
                <w:p w14:paraId="5EE09F11">
                  <w:pPr>
                    <w:widowControl/>
                    <w:jc w:val="center"/>
                    <w:textAlignment w:val="center"/>
                    <w:rPr>
                      <w:sz w:val="22"/>
                      <w:szCs w:val="22"/>
                    </w:rPr>
                  </w:pPr>
                  <w:r>
                    <w:rPr>
                      <w:color w:val="000000"/>
                      <w:kern w:val="0"/>
                      <w:sz w:val="22"/>
                      <w:szCs w:val="22"/>
                      <w:lang w:bidi="ar"/>
                    </w:rPr>
                    <w:t>分选台</w:t>
                  </w:r>
                </w:p>
              </w:tc>
              <w:tc>
                <w:tcPr>
                  <w:tcW w:w="775" w:type="dxa"/>
                  <w:vAlign w:val="center"/>
                </w:tcPr>
                <w:p w14:paraId="73EC3C32">
                  <w:pPr>
                    <w:widowControl/>
                    <w:jc w:val="center"/>
                    <w:textAlignment w:val="center"/>
                    <w:rPr>
                      <w:color w:val="auto"/>
                      <w:sz w:val="22"/>
                      <w:szCs w:val="22"/>
                    </w:rPr>
                  </w:pPr>
                  <w:r>
                    <w:rPr>
                      <w:rFonts w:hint="eastAsia"/>
                      <w:color w:val="auto"/>
                      <w:kern w:val="0"/>
                      <w:sz w:val="22"/>
                      <w:szCs w:val="22"/>
                      <w:lang w:val="en-US" w:eastAsia="zh-CN" w:bidi="ar"/>
                    </w:rPr>
                    <w:t>2</w:t>
                  </w:r>
                  <w:r>
                    <w:rPr>
                      <w:rFonts w:hint="eastAsia"/>
                      <w:color w:val="auto"/>
                      <w:kern w:val="0"/>
                      <w:sz w:val="22"/>
                      <w:szCs w:val="22"/>
                      <w:lang w:bidi="ar"/>
                    </w:rPr>
                    <w:t>台</w:t>
                  </w:r>
                </w:p>
              </w:tc>
              <w:tc>
                <w:tcPr>
                  <w:tcW w:w="707" w:type="dxa"/>
                  <w:vAlign w:val="center"/>
                </w:tcPr>
                <w:p w14:paraId="094C392E">
                  <w:pPr>
                    <w:widowControl/>
                    <w:jc w:val="center"/>
                    <w:textAlignment w:val="center"/>
                    <w:rPr>
                      <w:sz w:val="22"/>
                      <w:szCs w:val="22"/>
                    </w:rPr>
                  </w:pPr>
                  <w:r>
                    <w:rPr>
                      <w:color w:val="000000"/>
                      <w:kern w:val="0"/>
                      <w:sz w:val="22"/>
                      <w:szCs w:val="22"/>
                      <w:lang w:bidi="ar"/>
                    </w:rPr>
                    <w:t>800*600</w:t>
                  </w:r>
                </w:p>
              </w:tc>
              <w:tc>
                <w:tcPr>
                  <w:tcW w:w="1066" w:type="dxa"/>
                  <w:vAlign w:val="center"/>
                </w:tcPr>
                <w:p w14:paraId="2D27048A">
                  <w:pPr>
                    <w:widowControl/>
                    <w:jc w:val="center"/>
                    <w:textAlignment w:val="bottom"/>
                    <w:rPr>
                      <w:sz w:val="22"/>
                      <w:szCs w:val="22"/>
                    </w:rPr>
                  </w:pPr>
                  <w:r>
                    <w:rPr>
                      <w:color w:val="000000"/>
                      <w:kern w:val="0"/>
                      <w:sz w:val="22"/>
                      <w:szCs w:val="22"/>
                      <w:lang w:bidi="ar"/>
                    </w:rPr>
                    <w:t>7min/1套</w:t>
                  </w:r>
                </w:p>
              </w:tc>
              <w:tc>
                <w:tcPr>
                  <w:tcW w:w="1034" w:type="dxa"/>
                  <w:vAlign w:val="center"/>
                </w:tcPr>
                <w:p w14:paraId="12B489FF">
                  <w:pPr>
                    <w:widowControl/>
                    <w:jc w:val="center"/>
                    <w:textAlignment w:val="bottom"/>
                    <w:rPr>
                      <w:sz w:val="22"/>
                      <w:szCs w:val="22"/>
                    </w:rPr>
                  </w:pPr>
                  <w:r>
                    <w:rPr>
                      <w:color w:val="000000"/>
                      <w:kern w:val="0"/>
                      <w:sz w:val="22"/>
                      <w:szCs w:val="22"/>
                      <w:lang w:bidi="ar"/>
                    </w:rPr>
                    <w:t>/</w:t>
                  </w:r>
                </w:p>
              </w:tc>
              <w:tc>
                <w:tcPr>
                  <w:tcW w:w="1051" w:type="dxa"/>
                  <w:vAlign w:val="center"/>
                </w:tcPr>
                <w:p w14:paraId="09DB090A">
                  <w:pPr>
                    <w:widowControl/>
                    <w:jc w:val="center"/>
                    <w:textAlignment w:val="center"/>
                    <w:rPr>
                      <w:sz w:val="22"/>
                      <w:szCs w:val="22"/>
                    </w:rPr>
                  </w:pPr>
                  <w:r>
                    <w:rPr>
                      <w:color w:val="000000"/>
                      <w:kern w:val="0"/>
                      <w:sz w:val="22"/>
                      <w:szCs w:val="22"/>
                      <w:lang w:bidi="ar"/>
                    </w:rPr>
                    <w:t>60000</w:t>
                  </w:r>
                </w:p>
              </w:tc>
            </w:tr>
            <w:tr w14:paraId="6748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14:paraId="7ECD061E">
                  <w:pPr>
                    <w:jc w:val="center"/>
                    <w:rPr>
                      <w:sz w:val="22"/>
                      <w:szCs w:val="22"/>
                    </w:rPr>
                  </w:pPr>
                </w:p>
              </w:tc>
              <w:tc>
                <w:tcPr>
                  <w:tcW w:w="1300" w:type="dxa"/>
                  <w:vAlign w:val="center"/>
                </w:tcPr>
                <w:p w14:paraId="1D985898">
                  <w:pPr>
                    <w:widowControl/>
                    <w:jc w:val="center"/>
                    <w:textAlignment w:val="center"/>
                    <w:rPr>
                      <w:sz w:val="22"/>
                      <w:szCs w:val="22"/>
                    </w:rPr>
                  </w:pPr>
                  <w:r>
                    <w:rPr>
                      <w:color w:val="000000"/>
                      <w:kern w:val="0"/>
                      <w:sz w:val="22"/>
                      <w:szCs w:val="22"/>
                      <w:lang w:bidi="ar"/>
                    </w:rPr>
                    <w:t>打包</w:t>
                  </w:r>
                </w:p>
              </w:tc>
              <w:tc>
                <w:tcPr>
                  <w:tcW w:w="1397" w:type="dxa"/>
                  <w:vAlign w:val="center"/>
                </w:tcPr>
                <w:p w14:paraId="2FC01AAB">
                  <w:pPr>
                    <w:widowControl/>
                    <w:jc w:val="center"/>
                    <w:textAlignment w:val="center"/>
                    <w:rPr>
                      <w:sz w:val="22"/>
                      <w:szCs w:val="22"/>
                    </w:rPr>
                  </w:pPr>
                  <w:r>
                    <w:rPr>
                      <w:color w:val="000000"/>
                      <w:kern w:val="0"/>
                      <w:sz w:val="22"/>
                      <w:szCs w:val="22"/>
                      <w:lang w:bidi="ar"/>
                    </w:rPr>
                    <w:t>打包台</w:t>
                  </w:r>
                </w:p>
              </w:tc>
              <w:tc>
                <w:tcPr>
                  <w:tcW w:w="775" w:type="dxa"/>
                  <w:vAlign w:val="center"/>
                </w:tcPr>
                <w:p w14:paraId="7F3046AC">
                  <w:pPr>
                    <w:widowControl/>
                    <w:jc w:val="center"/>
                    <w:textAlignment w:val="center"/>
                    <w:rPr>
                      <w:color w:val="auto"/>
                      <w:sz w:val="22"/>
                      <w:szCs w:val="22"/>
                    </w:rPr>
                  </w:pPr>
                  <w:r>
                    <w:rPr>
                      <w:rFonts w:hint="eastAsia"/>
                      <w:color w:val="auto"/>
                      <w:kern w:val="0"/>
                      <w:sz w:val="22"/>
                      <w:szCs w:val="22"/>
                      <w:lang w:val="en-US" w:eastAsia="zh-CN" w:bidi="ar"/>
                    </w:rPr>
                    <w:t>2</w:t>
                  </w:r>
                  <w:r>
                    <w:rPr>
                      <w:rFonts w:hint="eastAsia"/>
                      <w:color w:val="auto"/>
                      <w:kern w:val="0"/>
                      <w:sz w:val="22"/>
                      <w:szCs w:val="22"/>
                      <w:lang w:bidi="ar"/>
                    </w:rPr>
                    <w:t>台</w:t>
                  </w:r>
                </w:p>
              </w:tc>
              <w:tc>
                <w:tcPr>
                  <w:tcW w:w="707" w:type="dxa"/>
                  <w:vAlign w:val="center"/>
                </w:tcPr>
                <w:p w14:paraId="65CBF22C">
                  <w:pPr>
                    <w:widowControl/>
                    <w:jc w:val="center"/>
                    <w:textAlignment w:val="center"/>
                    <w:rPr>
                      <w:sz w:val="22"/>
                      <w:szCs w:val="22"/>
                    </w:rPr>
                  </w:pPr>
                  <w:r>
                    <w:rPr>
                      <w:color w:val="000000"/>
                      <w:kern w:val="0"/>
                      <w:sz w:val="22"/>
                      <w:szCs w:val="22"/>
                      <w:lang w:bidi="ar"/>
                    </w:rPr>
                    <w:t>800*600</w:t>
                  </w:r>
                </w:p>
              </w:tc>
              <w:tc>
                <w:tcPr>
                  <w:tcW w:w="1066" w:type="dxa"/>
                  <w:vAlign w:val="center"/>
                </w:tcPr>
                <w:p w14:paraId="7DD4B595">
                  <w:pPr>
                    <w:widowControl/>
                    <w:jc w:val="center"/>
                    <w:textAlignment w:val="bottom"/>
                    <w:rPr>
                      <w:sz w:val="22"/>
                      <w:szCs w:val="22"/>
                    </w:rPr>
                  </w:pPr>
                  <w:r>
                    <w:rPr>
                      <w:color w:val="000000"/>
                      <w:kern w:val="0"/>
                      <w:sz w:val="22"/>
                      <w:szCs w:val="22"/>
                      <w:lang w:bidi="ar"/>
                    </w:rPr>
                    <w:t>7min/1套</w:t>
                  </w:r>
                </w:p>
              </w:tc>
              <w:tc>
                <w:tcPr>
                  <w:tcW w:w="1034" w:type="dxa"/>
                  <w:vAlign w:val="center"/>
                </w:tcPr>
                <w:p w14:paraId="7FCDE6D8">
                  <w:pPr>
                    <w:widowControl/>
                    <w:jc w:val="center"/>
                    <w:textAlignment w:val="bottom"/>
                    <w:rPr>
                      <w:sz w:val="22"/>
                      <w:szCs w:val="22"/>
                    </w:rPr>
                  </w:pPr>
                  <w:r>
                    <w:rPr>
                      <w:color w:val="000000"/>
                      <w:kern w:val="0"/>
                      <w:sz w:val="22"/>
                      <w:szCs w:val="22"/>
                      <w:lang w:bidi="ar"/>
                    </w:rPr>
                    <w:t>/</w:t>
                  </w:r>
                </w:p>
              </w:tc>
              <w:tc>
                <w:tcPr>
                  <w:tcW w:w="1051" w:type="dxa"/>
                  <w:vAlign w:val="center"/>
                </w:tcPr>
                <w:p w14:paraId="6DEA062A">
                  <w:pPr>
                    <w:widowControl/>
                    <w:jc w:val="center"/>
                    <w:textAlignment w:val="center"/>
                    <w:rPr>
                      <w:sz w:val="22"/>
                      <w:szCs w:val="22"/>
                    </w:rPr>
                  </w:pPr>
                  <w:r>
                    <w:rPr>
                      <w:color w:val="000000"/>
                      <w:kern w:val="0"/>
                      <w:sz w:val="22"/>
                      <w:szCs w:val="22"/>
                      <w:lang w:bidi="ar"/>
                    </w:rPr>
                    <w:t>60000</w:t>
                  </w:r>
                </w:p>
              </w:tc>
            </w:tr>
            <w:tr w14:paraId="2418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 w:type="dxa"/>
                  <w:vMerge w:val="restart"/>
                  <w:vAlign w:val="center"/>
                </w:tcPr>
                <w:p w14:paraId="2E60B310">
                  <w:pPr>
                    <w:jc w:val="center"/>
                    <w:rPr>
                      <w:rFonts w:hint="default" w:eastAsia="宋体"/>
                      <w:sz w:val="22"/>
                      <w:szCs w:val="22"/>
                      <w:lang w:val="en-US" w:eastAsia="zh-CN"/>
                    </w:rPr>
                  </w:pPr>
                  <w:r>
                    <w:rPr>
                      <w:rFonts w:hint="eastAsia"/>
                      <w:sz w:val="22"/>
                      <w:szCs w:val="22"/>
                      <w:lang w:val="en-US" w:eastAsia="zh-CN"/>
                    </w:rPr>
                    <w:t>电驱桥实验室</w:t>
                  </w:r>
                </w:p>
              </w:tc>
              <w:tc>
                <w:tcPr>
                  <w:tcW w:w="1300" w:type="dxa"/>
                  <w:vMerge w:val="restart"/>
                  <w:vAlign w:val="center"/>
                </w:tcPr>
                <w:p w14:paraId="1F252A88">
                  <w:pPr>
                    <w:widowControl/>
                    <w:jc w:val="center"/>
                    <w:textAlignment w:val="center"/>
                    <w:rPr>
                      <w:rFonts w:hint="default" w:eastAsia="宋体"/>
                      <w:color w:val="000000"/>
                      <w:kern w:val="0"/>
                      <w:sz w:val="22"/>
                      <w:szCs w:val="22"/>
                      <w:lang w:val="en-US" w:eastAsia="zh-CN" w:bidi="ar"/>
                    </w:rPr>
                  </w:pPr>
                  <w:r>
                    <w:rPr>
                      <w:rFonts w:hint="default" w:eastAsia="宋体"/>
                      <w:color w:val="000000"/>
                      <w:kern w:val="0"/>
                      <w:sz w:val="22"/>
                      <w:szCs w:val="22"/>
                      <w:lang w:val="en-US" w:eastAsia="zh-CN" w:bidi="ar"/>
                    </w:rPr>
                    <w:t>电驱桥系统测试</w:t>
                  </w:r>
                </w:p>
              </w:tc>
              <w:tc>
                <w:tcPr>
                  <w:tcW w:w="1397" w:type="dxa"/>
                  <w:vAlign w:val="center"/>
                </w:tcPr>
                <w:p w14:paraId="08699FA7">
                  <w:pPr>
                    <w:widowControl/>
                    <w:jc w:val="center"/>
                    <w:textAlignment w:val="center"/>
                    <w:rPr>
                      <w:rFonts w:hint="eastAsia"/>
                      <w:color w:val="000000"/>
                      <w:kern w:val="0"/>
                      <w:sz w:val="22"/>
                      <w:szCs w:val="22"/>
                      <w:lang w:val="en-US" w:eastAsia="zh-CN" w:bidi="ar"/>
                    </w:rPr>
                  </w:pPr>
                  <w:r>
                    <w:rPr>
                      <w:rFonts w:hint="eastAsia"/>
                      <w:color w:val="000000"/>
                      <w:kern w:val="0"/>
                      <w:sz w:val="22"/>
                      <w:szCs w:val="22"/>
                      <w:lang w:val="en-US" w:eastAsia="zh-CN" w:bidi="ar"/>
                    </w:rPr>
                    <w:t>电驱桥总成测试台</w:t>
                  </w:r>
                </w:p>
              </w:tc>
              <w:tc>
                <w:tcPr>
                  <w:tcW w:w="775" w:type="dxa"/>
                  <w:vAlign w:val="center"/>
                </w:tcPr>
                <w:p w14:paraId="2D0349BD">
                  <w:pPr>
                    <w:widowControl/>
                    <w:jc w:val="center"/>
                    <w:textAlignment w:val="center"/>
                    <w:rPr>
                      <w:rFonts w:hint="eastAsia"/>
                      <w:color w:val="000000"/>
                      <w:kern w:val="0"/>
                      <w:sz w:val="22"/>
                      <w:szCs w:val="22"/>
                      <w:lang w:val="en-US" w:eastAsia="zh-CN" w:bidi="ar"/>
                    </w:rPr>
                  </w:pPr>
                  <w:r>
                    <w:rPr>
                      <w:rFonts w:hint="eastAsia"/>
                      <w:color w:val="000000"/>
                      <w:kern w:val="0"/>
                      <w:sz w:val="22"/>
                      <w:szCs w:val="22"/>
                      <w:lang w:val="en-US" w:eastAsia="zh-CN" w:bidi="ar"/>
                    </w:rPr>
                    <w:t>3台</w:t>
                  </w:r>
                </w:p>
              </w:tc>
              <w:tc>
                <w:tcPr>
                  <w:tcW w:w="707" w:type="dxa"/>
                  <w:vAlign w:val="center"/>
                </w:tcPr>
                <w:p w14:paraId="402A8B37">
                  <w:pPr>
                    <w:widowControl/>
                    <w:jc w:val="center"/>
                    <w:textAlignment w:val="center"/>
                    <w:rPr>
                      <w:color w:val="000000"/>
                      <w:kern w:val="0"/>
                      <w:sz w:val="22"/>
                      <w:szCs w:val="22"/>
                      <w:lang w:bidi="ar"/>
                    </w:rPr>
                  </w:pPr>
                  <w:r>
                    <w:rPr>
                      <w:color w:val="000000"/>
                      <w:kern w:val="0"/>
                      <w:sz w:val="22"/>
                      <w:szCs w:val="22"/>
                      <w:lang w:bidi="ar"/>
                    </w:rPr>
                    <w:t>非标</w:t>
                  </w:r>
                </w:p>
              </w:tc>
              <w:tc>
                <w:tcPr>
                  <w:tcW w:w="1066" w:type="dxa"/>
                  <w:vAlign w:val="center"/>
                </w:tcPr>
                <w:p w14:paraId="1EF10D8A">
                  <w:pPr>
                    <w:widowControl/>
                    <w:jc w:val="center"/>
                    <w:textAlignment w:val="bottom"/>
                    <w:rPr>
                      <w:rFonts w:hint="default" w:eastAsia="宋体"/>
                      <w:color w:val="000000"/>
                      <w:kern w:val="0"/>
                      <w:sz w:val="22"/>
                      <w:szCs w:val="22"/>
                      <w:lang w:val="en-US" w:eastAsia="zh-CN" w:bidi="ar"/>
                    </w:rPr>
                  </w:pPr>
                  <w:r>
                    <w:rPr>
                      <w:rFonts w:hint="eastAsia"/>
                      <w:color w:val="000000"/>
                      <w:kern w:val="0"/>
                      <w:sz w:val="22"/>
                      <w:szCs w:val="22"/>
                      <w:lang w:val="en-US" w:eastAsia="zh-CN" w:bidi="ar"/>
                    </w:rPr>
                    <w:t>测试能力1套/天</w:t>
                  </w:r>
                  <w:r>
                    <w:rPr>
                      <w:rFonts w:hint="eastAsia"/>
                      <w:color w:val="000000" w:themeColor="text1"/>
                      <w:szCs w:val="21"/>
                      <w:lang w:val="en-US" w:eastAsia="zh-CN"/>
                      <w14:textFill>
                        <w14:solidFill>
                          <w14:schemeClr w14:val="tx1"/>
                        </w14:solidFill>
                      </w14:textFill>
                    </w:rPr>
                    <w:t>·</w:t>
                  </w:r>
                  <w:r>
                    <w:rPr>
                      <w:rFonts w:hint="eastAsia"/>
                      <w:color w:val="000000"/>
                      <w:kern w:val="0"/>
                      <w:sz w:val="22"/>
                      <w:szCs w:val="22"/>
                      <w:lang w:val="en-US" w:eastAsia="zh-CN" w:bidi="ar"/>
                    </w:rPr>
                    <w:t>台</w:t>
                  </w:r>
                </w:p>
              </w:tc>
              <w:tc>
                <w:tcPr>
                  <w:tcW w:w="1034" w:type="dxa"/>
                  <w:vAlign w:val="center"/>
                </w:tcPr>
                <w:p w14:paraId="6D4E6ECE">
                  <w:pPr>
                    <w:widowControl/>
                    <w:jc w:val="center"/>
                    <w:textAlignment w:val="bottom"/>
                    <w:rPr>
                      <w:rFonts w:hint="eastAsia" w:eastAsia="宋体"/>
                      <w:color w:val="000000"/>
                      <w:kern w:val="0"/>
                      <w:sz w:val="22"/>
                      <w:szCs w:val="22"/>
                      <w:lang w:val="en-US" w:eastAsia="zh-CN" w:bidi="ar"/>
                    </w:rPr>
                  </w:pPr>
                  <w:r>
                    <w:rPr>
                      <w:rFonts w:hint="eastAsia"/>
                      <w:color w:val="000000"/>
                      <w:kern w:val="0"/>
                      <w:sz w:val="22"/>
                      <w:szCs w:val="22"/>
                      <w:lang w:val="en-US" w:eastAsia="zh-CN" w:bidi="ar"/>
                    </w:rPr>
                    <w:t>电驱桥</w:t>
                  </w:r>
                </w:p>
              </w:tc>
              <w:tc>
                <w:tcPr>
                  <w:tcW w:w="1051" w:type="dxa"/>
                  <w:vAlign w:val="center"/>
                </w:tcPr>
                <w:p w14:paraId="7329FB4C">
                  <w:pPr>
                    <w:widowControl/>
                    <w:jc w:val="center"/>
                    <w:textAlignment w:val="center"/>
                    <w:rPr>
                      <w:rFonts w:hint="default" w:eastAsia="宋体"/>
                      <w:color w:val="000000"/>
                      <w:kern w:val="0"/>
                      <w:sz w:val="22"/>
                      <w:szCs w:val="22"/>
                      <w:lang w:val="en-US" w:eastAsia="zh-CN" w:bidi="ar"/>
                    </w:rPr>
                  </w:pPr>
                  <w:r>
                    <w:rPr>
                      <w:rFonts w:hint="eastAsia"/>
                      <w:color w:val="000000"/>
                      <w:kern w:val="0"/>
                      <w:sz w:val="22"/>
                      <w:szCs w:val="22"/>
                      <w:lang w:val="en-US" w:eastAsia="zh-CN" w:bidi="ar"/>
                    </w:rPr>
                    <w:t>900套/a</w:t>
                  </w:r>
                </w:p>
              </w:tc>
            </w:tr>
            <w:tr w14:paraId="684C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 w:type="dxa"/>
                  <w:vMerge w:val="continue"/>
                  <w:vAlign w:val="center"/>
                </w:tcPr>
                <w:p w14:paraId="75AC93E4">
                  <w:pPr>
                    <w:widowControl/>
                    <w:jc w:val="center"/>
                    <w:textAlignment w:val="center"/>
                  </w:pPr>
                </w:p>
              </w:tc>
              <w:tc>
                <w:tcPr>
                  <w:tcW w:w="1300" w:type="dxa"/>
                  <w:vMerge w:val="continue"/>
                  <w:vAlign w:val="center"/>
                </w:tcPr>
                <w:p w14:paraId="2F83EF30">
                  <w:pPr>
                    <w:widowControl/>
                    <w:jc w:val="center"/>
                    <w:textAlignment w:val="center"/>
                    <w:rPr>
                      <w:rFonts w:hint="eastAsia"/>
                      <w:color w:val="000000"/>
                      <w:kern w:val="0"/>
                      <w:sz w:val="22"/>
                      <w:szCs w:val="22"/>
                      <w:lang w:bidi="ar"/>
                    </w:rPr>
                  </w:pPr>
                </w:p>
              </w:tc>
              <w:tc>
                <w:tcPr>
                  <w:tcW w:w="1397" w:type="dxa"/>
                  <w:vAlign w:val="center"/>
                </w:tcPr>
                <w:p w14:paraId="61429067">
                  <w:pPr>
                    <w:widowControl/>
                    <w:jc w:val="center"/>
                    <w:textAlignment w:val="center"/>
                    <w:rPr>
                      <w:rFonts w:hint="eastAsia"/>
                      <w:color w:val="000000"/>
                      <w:kern w:val="0"/>
                      <w:sz w:val="22"/>
                      <w:szCs w:val="22"/>
                      <w:lang w:val="en-US" w:eastAsia="zh-CN" w:bidi="ar"/>
                    </w:rPr>
                  </w:pPr>
                  <w:r>
                    <w:rPr>
                      <w:rFonts w:hint="eastAsia"/>
                      <w:color w:val="000000"/>
                      <w:kern w:val="0"/>
                      <w:sz w:val="22"/>
                      <w:szCs w:val="22"/>
                      <w:lang w:val="en-US" w:eastAsia="zh-CN" w:bidi="ar"/>
                    </w:rPr>
                    <w:t>冷水机</w:t>
                  </w:r>
                </w:p>
              </w:tc>
              <w:tc>
                <w:tcPr>
                  <w:tcW w:w="775" w:type="dxa"/>
                  <w:vAlign w:val="center"/>
                </w:tcPr>
                <w:p w14:paraId="246AE2BB">
                  <w:pPr>
                    <w:widowControl/>
                    <w:jc w:val="center"/>
                    <w:textAlignment w:val="center"/>
                    <w:rPr>
                      <w:rFonts w:hint="eastAsia"/>
                      <w:color w:val="000000"/>
                      <w:kern w:val="0"/>
                      <w:sz w:val="22"/>
                      <w:szCs w:val="22"/>
                      <w:lang w:val="en-US" w:eastAsia="zh-CN" w:bidi="ar"/>
                    </w:rPr>
                  </w:pPr>
                  <w:r>
                    <w:rPr>
                      <w:rFonts w:hint="eastAsia"/>
                      <w:color w:val="000000"/>
                      <w:kern w:val="0"/>
                      <w:sz w:val="22"/>
                      <w:szCs w:val="22"/>
                      <w:lang w:val="en-US" w:eastAsia="zh-CN" w:bidi="ar"/>
                    </w:rPr>
                    <w:t>3台</w:t>
                  </w:r>
                </w:p>
              </w:tc>
              <w:tc>
                <w:tcPr>
                  <w:tcW w:w="707" w:type="dxa"/>
                  <w:vAlign w:val="center"/>
                </w:tcPr>
                <w:p w14:paraId="2F441688">
                  <w:pPr>
                    <w:widowControl/>
                    <w:jc w:val="center"/>
                    <w:textAlignment w:val="center"/>
                    <w:rPr>
                      <w:rFonts w:hint="eastAsia"/>
                      <w:color w:val="000000"/>
                      <w:kern w:val="0"/>
                      <w:sz w:val="22"/>
                      <w:szCs w:val="22"/>
                      <w:lang w:bidi="ar"/>
                    </w:rPr>
                  </w:pPr>
                  <w:r>
                    <w:rPr>
                      <w:color w:val="000000"/>
                      <w:kern w:val="0"/>
                      <w:sz w:val="22"/>
                      <w:szCs w:val="22"/>
                      <w:lang w:bidi="ar"/>
                    </w:rPr>
                    <w:t>非标</w:t>
                  </w:r>
                </w:p>
              </w:tc>
              <w:tc>
                <w:tcPr>
                  <w:tcW w:w="1066" w:type="dxa"/>
                  <w:vAlign w:val="center"/>
                </w:tcPr>
                <w:p w14:paraId="62554F6C">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w:t>
                  </w:r>
                </w:p>
              </w:tc>
              <w:tc>
                <w:tcPr>
                  <w:tcW w:w="1034" w:type="dxa"/>
                  <w:vAlign w:val="center"/>
                </w:tcPr>
                <w:p w14:paraId="700185C9">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w:t>
                  </w:r>
                </w:p>
              </w:tc>
              <w:tc>
                <w:tcPr>
                  <w:tcW w:w="1051" w:type="dxa"/>
                  <w:vAlign w:val="center"/>
                </w:tcPr>
                <w:p w14:paraId="46B5251C">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w:t>
                  </w:r>
                </w:p>
              </w:tc>
            </w:tr>
            <w:tr w14:paraId="2962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 w:type="dxa"/>
                  <w:vMerge w:val="continue"/>
                  <w:vAlign w:val="center"/>
                </w:tcPr>
                <w:p w14:paraId="058799A8">
                  <w:pPr>
                    <w:widowControl/>
                    <w:jc w:val="center"/>
                    <w:textAlignment w:val="center"/>
                    <w:rPr>
                      <w:rFonts w:hint="eastAsia"/>
                      <w:color w:val="000000"/>
                      <w:kern w:val="0"/>
                      <w:sz w:val="22"/>
                      <w:szCs w:val="22"/>
                      <w:lang w:bidi="ar"/>
                    </w:rPr>
                  </w:pPr>
                </w:p>
              </w:tc>
              <w:tc>
                <w:tcPr>
                  <w:tcW w:w="1300" w:type="dxa"/>
                  <w:vMerge w:val="continue"/>
                  <w:vAlign w:val="center"/>
                </w:tcPr>
                <w:p w14:paraId="058D571F">
                  <w:pPr>
                    <w:widowControl/>
                    <w:jc w:val="center"/>
                    <w:textAlignment w:val="center"/>
                    <w:rPr>
                      <w:rFonts w:hint="eastAsia"/>
                      <w:color w:val="000000"/>
                      <w:kern w:val="0"/>
                      <w:sz w:val="22"/>
                      <w:szCs w:val="22"/>
                      <w:lang w:bidi="ar"/>
                    </w:rPr>
                  </w:pPr>
                </w:p>
              </w:tc>
              <w:tc>
                <w:tcPr>
                  <w:tcW w:w="1397" w:type="dxa"/>
                  <w:vAlign w:val="center"/>
                </w:tcPr>
                <w:p w14:paraId="04350E5A">
                  <w:pPr>
                    <w:widowControl/>
                    <w:jc w:val="center"/>
                    <w:textAlignment w:val="center"/>
                    <w:rPr>
                      <w:rFonts w:hint="eastAsia"/>
                      <w:color w:val="000000"/>
                      <w:kern w:val="0"/>
                      <w:sz w:val="22"/>
                      <w:szCs w:val="22"/>
                      <w:lang w:val="en-US" w:eastAsia="zh-CN" w:bidi="ar"/>
                    </w:rPr>
                  </w:pPr>
                  <w:r>
                    <w:rPr>
                      <w:rFonts w:hint="eastAsia"/>
                      <w:color w:val="000000"/>
                      <w:kern w:val="0"/>
                      <w:sz w:val="22"/>
                      <w:szCs w:val="22"/>
                      <w:lang w:val="en-US" w:eastAsia="zh-CN" w:bidi="ar"/>
                    </w:rPr>
                    <w:t>环境箱</w:t>
                  </w:r>
                </w:p>
              </w:tc>
              <w:tc>
                <w:tcPr>
                  <w:tcW w:w="775" w:type="dxa"/>
                  <w:vAlign w:val="center"/>
                </w:tcPr>
                <w:p w14:paraId="5C07C94C">
                  <w:pPr>
                    <w:widowControl/>
                    <w:jc w:val="center"/>
                    <w:textAlignment w:val="center"/>
                    <w:rPr>
                      <w:rFonts w:hint="eastAsia"/>
                      <w:color w:val="000000"/>
                      <w:kern w:val="0"/>
                      <w:sz w:val="22"/>
                      <w:szCs w:val="22"/>
                      <w:lang w:val="en-US" w:eastAsia="zh-CN" w:bidi="ar"/>
                    </w:rPr>
                  </w:pPr>
                  <w:r>
                    <w:rPr>
                      <w:rFonts w:hint="eastAsia"/>
                      <w:color w:val="000000"/>
                      <w:kern w:val="0"/>
                      <w:sz w:val="22"/>
                      <w:szCs w:val="22"/>
                      <w:lang w:val="en-US" w:eastAsia="zh-CN" w:bidi="ar"/>
                    </w:rPr>
                    <w:t>1台</w:t>
                  </w:r>
                </w:p>
              </w:tc>
              <w:tc>
                <w:tcPr>
                  <w:tcW w:w="707" w:type="dxa"/>
                  <w:vAlign w:val="center"/>
                </w:tcPr>
                <w:p w14:paraId="14F03C9D">
                  <w:pPr>
                    <w:widowControl/>
                    <w:jc w:val="center"/>
                    <w:textAlignment w:val="center"/>
                    <w:rPr>
                      <w:rFonts w:hint="eastAsia"/>
                      <w:color w:val="000000"/>
                      <w:kern w:val="0"/>
                      <w:sz w:val="22"/>
                      <w:szCs w:val="22"/>
                      <w:lang w:bidi="ar"/>
                    </w:rPr>
                  </w:pPr>
                  <w:r>
                    <w:rPr>
                      <w:color w:val="000000"/>
                      <w:kern w:val="0"/>
                      <w:sz w:val="22"/>
                      <w:szCs w:val="22"/>
                      <w:lang w:bidi="ar"/>
                    </w:rPr>
                    <w:t>非标</w:t>
                  </w:r>
                </w:p>
              </w:tc>
              <w:tc>
                <w:tcPr>
                  <w:tcW w:w="1066" w:type="dxa"/>
                  <w:vAlign w:val="center"/>
                </w:tcPr>
                <w:p w14:paraId="70B0A7A0">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w:t>
                  </w:r>
                </w:p>
              </w:tc>
              <w:tc>
                <w:tcPr>
                  <w:tcW w:w="1034" w:type="dxa"/>
                  <w:vAlign w:val="center"/>
                </w:tcPr>
                <w:p w14:paraId="59F39E24">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w:t>
                  </w:r>
                </w:p>
              </w:tc>
              <w:tc>
                <w:tcPr>
                  <w:tcW w:w="1051" w:type="dxa"/>
                  <w:vAlign w:val="center"/>
                </w:tcPr>
                <w:p w14:paraId="3EADF8A9">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w:t>
                  </w:r>
                </w:p>
              </w:tc>
            </w:tr>
          </w:tbl>
          <w:p w14:paraId="4A9DE95C">
            <w:pPr>
              <w:pStyle w:val="82"/>
              <w:ind w:firstLine="522"/>
              <w:rPr>
                <w:b/>
              </w:rPr>
            </w:pPr>
            <w:r>
              <w:rPr>
                <w:b/>
              </w:rPr>
              <w:t>2.8主要原辅材料及能源消耗</w:t>
            </w:r>
          </w:p>
          <w:p w14:paraId="7490310B">
            <w:pPr>
              <w:pStyle w:val="82"/>
              <w:ind w:firstLine="522"/>
              <w:rPr>
                <w:b/>
              </w:rPr>
            </w:pPr>
            <w:r>
              <w:rPr>
                <w:b/>
              </w:rPr>
              <w:t>2.8.1原辅材料消耗情况</w:t>
            </w:r>
          </w:p>
          <w:p w14:paraId="50B57FFE">
            <w:pPr>
              <w:spacing w:line="460" w:lineRule="exact"/>
              <w:ind w:firstLine="509" w:firstLineChars="196"/>
              <w:rPr>
                <w:sz w:val="26"/>
                <w:szCs w:val="26"/>
              </w:rPr>
            </w:pPr>
            <w:r>
              <w:rPr>
                <w:sz w:val="26"/>
                <w:szCs w:val="26"/>
              </w:rPr>
              <w:t>项目主要原辅材料及其用量详见表2.8-1。</w:t>
            </w:r>
          </w:p>
          <w:p w14:paraId="17DC1A68">
            <w:pPr>
              <w:spacing w:line="460" w:lineRule="exact"/>
              <w:jc w:val="center"/>
              <w:rPr>
                <w:sz w:val="26"/>
                <w:szCs w:val="26"/>
              </w:rPr>
            </w:pPr>
            <w:r>
              <w:rPr>
                <w:sz w:val="26"/>
                <w:szCs w:val="26"/>
              </w:rPr>
              <w:t>表2.8-1</w:t>
            </w:r>
            <w:r>
              <w:rPr>
                <w:rFonts w:hint="eastAsia"/>
                <w:sz w:val="26"/>
                <w:szCs w:val="26"/>
                <w:lang w:val="en-US" w:eastAsia="zh-CN"/>
              </w:rPr>
              <w:t xml:space="preserve">  </w:t>
            </w:r>
            <w:r>
              <w:rPr>
                <w:sz w:val="26"/>
                <w:szCs w:val="26"/>
              </w:rPr>
              <w:t>工程主要原辅材料表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92"/>
              <w:gridCol w:w="1198"/>
              <w:gridCol w:w="610"/>
              <w:gridCol w:w="819"/>
              <w:gridCol w:w="854"/>
              <w:gridCol w:w="1696"/>
              <w:gridCol w:w="774"/>
              <w:gridCol w:w="1186"/>
            </w:tblGrid>
            <w:tr w14:paraId="0E45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restart"/>
                  <w:vAlign w:val="center"/>
                </w:tcPr>
                <w:p w14:paraId="52559CFD">
                  <w:pPr>
                    <w:spacing w:line="320" w:lineRule="exact"/>
                    <w:jc w:val="center"/>
                    <w:rPr>
                      <w:sz w:val="22"/>
                      <w:szCs w:val="22"/>
                    </w:rPr>
                  </w:pPr>
                  <w:r>
                    <w:rPr>
                      <w:sz w:val="22"/>
                      <w:szCs w:val="22"/>
                    </w:rPr>
                    <w:t>原料使用点</w:t>
                  </w:r>
                </w:p>
              </w:tc>
              <w:tc>
                <w:tcPr>
                  <w:tcW w:w="293" w:type="pct"/>
                  <w:vMerge w:val="restart"/>
                  <w:vAlign w:val="center"/>
                </w:tcPr>
                <w:p w14:paraId="44EEDCA7">
                  <w:pPr>
                    <w:spacing w:line="320" w:lineRule="exact"/>
                    <w:jc w:val="center"/>
                    <w:rPr>
                      <w:sz w:val="22"/>
                      <w:szCs w:val="22"/>
                    </w:rPr>
                  </w:pPr>
                  <w:r>
                    <w:rPr>
                      <w:sz w:val="22"/>
                      <w:szCs w:val="22"/>
                    </w:rPr>
                    <w:t>序号</w:t>
                  </w:r>
                </w:p>
              </w:tc>
              <w:tc>
                <w:tcPr>
                  <w:tcW w:w="714" w:type="pct"/>
                  <w:vMerge w:val="restart"/>
                  <w:vAlign w:val="center"/>
                </w:tcPr>
                <w:p w14:paraId="76157EBE">
                  <w:pPr>
                    <w:spacing w:line="320" w:lineRule="exact"/>
                    <w:jc w:val="center"/>
                    <w:rPr>
                      <w:color w:val="auto"/>
                      <w:sz w:val="22"/>
                      <w:szCs w:val="22"/>
                    </w:rPr>
                  </w:pPr>
                  <w:r>
                    <w:rPr>
                      <w:color w:val="auto"/>
                      <w:sz w:val="22"/>
                      <w:szCs w:val="22"/>
                    </w:rPr>
                    <w:t>原料名称</w:t>
                  </w:r>
                </w:p>
              </w:tc>
              <w:tc>
                <w:tcPr>
                  <w:tcW w:w="1360" w:type="pct"/>
                  <w:gridSpan w:val="3"/>
                  <w:vAlign w:val="center"/>
                </w:tcPr>
                <w:p w14:paraId="570715BB">
                  <w:pPr>
                    <w:spacing w:line="320" w:lineRule="exact"/>
                    <w:jc w:val="center"/>
                    <w:rPr>
                      <w:color w:val="auto"/>
                      <w:sz w:val="22"/>
                      <w:szCs w:val="22"/>
                    </w:rPr>
                  </w:pPr>
                  <w:r>
                    <w:rPr>
                      <w:color w:val="auto"/>
                      <w:sz w:val="22"/>
                      <w:szCs w:val="22"/>
                    </w:rPr>
                    <w:t>年用量</w:t>
                  </w:r>
                </w:p>
              </w:tc>
              <w:tc>
                <w:tcPr>
                  <w:tcW w:w="1010" w:type="pct"/>
                  <w:vMerge w:val="restart"/>
                  <w:vAlign w:val="center"/>
                </w:tcPr>
                <w:p w14:paraId="50953052">
                  <w:pPr>
                    <w:spacing w:line="320" w:lineRule="exact"/>
                    <w:jc w:val="center"/>
                    <w:rPr>
                      <w:sz w:val="22"/>
                      <w:szCs w:val="22"/>
                    </w:rPr>
                  </w:pPr>
                  <w:r>
                    <w:rPr>
                      <w:sz w:val="22"/>
                      <w:szCs w:val="22"/>
                    </w:rPr>
                    <w:t>最大暂存量及储存规格</w:t>
                  </w:r>
                </w:p>
              </w:tc>
              <w:tc>
                <w:tcPr>
                  <w:tcW w:w="461" w:type="pct"/>
                  <w:vMerge w:val="restart"/>
                  <w:vAlign w:val="center"/>
                </w:tcPr>
                <w:p w14:paraId="5F4F4BCB">
                  <w:pPr>
                    <w:spacing w:line="320" w:lineRule="exact"/>
                    <w:jc w:val="center"/>
                    <w:rPr>
                      <w:sz w:val="22"/>
                      <w:szCs w:val="22"/>
                    </w:rPr>
                  </w:pPr>
                  <w:r>
                    <w:rPr>
                      <w:rFonts w:hint="eastAsia"/>
                      <w:sz w:val="22"/>
                      <w:szCs w:val="22"/>
                    </w:rPr>
                    <w:t>储存方式</w:t>
                  </w:r>
                </w:p>
              </w:tc>
              <w:tc>
                <w:tcPr>
                  <w:tcW w:w="706" w:type="pct"/>
                  <w:vMerge w:val="restart"/>
                  <w:vAlign w:val="center"/>
                </w:tcPr>
                <w:p w14:paraId="533EE0ED">
                  <w:pPr>
                    <w:spacing w:line="320" w:lineRule="exact"/>
                    <w:jc w:val="center"/>
                    <w:rPr>
                      <w:sz w:val="22"/>
                      <w:szCs w:val="22"/>
                    </w:rPr>
                  </w:pPr>
                  <w:r>
                    <w:rPr>
                      <w:sz w:val="22"/>
                      <w:szCs w:val="22"/>
                    </w:rPr>
                    <w:t>暂存位置</w:t>
                  </w:r>
                </w:p>
              </w:tc>
            </w:tr>
            <w:tr w14:paraId="714B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2E6084D6">
                  <w:pPr>
                    <w:spacing w:line="320" w:lineRule="exact"/>
                    <w:jc w:val="center"/>
                    <w:rPr>
                      <w:sz w:val="22"/>
                      <w:szCs w:val="22"/>
                    </w:rPr>
                  </w:pPr>
                </w:p>
              </w:tc>
              <w:tc>
                <w:tcPr>
                  <w:tcW w:w="293" w:type="pct"/>
                  <w:vMerge w:val="continue"/>
                  <w:vAlign w:val="center"/>
                </w:tcPr>
                <w:p w14:paraId="5BBC0BD0">
                  <w:pPr>
                    <w:spacing w:line="320" w:lineRule="exact"/>
                    <w:jc w:val="center"/>
                    <w:rPr>
                      <w:sz w:val="22"/>
                      <w:szCs w:val="22"/>
                    </w:rPr>
                  </w:pPr>
                </w:p>
              </w:tc>
              <w:tc>
                <w:tcPr>
                  <w:tcW w:w="714" w:type="pct"/>
                  <w:vMerge w:val="continue"/>
                  <w:vAlign w:val="center"/>
                </w:tcPr>
                <w:p w14:paraId="517D36F5">
                  <w:pPr>
                    <w:spacing w:line="320" w:lineRule="exact"/>
                    <w:jc w:val="center"/>
                    <w:rPr>
                      <w:color w:val="auto"/>
                      <w:sz w:val="22"/>
                      <w:szCs w:val="22"/>
                    </w:rPr>
                  </w:pPr>
                </w:p>
              </w:tc>
              <w:tc>
                <w:tcPr>
                  <w:tcW w:w="363" w:type="pct"/>
                  <w:vAlign w:val="center"/>
                </w:tcPr>
                <w:p w14:paraId="394EDA8A">
                  <w:pPr>
                    <w:spacing w:line="320" w:lineRule="exact"/>
                    <w:jc w:val="center"/>
                    <w:rPr>
                      <w:color w:val="auto"/>
                      <w:sz w:val="22"/>
                      <w:szCs w:val="22"/>
                    </w:rPr>
                  </w:pPr>
                  <w:r>
                    <w:rPr>
                      <w:color w:val="auto"/>
                      <w:sz w:val="22"/>
                      <w:szCs w:val="22"/>
                    </w:rPr>
                    <w:t>单位</w:t>
                  </w:r>
                </w:p>
              </w:tc>
              <w:tc>
                <w:tcPr>
                  <w:tcW w:w="488" w:type="pct"/>
                  <w:vAlign w:val="center"/>
                </w:tcPr>
                <w:p w14:paraId="2A6584D5">
                  <w:pPr>
                    <w:spacing w:line="320" w:lineRule="exact"/>
                    <w:jc w:val="center"/>
                    <w:rPr>
                      <w:rFonts w:hint="default" w:eastAsia="宋体"/>
                      <w:color w:val="auto"/>
                      <w:sz w:val="22"/>
                      <w:szCs w:val="22"/>
                      <w:lang w:val="en-US" w:eastAsia="zh-CN"/>
                    </w:rPr>
                  </w:pPr>
                  <w:r>
                    <w:rPr>
                      <w:rFonts w:hint="eastAsia"/>
                      <w:color w:val="auto"/>
                      <w:sz w:val="22"/>
                      <w:szCs w:val="22"/>
                      <w:lang w:val="en-US" w:eastAsia="zh-CN"/>
                    </w:rPr>
                    <w:t>一期工程</w:t>
                  </w:r>
                </w:p>
              </w:tc>
              <w:tc>
                <w:tcPr>
                  <w:tcW w:w="509" w:type="pct"/>
                  <w:vAlign w:val="center"/>
                </w:tcPr>
                <w:p w14:paraId="7AFDB00B">
                  <w:pPr>
                    <w:spacing w:line="320" w:lineRule="exact"/>
                    <w:jc w:val="center"/>
                    <w:rPr>
                      <w:rFonts w:hint="default" w:eastAsia="宋体"/>
                      <w:color w:val="auto"/>
                      <w:sz w:val="22"/>
                      <w:szCs w:val="22"/>
                      <w:lang w:val="en-US" w:eastAsia="zh-CN"/>
                    </w:rPr>
                  </w:pPr>
                  <w:r>
                    <w:rPr>
                      <w:rFonts w:hint="eastAsia"/>
                      <w:color w:val="auto"/>
                      <w:sz w:val="22"/>
                      <w:szCs w:val="22"/>
                      <w:lang w:val="en-US" w:eastAsia="zh-CN"/>
                    </w:rPr>
                    <w:t>扩建工程</w:t>
                  </w:r>
                </w:p>
              </w:tc>
              <w:tc>
                <w:tcPr>
                  <w:tcW w:w="1010" w:type="pct"/>
                  <w:vMerge w:val="continue"/>
                  <w:vAlign w:val="center"/>
                </w:tcPr>
                <w:p w14:paraId="78AD279B">
                  <w:pPr>
                    <w:spacing w:line="320" w:lineRule="exact"/>
                    <w:jc w:val="center"/>
                    <w:rPr>
                      <w:sz w:val="22"/>
                      <w:szCs w:val="22"/>
                    </w:rPr>
                  </w:pPr>
                </w:p>
              </w:tc>
              <w:tc>
                <w:tcPr>
                  <w:tcW w:w="461" w:type="pct"/>
                  <w:vMerge w:val="continue"/>
                  <w:vAlign w:val="center"/>
                </w:tcPr>
                <w:p w14:paraId="207027CD">
                  <w:pPr>
                    <w:spacing w:line="320" w:lineRule="exact"/>
                    <w:jc w:val="center"/>
                    <w:rPr>
                      <w:sz w:val="22"/>
                      <w:szCs w:val="22"/>
                    </w:rPr>
                  </w:pPr>
                </w:p>
              </w:tc>
              <w:tc>
                <w:tcPr>
                  <w:tcW w:w="706" w:type="pct"/>
                  <w:vMerge w:val="continue"/>
                  <w:vAlign w:val="center"/>
                </w:tcPr>
                <w:p w14:paraId="1DF54FDB">
                  <w:pPr>
                    <w:spacing w:line="320" w:lineRule="exact"/>
                    <w:jc w:val="center"/>
                    <w:rPr>
                      <w:sz w:val="22"/>
                      <w:szCs w:val="22"/>
                    </w:rPr>
                  </w:pPr>
                </w:p>
              </w:tc>
            </w:tr>
            <w:tr w14:paraId="5571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9" w:hRule="atLeast"/>
                <w:jc w:val="center"/>
              </w:trPr>
              <w:tc>
                <w:tcPr>
                  <w:tcW w:w="452" w:type="pct"/>
                  <w:vMerge w:val="restart"/>
                  <w:vAlign w:val="center"/>
                </w:tcPr>
                <w:p w14:paraId="6D738BE4">
                  <w:pPr>
                    <w:spacing w:line="320" w:lineRule="exact"/>
                    <w:jc w:val="center"/>
                    <w:rPr>
                      <w:sz w:val="22"/>
                      <w:szCs w:val="22"/>
                    </w:rPr>
                  </w:pPr>
                  <w:r>
                    <w:rPr>
                      <w:rFonts w:hint="eastAsia"/>
                      <w:sz w:val="22"/>
                      <w:szCs w:val="22"/>
                    </w:rPr>
                    <w:t>电驱桥生产线</w:t>
                  </w:r>
                </w:p>
              </w:tc>
              <w:tc>
                <w:tcPr>
                  <w:tcW w:w="293" w:type="pct"/>
                  <w:vAlign w:val="center"/>
                </w:tcPr>
                <w:p w14:paraId="2F02F193">
                  <w:pPr>
                    <w:spacing w:line="320" w:lineRule="exact"/>
                    <w:jc w:val="center"/>
                    <w:rPr>
                      <w:sz w:val="22"/>
                      <w:szCs w:val="22"/>
                    </w:rPr>
                  </w:pPr>
                  <w:r>
                    <w:rPr>
                      <w:rFonts w:hint="eastAsia"/>
                      <w:sz w:val="22"/>
                      <w:szCs w:val="22"/>
                    </w:rPr>
                    <w:t>1</w:t>
                  </w:r>
                </w:p>
              </w:tc>
              <w:tc>
                <w:tcPr>
                  <w:tcW w:w="714" w:type="pct"/>
                  <w:vAlign w:val="center"/>
                </w:tcPr>
                <w:p w14:paraId="435AE72D">
                  <w:pPr>
                    <w:spacing w:line="320" w:lineRule="exact"/>
                    <w:jc w:val="center"/>
                    <w:rPr>
                      <w:color w:val="auto"/>
                      <w:sz w:val="22"/>
                      <w:szCs w:val="22"/>
                    </w:rPr>
                  </w:pPr>
                  <w:r>
                    <w:rPr>
                      <w:rFonts w:hint="eastAsia"/>
                      <w:color w:val="auto"/>
                      <w:sz w:val="22"/>
                      <w:szCs w:val="22"/>
                    </w:rPr>
                    <w:t>电机润滑油</w:t>
                  </w:r>
                </w:p>
              </w:tc>
              <w:tc>
                <w:tcPr>
                  <w:tcW w:w="363" w:type="pct"/>
                  <w:vAlign w:val="center"/>
                </w:tcPr>
                <w:p w14:paraId="7B8CB3D9">
                  <w:pPr>
                    <w:spacing w:line="320" w:lineRule="exact"/>
                    <w:jc w:val="center"/>
                    <w:rPr>
                      <w:rFonts w:hint="eastAsia"/>
                      <w:sz w:val="22"/>
                      <w:szCs w:val="22"/>
                    </w:rPr>
                  </w:pPr>
                  <w:r>
                    <w:rPr>
                      <w:rFonts w:hint="eastAsia"/>
                      <w:sz w:val="22"/>
                      <w:szCs w:val="22"/>
                    </w:rPr>
                    <w:t>t/a</w:t>
                  </w:r>
                </w:p>
              </w:tc>
              <w:tc>
                <w:tcPr>
                  <w:tcW w:w="488" w:type="pct"/>
                  <w:vAlign w:val="center"/>
                </w:tcPr>
                <w:p w14:paraId="3F8AC0B5">
                  <w:pPr>
                    <w:spacing w:line="320" w:lineRule="exact"/>
                    <w:jc w:val="center"/>
                    <w:rPr>
                      <w:rFonts w:hint="eastAsia"/>
                      <w:sz w:val="22"/>
                      <w:szCs w:val="22"/>
                    </w:rPr>
                  </w:pPr>
                  <w:r>
                    <w:rPr>
                      <w:rFonts w:hint="default"/>
                      <w:sz w:val="22"/>
                      <w:szCs w:val="22"/>
                      <w:lang w:val="en-US" w:eastAsia="zh-CN"/>
                    </w:rPr>
                    <w:t>2.5</w:t>
                  </w:r>
                </w:p>
              </w:tc>
              <w:tc>
                <w:tcPr>
                  <w:tcW w:w="509" w:type="pct"/>
                  <w:vAlign w:val="center"/>
                </w:tcPr>
                <w:p w14:paraId="6E8B4623">
                  <w:pPr>
                    <w:spacing w:line="320" w:lineRule="exact"/>
                    <w:jc w:val="center"/>
                    <w:rPr>
                      <w:rFonts w:hint="default" w:eastAsia="宋体"/>
                      <w:sz w:val="22"/>
                      <w:szCs w:val="22"/>
                      <w:lang w:val="en-US" w:eastAsia="zh-CN"/>
                    </w:rPr>
                  </w:pPr>
                  <w:r>
                    <w:rPr>
                      <w:rFonts w:hint="eastAsia"/>
                      <w:sz w:val="22"/>
                      <w:szCs w:val="22"/>
                      <w:lang w:val="en-US" w:eastAsia="zh-CN"/>
                    </w:rPr>
                    <w:t>126</w:t>
                  </w:r>
                </w:p>
              </w:tc>
              <w:tc>
                <w:tcPr>
                  <w:tcW w:w="1010" w:type="pct"/>
                  <w:vAlign w:val="center"/>
                </w:tcPr>
                <w:p w14:paraId="7DFF98EA">
                  <w:pPr>
                    <w:spacing w:line="320" w:lineRule="exact"/>
                    <w:jc w:val="center"/>
                    <w:rPr>
                      <w:sz w:val="22"/>
                      <w:szCs w:val="22"/>
                    </w:rPr>
                  </w:pPr>
                  <w:r>
                    <w:rPr>
                      <w:rFonts w:hint="eastAsia"/>
                      <w:sz w:val="22"/>
                      <w:szCs w:val="22"/>
                    </w:rPr>
                    <w:t>0.54t，20</w:t>
                  </w:r>
                  <w:r>
                    <w:rPr>
                      <w:rFonts w:hint="eastAsia"/>
                      <w:sz w:val="22"/>
                      <w:szCs w:val="22"/>
                      <w:lang w:val="en-US" w:eastAsia="zh-CN"/>
                    </w:rPr>
                    <w:t>8</w:t>
                  </w:r>
                  <w:r>
                    <w:rPr>
                      <w:rFonts w:hint="eastAsia"/>
                      <w:sz w:val="22"/>
                      <w:szCs w:val="22"/>
                    </w:rPr>
                    <w:t>L桶</w:t>
                  </w:r>
                </w:p>
              </w:tc>
              <w:tc>
                <w:tcPr>
                  <w:tcW w:w="461" w:type="pct"/>
                  <w:vAlign w:val="center"/>
                </w:tcPr>
                <w:p w14:paraId="5CA75F20">
                  <w:pPr>
                    <w:spacing w:line="320" w:lineRule="exact"/>
                    <w:jc w:val="center"/>
                    <w:rPr>
                      <w:sz w:val="22"/>
                      <w:szCs w:val="22"/>
                    </w:rPr>
                  </w:pPr>
                  <w:r>
                    <w:rPr>
                      <w:rFonts w:hint="eastAsia"/>
                      <w:sz w:val="22"/>
                      <w:szCs w:val="22"/>
                    </w:rPr>
                    <w:t>油桶</w:t>
                  </w:r>
                </w:p>
              </w:tc>
              <w:tc>
                <w:tcPr>
                  <w:tcW w:w="706" w:type="pct"/>
                  <w:vAlign w:val="center"/>
                </w:tcPr>
                <w:p w14:paraId="44F3ABDF">
                  <w:pPr>
                    <w:spacing w:line="320" w:lineRule="exact"/>
                    <w:jc w:val="center"/>
                    <w:rPr>
                      <w:sz w:val="22"/>
                      <w:szCs w:val="22"/>
                    </w:rPr>
                  </w:pPr>
                  <w:r>
                    <w:rPr>
                      <w:rFonts w:hint="eastAsia"/>
                      <w:sz w:val="22"/>
                      <w:szCs w:val="22"/>
                    </w:rPr>
                    <w:t>危化品库房</w:t>
                  </w:r>
                </w:p>
              </w:tc>
            </w:tr>
            <w:tr w14:paraId="7114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0DC0D32A">
                  <w:pPr>
                    <w:spacing w:line="320" w:lineRule="exact"/>
                    <w:jc w:val="center"/>
                    <w:rPr>
                      <w:sz w:val="22"/>
                      <w:szCs w:val="22"/>
                    </w:rPr>
                  </w:pPr>
                </w:p>
              </w:tc>
              <w:tc>
                <w:tcPr>
                  <w:tcW w:w="293" w:type="pct"/>
                  <w:vAlign w:val="center"/>
                </w:tcPr>
                <w:p w14:paraId="52041AF8">
                  <w:pPr>
                    <w:spacing w:line="320" w:lineRule="exact"/>
                    <w:jc w:val="center"/>
                    <w:rPr>
                      <w:sz w:val="22"/>
                      <w:szCs w:val="22"/>
                    </w:rPr>
                  </w:pPr>
                  <w:r>
                    <w:rPr>
                      <w:rFonts w:hint="eastAsia"/>
                      <w:sz w:val="22"/>
                      <w:szCs w:val="22"/>
                    </w:rPr>
                    <w:t>2</w:t>
                  </w:r>
                </w:p>
              </w:tc>
              <w:tc>
                <w:tcPr>
                  <w:tcW w:w="714" w:type="pct"/>
                  <w:vAlign w:val="center"/>
                </w:tcPr>
                <w:p w14:paraId="74CFC549">
                  <w:pPr>
                    <w:spacing w:line="320" w:lineRule="exact"/>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变速箱润滑油</w:t>
                  </w:r>
                </w:p>
              </w:tc>
              <w:tc>
                <w:tcPr>
                  <w:tcW w:w="363" w:type="pct"/>
                  <w:vAlign w:val="center"/>
                </w:tcPr>
                <w:p w14:paraId="75EE01CE">
                  <w:pPr>
                    <w:spacing w:line="320" w:lineRule="exact"/>
                    <w:jc w:val="center"/>
                    <w:rPr>
                      <w:rFonts w:hint="default"/>
                      <w:sz w:val="22"/>
                      <w:szCs w:val="22"/>
                      <w:lang w:val="en-US" w:eastAsia="zh-CN"/>
                    </w:rPr>
                  </w:pPr>
                  <w:r>
                    <w:rPr>
                      <w:rFonts w:hint="eastAsia"/>
                      <w:sz w:val="22"/>
                      <w:szCs w:val="22"/>
                      <w:lang w:val="en-US" w:eastAsia="zh-CN"/>
                    </w:rPr>
                    <w:t>t/a</w:t>
                  </w:r>
                </w:p>
              </w:tc>
              <w:tc>
                <w:tcPr>
                  <w:tcW w:w="488" w:type="pct"/>
                  <w:vAlign w:val="center"/>
                </w:tcPr>
                <w:p w14:paraId="72E2B85C">
                  <w:pPr>
                    <w:spacing w:line="320" w:lineRule="exact"/>
                    <w:jc w:val="center"/>
                    <w:rPr>
                      <w:rFonts w:hint="default"/>
                      <w:sz w:val="22"/>
                      <w:szCs w:val="22"/>
                      <w:lang w:val="en-US" w:eastAsia="zh-CN"/>
                    </w:rPr>
                  </w:pPr>
                  <w:r>
                    <w:rPr>
                      <w:rFonts w:hint="default"/>
                      <w:sz w:val="22"/>
                      <w:szCs w:val="22"/>
                      <w:lang w:val="en-US" w:eastAsia="zh-CN"/>
                    </w:rPr>
                    <w:t>10</w:t>
                  </w:r>
                </w:p>
              </w:tc>
              <w:tc>
                <w:tcPr>
                  <w:tcW w:w="509" w:type="pct"/>
                  <w:vAlign w:val="center"/>
                </w:tcPr>
                <w:p w14:paraId="21742E6B">
                  <w:pPr>
                    <w:spacing w:line="320" w:lineRule="exact"/>
                    <w:jc w:val="center"/>
                    <w:rPr>
                      <w:rFonts w:hint="eastAsia"/>
                      <w:sz w:val="22"/>
                      <w:szCs w:val="22"/>
                      <w:lang w:val="en-US" w:eastAsia="zh-CN"/>
                    </w:rPr>
                  </w:pPr>
                  <w:r>
                    <w:rPr>
                      <w:rFonts w:hint="eastAsia"/>
                      <w:sz w:val="22"/>
                      <w:szCs w:val="22"/>
                      <w:lang w:val="en-US" w:eastAsia="zh-CN"/>
                    </w:rPr>
                    <w:t>113.4</w:t>
                  </w:r>
                </w:p>
              </w:tc>
              <w:tc>
                <w:tcPr>
                  <w:tcW w:w="1010" w:type="pct"/>
                  <w:vAlign w:val="center"/>
                </w:tcPr>
                <w:p w14:paraId="19696419">
                  <w:pPr>
                    <w:spacing w:line="320" w:lineRule="exact"/>
                    <w:jc w:val="center"/>
                    <w:rPr>
                      <w:sz w:val="22"/>
                      <w:szCs w:val="22"/>
                    </w:rPr>
                  </w:pPr>
                  <w:r>
                    <w:rPr>
                      <w:rFonts w:hint="eastAsia"/>
                      <w:sz w:val="22"/>
                      <w:szCs w:val="22"/>
                    </w:rPr>
                    <w:t>0.54t，20</w:t>
                  </w:r>
                  <w:r>
                    <w:rPr>
                      <w:rFonts w:hint="eastAsia"/>
                      <w:sz w:val="22"/>
                      <w:szCs w:val="22"/>
                      <w:lang w:val="en-US" w:eastAsia="zh-CN"/>
                    </w:rPr>
                    <w:t>8</w:t>
                  </w:r>
                  <w:r>
                    <w:rPr>
                      <w:rFonts w:hint="eastAsia"/>
                      <w:sz w:val="22"/>
                      <w:szCs w:val="22"/>
                    </w:rPr>
                    <w:t>L桶</w:t>
                  </w:r>
                </w:p>
              </w:tc>
              <w:tc>
                <w:tcPr>
                  <w:tcW w:w="461" w:type="pct"/>
                  <w:vAlign w:val="center"/>
                </w:tcPr>
                <w:p w14:paraId="6F3F68C1">
                  <w:pPr>
                    <w:spacing w:line="320" w:lineRule="exact"/>
                    <w:jc w:val="center"/>
                    <w:rPr>
                      <w:sz w:val="22"/>
                      <w:szCs w:val="22"/>
                    </w:rPr>
                  </w:pPr>
                  <w:r>
                    <w:rPr>
                      <w:rFonts w:hint="eastAsia"/>
                      <w:sz w:val="22"/>
                      <w:szCs w:val="22"/>
                    </w:rPr>
                    <w:t>油桶</w:t>
                  </w:r>
                </w:p>
              </w:tc>
              <w:tc>
                <w:tcPr>
                  <w:tcW w:w="706" w:type="pct"/>
                  <w:vAlign w:val="center"/>
                </w:tcPr>
                <w:p w14:paraId="0ECD7DC7">
                  <w:pPr>
                    <w:spacing w:line="320" w:lineRule="exact"/>
                    <w:jc w:val="center"/>
                    <w:rPr>
                      <w:sz w:val="22"/>
                      <w:szCs w:val="22"/>
                    </w:rPr>
                  </w:pPr>
                  <w:r>
                    <w:rPr>
                      <w:rFonts w:hint="eastAsia"/>
                      <w:sz w:val="22"/>
                      <w:szCs w:val="22"/>
                    </w:rPr>
                    <w:t>危化品库房</w:t>
                  </w:r>
                </w:p>
              </w:tc>
            </w:tr>
            <w:tr w14:paraId="6B1C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49D9829A">
                  <w:pPr>
                    <w:spacing w:line="320" w:lineRule="exact"/>
                    <w:jc w:val="center"/>
                    <w:rPr>
                      <w:sz w:val="22"/>
                      <w:szCs w:val="22"/>
                    </w:rPr>
                  </w:pPr>
                </w:p>
              </w:tc>
              <w:tc>
                <w:tcPr>
                  <w:tcW w:w="293" w:type="pct"/>
                  <w:vAlign w:val="center"/>
                </w:tcPr>
                <w:p w14:paraId="2F026C3C">
                  <w:pPr>
                    <w:spacing w:line="320" w:lineRule="exact"/>
                    <w:jc w:val="center"/>
                    <w:rPr>
                      <w:sz w:val="22"/>
                      <w:szCs w:val="22"/>
                    </w:rPr>
                  </w:pPr>
                  <w:r>
                    <w:rPr>
                      <w:rFonts w:hint="eastAsia"/>
                      <w:sz w:val="22"/>
                      <w:szCs w:val="22"/>
                    </w:rPr>
                    <w:t>3</w:t>
                  </w:r>
                </w:p>
              </w:tc>
              <w:tc>
                <w:tcPr>
                  <w:tcW w:w="714" w:type="pct"/>
                  <w:vAlign w:val="center"/>
                </w:tcPr>
                <w:p w14:paraId="6FB78ABD">
                  <w:pPr>
                    <w:spacing w:line="320" w:lineRule="exact"/>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防冻液</w:t>
                  </w:r>
                </w:p>
              </w:tc>
              <w:tc>
                <w:tcPr>
                  <w:tcW w:w="363" w:type="pct"/>
                  <w:vAlign w:val="center"/>
                </w:tcPr>
                <w:p w14:paraId="584A32EE">
                  <w:pPr>
                    <w:spacing w:line="320" w:lineRule="exact"/>
                    <w:jc w:val="center"/>
                    <w:rPr>
                      <w:rFonts w:hint="default"/>
                      <w:sz w:val="22"/>
                      <w:szCs w:val="22"/>
                      <w:lang w:val="en-US" w:eastAsia="zh-CN"/>
                    </w:rPr>
                  </w:pPr>
                  <w:r>
                    <w:rPr>
                      <w:rFonts w:hint="eastAsia"/>
                      <w:sz w:val="22"/>
                      <w:szCs w:val="22"/>
                      <w:lang w:val="en-US" w:eastAsia="zh-CN"/>
                    </w:rPr>
                    <w:t>t/a</w:t>
                  </w:r>
                </w:p>
              </w:tc>
              <w:tc>
                <w:tcPr>
                  <w:tcW w:w="488" w:type="pct"/>
                  <w:vAlign w:val="center"/>
                </w:tcPr>
                <w:p w14:paraId="2089422B">
                  <w:pPr>
                    <w:spacing w:line="320" w:lineRule="exact"/>
                    <w:jc w:val="center"/>
                    <w:rPr>
                      <w:rFonts w:hint="default"/>
                      <w:sz w:val="22"/>
                      <w:szCs w:val="22"/>
                      <w:lang w:val="en-US" w:eastAsia="zh-CN"/>
                    </w:rPr>
                  </w:pPr>
                  <w:r>
                    <w:rPr>
                      <w:rFonts w:hint="eastAsia"/>
                      <w:sz w:val="22"/>
                      <w:szCs w:val="22"/>
                      <w:lang w:val="en-US" w:eastAsia="zh-CN"/>
                    </w:rPr>
                    <w:t>5.0</w:t>
                  </w:r>
                </w:p>
              </w:tc>
              <w:tc>
                <w:tcPr>
                  <w:tcW w:w="509" w:type="pct"/>
                  <w:vAlign w:val="center"/>
                </w:tcPr>
                <w:p w14:paraId="2FA59330">
                  <w:pPr>
                    <w:spacing w:line="320" w:lineRule="exact"/>
                    <w:jc w:val="center"/>
                    <w:rPr>
                      <w:rFonts w:hint="eastAsia"/>
                      <w:sz w:val="22"/>
                      <w:szCs w:val="22"/>
                      <w:lang w:val="en-US" w:eastAsia="zh-CN"/>
                    </w:rPr>
                  </w:pPr>
                  <w:r>
                    <w:rPr>
                      <w:rFonts w:hint="eastAsia"/>
                      <w:sz w:val="22"/>
                      <w:szCs w:val="22"/>
                      <w:lang w:val="en-US" w:eastAsia="zh-CN"/>
                    </w:rPr>
                    <w:t>70</w:t>
                  </w:r>
                </w:p>
              </w:tc>
              <w:tc>
                <w:tcPr>
                  <w:tcW w:w="1010" w:type="pct"/>
                  <w:vAlign w:val="center"/>
                </w:tcPr>
                <w:p w14:paraId="67F42EFC">
                  <w:pPr>
                    <w:spacing w:line="320" w:lineRule="exact"/>
                    <w:jc w:val="center"/>
                    <w:rPr>
                      <w:sz w:val="22"/>
                      <w:szCs w:val="22"/>
                    </w:rPr>
                  </w:pPr>
                  <w:r>
                    <w:rPr>
                      <w:rFonts w:hint="eastAsia"/>
                      <w:sz w:val="22"/>
                      <w:szCs w:val="22"/>
                    </w:rPr>
                    <w:t>0.6t，20</w:t>
                  </w:r>
                  <w:r>
                    <w:rPr>
                      <w:rFonts w:hint="eastAsia"/>
                      <w:sz w:val="22"/>
                      <w:szCs w:val="22"/>
                      <w:lang w:val="en-US" w:eastAsia="zh-CN"/>
                    </w:rPr>
                    <w:t>8</w:t>
                  </w:r>
                  <w:r>
                    <w:rPr>
                      <w:rFonts w:hint="eastAsia"/>
                      <w:sz w:val="22"/>
                      <w:szCs w:val="22"/>
                    </w:rPr>
                    <w:t>L桶</w:t>
                  </w:r>
                </w:p>
              </w:tc>
              <w:tc>
                <w:tcPr>
                  <w:tcW w:w="461" w:type="pct"/>
                  <w:vAlign w:val="center"/>
                </w:tcPr>
                <w:p w14:paraId="40383D61">
                  <w:pPr>
                    <w:spacing w:line="320" w:lineRule="exact"/>
                    <w:jc w:val="center"/>
                    <w:rPr>
                      <w:sz w:val="22"/>
                      <w:szCs w:val="22"/>
                    </w:rPr>
                  </w:pPr>
                  <w:r>
                    <w:rPr>
                      <w:rFonts w:hint="eastAsia"/>
                      <w:sz w:val="22"/>
                      <w:szCs w:val="22"/>
                    </w:rPr>
                    <w:t>桶装</w:t>
                  </w:r>
                </w:p>
              </w:tc>
              <w:tc>
                <w:tcPr>
                  <w:tcW w:w="706" w:type="pct"/>
                  <w:vAlign w:val="center"/>
                </w:tcPr>
                <w:p w14:paraId="24A1BDB4">
                  <w:pPr>
                    <w:spacing w:line="320" w:lineRule="exact"/>
                    <w:jc w:val="center"/>
                    <w:rPr>
                      <w:sz w:val="22"/>
                      <w:szCs w:val="22"/>
                    </w:rPr>
                  </w:pPr>
                  <w:r>
                    <w:rPr>
                      <w:rFonts w:hint="eastAsia"/>
                      <w:sz w:val="22"/>
                      <w:szCs w:val="22"/>
                    </w:rPr>
                    <w:t>危化品库房</w:t>
                  </w:r>
                </w:p>
              </w:tc>
            </w:tr>
            <w:tr w14:paraId="45E0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341B5E4F">
                  <w:pPr>
                    <w:spacing w:line="320" w:lineRule="exact"/>
                    <w:jc w:val="center"/>
                    <w:rPr>
                      <w:sz w:val="22"/>
                      <w:szCs w:val="22"/>
                    </w:rPr>
                  </w:pPr>
                </w:p>
              </w:tc>
              <w:tc>
                <w:tcPr>
                  <w:tcW w:w="293" w:type="pct"/>
                  <w:vAlign w:val="center"/>
                </w:tcPr>
                <w:p w14:paraId="1955425C">
                  <w:pPr>
                    <w:spacing w:line="320" w:lineRule="exact"/>
                    <w:jc w:val="center"/>
                    <w:rPr>
                      <w:sz w:val="22"/>
                      <w:szCs w:val="22"/>
                    </w:rPr>
                  </w:pPr>
                  <w:r>
                    <w:rPr>
                      <w:rFonts w:hint="eastAsia"/>
                      <w:sz w:val="22"/>
                      <w:szCs w:val="22"/>
                    </w:rPr>
                    <w:t>4</w:t>
                  </w:r>
                </w:p>
              </w:tc>
              <w:tc>
                <w:tcPr>
                  <w:tcW w:w="714" w:type="pct"/>
                  <w:vAlign w:val="center"/>
                </w:tcPr>
                <w:p w14:paraId="1CD42F03">
                  <w:pPr>
                    <w:spacing w:line="320" w:lineRule="exact"/>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电机等主机（密封圈、桥腿、减速箱等）</w:t>
                  </w:r>
                </w:p>
              </w:tc>
              <w:tc>
                <w:tcPr>
                  <w:tcW w:w="363" w:type="pct"/>
                  <w:vAlign w:val="center"/>
                </w:tcPr>
                <w:p w14:paraId="623197B2">
                  <w:pPr>
                    <w:spacing w:line="320" w:lineRule="exact"/>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套/a</w:t>
                  </w:r>
                </w:p>
              </w:tc>
              <w:tc>
                <w:tcPr>
                  <w:tcW w:w="488" w:type="pct"/>
                  <w:vAlign w:val="center"/>
                </w:tcPr>
                <w:p w14:paraId="044D7C79">
                  <w:pPr>
                    <w:spacing w:line="320" w:lineRule="exact"/>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10000</w:t>
                  </w:r>
                </w:p>
              </w:tc>
              <w:tc>
                <w:tcPr>
                  <w:tcW w:w="509" w:type="pct"/>
                  <w:vAlign w:val="center"/>
                </w:tcPr>
                <w:p w14:paraId="699E70EF">
                  <w:pPr>
                    <w:spacing w:line="320" w:lineRule="exact"/>
                    <w:jc w:val="center"/>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70000</w:t>
                  </w:r>
                </w:p>
              </w:tc>
              <w:tc>
                <w:tcPr>
                  <w:tcW w:w="1010" w:type="pct"/>
                  <w:vAlign w:val="center"/>
                </w:tcPr>
                <w:p w14:paraId="6EC425CF">
                  <w:pPr>
                    <w:spacing w:line="320" w:lineRule="exact"/>
                    <w:jc w:val="center"/>
                    <w:rPr>
                      <w:rFonts w:hint="default" w:eastAsia="宋体"/>
                      <w:sz w:val="22"/>
                      <w:szCs w:val="22"/>
                      <w:lang w:val="en-US" w:eastAsia="zh-CN"/>
                    </w:rPr>
                  </w:pPr>
                  <w:r>
                    <w:rPr>
                      <w:rFonts w:hint="eastAsia"/>
                      <w:sz w:val="22"/>
                      <w:szCs w:val="22"/>
                      <w:lang w:val="en-US" w:eastAsia="zh-CN"/>
                    </w:rPr>
                    <w:t>7000套</w:t>
                  </w:r>
                </w:p>
              </w:tc>
              <w:tc>
                <w:tcPr>
                  <w:tcW w:w="461" w:type="pct"/>
                  <w:vAlign w:val="center"/>
                </w:tcPr>
                <w:p w14:paraId="7E1F38DB">
                  <w:pPr>
                    <w:spacing w:line="320" w:lineRule="exact"/>
                    <w:jc w:val="center"/>
                    <w:rPr>
                      <w:sz w:val="22"/>
                      <w:szCs w:val="22"/>
                    </w:rPr>
                  </w:pPr>
                  <w:r>
                    <w:rPr>
                      <w:rFonts w:hint="eastAsia"/>
                      <w:sz w:val="22"/>
                      <w:szCs w:val="22"/>
                    </w:rPr>
                    <w:t>原包装</w:t>
                  </w:r>
                </w:p>
              </w:tc>
              <w:tc>
                <w:tcPr>
                  <w:tcW w:w="706" w:type="pct"/>
                  <w:vAlign w:val="center"/>
                </w:tcPr>
                <w:p w14:paraId="4EFF8BED">
                  <w:pPr>
                    <w:spacing w:line="320" w:lineRule="exact"/>
                    <w:jc w:val="center"/>
                    <w:rPr>
                      <w:sz w:val="22"/>
                      <w:szCs w:val="22"/>
                    </w:rPr>
                  </w:pPr>
                  <w:r>
                    <w:rPr>
                      <w:rFonts w:hint="eastAsia"/>
                      <w:sz w:val="22"/>
                      <w:szCs w:val="22"/>
                    </w:rPr>
                    <w:t>仓库</w:t>
                  </w:r>
                </w:p>
              </w:tc>
            </w:tr>
            <w:tr w14:paraId="443A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restart"/>
                  <w:vAlign w:val="center"/>
                </w:tcPr>
                <w:p w14:paraId="361836AF">
                  <w:pPr>
                    <w:spacing w:line="320" w:lineRule="exact"/>
                    <w:jc w:val="center"/>
                    <w:rPr>
                      <w:sz w:val="22"/>
                      <w:szCs w:val="22"/>
                    </w:rPr>
                  </w:pPr>
                  <w:r>
                    <w:rPr>
                      <w:rFonts w:hint="eastAsia"/>
                      <w:sz w:val="22"/>
                      <w:szCs w:val="22"/>
                    </w:rPr>
                    <w:t>氢瓶瓶口阀瓶底阀生产线</w:t>
                  </w:r>
                </w:p>
              </w:tc>
              <w:tc>
                <w:tcPr>
                  <w:tcW w:w="293" w:type="pct"/>
                  <w:vAlign w:val="center"/>
                </w:tcPr>
                <w:p w14:paraId="7C35F225">
                  <w:pPr>
                    <w:spacing w:line="320" w:lineRule="exact"/>
                    <w:jc w:val="center"/>
                    <w:rPr>
                      <w:rFonts w:hint="eastAsia" w:eastAsia="宋体"/>
                      <w:sz w:val="22"/>
                      <w:szCs w:val="22"/>
                      <w:lang w:eastAsia="zh-CN"/>
                    </w:rPr>
                  </w:pPr>
                  <w:r>
                    <w:rPr>
                      <w:rFonts w:hint="eastAsia"/>
                      <w:sz w:val="22"/>
                      <w:szCs w:val="22"/>
                      <w:lang w:val="en-US" w:eastAsia="zh-CN"/>
                    </w:rPr>
                    <w:t>5</w:t>
                  </w:r>
                </w:p>
              </w:tc>
              <w:tc>
                <w:tcPr>
                  <w:tcW w:w="714" w:type="pct"/>
                  <w:vAlign w:val="center"/>
                </w:tcPr>
                <w:p w14:paraId="0DBDD123">
                  <w:pPr>
                    <w:spacing w:line="320" w:lineRule="exact"/>
                    <w:jc w:val="center"/>
                    <w:rPr>
                      <w:rFonts w:hint="eastAsia" w:eastAsia="宋体"/>
                      <w:color w:val="auto"/>
                      <w:sz w:val="22"/>
                      <w:szCs w:val="22"/>
                      <w:lang w:eastAsia="zh-CN"/>
                    </w:rPr>
                  </w:pPr>
                  <w:r>
                    <w:rPr>
                      <w:color w:val="auto"/>
                      <w:sz w:val="22"/>
                      <w:szCs w:val="22"/>
                    </w:rPr>
                    <w:t>阀体</w:t>
                  </w:r>
                  <w:r>
                    <w:rPr>
                      <w:rFonts w:hint="eastAsia"/>
                      <w:color w:val="auto"/>
                      <w:sz w:val="22"/>
                      <w:szCs w:val="22"/>
                      <w:lang w:eastAsia="zh-CN"/>
                    </w:rPr>
                    <w:t>（手动阀、排气阀、热压力释放装置</w:t>
                  </w:r>
                  <w:r>
                    <w:rPr>
                      <w:rFonts w:hint="eastAsia"/>
                      <w:color w:val="auto"/>
                      <w:sz w:val="22"/>
                      <w:szCs w:val="22"/>
                      <w:lang w:val="en-US" w:eastAsia="zh-CN"/>
                    </w:rPr>
                    <w:t>等</w:t>
                  </w:r>
                  <w:r>
                    <w:rPr>
                      <w:rFonts w:hint="eastAsia"/>
                      <w:color w:val="auto"/>
                      <w:sz w:val="22"/>
                      <w:szCs w:val="22"/>
                      <w:lang w:eastAsia="zh-CN"/>
                    </w:rPr>
                    <w:t>）</w:t>
                  </w:r>
                </w:p>
              </w:tc>
              <w:tc>
                <w:tcPr>
                  <w:tcW w:w="363" w:type="pct"/>
                  <w:vAlign w:val="center"/>
                </w:tcPr>
                <w:p w14:paraId="6EA784E3">
                  <w:pPr>
                    <w:spacing w:line="320" w:lineRule="exact"/>
                    <w:jc w:val="center"/>
                    <w:rPr>
                      <w:rFonts w:hint="eastAsia" w:eastAsia="宋体"/>
                      <w:color w:val="auto"/>
                      <w:sz w:val="22"/>
                      <w:szCs w:val="22"/>
                      <w:lang w:eastAsia="zh-CN"/>
                    </w:rPr>
                  </w:pPr>
                  <w:r>
                    <w:rPr>
                      <w:rFonts w:hint="eastAsia"/>
                      <w:color w:val="auto"/>
                      <w:sz w:val="22"/>
                      <w:szCs w:val="22"/>
                      <w:lang w:val="en-US" w:eastAsia="zh-CN"/>
                    </w:rPr>
                    <w:t>套</w:t>
                  </w:r>
                </w:p>
              </w:tc>
              <w:tc>
                <w:tcPr>
                  <w:tcW w:w="488" w:type="pct"/>
                  <w:vAlign w:val="center"/>
                </w:tcPr>
                <w:p w14:paraId="1424B17D">
                  <w:pPr>
                    <w:spacing w:line="320" w:lineRule="exact"/>
                    <w:jc w:val="center"/>
                    <w:rPr>
                      <w:rFonts w:hint="eastAsia" w:eastAsia="宋体"/>
                      <w:color w:val="auto"/>
                      <w:sz w:val="22"/>
                      <w:szCs w:val="22"/>
                      <w:lang w:val="en-US" w:eastAsia="zh-CN"/>
                    </w:rPr>
                  </w:pPr>
                  <w:r>
                    <w:rPr>
                      <w:rFonts w:hint="eastAsia"/>
                      <w:color w:val="auto"/>
                      <w:sz w:val="22"/>
                      <w:szCs w:val="22"/>
                      <w:lang w:val="en-US" w:eastAsia="zh-CN"/>
                    </w:rPr>
                    <w:t>/</w:t>
                  </w:r>
                </w:p>
              </w:tc>
              <w:tc>
                <w:tcPr>
                  <w:tcW w:w="509" w:type="pct"/>
                  <w:vAlign w:val="center"/>
                </w:tcPr>
                <w:p w14:paraId="17E68D41">
                  <w:pPr>
                    <w:spacing w:line="320" w:lineRule="exact"/>
                    <w:jc w:val="center"/>
                    <w:rPr>
                      <w:rFonts w:hint="eastAsia" w:eastAsia="宋体"/>
                      <w:color w:val="auto"/>
                      <w:sz w:val="22"/>
                      <w:szCs w:val="22"/>
                      <w:lang w:val="en-US" w:eastAsia="zh-CN"/>
                    </w:rPr>
                  </w:pPr>
                  <w:r>
                    <w:rPr>
                      <w:color w:val="auto"/>
                      <w:sz w:val="22"/>
                      <w:szCs w:val="22"/>
                    </w:rPr>
                    <w:t>60000</w:t>
                  </w:r>
                </w:p>
              </w:tc>
              <w:tc>
                <w:tcPr>
                  <w:tcW w:w="1010" w:type="pct"/>
                  <w:vAlign w:val="center"/>
                </w:tcPr>
                <w:p w14:paraId="1176897E">
                  <w:pPr>
                    <w:spacing w:line="320" w:lineRule="exact"/>
                    <w:jc w:val="center"/>
                    <w:rPr>
                      <w:sz w:val="22"/>
                      <w:szCs w:val="22"/>
                    </w:rPr>
                  </w:pPr>
                  <w:r>
                    <w:rPr>
                      <w:sz w:val="22"/>
                      <w:szCs w:val="22"/>
                    </w:rPr>
                    <w:t>360件，密封存储</w:t>
                  </w:r>
                </w:p>
              </w:tc>
              <w:tc>
                <w:tcPr>
                  <w:tcW w:w="461" w:type="pct"/>
                  <w:vAlign w:val="center"/>
                </w:tcPr>
                <w:p w14:paraId="65E247E8">
                  <w:pPr>
                    <w:spacing w:line="320" w:lineRule="exact"/>
                    <w:jc w:val="center"/>
                    <w:rPr>
                      <w:sz w:val="22"/>
                      <w:szCs w:val="22"/>
                    </w:rPr>
                  </w:pPr>
                  <w:r>
                    <w:rPr>
                      <w:rFonts w:hint="eastAsia"/>
                      <w:sz w:val="22"/>
                      <w:szCs w:val="22"/>
                    </w:rPr>
                    <w:t>原包装</w:t>
                  </w:r>
                </w:p>
              </w:tc>
              <w:tc>
                <w:tcPr>
                  <w:tcW w:w="706" w:type="pct"/>
                  <w:vAlign w:val="center"/>
                </w:tcPr>
                <w:p w14:paraId="28EEA71D">
                  <w:pPr>
                    <w:spacing w:line="320" w:lineRule="exact"/>
                    <w:jc w:val="center"/>
                    <w:rPr>
                      <w:sz w:val="22"/>
                      <w:szCs w:val="22"/>
                    </w:rPr>
                  </w:pPr>
                  <w:r>
                    <w:rPr>
                      <w:sz w:val="22"/>
                      <w:szCs w:val="22"/>
                    </w:rPr>
                    <w:t>库房</w:t>
                  </w:r>
                </w:p>
              </w:tc>
            </w:tr>
            <w:tr w14:paraId="02DE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5DFB1BF9">
                  <w:pPr>
                    <w:spacing w:line="320" w:lineRule="exact"/>
                    <w:jc w:val="center"/>
                    <w:rPr>
                      <w:sz w:val="22"/>
                      <w:szCs w:val="22"/>
                    </w:rPr>
                  </w:pPr>
                </w:p>
              </w:tc>
              <w:tc>
                <w:tcPr>
                  <w:tcW w:w="293" w:type="pct"/>
                  <w:vAlign w:val="center"/>
                </w:tcPr>
                <w:p w14:paraId="213156DF">
                  <w:pPr>
                    <w:spacing w:line="320" w:lineRule="exact"/>
                    <w:jc w:val="center"/>
                    <w:rPr>
                      <w:rFonts w:hint="eastAsia" w:eastAsia="宋体"/>
                      <w:sz w:val="22"/>
                      <w:szCs w:val="22"/>
                      <w:lang w:eastAsia="zh-CN"/>
                    </w:rPr>
                  </w:pPr>
                  <w:r>
                    <w:rPr>
                      <w:rFonts w:hint="eastAsia"/>
                      <w:sz w:val="22"/>
                      <w:szCs w:val="22"/>
                      <w:lang w:val="en-US" w:eastAsia="zh-CN"/>
                    </w:rPr>
                    <w:t>6</w:t>
                  </w:r>
                </w:p>
              </w:tc>
              <w:tc>
                <w:tcPr>
                  <w:tcW w:w="714" w:type="pct"/>
                  <w:vAlign w:val="center"/>
                </w:tcPr>
                <w:p w14:paraId="2A1A1A18">
                  <w:pPr>
                    <w:spacing w:line="320" w:lineRule="exact"/>
                    <w:jc w:val="center"/>
                    <w:rPr>
                      <w:sz w:val="22"/>
                      <w:szCs w:val="22"/>
                    </w:rPr>
                  </w:pPr>
                  <w:r>
                    <w:rPr>
                      <w:rFonts w:hint="eastAsia"/>
                      <w:sz w:val="22"/>
                      <w:szCs w:val="22"/>
                    </w:rPr>
                    <w:t>螺纹胶</w:t>
                  </w:r>
                </w:p>
              </w:tc>
              <w:tc>
                <w:tcPr>
                  <w:tcW w:w="363" w:type="pct"/>
                  <w:vAlign w:val="center"/>
                </w:tcPr>
                <w:p w14:paraId="268258A9">
                  <w:pPr>
                    <w:spacing w:line="320" w:lineRule="exact"/>
                    <w:jc w:val="center"/>
                    <w:rPr>
                      <w:sz w:val="22"/>
                      <w:szCs w:val="22"/>
                    </w:rPr>
                  </w:pPr>
                  <w:r>
                    <w:rPr>
                      <w:rFonts w:hint="eastAsia"/>
                      <w:sz w:val="22"/>
                      <w:szCs w:val="22"/>
                    </w:rPr>
                    <w:t>t/a</w:t>
                  </w:r>
                </w:p>
              </w:tc>
              <w:tc>
                <w:tcPr>
                  <w:tcW w:w="488" w:type="pct"/>
                  <w:vAlign w:val="center"/>
                </w:tcPr>
                <w:p w14:paraId="13084218">
                  <w:pPr>
                    <w:spacing w:line="320" w:lineRule="exact"/>
                    <w:jc w:val="center"/>
                    <w:rPr>
                      <w:color w:val="auto"/>
                      <w:sz w:val="22"/>
                      <w:szCs w:val="22"/>
                    </w:rPr>
                  </w:pPr>
                  <w:r>
                    <w:rPr>
                      <w:rFonts w:hint="eastAsia"/>
                      <w:color w:val="auto"/>
                      <w:sz w:val="22"/>
                      <w:szCs w:val="22"/>
                      <w:lang w:val="en-US" w:eastAsia="zh-CN"/>
                    </w:rPr>
                    <w:t>/</w:t>
                  </w:r>
                </w:p>
              </w:tc>
              <w:tc>
                <w:tcPr>
                  <w:tcW w:w="509" w:type="pct"/>
                  <w:vAlign w:val="center"/>
                </w:tcPr>
                <w:p w14:paraId="72F410E6">
                  <w:pPr>
                    <w:spacing w:line="320" w:lineRule="exact"/>
                    <w:jc w:val="center"/>
                    <w:rPr>
                      <w:rFonts w:hint="eastAsia"/>
                      <w:sz w:val="22"/>
                      <w:szCs w:val="22"/>
                    </w:rPr>
                  </w:pPr>
                  <w:r>
                    <w:rPr>
                      <w:rFonts w:hint="eastAsia"/>
                      <w:sz w:val="22"/>
                      <w:szCs w:val="22"/>
                    </w:rPr>
                    <w:t>0.0625</w:t>
                  </w:r>
                </w:p>
              </w:tc>
              <w:tc>
                <w:tcPr>
                  <w:tcW w:w="1010" w:type="pct"/>
                  <w:vAlign w:val="center"/>
                </w:tcPr>
                <w:p w14:paraId="115F71F5">
                  <w:pPr>
                    <w:spacing w:line="320" w:lineRule="exact"/>
                    <w:jc w:val="center"/>
                    <w:rPr>
                      <w:sz w:val="22"/>
                      <w:szCs w:val="22"/>
                    </w:rPr>
                  </w:pPr>
                  <w:r>
                    <w:rPr>
                      <w:sz w:val="22"/>
                      <w:szCs w:val="22"/>
                    </w:rPr>
                    <w:t>10瓶，250g/瓶，阴凉密封存储</w:t>
                  </w:r>
                </w:p>
              </w:tc>
              <w:tc>
                <w:tcPr>
                  <w:tcW w:w="461" w:type="pct"/>
                  <w:vAlign w:val="center"/>
                </w:tcPr>
                <w:p w14:paraId="2D936D04">
                  <w:pPr>
                    <w:spacing w:line="320" w:lineRule="exact"/>
                    <w:jc w:val="center"/>
                    <w:rPr>
                      <w:sz w:val="22"/>
                      <w:szCs w:val="22"/>
                    </w:rPr>
                  </w:pPr>
                  <w:r>
                    <w:rPr>
                      <w:rFonts w:hint="eastAsia"/>
                      <w:sz w:val="22"/>
                      <w:szCs w:val="22"/>
                    </w:rPr>
                    <w:t>原包装</w:t>
                  </w:r>
                </w:p>
              </w:tc>
              <w:tc>
                <w:tcPr>
                  <w:tcW w:w="706" w:type="pct"/>
                  <w:vAlign w:val="center"/>
                </w:tcPr>
                <w:p w14:paraId="05191C89">
                  <w:pPr>
                    <w:spacing w:line="320" w:lineRule="exact"/>
                    <w:jc w:val="center"/>
                    <w:rPr>
                      <w:sz w:val="22"/>
                      <w:szCs w:val="22"/>
                    </w:rPr>
                  </w:pPr>
                  <w:r>
                    <w:rPr>
                      <w:rFonts w:hint="eastAsia"/>
                      <w:sz w:val="22"/>
                      <w:szCs w:val="22"/>
                    </w:rPr>
                    <w:t>消耗品库房</w:t>
                  </w:r>
                </w:p>
              </w:tc>
            </w:tr>
            <w:tr w14:paraId="381E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7F28AD44">
                  <w:pPr>
                    <w:spacing w:line="320" w:lineRule="exact"/>
                    <w:jc w:val="center"/>
                    <w:rPr>
                      <w:sz w:val="22"/>
                      <w:szCs w:val="22"/>
                    </w:rPr>
                  </w:pPr>
                </w:p>
              </w:tc>
              <w:tc>
                <w:tcPr>
                  <w:tcW w:w="293" w:type="pct"/>
                  <w:vAlign w:val="center"/>
                </w:tcPr>
                <w:p w14:paraId="55BB4182">
                  <w:pPr>
                    <w:spacing w:line="320" w:lineRule="exact"/>
                    <w:jc w:val="center"/>
                    <w:rPr>
                      <w:rFonts w:hint="eastAsia" w:eastAsia="宋体"/>
                      <w:sz w:val="22"/>
                      <w:szCs w:val="22"/>
                      <w:lang w:eastAsia="zh-CN"/>
                    </w:rPr>
                  </w:pPr>
                  <w:r>
                    <w:rPr>
                      <w:rFonts w:hint="eastAsia"/>
                      <w:sz w:val="22"/>
                      <w:szCs w:val="22"/>
                      <w:lang w:val="en-US" w:eastAsia="zh-CN"/>
                    </w:rPr>
                    <w:t>7</w:t>
                  </w:r>
                </w:p>
              </w:tc>
              <w:tc>
                <w:tcPr>
                  <w:tcW w:w="714" w:type="pct"/>
                  <w:vAlign w:val="center"/>
                </w:tcPr>
                <w:p w14:paraId="11A90FFB">
                  <w:pPr>
                    <w:spacing w:line="320" w:lineRule="exact"/>
                    <w:jc w:val="center"/>
                    <w:rPr>
                      <w:sz w:val="22"/>
                      <w:szCs w:val="22"/>
                    </w:rPr>
                  </w:pPr>
                  <w:r>
                    <w:rPr>
                      <w:rFonts w:hint="eastAsia"/>
                      <w:sz w:val="22"/>
                      <w:szCs w:val="22"/>
                    </w:rPr>
                    <w:t>润滑脂</w:t>
                  </w:r>
                </w:p>
              </w:tc>
              <w:tc>
                <w:tcPr>
                  <w:tcW w:w="363" w:type="pct"/>
                  <w:vAlign w:val="center"/>
                </w:tcPr>
                <w:p w14:paraId="09B5EEFE">
                  <w:pPr>
                    <w:spacing w:line="320" w:lineRule="exact"/>
                    <w:jc w:val="center"/>
                    <w:rPr>
                      <w:sz w:val="22"/>
                      <w:szCs w:val="22"/>
                    </w:rPr>
                  </w:pPr>
                  <w:r>
                    <w:rPr>
                      <w:rFonts w:hint="eastAsia"/>
                      <w:sz w:val="22"/>
                      <w:szCs w:val="22"/>
                    </w:rPr>
                    <w:t>t/a</w:t>
                  </w:r>
                </w:p>
              </w:tc>
              <w:tc>
                <w:tcPr>
                  <w:tcW w:w="488" w:type="pct"/>
                  <w:vAlign w:val="center"/>
                </w:tcPr>
                <w:p w14:paraId="2D982649">
                  <w:pPr>
                    <w:spacing w:line="320" w:lineRule="exact"/>
                    <w:jc w:val="center"/>
                    <w:rPr>
                      <w:color w:val="auto"/>
                      <w:sz w:val="22"/>
                      <w:szCs w:val="22"/>
                    </w:rPr>
                  </w:pPr>
                  <w:r>
                    <w:rPr>
                      <w:rFonts w:hint="eastAsia"/>
                      <w:color w:val="auto"/>
                      <w:sz w:val="22"/>
                      <w:szCs w:val="22"/>
                      <w:lang w:val="en-US" w:eastAsia="zh-CN"/>
                    </w:rPr>
                    <w:t>/</w:t>
                  </w:r>
                </w:p>
              </w:tc>
              <w:tc>
                <w:tcPr>
                  <w:tcW w:w="509" w:type="pct"/>
                  <w:vAlign w:val="center"/>
                </w:tcPr>
                <w:p w14:paraId="46296EE2">
                  <w:pPr>
                    <w:spacing w:line="320" w:lineRule="exact"/>
                    <w:jc w:val="center"/>
                    <w:rPr>
                      <w:rFonts w:hint="eastAsia"/>
                      <w:sz w:val="22"/>
                      <w:szCs w:val="22"/>
                    </w:rPr>
                  </w:pPr>
                  <w:r>
                    <w:rPr>
                      <w:rFonts w:hint="eastAsia"/>
                      <w:sz w:val="22"/>
                      <w:szCs w:val="22"/>
                    </w:rPr>
                    <w:t>0.0025</w:t>
                  </w:r>
                </w:p>
              </w:tc>
              <w:tc>
                <w:tcPr>
                  <w:tcW w:w="1010" w:type="pct"/>
                  <w:vAlign w:val="center"/>
                </w:tcPr>
                <w:p w14:paraId="29B66C11">
                  <w:pPr>
                    <w:spacing w:line="320" w:lineRule="exact"/>
                    <w:jc w:val="center"/>
                    <w:rPr>
                      <w:sz w:val="22"/>
                      <w:szCs w:val="22"/>
                    </w:rPr>
                  </w:pPr>
                  <w:r>
                    <w:rPr>
                      <w:sz w:val="22"/>
                      <w:szCs w:val="22"/>
                    </w:rPr>
                    <w:t>3罐，500g/罐，阴凉密封存储</w:t>
                  </w:r>
                </w:p>
              </w:tc>
              <w:tc>
                <w:tcPr>
                  <w:tcW w:w="461" w:type="pct"/>
                  <w:vAlign w:val="center"/>
                </w:tcPr>
                <w:p w14:paraId="44D8D823">
                  <w:pPr>
                    <w:spacing w:line="320" w:lineRule="exact"/>
                    <w:jc w:val="center"/>
                    <w:rPr>
                      <w:sz w:val="22"/>
                      <w:szCs w:val="22"/>
                    </w:rPr>
                  </w:pPr>
                  <w:r>
                    <w:rPr>
                      <w:rFonts w:hint="eastAsia"/>
                      <w:sz w:val="22"/>
                      <w:szCs w:val="22"/>
                    </w:rPr>
                    <w:t>原包装</w:t>
                  </w:r>
                </w:p>
              </w:tc>
              <w:tc>
                <w:tcPr>
                  <w:tcW w:w="706" w:type="pct"/>
                  <w:vAlign w:val="center"/>
                </w:tcPr>
                <w:p w14:paraId="7E5DABA8">
                  <w:pPr>
                    <w:spacing w:line="320" w:lineRule="exact"/>
                    <w:jc w:val="center"/>
                    <w:rPr>
                      <w:sz w:val="22"/>
                      <w:szCs w:val="22"/>
                    </w:rPr>
                  </w:pPr>
                  <w:r>
                    <w:rPr>
                      <w:rFonts w:hint="eastAsia"/>
                      <w:sz w:val="22"/>
                      <w:szCs w:val="22"/>
                    </w:rPr>
                    <w:t>消耗品库房</w:t>
                  </w:r>
                </w:p>
              </w:tc>
            </w:tr>
            <w:tr w14:paraId="1C9D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0EA4EC77">
                  <w:pPr>
                    <w:spacing w:line="320" w:lineRule="exact"/>
                    <w:jc w:val="center"/>
                    <w:rPr>
                      <w:sz w:val="22"/>
                      <w:szCs w:val="22"/>
                    </w:rPr>
                  </w:pPr>
                </w:p>
              </w:tc>
              <w:tc>
                <w:tcPr>
                  <w:tcW w:w="293" w:type="pct"/>
                  <w:vAlign w:val="center"/>
                </w:tcPr>
                <w:p w14:paraId="6633B7B8">
                  <w:pPr>
                    <w:spacing w:line="320" w:lineRule="exact"/>
                    <w:jc w:val="center"/>
                    <w:rPr>
                      <w:rFonts w:hint="eastAsia" w:eastAsia="宋体"/>
                      <w:sz w:val="22"/>
                      <w:szCs w:val="22"/>
                      <w:lang w:eastAsia="zh-CN"/>
                    </w:rPr>
                  </w:pPr>
                  <w:r>
                    <w:rPr>
                      <w:rFonts w:hint="eastAsia"/>
                      <w:sz w:val="22"/>
                      <w:szCs w:val="22"/>
                      <w:lang w:val="en-US" w:eastAsia="zh-CN"/>
                    </w:rPr>
                    <w:t>8</w:t>
                  </w:r>
                </w:p>
              </w:tc>
              <w:tc>
                <w:tcPr>
                  <w:tcW w:w="714" w:type="pct"/>
                  <w:vAlign w:val="center"/>
                </w:tcPr>
                <w:p w14:paraId="04B1D77E">
                  <w:pPr>
                    <w:spacing w:line="320" w:lineRule="exact"/>
                    <w:jc w:val="center"/>
                    <w:rPr>
                      <w:sz w:val="22"/>
                      <w:szCs w:val="22"/>
                    </w:rPr>
                  </w:pPr>
                  <w:r>
                    <w:rPr>
                      <w:sz w:val="22"/>
                      <w:szCs w:val="22"/>
                    </w:rPr>
                    <w:t>氮气</w:t>
                  </w:r>
                </w:p>
              </w:tc>
              <w:tc>
                <w:tcPr>
                  <w:tcW w:w="363" w:type="pct"/>
                  <w:vAlign w:val="center"/>
                </w:tcPr>
                <w:p w14:paraId="066F41FE">
                  <w:pPr>
                    <w:spacing w:line="320" w:lineRule="exact"/>
                    <w:jc w:val="center"/>
                    <w:rPr>
                      <w:sz w:val="22"/>
                      <w:szCs w:val="22"/>
                    </w:rPr>
                  </w:pPr>
                  <w:r>
                    <w:rPr>
                      <w:rFonts w:hint="eastAsia"/>
                      <w:sz w:val="22"/>
                      <w:szCs w:val="22"/>
                    </w:rPr>
                    <w:t>瓶/a</w:t>
                  </w:r>
                </w:p>
              </w:tc>
              <w:tc>
                <w:tcPr>
                  <w:tcW w:w="488" w:type="pct"/>
                  <w:vAlign w:val="center"/>
                </w:tcPr>
                <w:p w14:paraId="1EF7AAB8">
                  <w:pPr>
                    <w:spacing w:line="320" w:lineRule="exact"/>
                    <w:jc w:val="center"/>
                    <w:rPr>
                      <w:color w:val="auto"/>
                      <w:sz w:val="22"/>
                      <w:szCs w:val="22"/>
                    </w:rPr>
                  </w:pPr>
                  <w:r>
                    <w:rPr>
                      <w:rFonts w:hint="eastAsia"/>
                      <w:color w:val="auto"/>
                      <w:sz w:val="22"/>
                      <w:szCs w:val="22"/>
                      <w:lang w:val="en-US" w:eastAsia="zh-CN"/>
                    </w:rPr>
                    <w:t>/</w:t>
                  </w:r>
                </w:p>
              </w:tc>
              <w:tc>
                <w:tcPr>
                  <w:tcW w:w="509" w:type="pct"/>
                  <w:vAlign w:val="center"/>
                </w:tcPr>
                <w:p w14:paraId="694847BE">
                  <w:pPr>
                    <w:spacing w:line="320" w:lineRule="exact"/>
                    <w:jc w:val="center"/>
                    <w:rPr>
                      <w:sz w:val="22"/>
                      <w:szCs w:val="22"/>
                    </w:rPr>
                  </w:pPr>
                  <w:r>
                    <w:rPr>
                      <w:sz w:val="22"/>
                      <w:szCs w:val="22"/>
                    </w:rPr>
                    <w:t>500</w:t>
                  </w:r>
                </w:p>
              </w:tc>
              <w:tc>
                <w:tcPr>
                  <w:tcW w:w="1010" w:type="pct"/>
                  <w:vAlign w:val="center"/>
                </w:tcPr>
                <w:p w14:paraId="3F442992">
                  <w:pPr>
                    <w:spacing w:line="320" w:lineRule="exact"/>
                    <w:jc w:val="center"/>
                    <w:rPr>
                      <w:sz w:val="22"/>
                      <w:szCs w:val="22"/>
                    </w:rPr>
                  </w:pPr>
                  <w:r>
                    <w:rPr>
                      <w:sz w:val="22"/>
                      <w:szCs w:val="22"/>
                    </w:rPr>
                    <w:t>24瓶，40L/瓶</w:t>
                  </w:r>
                </w:p>
              </w:tc>
              <w:tc>
                <w:tcPr>
                  <w:tcW w:w="461" w:type="pct"/>
                  <w:vAlign w:val="center"/>
                </w:tcPr>
                <w:p w14:paraId="1BC8ED7F">
                  <w:pPr>
                    <w:spacing w:line="320" w:lineRule="exact"/>
                    <w:jc w:val="center"/>
                    <w:rPr>
                      <w:sz w:val="22"/>
                      <w:szCs w:val="22"/>
                    </w:rPr>
                  </w:pPr>
                  <w:r>
                    <w:rPr>
                      <w:rFonts w:hint="eastAsia"/>
                      <w:sz w:val="22"/>
                      <w:szCs w:val="22"/>
                    </w:rPr>
                    <w:t>瓶装</w:t>
                  </w:r>
                </w:p>
              </w:tc>
              <w:tc>
                <w:tcPr>
                  <w:tcW w:w="706" w:type="pct"/>
                  <w:vAlign w:val="center"/>
                </w:tcPr>
                <w:p w14:paraId="2A86678D">
                  <w:pPr>
                    <w:spacing w:line="320" w:lineRule="exact"/>
                    <w:jc w:val="center"/>
                    <w:rPr>
                      <w:sz w:val="22"/>
                      <w:szCs w:val="22"/>
                    </w:rPr>
                  </w:pPr>
                  <w:r>
                    <w:rPr>
                      <w:sz w:val="22"/>
                      <w:szCs w:val="22"/>
                    </w:rPr>
                    <w:t>库房</w:t>
                  </w:r>
                </w:p>
              </w:tc>
            </w:tr>
            <w:tr w14:paraId="6205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4B526BB5">
                  <w:pPr>
                    <w:spacing w:line="320" w:lineRule="exact"/>
                    <w:jc w:val="center"/>
                    <w:rPr>
                      <w:sz w:val="22"/>
                      <w:szCs w:val="22"/>
                    </w:rPr>
                  </w:pPr>
                </w:p>
              </w:tc>
              <w:tc>
                <w:tcPr>
                  <w:tcW w:w="293" w:type="pct"/>
                  <w:vAlign w:val="center"/>
                </w:tcPr>
                <w:p w14:paraId="48D0FBBE">
                  <w:pPr>
                    <w:spacing w:line="320" w:lineRule="exact"/>
                    <w:jc w:val="center"/>
                    <w:rPr>
                      <w:rFonts w:hint="eastAsia" w:eastAsia="宋体"/>
                      <w:sz w:val="22"/>
                      <w:szCs w:val="22"/>
                      <w:lang w:eastAsia="zh-CN"/>
                    </w:rPr>
                  </w:pPr>
                  <w:r>
                    <w:rPr>
                      <w:rFonts w:hint="eastAsia"/>
                      <w:sz w:val="22"/>
                      <w:szCs w:val="22"/>
                      <w:lang w:val="en-US" w:eastAsia="zh-CN"/>
                    </w:rPr>
                    <w:t>9</w:t>
                  </w:r>
                </w:p>
              </w:tc>
              <w:tc>
                <w:tcPr>
                  <w:tcW w:w="714" w:type="pct"/>
                  <w:vAlign w:val="center"/>
                </w:tcPr>
                <w:p w14:paraId="7961A7A4">
                  <w:pPr>
                    <w:spacing w:line="320" w:lineRule="exact"/>
                    <w:jc w:val="center"/>
                    <w:rPr>
                      <w:sz w:val="22"/>
                      <w:szCs w:val="22"/>
                    </w:rPr>
                  </w:pPr>
                  <w:r>
                    <w:rPr>
                      <w:sz w:val="22"/>
                      <w:szCs w:val="22"/>
                    </w:rPr>
                    <w:t>氦气</w:t>
                  </w:r>
                </w:p>
              </w:tc>
              <w:tc>
                <w:tcPr>
                  <w:tcW w:w="363" w:type="pct"/>
                  <w:vAlign w:val="center"/>
                </w:tcPr>
                <w:p w14:paraId="5CAEA7D9">
                  <w:pPr>
                    <w:spacing w:line="320" w:lineRule="exact"/>
                    <w:jc w:val="center"/>
                    <w:rPr>
                      <w:sz w:val="22"/>
                      <w:szCs w:val="22"/>
                    </w:rPr>
                  </w:pPr>
                  <w:r>
                    <w:rPr>
                      <w:rFonts w:hint="eastAsia"/>
                      <w:sz w:val="22"/>
                      <w:szCs w:val="22"/>
                    </w:rPr>
                    <w:t>瓶/a</w:t>
                  </w:r>
                </w:p>
              </w:tc>
              <w:tc>
                <w:tcPr>
                  <w:tcW w:w="488" w:type="pct"/>
                  <w:vAlign w:val="center"/>
                </w:tcPr>
                <w:p w14:paraId="4D560FF1">
                  <w:pPr>
                    <w:spacing w:line="320" w:lineRule="exact"/>
                    <w:jc w:val="center"/>
                    <w:rPr>
                      <w:color w:val="auto"/>
                      <w:sz w:val="22"/>
                      <w:szCs w:val="22"/>
                    </w:rPr>
                  </w:pPr>
                  <w:r>
                    <w:rPr>
                      <w:rFonts w:hint="eastAsia"/>
                      <w:color w:val="auto"/>
                      <w:sz w:val="22"/>
                      <w:szCs w:val="22"/>
                      <w:lang w:val="en-US" w:eastAsia="zh-CN"/>
                    </w:rPr>
                    <w:t>/</w:t>
                  </w:r>
                </w:p>
              </w:tc>
              <w:tc>
                <w:tcPr>
                  <w:tcW w:w="509" w:type="pct"/>
                  <w:vAlign w:val="center"/>
                </w:tcPr>
                <w:p w14:paraId="3C8D356C">
                  <w:pPr>
                    <w:spacing w:line="320" w:lineRule="exact"/>
                    <w:jc w:val="center"/>
                    <w:rPr>
                      <w:sz w:val="22"/>
                      <w:szCs w:val="22"/>
                    </w:rPr>
                  </w:pPr>
                  <w:r>
                    <w:rPr>
                      <w:sz w:val="22"/>
                      <w:szCs w:val="22"/>
                    </w:rPr>
                    <w:t>20000</w:t>
                  </w:r>
                </w:p>
              </w:tc>
              <w:tc>
                <w:tcPr>
                  <w:tcW w:w="1010" w:type="pct"/>
                  <w:vAlign w:val="center"/>
                </w:tcPr>
                <w:p w14:paraId="22DFBAA9">
                  <w:pPr>
                    <w:spacing w:line="320" w:lineRule="exact"/>
                    <w:jc w:val="center"/>
                    <w:rPr>
                      <w:sz w:val="22"/>
                      <w:szCs w:val="22"/>
                    </w:rPr>
                  </w:pPr>
                  <w:r>
                    <w:rPr>
                      <w:sz w:val="22"/>
                      <w:szCs w:val="22"/>
                    </w:rPr>
                    <w:t>24瓶，40L/瓶</w:t>
                  </w:r>
                </w:p>
              </w:tc>
              <w:tc>
                <w:tcPr>
                  <w:tcW w:w="461" w:type="pct"/>
                  <w:vAlign w:val="center"/>
                </w:tcPr>
                <w:p w14:paraId="2FD86A08">
                  <w:pPr>
                    <w:spacing w:line="320" w:lineRule="exact"/>
                    <w:jc w:val="center"/>
                    <w:rPr>
                      <w:sz w:val="22"/>
                      <w:szCs w:val="22"/>
                    </w:rPr>
                  </w:pPr>
                  <w:r>
                    <w:rPr>
                      <w:rFonts w:hint="eastAsia"/>
                      <w:sz w:val="22"/>
                      <w:szCs w:val="22"/>
                    </w:rPr>
                    <w:t>瓶装</w:t>
                  </w:r>
                </w:p>
              </w:tc>
              <w:tc>
                <w:tcPr>
                  <w:tcW w:w="706" w:type="pct"/>
                  <w:vAlign w:val="center"/>
                </w:tcPr>
                <w:p w14:paraId="150584B5">
                  <w:pPr>
                    <w:spacing w:line="320" w:lineRule="exact"/>
                    <w:jc w:val="center"/>
                    <w:rPr>
                      <w:sz w:val="22"/>
                      <w:szCs w:val="22"/>
                    </w:rPr>
                  </w:pPr>
                  <w:r>
                    <w:rPr>
                      <w:sz w:val="22"/>
                      <w:szCs w:val="22"/>
                    </w:rPr>
                    <w:t>库房</w:t>
                  </w:r>
                </w:p>
              </w:tc>
            </w:tr>
            <w:tr w14:paraId="1F9A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restart"/>
                  <w:vAlign w:val="center"/>
                </w:tcPr>
                <w:p w14:paraId="6338FA00">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电驱桥实验室</w:t>
                  </w:r>
                </w:p>
              </w:tc>
              <w:tc>
                <w:tcPr>
                  <w:tcW w:w="293" w:type="pct"/>
                  <w:vAlign w:val="center"/>
                </w:tcPr>
                <w:p w14:paraId="2C417051">
                  <w:pPr>
                    <w:spacing w:line="320" w:lineRule="exact"/>
                    <w:jc w:val="center"/>
                    <w:rPr>
                      <w:rFonts w:hint="default" w:ascii="Times New Roman" w:hAnsi="Times New Roman" w:eastAsia="宋体" w:cs="Times New Roman"/>
                      <w:sz w:val="22"/>
                      <w:szCs w:val="22"/>
                      <w:lang w:val="en-US"/>
                    </w:rPr>
                  </w:pPr>
                  <w:r>
                    <w:rPr>
                      <w:rFonts w:hint="eastAsia" w:cs="Times New Roman"/>
                      <w:sz w:val="22"/>
                      <w:szCs w:val="22"/>
                      <w:lang w:val="en-US" w:eastAsia="zh-CN"/>
                    </w:rPr>
                    <w:t>10</w:t>
                  </w:r>
                </w:p>
              </w:tc>
              <w:tc>
                <w:tcPr>
                  <w:tcW w:w="714" w:type="pct"/>
                  <w:vAlign w:val="center"/>
                </w:tcPr>
                <w:p w14:paraId="1EEB62AD">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电机润滑油</w:t>
                  </w:r>
                </w:p>
              </w:tc>
              <w:tc>
                <w:tcPr>
                  <w:tcW w:w="363" w:type="pct"/>
                  <w:vAlign w:val="center"/>
                </w:tcPr>
                <w:p w14:paraId="60CEA063">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t/a</w:t>
                  </w:r>
                </w:p>
              </w:tc>
              <w:tc>
                <w:tcPr>
                  <w:tcW w:w="488" w:type="pct"/>
                  <w:vAlign w:val="center"/>
                </w:tcPr>
                <w:p w14:paraId="5C390C65">
                  <w:pPr>
                    <w:spacing w:line="320" w:lineRule="exact"/>
                    <w:jc w:val="center"/>
                    <w:rPr>
                      <w:rFonts w:hint="eastAsia" w:ascii="Times New Roman" w:hAnsi="Times New Roman" w:eastAsia="宋体" w:cs="Times New Roman"/>
                      <w:color w:val="auto"/>
                      <w:sz w:val="22"/>
                      <w:szCs w:val="22"/>
                    </w:rPr>
                  </w:pPr>
                  <w:r>
                    <w:rPr>
                      <w:rFonts w:hint="eastAsia"/>
                      <w:color w:val="auto"/>
                      <w:sz w:val="22"/>
                      <w:szCs w:val="22"/>
                      <w:lang w:val="en-US" w:eastAsia="zh-CN"/>
                    </w:rPr>
                    <w:t>/</w:t>
                  </w:r>
                </w:p>
              </w:tc>
              <w:tc>
                <w:tcPr>
                  <w:tcW w:w="509" w:type="pct"/>
                  <w:vAlign w:val="center"/>
                </w:tcPr>
                <w:p w14:paraId="45914178">
                  <w:pPr>
                    <w:spacing w:line="320" w:lineRule="exact"/>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0.51</w:t>
                  </w:r>
                </w:p>
              </w:tc>
              <w:tc>
                <w:tcPr>
                  <w:tcW w:w="1010" w:type="pct"/>
                  <w:vAlign w:val="center"/>
                </w:tcPr>
                <w:p w14:paraId="7323A13C">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0.67t，200L桶</w:t>
                  </w:r>
                </w:p>
              </w:tc>
              <w:tc>
                <w:tcPr>
                  <w:tcW w:w="461" w:type="pct"/>
                  <w:vAlign w:val="center"/>
                </w:tcPr>
                <w:p w14:paraId="0E6109F2">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油桶</w:t>
                  </w:r>
                </w:p>
              </w:tc>
              <w:tc>
                <w:tcPr>
                  <w:tcW w:w="706" w:type="pct"/>
                  <w:vAlign w:val="center"/>
                </w:tcPr>
                <w:p w14:paraId="549C0F7A">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危化品库房</w:t>
                  </w:r>
                </w:p>
              </w:tc>
            </w:tr>
            <w:tr w14:paraId="34D7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2417C710">
                  <w:pPr>
                    <w:spacing w:line="320" w:lineRule="exact"/>
                    <w:jc w:val="center"/>
                    <w:rPr>
                      <w:rFonts w:hint="eastAsia" w:ascii="Times New Roman" w:hAnsi="Times New Roman" w:eastAsia="宋体" w:cs="Times New Roman"/>
                      <w:sz w:val="22"/>
                      <w:szCs w:val="22"/>
                    </w:rPr>
                  </w:pPr>
                </w:p>
              </w:tc>
              <w:tc>
                <w:tcPr>
                  <w:tcW w:w="293" w:type="pct"/>
                  <w:vAlign w:val="center"/>
                </w:tcPr>
                <w:p w14:paraId="33DFBBA5">
                  <w:pPr>
                    <w:spacing w:line="320" w:lineRule="exact"/>
                    <w:jc w:val="center"/>
                    <w:rPr>
                      <w:rFonts w:hint="default" w:ascii="Times New Roman" w:hAnsi="Times New Roman" w:eastAsia="宋体" w:cs="Times New Roman"/>
                      <w:sz w:val="22"/>
                      <w:szCs w:val="22"/>
                      <w:lang w:val="en-US"/>
                    </w:rPr>
                  </w:pPr>
                  <w:r>
                    <w:rPr>
                      <w:rFonts w:hint="eastAsia" w:cs="Times New Roman"/>
                      <w:sz w:val="22"/>
                      <w:szCs w:val="22"/>
                      <w:lang w:val="en-US" w:eastAsia="zh-CN"/>
                    </w:rPr>
                    <w:t>11</w:t>
                  </w:r>
                </w:p>
              </w:tc>
              <w:tc>
                <w:tcPr>
                  <w:tcW w:w="714" w:type="pct"/>
                  <w:vAlign w:val="center"/>
                </w:tcPr>
                <w:p w14:paraId="386052FA">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变速箱润滑油</w:t>
                  </w:r>
                </w:p>
              </w:tc>
              <w:tc>
                <w:tcPr>
                  <w:tcW w:w="363" w:type="pct"/>
                  <w:vAlign w:val="center"/>
                </w:tcPr>
                <w:p w14:paraId="4ABB6DF7">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t/a</w:t>
                  </w:r>
                </w:p>
              </w:tc>
              <w:tc>
                <w:tcPr>
                  <w:tcW w:w="488" w:type="pct"/>
                  <w:vAlign w:val="center"/>
                </w:tcPr>
                <w:p w14:paraId="7A0D4AE0">
                  <w:pPr>
                    <w:spacing w:line="320" w:lineRule="exact"/>
                    <w:jc w:val="center"/>
                    <w:rPr>
                      <w:rFonts w:hint="eastAsia" w:ascii="Times New Roman" w:hAnsi="Times New Roman" w:eastAsia="宋体" w:cs="Times New Roman"/>
                      <w:color w:val="auto"/>
                      <w:sz w:val="22"/>
                      <w:szCs w:val="22"/>
                    </w:rPr>
                  </w:pPr>
                  <w:r>
                    <w:rPr>
                      <w:rFonts w:hint="eastAsia"/>
                      <w:color w:val="auto"/>
                      <w:sz w:val="22"/>
                      <w:szCs w:val="22"/>
                      <w:lang w:val="en-US" w:eastAsia="zh-CN"/>
                    </w:rPr>
                    <w:t>/</w:t>
                  </w:r>
                </w:p>
              </w:tc>
              <w:tc>
                <w:tcPr>
                  <w:tcW w:w="509" w:type="pct"/>
                  <w:vAlign w:val="center"/>
                </w:tcPr>
                <w:p w14:paraId="20BD6456">
                  <w:pPr>
                    <w:spacing w:line="320" w:lineRule="exact"/>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4.5</w:t>
                  </w:r>
                </w:p>
              </w:tc>
              <w:tc>
                <w:tcPr>
                  <w:tcW w:w="1010" w:type="pct"/>
                  <w:vAlign w:val="center"/>
                </w:tcPr>
                <w:p w14:paraId="17FB930B">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0.67t，200L桶</w:t>
                  </w:r>
                </w:p>
              </w:tc>
              <w:tc>
                <w:tcPr>
                  <w:tcW w:w="461" w:type="pct"/>
                  <w:vAlign w:val="center"/>
                </w:tcPr>
                <w:p w14:paraId="2C1F647E">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油桶</w:t>
                  </w:r>
                </w:p>
              </w:tc>
              <w:tc>
                <w:tcPr>
                  <w:tcW w:w="706" w:type="pct"/>
                  <w:vAlign w:val="center"/>
                </w:tcPr>
                <w:p w14:paraId="1ED73FF8">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危化品库房</w:t>
                  </w:r>
                </w:p>
              </w:tc>
            </w:tr>
            <w:tr w14:paraId="4B09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vAlign w:val="center"/>
                </w:tcPr>
                <w:p w14:paraId="42495CD6">
                  <w:pPr>
                    <w:spacing w:line="320" w:lineRule="exact"/>
                    <w:jc w:val="center"/>
                    <w:rPr>
                      <w:rFonts w:hint="eastAsia" w:ascii="Times New Roman" w:hAnsi="Times New Roman" w:eastAsia="宋体" w:cs="Times New Roman"/>
                      <w:sz w:val="22"/>
                      <w:szCs w:val="22"/>
                    </w:rPr>
                  </w:pPr>
                </w:p>
              </w:tc>
              <w:tc>
                <w:tcPr>
                  <w:tcW w:w="293" w:type="pct"/>
                  <w:vAlign w:val="center"/>
                </w:tcPr>
                <w:p w14:paraId="398C1D64">
                  <w:pPr>
                    <w:spacing w:line="320" w:lineRule="exact"/>
                    <w:jc w:val="center"/>
                    <w:rPr>
                      <w:rFonts w:hint="default" w:ascii="Times New Roman" w:hAnsi="Times New Roman" w:eastAsia="宋体" w:cs="Times New Roman"/>
                      <w:sz w:val="22"/>
                      <w:szCs w:val="22"/>
                      <w:lang w:val="en-US"/>
                    </w:rPr>
                  </w:pPr>
                  <w:r>
                    <w:rPr>
                      <w:rFonts w:hint="eastAsia" w:cs="Times New Roman"/>
                      <w:sz w:val="22"/>
                      <w:szCs w:val="22"/>
                      <w:lang w:val="en-US" w:eastAsia="zh-CN"/>
                    </w:rPr>
                    <w:t>12</w:t>
                  </w:r>
                </w:p>
              </w:tc>
              <w:tc>
                <w:tcPr>
                  <w:tcW w:w="714" w:type="pct"/>
                  <w:vAlign w:val="center"/>
                </w:tcPr>
                <w:p w14:paraId="5CBE576C">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防冻液</w:t>
                  </w:r>
                </w:p>
              </w:tc>
              <w:tc>
                <w:tcPr>
                  <w:tcW w:w="363" w:type="pct"/>
                  <w:vAlign w:val="center"/>
                </w:tcPr>
                <w:p w14:paraId="674F791E">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t/a</w:t>
                  </w:r>
                </w:p>
              </w:tc>
              <w:tc>
                <w:tcPr>
                  <w:tcW w:w="488" w:type="pct"/>
                  <w:vAlign w:val="center"/>
                </w:tcPr>
                <w:p w14:paraId="60AC5C13">
                  <w:pPr>
                    <w:spacing w:line="320" w:lineRule="exact"/>
                    <w:jc w:val="center"/>
                    <w:rPr>
                      <w:rFonts w:hint="eastAsia" w:ascii="Times New Roman" w:hAnsi="Times New Roman" w:eastAsia="宋体" w:cs="Times New Roman"/>
                      <w:color w:val="auto"/>
                      <w:sz w:val="22"/>
                      <w:szCs w:val="22"/>
                    </w:rPr>
                  </w:pPr>
                  <w:r>
                    <w:rPr>
                      <w:rFonts w:hint="eastAsia"/>
                      <w:color w:val="auto"/>
                      <w:sz w:val="22"/>
                      <w:szCs w:val="22"/>
                      <w:lang w:val="en-US" w:eastAsia="zh-CN"/>
                    </w:rPr>
                    <w:t>/</w:t>
                  </w:r>
                </w:p>
              </w:tc>
              <w:tc>
                <w:tcPr>
                  <w:tcW w:w="509" w:type="pct"/>
                  <w:vAlign w:val="center"/>
                </w:tcPr>
                <w:p w14:paraId="56460584">
                  <w:pPr>
                    <w:spacing w:line="320" w:lineRule="exact"/>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w:t>
                  </w:r>
                </w:p>
              </w:tc>
              <w:tc>
                <w:tcPr>
                  <w:tcW w:w="1010" w:type="pct"/>
                  <w:vAlign w:val="center"/>
                </w:tcPr>
                <w:p w14:paraId="682ACAA1">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0.6t，200L桶</w:t>
                  </w:r>
                </w:p>
              </w:tc>
              <w:tc>
                <w:tcPr>
                  <w:tcW w:w="461" w:type="pct"/>
                  <w:vAlign w:val="center"/>
                </w:tcPr>
                <w:p w14:paraId="64FD7C65">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桶装</w:t>
                  </w:r>
                </w:p>
              </w:tc>
              <w:tc>
                <w:tcPr>
                  <w:tcW w:w="706" w:type="pct"/>
                  <w:vAlign w:val="center"/>
                </w:tcPr>
                <w:p w14:paraId="12E29F59">
                  <w:pPr>
                    <w:spacing w:line="320" w:lineRule="exact"/>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危化品库房</w:t>
                  </w:r>
                </w:p>
              </w:tc>
            </w:tr>
          </w:tbl>
          <w:p w14:paraId="119DEF40">
            <w:pPr>
              <w:pStyle w:val="82"/>
              <w:numPr>
                <w:ilvl w:val="0"/>
                <w:numId w:val="3"/>
              </w:numPr>
              <w:spacing w:line="440" w:lineRule="exact"/>
              <w:ind w:firstLine="520"/>
              <w:rPr>
                <w:color w:val="000000" w:themeColor="text1"/>
                <w14:textFill>
                  <w14:solidFill>
                    <w14:schemeClr w14:val="tx1"/>
                  </w14:solidFill>
                </w14:textFill>
              </w:rPr>
            </w:pPr>
            <w:r>
              <w:rPr>
                <w:rFonts w:hint="eastAsia"/>
                <w:color w:val="000000" w:themeColor="text1"/>
                <w14:textFill>
                  <w14:solidFill>
                    <w14:schemeClr w14:val="tx1"/>
                  </w14:solidFill>
                </w14:textFill>
              </w:rPr>
              <w:t>防冻液：主要成分为5</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乙二醇水溶液，主要用于</w:t>
            </w:r>
            <w:r>
              <w:rPr>
                <w:rFonts w:hint="eastAsia"/>
                <w:color w:val="000000" w:themeColor="text1"/>
                <w:lang w:val="en-US" w:eastAsia="zh-CN"/>
                <w14:textFill>
                  <w14:solidFill>
                    <w14:schemeClr w14:val="tx1"/>
                  </w14:solidFill>
                </w14:textFill>
              </w:rPr>
              <w:t>电驱桥测试</w:t>
            </w:r>
            <w:r>
              <w:rPr>
                <w:rFonts w:hint="eastAsia"/>
                <w:color w:val="000000" w:themeColor="text1"/>
                <w14:textFill>
                  <w14:solidFill>
                    <w14:schemeClr w14:val="tx1"/>
                  </w14:solidFill>
                </w14:textFill>
              </w:rPr>
              <w:t>环节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防冻液的</w:t>
            </w:r>
            <w:r>
              <w:rPr>
                <w:rFonts w:hint="eastAsia"/>
                <w:color w:val="000000" w:themeColor="text1"/>
                <w14:textFill>
                  <w14:solidFill>
                    <w14:schemeClr w14:val="tx1"/>
                  </w14:solidFill>
                </w14:textFill>
              </w:rPr>
              <w:t>MSDS见附件</w:t>
            </w:r>
            <w:r>
              <w:rPr>
                <w:rFonts w:hint="eastAsia"/>
                <w:color w:val="000000" w:themeColor="text1"/>
                <w:lang w:val="en-US" w:eastAsia="zh-CN"/>
                <w14:textFill>
                  <w14:solidFill>
                    <w14:schemeClr w14:val="tx1"/>
                  </w14:solidFill>
                </w14:textFill>
              </w:rPr>
              <w:t>3。</w:t>
            </w:r>
          </w:p>
          <w:p w14:paraId="213AA937">
            <w:pPr>
              <w:pStyle w:val="82"/>
              <w:numPr>
                <w:ilvl w:val="0"/>
                <w:numId w:val="3"/>
              </w:numPr>
              <w:spacing w:line="440" w:lineRule="exact"/>
              <w:ind w:firstLine="520"/>
              <w:rPr>
                <w:color w:val="auto"/>
              </w:rPr>
            </w:pPr>
            <w:r>
              <w:rPr>
                <w:rFonts w:hint="eastAsia"/>
                <w:color w:val="auto"/>
              </w:rPr>
              <w:t>螺纹胶：</w:t>
            </w:r>
            <w:r>
              <w:rPr>
                <w:rFonts w:hint="eastAsia"/>
                <w:color w:val="auto"/>
                <w:lang w:val="en-US" w:eastAsia="zh-CN"/>
              </w:rPr>
              <w:t>丙烯酸酯类本体型胶粘剂</w:t>
            </w:r>
            <w:r>
              <w:rPr>
                <w:rFonts w:hint="eastAsia"/>
                <w:color w:val="auto"/>
              </w:rPr>
              <w:t>，化学组分为烷基酯50%，聚乙二醇二甲基丙烯酸酯10%，机密组分3%，烷基过氧化氢2.5%，有机酸1%，甲基丙烯酸羟烷基酯1%，醌0.025%等，用于阀体组装</w:t>
            </w:r>
            <w:r>
              <w:rPr>
                <w:rFonts w:hint="eastAsia"/>
                <w:color w:val="auto"/>
                <w:lang w:eastAsia="zh-CN"/>
              </w:rPr>
              <w:t>。</w:t>
            </w:r>
            <w:r>
              <w:rPr>
                <w:rFonts w:hint="eastAsia"/>
                <w:color w:val="auto"/>
              </w:rPr>
              <w:t>螺纹胶</w:t>
            </w:r>
            <w:r>
              <w:rPr>
                <w:rFonts w:hint="eastAsia"/>
                <w:color w:val="auto"/>
                <w:lang w:val="en-US" w:eastAsia="zh-CN"/>
              </w:rPr>
              <w:t>中VOCs含量＜80g/kg，满足《胶粘剂挥发性有机化合物限量》（GB 33372-2020）中丙烯酸酯类限值200g/kg，根据《挥发性有机物无组织排放控制标准》（GB 37822-20190），本物质VOC含量＜8%，不属于挥发性物料</w:t>
            </w:r>
            <w:r>
              <w:rPr>
                <w:rFonts w:hint="eastAsia"/>
                <w:color w:val="auto"/>
              </w:rPr>
              <w:t>。螺纹胶的MSDS见附件</w:t>
            </w:r>
            <w:r>
              <w:rPr>
                <w:rFonts w:hint="eastAsia"/>
                <w:color w:val="auto"/>
                <w:lang w:val="en-US" w:eastAsia="zh-CN"/>
              </w:rPr>
              <w:t>3</w:t>
            </w:r>
            <w:r>
              <w:rPr>
                <w:rFonts w:hint="eastAsia"/>
                <w:color w:val="auto"/>
              </w:rPr>
              <w:t>。</w:t>
            </w:r>
          </w:p>
          <w:p w14:paraId="62590B32">
            <w:pPr>
              <w:pStyle w:val="82"/>
              <w:ind w:firstLine="522"/>
              <w:rPr>
                <w:b/>
                <w:color w:val="auto"/>
              </w:rPr>
            </w:pPr>
            <w:r>
              <w:rPr>
                <w:b/>
                <w:color w:val="auto"/>
              </w:rPr>
              <w:t>2.8.2能源消耗情况</w:t>
            </w:r>
          </w:p>
          <w:p w14:paraId="543F888F">
            <w:pPr>
              <w:spacing w:line="460" w:lineRule="exact"/>
              <w:jc w:val="center"/>
              <w:rPr>
                <w:color w:val="auto"/>
                <w:sz w:val="26"/>
                <w:szCs w:val="26"/>
              </w:rPr>
            </w:pPr>
            <w:r>
              <w:rPr>
                <w:color w:val="auto"/>
                <w:sz w:val="26"/>
                <w:szCs w:val="26"/>
              </w:rPr>
              <w:t>表2.8-</w:t>
            </w:r>
            <w:r>
              <w:rPr>
                <w:rFonts w:hint="eastAsia"/>
                <w:color w:val="auto"/>
                <w:sz w:val="26"/>
                <w:szCs w:val="26"/>
              </w:rPr>
              <w:t>3</w:t>
            </w:r>
            <w:r>
              <w:rPr>
                <w:rFonts w:hint="eastAsia"/>
                <w:color w:val="auto"/>
                <w:sz w:val="26"/>
                <w:szCs w:val="26"/>
                <w:lang w:val="en-US" w:eastAsia="zh-CN"/>
              </w:rPr>
              <w:t xml:space="preserve">  </w:t>
            </w:r>
            <w:r>
              <w:rPr>
                <w:color w:val="auto"/>
                <w:sz w:val="26"/>
                <w:szCs w:val="26"/>
              </w:rPr>
              <w:t>主要能源消耗表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38"/>
              <w:gridCol w:w="1800"/>
              <w:gridCol w:w="1975"/>
              <w:gridCol w:w="1987"/>
              <w:gridCol w:w="1218"/>
            </w:tblGrid>
            <w:tr w14:paraId="3250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9" w:type="pct"/>
                  <w:vAlign w:val="center"/>
                </w:tcPr>
                <w:p w14:paraId="519444D5">
                  <w:pPr>
                    <w:spacing w:line="320" w:lineRule="exact"/>
                    <w:jc w:val="center"/>
                    <w:rPr>
                      <w:color w:val="auto"/>
                      <w:sz w:val="22"/>
                      <w:szCs w:val="22"/>
                    </w:rPr>
                  </w:pPr>
                  <w:r>
                    <w:rPr>
                      <w:color w:val="auto"/>
                      <w:sz w:val="22"/>
                      <w:szCs w:val="22"/>
                    </w:rPr>
                    <w:t>序号</w:t>
                  </w:r>
                </w:p>
              </w:tc>
              <w:tc>
                <w:tcPr>
                  <w:tcW w:w="439" w:type="pct"/>
                  <w:vAlign w:val="center"/>
                </w:tcPr>
                <w:p w14:paraId="2DEA3B2C">
                  <w:pPr>
                    <w:spacing w:line="320" w:lineRule="exact"/>
                    <w:jc w:val="center"/>
                    <w:rPr>
                      <w:color w:val="auto"/>
                      <w:sz w:val="22"/>
                      <w:szCs w:val="22"/>
                    </w:rPr>
                  </w:pPr>
                  <w:r>
                    <w:rPr>
                      <w:color w:val="auto"/>
                      <w:sz w:val="22"/>
                      <w:szCs w:val="22"/>
                    </w:rPr>
                    <w:t>名称</w:t>
                  </w:r>
                </w:p>
              </w:tc>
              <w:tc>
                <w:tcPr>
                  <w:tcW w:w="1072" w:type="pct"/>
                  <w:vAlign w:val="center"/>
                </w:tcPr>
                <w:p w14:paraId="2F6C96C2">
                  <w:pPr>
                    <w:spacing w:line="320" w:lineRule="exact"/>
                    <w:jc w:val="center"/>
                    <w:rPr>
                      <w:rFonts w:hint="default" w:eastAsia="宋体"/>
                      <w:color w:val="auto"/>
                      <w:sz w:val="22"/>
                      <w:szCs w:val="22"/>
                      <w:lang w:val="en-US" w:eastAsia="zh-CN"/>
                    </w:rPr>
                  </w:pPr>
                  <w:r>
                    <w:rPr>
                      <w:rFonts w:hint="eastAsia"/>
                      <w:color w:val="auto"/>
                      <w:sz w:val="22"/>
                      <w:szCs w:val="22"/>
                      <w:lang w:val="en-US" w:eastAsia="zh-CN"/>
                    </w:rPr>
                    <w:t>现有工程用量</w:t>
                  </w:r>
                </w:p>
              </w:tc>
              <w:tc>
                <w:tcPr>
                  <w:tcW w:w="1177" w:type="pct"/>
                  <w:vAlign w:val="center"/>
                </w:tcPr>
                <w:p w14:paraId="39A82A4B">
                  <w:pPr>
                    <w:spacing w:line="320" w:lineRule="exact"/>
                    <w:jc w:val="center"/>
                    <w:rPr>
                      <w:rFonts w:hint="default" w:eastAsia="宋体"/>
                      <w:color w:val="auto"/>
                      <w:sz w:val="22"/>
                      <w:szCs w:val="22"/>
                      <w:lang w:val="en-US" w:eastAsia="zh-CN"/>
                    </w:rPr>
                  </w:pPr>
                  <w:r>
                    <w:rPr>
                      <w:rFonts w:hint="eastAsia"/>
                      <w:color w:val="auto"/>
                      <w:sz w:val="22"/>
                      <w:szCs w:val="22"/>
                      <w:lang w:val="en-US" w:eastAsia="zh-CN"/>
                    </w:rPr>
                    <w:t>拟建项目用量</w:t>
                  </w:r>
                </w:p>
              </w:tc>
              <w:tc>
                <w:tcPr>
                  <w:tcW w:w="1184" w:type="pct"/>
                  <w:vAlign w:val="center"/>
                </w:tcPr>
                <w:p w14:paraId="7C2B16C0">
                  <w:pPr>
                    <w:spacing w:line="320" w:lineRule="exact"/>
                    <w:jc w:val="center"/>
                    <w:rPr>
                      <w:rFonts w:hint="default" w:eastAsia="宋体"/>
                      <w:color w:val="auto"/>
                      <w:sz w:val="22"/>
                      <w:szCs w:val="22"/>
                      <w:lang w:val="en-US" w:eastAsia="zh-CN"/>
                    </w:rPr>
                  </w:pPr>
                  <w:r>
                    <w:rPr>
                      <w:rFonts w:hint="eastAsia"/>
                      <w:color w:val="auto"/>
                      <w:sz w:val="22"/>
                      <w:szCs w:val="22"/>
                      <w:lang w:val="en-US" w:eastAsia="zh-CN"/>
                    </w:rPr>
                    <w:t>合计</w:t>
                  </w:r>
                </w:p>
              </w:tc>
              <w:tc>
                <w:tcPr>
                  <w:tcW w:w="726" w:type="pct"/>
                  <w:vAlign w:val="center"/>
                </w:tcPr>
                <w:p w14:paraId="1BB0FB98">
                  <w:pPr>
                    <w:spacing w:line="320" w:lineRule="exact"/>
                    <w:jc w:val="center"/>
                    <w:rPr>
                      <w:color w:val="auto"/>
                      <w:sz w:val="22"/>
                      <w:szCs w:val="22"/>
                    </w:rPr>
                  </w:pPr>
                  <w:r>
                    <w:rPr>
                      <w:color w:val="auto"/>
                      <w:sz w:val="22"/>
                      <w:szCs w:val="22"/>
                    </w:rPr>
                    <w:t>备注</w:t>
                  </w:r>
                </w:p>
              </w:tc>
            </w:tr>
            <w:tr w14:paraId="371D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9" w:type="pct"/>
                  <w:vAlign w:val="center"/>
                </w:tcPr>
                <w:p w14:paraId="65F051B0">
                  <w:pPr>
                    <w:spacing w:line="320" w:lineRule="exact"/>
                    <w:jc w:val="center"/>
                    <w:rPr>
                      <w:color w:val="auto"/>
                      <w:sz w:val="22"/>
                      <w:szCs w:val="22"/>
                    </w:rPr>
                  </w:pPr>
                  <w:r>
                    <w:rPr>
                      <w:color w:val="auto"/>
                      <w:sz w:val="22"/>
                      <w:szCs w:val="22"/>
                    </w:rPr>
                    <w:t>1</w:t>
                  </w:r>
                </w:p>
              </w:tc>
              <w:tc>
                <w:tcPr>
                  <w:tcW w:w="439" w:type="pct"/>
                  <w:vAlign w:val="center"/>
                </w:tcPr>
                <w:p w14:paraId="59A536BD">
                  <w:pPr>
                    <w:spacing w:line="320" w:lineRule="exact"/>
                    <w:jc w:val="center"/>
                    <w:rPr>
                      <w:color w:val="auto"/>
                      <w:sz w:val="22"/>
                      <w:szCs w:val="22"/>
                    </w:rPr>
                  </w:pPr>
                  <w:r>
                    <w:rPr>
                      <w:color w:val="auto"/>
                      <w:sz w:val="22"/>
                      <w:szCs w:val="22"/>
                    </w:rPr>
                    <w:t>电</w:t>
                  </w:r>
                </w:p>
              </w:tc>
              <w:tc>
                <w:tcPr>
                  <w:tcW w:w="1072" w:type="pct"/>
                  <w:vAlign w:val="center"/>
                </w:tcPr>
                <w:p w14:paraId="28305E1D">
                  <w:pPr>
                    <w:spacing w:line="320" w:lineRule="exact"/>
                    <w:jc w:val="center"/>
                    <w:rPr>
                      <w:rFonts w:hint="default" w:eastAsia="宋体"/>
                      <w:color w:val="auto"/>
                      <w:sz w:val="22"/>
                      <w:szCs w:val="22"/>
                      <w:lang w:val="en-US" w:eastAsia="zh-CN"/>
                    </w:rPr>
                  </w:pPr>
                  <w:r>
                    <w:rPr>
                      <w:rFonts w:hint="eastAsia"/>
                      <w:color w:val="auto"/>
                      <w:sz w:val="22"/>
                      <w:szCs w:val="22"/>
                      <w:lang w:val="en-US" w:eastAsia="zh-CN"/>
                    </w:rPr>
                    <w:t>718万kWh/a</w:t>
                  </w:r>
                </w:p>
              </w:tc>
              <w:tc>
                <w:tcPr>
                  <w:tcW w:w="1177" w:type="pct"/>
                  <w:vAlign w:val="center"/>
                </w:tcPr>
                <w:p w14:paraId="3A0290F6">
                  <w:pPr>
                    <w:spacing w:line="320" w:lineRule="exact"/>
                    <w:jc w:val="center"/>
                    <w:rPr>
                      <w:color w:val="auto"/>
                      <w:sz w:val="22"/>
                      <w:szCs w:val="22"/>
                    </w:rPr>
                  </w:pPr>
                  <w:r>
                    <w:rPr>
                      <w:rFonts w:hint="eastAsia"/>
                      <w:color w:val="auto"/>
                      <w:sz w:val="22"/>
                      <w:szCs w:val="22"/>
                      <w:lang w:val="en-US" w:eastAsia="zh-CN"/>
                    </w:rPr>
                    <w:t>11</w:t>
                  </w:r>
                  <w:r>
                    <w:rPr>
                      <w:rFonts w:hint="eastAsia"/>
                      <w:color w:val="auto"/>
                      <w:sz w:val="22"/>
                      <w:szCs w:val="22"/>
                    </w:rPr>
                    <w:t>00</w:t>
                  </w:r>
                  <w:r>
                    <w:rPr>
                      <w:color w:val="auto"/>
                      <w:sz w:val="22"/>
                      <w:szCs w:val="22"/>
                    </w:rPr>
                    <w:t>万kWh/a</w:t>
                  </w:r>
                </w:p>
              </w:tc>
              <w:tc>
                <w:tcPr>
                  <w:tcW w:w="1184" w:type="pct"/>
                  <w:vAlign w:val="center"/>
                </w:tcPr>
                <w:p w14:paraId="73277F5A">
                  <w:pPr>
                    <w:spacing w:line="320" w:lineRule="exact"/>
                    <w:jc w:val="center"/>
                    <w:rPr>
                      <w:rFonts w:hint="default" w:eastAsia="宋体"/>
                      <w:color w:val="auto"/>
                      <w:sz w:val="22"/>
                      <w:szCs w:val="22"/>
                      <w:lang w:val="en-US" w:eastAsia="zh-CN"/>
                    </w:rPr>
                  </w:pPr>
                  <w:r>
                    <w:rPr>
                      <w:rFonts w:hint="eastAsia"/>
                      <w:color w:val="auto"/>
                      <w:sz w:val="22"/>
                      <w:szCs w:val="22"/>
                      <w:lang w:val="en-US" w:eastAsia="zh-CN"/>
                    </w:rPr>
                    <w:t>1818</w:t>
                  </w:r>
                  <w:r>
                    <w:rPr>
                      <w:color w:val="auto"/>
                      <w:sz w:val="22"/>
                      <w:szCs w:val="22"/>
                    </w:rPr>
                    <w:t>万kWh/a</w:t>
                  </w:r>
                </w:p>
              </w:tc>
              <w:tc>
                <w:tcPr>
                  <w:tcW w:w="726" w:type="pct"/>
                  <w:vAlign w:val="center"/>
                </w:tcPr>
                <w:p w14:paraId="7FA92187">
                  <w:pPr>
                    <w:spacing w:line="320" w:lineRule="exact"/>
                    <w:jc w:val="center"/>
                    <w:rPr>
                      <w:color w:val="auto"/>
                      <w:sz w:val="22"/>
                      <w:szCs w:val="22"/>
                    </w:rPr>
                  </w:pPr>
                  <w:r>
                    <w:rPr>
                      <w:color w:val="auto"/>
                      <w:sz w:val="22"/>
                      <w:szCs w:val="22"/>
                    </w:rPr>
                    <w:t>市政供电</w:t>
                  </w:r>
                </w:p>
              </w:tc>
            </w:tr>
            <w:tr w14:paraId="2EB3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9" w:type="pct"/>
                  <w:vAlign w:val="center"/>
                </w:tcPr>
                <w:p w14:paraId="35F3A783">
                  <w:pPr>
                    <w:spacing w:line="320" w:lineRule="exact"/>
                    <w:jc w:val="center"/>
                    <w:rPr>
                      <w:color w:val="auto"/>
                      <w:sz w:val="22"/>
                      <w:szCs w:val="22"/>
                    </w:rPr>
                  </w:pPr>
                  <w:r>
                    <w:rPr>
                      <w:color w:val="auto"/>
                      <w:sz w:val="22"/>
                      <w:szCs w:val="22"/>
                    </w:rPr>
                    <w:t>2</w:t>
                  </w:r>
                </w:p>
              </w:tc>
              <w:tc>
                <w:tcPr>
                  <w:tcW w:w="439" w:type="pct"/>
                  <w:vAlign w:val="center"/>
                </w:tcPr>
                <w:p w14:paraId="4C8C340A">
                  <w:pPr>
                    <w:spacing w:line="320" w:lineRule="exact"/>
                    <w:jc w:val="center"/>
                    <w:rPr>
                      <w:color w:val="auto"/>
                      <w:sz w:val="22"/>
                      <w:szCs w:val="22"/>
                    </w:rPr>
                  </w:pPr>
                  <w:r>
                    <w:rPr>
                      <w:color w:val="auto"/>
                      <w:sz w:val="22"/>
                      <w:szCs w:val="22"/>
                    </w:rPr>
                    <w:t>水</w:t>
                  </w:r>
                </w:p>
              </w:tc>
              <w:tc>
                <w:tcPr>
                  <w:tcW w:w="1072" w:type="pct"/>
                  <w:vAlign w:val="center"/>
                </w:tcPr>
                <w:p w14:paraId="76F392F2">
                  <w:pPr>
                    <w:spacing w:line="320" w:lineRule="exact"/>
                    <w:jc w:val="center"/>
                    <w:rPr>
                      <w:rFonts w:hint="default" w:eastAsia="宋体"/>
                      <w:color w:val="auto"/>
                      <w:sz w:val="22"/>
                      <w:szCs w:val="22"/>
                      <w:lang w:val="en-US" w:eastAsia="zh-CN"/>
                    </w:rPr>
                  </w:pPr>
                  <w:r>
                    <w:rPr>
                      <w:rFonts w:hint="eastAsia"/>
                      <w:color w:val="auto"/>
                      <w:sz w:val="22"/>
                      <w:szCs w:val="22"/>
                      <w:lang w:val="en-US" w:eastAsia="zh-CN"/>
                    </w:rPr>
                    <w:t>2.97</w:t>
                  </w:r>
                  <w:r>
                    <w:rPr>
                      <w:color w:val="auto"/>
                      <w:sz w:val="22"/>
                      <w:szCs w:val="22"/>
                    </w:rPr>
                    <w:t>万</w:t>
                  </w:r>
                  <w:r>
                    <w:rPr>
                      <w:rFonts w:hint="eastAsia"/>
                      <w:color w:val="auto"/>
                      <w:sz w:val="22"/>
                      <w:szCs w:val="22"/>
                      <w:lang w:val="en-US" w:eastAsia="zh-CN"/>
                    </w:rPr>
                    <w:t>m</w:t>
                  </w:r>
                  <w:r>
                    <w:rPr>
                      <w:rFonts w:hint="eastAsia"/>
                      <w:color w:val="auto"/>
                      <w:sz w:val="22"/>
                      <w:szCs w:val="22"/>
                      <w:vertAlign w:val="superscript"/>
                      <w:lang w:val="en-US" w:eastAsia="zh-CN"/>
                    </w:rPr>
                    <w:t>3</w:t>
                  </w:r>
                  <w:r>
                    <w:rPr>
                      <w:color w:val="auto"/>
                      <w:sz w:val="22"/>
                      <w:szCs w:val="22"/>
                    </w:rPr>
                    <w:t>/a</w:t>
                  </w:r>
                </w:p>
              </w:tc>
              <w:tc>
                <w:tcPr>
                  <w:tcW w:w="1177" w:type="pct"/>
                  <w:vAlign w:val="center"/>
                </w:tcPr>
                <w:p w14:paraId="69BD35AE">
                  <w:pPr>
                    <w:spacing w:line="320" w:lineRule="exact"/>
                    <w:jc w:val="center"/>
                    <w:rPr>
                      <w:color w:val="auto"/>
                      <w:sz w:val="22"/>
                      <w:szCs w:val="22"/>
                    </w:rPr>
                  </w:pPr>
                  <w:r>
                    <w:rPr>
                      <w:rFonts w:hint="eastAsia"/>
                      <w:color w:val="auto"/>
                      <w:sz w:val="22"/>
                      <w:szCs w:val="22"/>
                      <w:lang w:val="en-US" w:eastAsia="zh-CN"/>
                    </w:rPr>
                    <w:t>0.62万</w:t>
                  </w:r>
                  <w:r>
                    <w:rPr>
                      <w:color w:val="auto"/>
                      <w:sz w:val="22"/>
                      <w:szCs w:val="22"/>
                    </w:rPr>
                    <w:t>m</w:t>
                  </w:r>
                  <w:r>
                    <w:rPr>
                      <w:color w:val="auto"/>
                      <w:sz w:val="22"/>
                      <w:szCs w:val="22"/>
                      <w:vertAlign w:val="superscript"/>
                    </w:rPr>
                    <w:t>3</w:t>
                  </w:r>
                  <w:r>
                    <w:rPr>
                      <w:color w:val="auto"/>
                      <w:sz w:val="22"/>
                      <w:szCs w:val="22"/>
                    </w:rPr>
                    <w:t>/a</w:t>
                  </w:r>
                </w:p>
              </w:tc>
              <w:tc>
                <w:tcPr>
                  <w:tcW w:w="1184" w:type="pct"/>
                  <w:vAlign w:val="center"/>
                </w:tcPr>
                <w:p w14:paraId="5FA4DF13">
                  <w:pPr>
                    <w:spacing w:line="320" w:lineRule="exact"/>
                    <w:jc w:val="center"/>
                    <w:rPr>
                      <w:rFonts w:hint="default" w:eastAsia="宋体"/>
                      <w:color w:val="auto"/>
                      <w:sz w:val="22"/>
                      <w:szCs w:val="22"/>
                      <w:lang w:val="en-US" w:eastAsia="zh-CN"/>
                    </w:rPr>
                  </w:pPr>
                  <w:r>
                    <w:rPr>
                      <w:rFonts w:hint="eastAsia"/>
                      <w:color w:val="auto"/>
                      <w:sz w:val="22"/>
                      <w:szCs w:val="22"/>
                      <w:lang w:val="en-US" w:eastAsia="zh-CN"/>
                    </w:rPr>
                    <w:t>3.59</w:t>
                  </w:r>
                  <w:r>
                    <w:rPr>
                      <w:color w:val="auto"/>
                      <w:sz w:val="22"/>
                      <w:szCs w:val="22"/>
                    </w:rPr>
                    <w:t>万</w:t>
                  </w:r>
                  <w:r>
                    <w:rPr>
                      <w:rFonts w:hint="eastAsia"/>
                      <w:color w:val="auto"/>
                      <w:sz w:val="22"/>
                      <w:szCs w:val="22"/>
                      <w:lang w:val="en-US" w:eastAsia="zh-CN"/>
                    </w:rPr>
                    <w:t>m</w:t>
                  </w:r>
                  <w:r>
                    <w:rPr>
                      <w:rFonts w:hint="eastAsia"/>
                      <w:color w:val="auto"/>
                      <w:sz w:val="22"/>
                      <w:szCs w:val="22"/>
                      <w:vertAlign w:val="superscript"/>
                      <w:lang w:val="en-US" w:eastAsia="zh-CN"/>
                    </w:rPr>
                    <w:t>3</w:t>
                  </w:r>
                  <w:r>
                    <w:rPr>
                      <w:color w:val="auto"/>
                      <w:sz w:val="22"/>
                      <w:szCs w:val="22"/>
                    </w:rPr>
                    <w:t>/a</w:t>
                  </w:r>
                </w:p>
              </w:tc>
              <w:tc>
                <w:tcPr>
                  <w:tcW w:w="726" w:type="pct"/>
                  <w:vAlign w:val="center"/>
                </w:tcPr>
                <w:p w14:paraId="45B6ACA9">
                  <w:pPr>
                    <w:spacing w:line="320" w:lineRule="exact"/>
                    <w:jc w:val="center"/>
                    <w:rPr>
                      <w:color w:val="auto"/>
                      <w:sz w:val="22"/>
                      <w:szCs w:val="22"/>
                    </w:rPr>
                  </w:pPr>
                  <w:r>
                    <w:rPr>
                      <w:color w:val="auto"/>
                      <w:sz w:val="22"/>
                      <w:szCs w:val="22"/>
                    </w:rPr>
                    <w:t>市政用水</w:t>
                  </w:r>
                </w:p>
              </w:tc>
            </w:tr>
          </w:tbl>
          <w:p w14:paraId="45C453B2">
            <w:pPr>
              <w:pStyle w:val="82"/>
              <w:ind w:firstLine="522"/>
              <w:rPr>
                <w:b/>
                <w:color w:val="auto"/>
              </w:rPr>
            </w:pPr>
            <w:r>
              <w:rPr>
                <w:b/>
                <w:color w:val="auto"/>
              </w:rPr>
              <w:t>2.9项目分析</w:t>
            </w:r>
          </w:p>
          <w:p w14:paraId="5C1EED7E">
            <w:pPr>
              <w:autoSpaceDE w:val="0"/>
              <w:autoSpaceDN w:val="0"/>
              <w:adjustRightInd w:val="0"/>
              <w:spacing w:line="440" w:lineRule="exact"/>
              <w:ind w:firstLine="520" w:firstLineChars="200"/>
              <w:rPr>
                <w:color w:val="auto"/>
                <w:sz w:val="26"/>
                <w:szCs w:val="26"/>
              </w:rPr>
            </w:pPr>
            <w:r>
              <w:rPr>
                <w:rFonts w:hint="eastAsia"/>
                <w:color w:val="auto"/>
                <w:sz w:val="26"/>
                <w:szCs w:val="26"/>
                <w:lang w:val="en-US" w:eastAsia="zh-CN"/>
              </w:rPr>
              <w:t>根据调查，现厂区新增东西地块设施设备清洁用水，包括东西地块管道清洗、冷却塔等设备的清洁以及水池、鱼池等的例行清洁用水等；</w:t>
            </w:r>
            <w:r>
              <w:rPr>
                <w:color w:val="auto"/>
                <w:sz w:val="26"/>
                <w:szCs w:val="26"/>
              </w:rPr>
              <w:t>项目生活用水、生产用水主要由市政管网供给，评价参照</w:t>
            </w:r>
            <w:r>
              <w:rPr>
                <w:rFonts w:hint="eastAsia"/>
                <w:color w:val="auto"/>
                <w:sz w:val="26"/>
                <w:szCs w:val="26"/>
              </w:rPr>
              <w:t>《建筑给水排水设计标准》（GB50015-2019）</w:t>
            </w:r>
            <w:r>
              <w:rPr>
                <w:rFonts w:hint="eastAsia"/>
                <w:color w:val="auto"/>
                <w:sz w:val="26"/>
                <w:szCs w:val="26"/>
                <w:lang w:eastAsia="zh-CN"/>
              </w:rPr>
              <w:t>、</w:t>
            </w:r>
            <w:r>
              <w:rPr>
                <w:rFonts w:hint="eastAsia"/>
                <w:color w:val="auto"/>
                <w:sz w:val="26"/>
                <w:szCs w:val="26"/>
              </w:rPr>
              <w:t>《重庆市城市生活用水定额（2017年修订版）》</w:t>
            </w:r>
            <w:r>
              <w:rPr>
                <w:color w:val="auto"/>
                <w:sz w:val="26"/>
                <w:szCs w:val="26"/>
              </w:rPr>
              <w:t>等相关规范要求，</w:t>
            </w:r>
            <w:r>
              <w:rPr>
                <w:rFonts w:hint="eastAsia"/>
                <w:color w:val="auto"/>
                <w:sz w:val="26"/>
                <w:szCs w:val="26"/>
              </w:rPr>
              <w:t>项目新增劳动定员</w:t>
            </w:r>
            <w:r>
              <w:rPr>
                <w:rFonts w:hint="eastAsia"/>
                <w:color w:val="auto"/>
                <w:sz w:val="26"/>
                <w:szCs w:val="26"/>
                <w:lang w:val="en-US" w:eastAsia="zh-CN"/>
              </w:rPr>
              <w:t>70</w:t>
            </w:r>
            <w:r>
              <w:rPr>
                <w:rFonts w:hint="eastAsia"/>
                <w:color w:val="auto"/>
                <w:sz w:val="26"/>
                <w:szCs w:val="26"/>
              </w:rPr>
              <w:t>人，</w:t>
            </w:r>
            <w:r>
              <w:rPr>
                <w:color w:val="auto"/>
                <w:sz w:val="26"/>
                <w:szCs w:val="26"/>
              </w:rPr>
              <w:t>用水量和</w:t>
            </w:r>
            <w:r>
              <w:rPr>
                <w:rFonts w:hint="eastAsia"/>
                <w:color w:val="auto"/>
                <w:sz w:val="26"/>
                <w:szCs w:val="26"/>
              </w:rPr>
              <w:t>排水量</w:t>
            </w:r>
            <w:r>
              <w:rPr>
                <w:color w:val="auto"/>
                <w:sz w:val="26"/>
                <w:szCs w:val="26"/>
              </w:rPr>
              <w:t>见表2.9-</w:t>
            </w:r>
            <w:r>
              <w:rPr>
                <w:rFonts w:hint="eastAsia"/>
                <w:color w:val="auto"/>
                <w:sz w:val="26"/>
                <w:szCs w:val="26"/>
              </w:rPr>
              <w:t>1</w:t>
            </w:r>
            <w:r>
              <w:rPr>
                <w:color w:val="auto"/>
                <w:sz w:val="26"/>
                <w:szCs w:val="26"/>
              </w:rPr>
              <w:t>。</w:t>
            </w:r>
          </w:p>
          <w:p w14:paraId="50B6C825">
            <w:pPr>
              <w:autoSpaceDE w:val="0"/>
              <w:autoSpaceDN w:val="0"/>
              <w:adjustRightInd w:val="0"/>
              <w:spacing w:line="440" w:lineRule="exact"/>
              <w:ind w:left="520"/>
              <w:jc w:val="center"/>
              <w:rPr>
                <w:color w:val="auto"/>
                <w:sz w:val="26"/>
                <w:szCs w:val="26"/>
              </w:rPr>
            </w:pPr>
            <w:r>
              <w:rPr>
                <w:color w:val="auto"/>
                <w:sz w:val="26"/>
                <w:szCs w:val="26"/>
              </w:rPr>
              <w:t>表2.9-1</w:t>
            </w:r>
            <w:r>
              <w:rPr>
                <w:rFonts w:hint="eastAsia"/>
                <w:color w:val="auto"/>
                <w:sz w:val="26"/>
                <w:szCs w:val="26"/>
                <w:lang w:val="en-US" w:eastAsia="zh-CN"/>
              </w:rPr>
              <w:t xml:space="preserve">  </w:t>
            </w:r>
            <w:r>
              <w:rPr>
                <w:color w:val="auto"/>
                <w:sz w:val="26"/>
                <w:szCs w:val="26"/>
              </w:rPr>
              <w:t>项目年</w:t>
            </w:r>
            <w:r>
              <w:rPr>
                <w:rFonts w:hint="eastAsia"/>
                <w:color w:val="auto"/>
                <w:sz w:val="26"/>
                <w:szCs w:val="26"/>
                <w:lang w:val="en-US" w:eastAsia="zh-CN"/>
              </w:rPr>
              <w:t>新增</w:t>
            </w:r>
            <w:r>
              <w:rPr>
                <w:color w:val="auto"/>
                <w:sz w:val="26"/>
                <w:szCs w:val="26"/>
              </w:rPr>
              <w:t>用水量一览表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8"/>
              <w:gridCol w:w="1373"/>
              <w:gridCol w:w="1513"/>
              <w:gridCol w:w="800"/>
              <w:gridCol w:w="762"/>
              <w:gridCol w:w="850"/>
              <w:gridCol w:w="863"/>
              <w:gridCol w:w="724"/>
              <w:gridCol w:w="1005"/>
            </w:tblGrid>
            <w:tr w14:paraId="2A74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trPr>
              <w:tc>
                <w:tcPr>
                  <w:tcW w:w="296" w:type="pct"/>
                  <w:vMerge w:val="restart"/>
                  <w:vAlign w:val="center"/>
                </w:tcPr>
                <w:p w14:paraId="6E3CEEAD">
                  <w:pPr>
                    <w:pStyle w:val="141"/>
                    <w:rPr>
                      <w:rFonts w:cs="Times New Roman"/>
                      <w:color w:val="auto"/>
                      <w:sz w:val="22"/>
                      <w:szCs w:val="22"/>
                    </w:rPr>
                  </w:pPr>
                  <w:r>
                    <w:rPr>
                      <w:rFonts w:cs="Times New Roman"/>
                      <w:color w:val="auto"/>
                      <w:sz w:val="22"/>
                      <w:szCs w:val="22"/>
                    </w:rPr>
                    <w:t>序号</w:t>
                  </w:r>
                </w:p>
              </w:tc>
              <w:tc>
                <w:tcPr>
                  <w:tcW w:w="818" w:type="pct"/>
                  <w:vMerge w:val="restart"/>
                  <w:vAlign w:val="center"/>
                </w:tcPr>
                <w:p w14:paraId="38528769">
                  <w:pPr>
                    <w:pStyle w:val="141"/>
                    <w:rPr>
                      <w:rFonts w:cs="Times New Roman"/>
                      <w:color w:val="auto"/>
                      <w:sz w:val="22"/>
                      <w:szCs w:val="22"/>
                    </w:rPr>
                  </w:pPr>
                  <w:r>
                    <w:rPr>
                      <w:rFonts w:cs="Times New Roman"/>
                      <w:color w:val="auto"/>
                      <w:sz w:val="22"/>
                      <w:szCs w:val="22"/>
                    </w:rPr>
                    <w:t>用水单元</w:t>
                  </w:r>
                </w:p>
              </w:tc>
              <w:tc>
                <w:tcPr>
                  <w:tcW w:w="901" w:type="pct"/>
                  <w:vMerge w:val="restart"/>
                  <w:vAlign w:val="center"/>
                </w:tcPr>
                <w:p w14:paraId="528F9986">
                  <w:pPr>
                    <w:pStyle w:val="141"/>
                    <w:rPr>
                      <w:rFonts w:cs="Times New Roman"/>
                      <w:color w:val="auto"/>
                      <w:sz w:val="22"/>
                      <w:szCs w:val="22"/>
                    </w:rPr>
                  </w:pPr>
                  <w:r>
                    <w:rPr>
                      <w:rFonts w:cs="Times New Roman"/>
                      <w:color w:val="auto"/>
                      <w:sz w:val="22"/>
                      <w:szCs w:val="22"/>
                    </w:rPr>
                    <w:t>用水指标</w:t>
                  </w:r>
                </w:p>
              </w:tc>
              <w:tc>
                <w:tcPr>
                  <w:tcW w:w="931" w:type="pct"/>
                  <w:gridSpan w:val="2"/>
                  <w:vAlign w:val="center"/>
                </w:tcPr>
                <w:p w14:paraId="7C1D851A">
                  <w:pPr>
                    <w:pStyle w:val="141"/>
                    <w:rPr>
                      <w:rFonts w:cs="Times New Roman"/>
                      <w:color w:val="auto"/>
                      <w:sz w:val="22"/>
                      <w:szCs w:val="22"/>
                    </w:rPr>
                  </w:pPr>
                  <w:r>
                    <w:rPr>
                      <w:rFonts w:cs="Times New Roman"/>
                      <w:color w:val="auto"/>
                      <w:sz w:val="22"/>
                      <w:szCs w:val="22"/>
                    </w:rPr>
                    <w:t>用水量</w:t>
                  </w:r>
                </w:p>
              </w:tc>
              <w:tc>
                <w:tcPr>
                  <w:tcW w:w="1021" w:type="pct"/>
                  <w:gridSpan w:val="2"/>
                  <w:vAlign w:val="center"/>
                </w:tcPr>
                <w:p w14:paraId="79D2189E">
                  <w:pPr>
                    <w:pStyle w:val="141"/>
                    <w:rPr>
                      <w:rFonts w:cs="Times New Roman"/>
                      <w:color w:val="auto"/>
                      <w:sz w:val="22"/>
                      <w:szCs w:val="22"/>
                    </w:rPr>
                  </w:pPr>
                  <w:r>
                    <w:rPr>
                      <w:rFonts w:cs="Times New Roman"/>
                      <w:color w:val="auto"/>
                      <w:sz w:val="22"/>
                      <w:szCs w:val="22"/>
                    </w:rPr>
                    <w:t>排水量</w:t>
                  </w:r>
                </w:p>
              </w:tc>
              <w:tc>
                <w:tcPr>
                  <w:tcW w:w="431" w:type="pct"/>
                  <w:vMerge w:val="restart"/>
                  <w:vAlign w:val="center"/>
                </w:tcPr>
                <w:p w14:paraId="6D8F4EBD">
                  <w:pPr>
                    <w:pStyle w:val="141"/>
                    <w:rPr>
                      <w:rFonts w:cs="Times New Roman"/>
                      <w:color w:val="auto"/>
                      <w:sz w:val="22"/>
                      <w:szCs w:val="22"/>
                    </w:rPr>
                  </w:pPr>
                  <w:r>
                    <w:rPr>
                      <w:rFonts w:cs="Times New Roman"/>
                      <w:color w:val="auto"/>
                      <w:sz w:val="22"/>
                      <w:szCs w:val="22"/>
                    </w:rPr>
                    <w:t>排水</w:t>
                  </w:r>
                </w:p>
                <w:p w14:paraId="16C58E16">
                  <w:pPr>
                    <w:pStyle w:val="141"/>
                    <w:rPr>
                      <w:rFonts w:cs="Times New Roman"/>
                      <w:color w:val="auto"/>
                      <w:sz w:val="22"/>
                      <w:szCs w:val="22"/>
                    </w:rPr>
                  </w:pPr>
                  <w:r>
                    <w:rPr>
                      <w:rFonts w:cs="Times New Roman"/>
                      <w:color w:val="auto"/>
                      <w:sz w:val="22"/>
                      <w:szCs w:val="22"/>
                    </w:rPr>
                    <w:t>系数</w:t>
                  </w:r>
                </w:p>
              </w:tc>
              <w:tc>
                <w:tcPr>
                  <w:tcW w:w="599" w:type="pct"/>
                  <w:vMerge w:val="restart"/>
                  <w:vAlign w:val="center"/>
                </w:tcPr>
                <w:p w14:paraId="3F94056B">
                  <w:pPr>
                    <w:pStyle w:val="141"/>
                    <w:rPr>
                      <w:rFonts w:cs="Times New Roman"/>
                      <w:color w:val="auto"/>
                      <w:sz w:val="22"/>
                      <w:szCs w:val="22"/>
                    </w:rPr>
                  </w:pPr>
                  <w:r>
                    <w:rPr>
                      <w:rFonts w:cs="Times New Roman"/>
                      <w:color w:val="auto"/>
                      <w:sz w:val="22"/>
                      <w:szCs w:val="22"/>
                    </w:rPr>
                    <w:t>去向</w:t>
                  </w:r>
                </w:p>
              </w:tc>
            </w:tr>
            <w:tr w14:paraId="0FAC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trPr>
              <w:tc>
                <w:tcPr>
                  <w:tcW w:w="296" w:type="pct"/>
                  <w:vMerge w:val="continue"/>
                  <w:vAlign w:val="center"/>
                </w:tcPr>
                <w:p w14:paraId="099D469F">
                  <w:pPr>
                    <w:pStyle w:val="141"/>
                    <w:rPr>
                      <w:rFonts w:cs="Times New Roman"/>
                      <w:color w:val="auto"/>
                      <w:sz w:val="22"/>
                      <w:szCs w:val="22"/>
                    </w:rPr>
                  </w:pPr>
                </w:p>
              </w:tc>
              <w:tc>
                <w:tcPr>
                  <w:tcW w:w="818" w:type="pct"/>
                  <w:vMerge w:val="continue"/>
                  <w:vAlign w:val="center"/>
                </w:tcPr>
                <w:p w14:paraId="276DF8C6">
                  <w:pPr>
                    <w:pStyle w:val="141"/>
                    <w:rPr>
                      <w:rFonts w:cs="Times New Roman"/>
                      <w:color w:val="auto"/>
                      <w:sz w:val="22"/>
                      <w:szCs w:val="22"/>
                    </w:rPr>
                  </w:pPr>
                </w:p>
              </w:tc>
              <w:tc>
                <w:tcPr>
                  <w:tcW w:w="901" w:type="pct"/>
                  <w:vMerge w:val="continue"/>
                  <w:vAlign w:val="center"/>
                </w:tcPr>
                <w:p w14:paraId="099AA8C2">
                  <w:pPr>
                    <w:pStyle w:val="141"/>
                    <w:rPr>
                      <w:rFonts w:cs="Times New Roman"/>
                      <w:color w:val="auto"/>
                      <w:sz w:val="22"/>
                      <w:szCs w:val="22"/>
                    </w:rPr>
                  </w:pPr>
                </w:p>
              </w:tc>
              <w:tc>
                <w:tcPr>
                  <w:tcW w:w="476" w:type="pct"/>
                  <w:vAlign w:val="center"/>
                </w:tcPr>
                <w:p w14:paraId="52EAAE2C">
                  <w:pPr>
                    <w:pStyle w:val="141"/>
                    <w:rPr>
                      <w:rFonts w:cs="Times New Roman"/>
                      <w:color w:val="auto"/>
                      <w:sz w:val="22"/>
                      <w:szCs w:val="22"/>
                    </w:rPr>
                  </w:pPr>
                  <w:r>
                    <w:rPr>
                      <w:rFonts w:cs="Times New Roman"/>
                      <w:color w:val="auto"/>
                      <w:sz w:val="22"/>
                      <w:szCs w:val="22"/>
                    </w:rPr>
                    <w:t>m</w:t>
                  </w:r>
                  <w:r>
                    <w:rPr>
                      <w:rFonts w:cs="Times New Roman"/>
                      <w:color w:val="auto"/>
                      <w:sz w:val="22"/>
                      <w:szCs w:val="22"/>
                      <w:vertAlign w:val="superscript"/>
                    </w:rPr>
                    <w:t>3</w:t>
                  </w:r>
                  <w:r>
                    <w:rPr>
                      <w:rFonts w:cs="Times New Roman"/>
                      <w:color w:val="auto"/>
                      <w:sz w:val="22"/>
                      <w:szCs w:val="22"/>
                    </w:rPr>
                    <w:t>/d</w:t>
                  </w:r>
                </w:p>
              </w:tc>
              <w:tc>
                <w:tcPr>
                  <w:tcW w:w="454" w:type="pct"/>
                  <w:vAlign w:val="center"/>
                </w:tcPr>
                <w:p w14:paraId="781BB72B">
                  <w:pPr>
                    <w:pStyle w:val="141"/>
                    <w:rPr>
                      <w:rFonts w:cs="Times New Roman"/>
                      <w:color w:val="auto"/>
                      <w:sz w:val="22"/>
                      <w:szCs w:val="22"/>
                    </w:rPr>
                  </w:pPr>
                  <w:r>
                    <w:rPr>
                      <w:rFonts w:cs="Times New Roman"/>
                      <w:color w:val="auto"/>
                      <w:sz w:val="22"/>
                      <w:szCs w:val="22"/>
                    </w:rPr>
                    <w:t>m</w:t>
                  </w:r>
                  <w:r>
                    <w:rPr>
                      <w:rFonts w:cs="Times New Roman"/>
                      <w:color w:val="auto"/>
                      <w:sz w:val="22"/>
                      <w:szCs w:val="22"/>
                      <w:vertAlign w:val="superscript"/>
                    </w:rPr>
                    <w:t>3</w:t>
                  </w:r>
                  <w:r>
                    <w:rPr>
                      <w:rFonts w:cs="Times New Roman"/>
                      <w:color w:val="auto"/>
                      <w:sz w:val="22"/>
                      <w:szCs w:val="22"/>
                    </w:rPr>
                    <w:t>/a</w:t>
                  </w:r>
                </w:p>
              </w:tc>
              <w:tc>
                <w:tcPr>
                  <w:tcW w:w="506" w:type="pct"/>
                  <w:vAlign w:val="center"/>
                </w:tcPr>
                <w:p w14:paraId="2B657CB5">
                  <w:pPr>
                    <w:pStyle w:val="141"/>
                    <w:rPr>
                      <w:rFonts w:cs="Times New Roman"/>
                      <w:color w:val="auto"/>
                      <w:sz w:val="22"/>
                      <w:szCs w:val="22"/>
                    </w:rPr>
                  </w:pPr>
                  <w:r>
                    <w:rPr>
                      <w:rFonts w:cs="Times New Roman"/>
                      <w:color w:val="auto"/>
                      <w:sz w:val="22"/>
                      <w:szCs w:val="22"/>
                    </w:rPr>
                    <w:t>m</w:t>
                  </w:r>
                  <w:r>
                    <w:rPr>
                      <w:rFonts w:cs="Times New Roman"/>
                      <w:color w:val="auto"/>
                      <w:sz w:val="22"/>
                      <w:szCs w:val="22"/>
                      <w:vertAlign w:val="superscript"/>
                    </w:rPr>
                    <w:t>3</w:t>
                  </w:r>
                  <w:r>
                    <w:rPr>
                      <w:rFonts w:cs="Times New Roman"/>
                      <w:color w:val="auto"/>
                      <w:sz w:val="22"/>
                      <w:szCs w:val="22"/>
                    </w:rPr>
                    <w:t>/d</w:t>
                  </w:r>
                </w:p>
              </w:tc>
              <w:tc>
                <w:tcPr>
                  <w:tcW w:w="514" w:type="pct"/>
                  <w:vAlign w:val="center"/>
                </w:tcPr>
                <w:p w14:paraId="4CDCB636">
                  <w:pPr>
                    <w:pStyle w:val="141"/>
                    <w:rPr>
                      <w:rFonts w:cs="Times New Roman"/>
                      <w:color w:val="auto"/>
                      <w:sz w:val="22"/>
                      <w:szCs w:val="22"/>
                    </w:rPr>
                  </w:pPr>
                  <w:r>
                    <w:rPr>
                      <w:rFonts w:cs="Times New Roman"/>
                      <w:color w:val="auto"/>
                      <w:sz w:val="22"/>
                      <w:szCs w:val="22"/>
                    </w:rPr>
                    <w:t>m</w:t>
                  </w:r>
                  <w:r>
                    <w:rPr>
                      <w:rFonts w:cs="Times New Roman"/>
                      <w:color w:val="auto"/>
                      <w:sz w:val="22"/>
                      <w:szCs w:val="22"/>
                      <w:vertAlign w:val="superscript"/>
                    </w:rPr>
                    <w:t>3</w:t>
                  </w:r>
                  <w:r>
                    <w:rPr>
                      <w:rFonts w:cs="Times New Roman"/>
                      <w:color w:val="auto"/>
                      <w:sz w:val="22"/>
                      <w:szCs w:val="22"/>
                    </w:rPr>
                    <w:t>/a</w:t>
                  </w:r>
                </w:p>
              </w:tc>
              <w:tc>
                <w:tcPr>
                  <w:tcW w:w="431" w:type="pct"/>
                  <w:vMerge w:val="continue"/>
                  <w:vAlign w:val="center"/>
                </w:tcPr>
                <w:p w14:paraId="5467825F">
                  <w:pPr>
                    <w:pStyle w:val="141"/>
                    <w:rPr>
                      <w:rFonts w:cs="Times New Roman"/>
                      <w:color w:val="auto"/>
                      <w:sz w:val="22"/>
                      <w:szCs w:val="22"/>
                    </w:rPr>
                  </w:pPr>
                </w:p>
              </w:tc>
              <w:tc>
                <w:tcPr>
                  <w:tcW w:w="599" w:type="pct"/>
                  <w:vMerge w:val="continue"/>
                  <w:vAlign w:val="center"/>
                </w:tcPr>
                <w:p w14:paraId="3175C1A3">
                  <w:pPr>
                    <w:pStyle w:val="141"/>
                    <w:rPr>
                      <w:rFonts w:cs="Times New Roman"/>
                      <w:color w:val="auto"/>
                      <w:sz w:val="22"/>
                      <w:szCs w:val="22"/>
                    </w:rPr>
                  </w:pPr>
                </w:p>
              </w:tc>
            </w:tr>
            <w:tr w14:paraId="4FBF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trPr>
              <w:tc>
                <w:tcPr>
                  <w:tcW w:w="296" w:type="pct"/>
                  <w:vAlign w:val="center"/>
                </w:tcPr>
                <w:p w14:paraId="0097E4D2">
                  <w:pPr>
                    <w:pStyle w:val="141"/>
                    <w:rPr>
                      <w:rFonts w:cs="Times New Roman"/>
                      <w:color w:val="auto"/>
                      <w:sz w:val="22"/>
                      <w:szCs w:val="22"/>
                    </w:rPr>
                  </w:pPr>
                  <w:r>
                    <w:rPr>
                      <w:rFonts w:hint="default" w:cs="Times New Roman"/>
                      <w:color w:val="auto"/>
                      <w:sz w:val="22"/>
                      <w:szCs w:val="22"/>
                      <w:lang w:val="en-US" w:eastAsia="zh-CN"/>
                    </w:rPr>
                    <w:t>1</w:t>
                  </w:r>
                </w:p>
              </w:tc>
              <w:tc>
                <w:tcPr>
                  <w:tcW w:w="818" w:type="pct"/>
                  <w:vAlign w:val="center"/>
                </w:tcPr>
                <w:p w14:paraId="4D658B05">
                  <w:pPr>
                    <w:pStyle w:val="141"/>
                    <w:rPr>
                      <w:rFonts w:cs="Times New Roman"/>
                      <w:color w:val="auto"/>
                      <w:sz w:val="22"/>
                      <w:szCs w:val="22"/>
                    </w:rPr>
                  </w:pPr>
                  <w:r>
                    <w:rPr>
                      <w:rFonts w:hint="eastAsia" w:cs="Times New Roman"/>
                      <w:color w:val="auto"/>
                      <w:sz w:val="22"/>
                      <w:szCs w:val="22"/>
                      <w:lang w:val="en-US" w:eastAsia="zh-CN"/>
                    </w:rPr>
                    <w:t>东地块食堂</w:t>
                  </w:r>
                </w:p>
              </w:tc>
              <w:tc>
                <w:tcPr>
                  <w:tcW w:w="901" w:type="pct"/>
                  <w:vAlign w:val="center"/>
                </w:tcPr>
                <w:p w14:paraId="481912B3">
                  <w:pPr>
                    <w:pStyle w:val="141"/>
                    <w:rPr>
                      <w:rFonts w:cs="Times New Roman"/>
                      <w:color w:val="auto"/>
                      <w:sz w:val="22"/>
                      <w:szCs w:val="22"/>
                    </w:rPr>
                  </w:pPr>
                  <w:r>
                    <w:rPr>
                      <w:rFonts w:hint="default" w:cs="Times New Roman"/>
                      <w:color w:val="auto"/>
                      <w:sz w:val="22"/>
                      <w:szCs w:val="22"/>
                      <w:lang w:val="en-US" w:eastAsia="zh-CN"/>
                    </w:rPr>
                    <w:t>70</w:t>
                  </w:r>
                  <w:r>
                    <w:rPr>
                      <w:rFonts w:hint="eastAsia" w:cs="Times New Roman"/>
                      <w:color w:val="auto"/>
                      <w:sz w:val="22"/>
                      <w:szCs w:val="22"/>
                      <w:lang w:val="en-US" w:eastAsia="zh-CN"/>
                    </w:rPr>
                    <w:t>人，</w:t>
                  </w:r>
                  <w:r>
                    <w:rPr>
                      <w:rFonts w:hint="default" w:cs="Times New Roman"/>
                      <w:color w:val="auto"/>
                      <w:sz w:val="22"/>
                      <w:szCs w:val="22"/>
                      <w:lang w:val="en-US" w:eastAsia="zh-CN"/>
                    </w:rPr>
                    <w:t>25L/</w:t>
                  </w:r>
                  <w:r>
                    <w:rPr>
                      <w:rFonts w:hint="eastAsia" w:cs="Times New Roman"/>
                      <w:color w:val="auto"/>
                      <w:sz w:val="22"/>
                      <w:szCs w:val="22"/>
                      <w:lang w:val="en-US" w:eastAsia="zh-CN"/>
                    </w:rPr>
                    <w:t>人</w:t>
                  </w:r>
                  <w:r>
                    <w:rPr>
                      <w:rFonts w:hint="default" w:cs="Times New Roman"/>
                      <w:color w:val="auto"/>
                      <w:sz w:val="22"/>
                      <w:szCs w:val="22"/>
                      <w:lang w:val="en-US" w:eastAsia="zh-CN"/>
                    </w:rPr>
                    <w:t>·d</w:t>
                  </w:r>
                </w:p>
              </w:tc>
              <w:tc>
                <w:tcPr>
                  <w:tcW w:w="476" w:type="pct"/>
                  <w:vAlign w:val="center"/>
                </w:tcPr>
                <w:p w14:paraId="593E7C69">
                  <w:pPr>
                    <w:pStyle w:val="141"/>
                    <w:rPr>
                      <w:rFonts w:hint="eastAsia" w:cs="Times New Roman"/>
                      <w:color w:val="auto"/>
                      <w:sz w:val="22"/>
                      <w:szCs w:val="22"/>
                      <w:lang w:val="en-US" w:eastAsia="zh-CN"/>
                    </w:rPr>
                  </w:pPr>
                  <w:r>
                    <w:rPr>
                      <w:rFonts w:hint="default" w:cs="Times New Roman"/>
                      <w:color w:val="auto"/>
                      <w:sz w:val="22"/>
                      <w:szCs w:val="22"/>
                      <w:lang w:val="en-US" w:eastAsia="zh-CN"/>
                    </w:rPr>
                    <w:t>1.75</w:t>
                  </w:r>
                </w:p>
              </w:tc>
              <w:tc>
                <w:tcPr>
                  <w:tcW w:w="454" w:type="pct"/>
                  <w:vAlign w:val="center"/>
                </w:tcPr>
                <w:p w14:paraId="1710F300">
                  <w:pPr>
                    <w:pStyle w:val="141"/>
                    <w:rPr>
                      <w:rFonts w:hint="eastAsia" w:cs="Times New Roman"/>
                      <w:color w:val="auto"/>
                      <w:sz w:val="22"/>
                      <w:szCs w:val="22"/>
                      <w:lang w:val="en-US" w:eastAsia="zh-CN"/>
                    </w:rPr>
                  </w:pPr>
                  <w:r>
                    <w:rPr>
                      <w:rFonts w:hint="default" w:cs="Times New Roman"/>
                      <w:color w:val="auto"/>
                      <w:sz w:val="22"/>
                      <w:szCs w:val="22"/>
                      <w:lang w:val="en-US" w:eastAsia="zh-CN"/>
                    </w:rPr>
                    <w:t>525</w:t>
                  </w:r>
                </w:p>
              </w:tc>
              <w:tc>
                <w:tcPr>
                  <w:tcW w:w="506" w:type="pct"/>
                  <w:vAlign w:val="center"/>
                </w:tcPr>
                <w:p w14:paraId="3F9C93A2">
                  <w:pPr>
                    <w:pStyle w:val="141"/>
                    <w:rPr>
                      <w:rFonts w:hint="eastAsia" w:cs="Times New Roman"/>
                      <w:color w:val="auto"/>
                      <w:sz w:val="22"/>
                      <w:szCs w:val="22"/>
                      <w:lang w:val="en-US" w:eastAsia="zh-CN"/>
                    </w:rPr>
                  </w:pPr>
                  <w:r>
                    <w:rPr>
                      <w:rFonts w:hint="default" w:cs="Times New Roman"/>
                      <w:color w:val="auto"/>
                      <w:sz w:val="22"/>
                      <w:szCs w:val="22"/>
                      <w:lang w:val="en-US" w:eastAsia="zh-CN"/>
                    </w:rPr>
                    <w:t>1.575</w:t>
                  </w:r>
                </w:p>
              </w:tc>
              <w:tc>
                <w:tcPr>
                  <w:tcW w:w="514" w:type="pct"/>
                  <w:vAlign w:val="center"/>
                </w:tcPr>
                <w:p w14:paraId="1E24AFF7">
                  <w:pPr>
                    <w:pStyle w:val="141"/>
                    <w:rPr>
                      <w:rFonts w:hint="eastAsia" w:cs="Times New Roman"/>
                      <w:color w:val="auto"/>
                      <w:sz w:val="22"/>
                      <w:szCs w:val="22"/>
                      <w:lang w:val="en-US" w:eastAsia="zh-CN"/>
                    </w:rPr>
                  </w:pPr>
                  <w:r>
                    <w:rPr>
                      <w:rFonts w:hint="default" w:cs="Times New Roman"/>
                      <w:color w:val="auto"/>
                      <w:sz w:val="22"/>
                      <w:szCs w:val="22"/>
                      <w:lang w:val="en-US" w:eastAsia="zh-CN"/>
                    </w:rPr>
                    <w:t xml:space="preserve">472.500 </w:t>
                  </w:r>
                </w:p>
              </w:tc>
              <w:tc>
                <w:tcPr>
                  <w:tcW w:w="431" w:type="pct"/>
                  <w:vAlign w:val="center"/>
                </w:tcPr>
                <w:p w14:paraId="2E80A4E7">
                  <w:pPr>
                    <w:pStyle w:val="141"/>
                    <w:rPr>
                      <w:rFonts w:hint="default" w:cs="Times New Roman"/>
                      <w:color w:val="auto"/>
                      <w:sz w:val="22"/>
                      <w:szCs w:val="22"/>
                      <w:lang w:val="en-US" w:eastAsia="zh-CN"/>
                    </w:rPr>
                  </w:pPr>
                  <w:r>
                    <w:rPr>
                      <w:rFonts w:hint="eastAsia" w:cs="Times New Roman"/>
                      <w:color w:val="auto"/>
                      <w:sz w:val="22"/>
                      <w:szCs w:val="22"/>
                      <w:lang w:val="en-US" w:eastAsia="zh-CN"/>
                    </w:rPr>
                    <w:t>0.9</w:t>
                  </w:r>
                </w:p>
              </w:tc>
              <w:tc>
                <w:tcPr>
                  <w:tcW w:w="599" w:type="pct"/>
                  <w:vMerge w:val="restart"/>
                  <w:vAlign w:val="center"/>
                </w:tcPr>
                <w:p w14:paraId="734B0A41">
                  <w:pPr>
                    <w:widowControl/>
                    <w:jc w:val="center"/>
                    <w:textAlignment w:val="bottom"/>
                    <w:rPr>
                      <w:rFonts w:hint="eastAsia" w:ascii="宋体" w:hAnsi="宋体" w:eastAsia="宋体" w:cs="宋体"/>
                      <w:color w:val="auto"/>
                      <w:sz w:val="22"/>
                      <w:szCs w:val="22"/>
                      <w:lang w:eastAsia="zh-CN"/>
                    </w:rPr>
                  </w:pPr>
                  <w:r>
                    <w:rPr>
                      <w:rFonts w:hint="eastAsia" w:ascii="宋体" w:hAnsi="宋体" w:cs="宋体"/>
                      <w:color w:val="auto"/>
                      <w:kern w:val="0"/>
                      <w:sz w:val="22"/>
                      <w:szCs w:val="22"/>
                      <w:lang w:bidi="ar"/>
                    </w:rPr>
                    <w:t>东地块</w:t>
                  </w:r>
                  <w:r>
                    <w:rPr>
                      <w:rFonts w:hint="eastAsia" w:ascii="宋体" w:hAnsi="宋体" w:cs="宋体"/>
                      <w:color w:val="auto"/>
                      <w:kern w:val="0"/>
                      <w:sz w:val="22"/>
                      <w:szCs w:val="22"/>
                      <w:lang w:eastAsia="zh-CN" w:bidi="ar"/>
                    </w:rPr>
                    <w:t>化粪池</w:t>
                  </w:r>
                </w:p>
              </w:tc>
            </w:tr>
            <w:tr w14:paraId="22AD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trPr>
              <w:tc>
                <w:tcPr>
                  <w:tcW w:w="296" w:type="pct"/>
                  <w:vAlign w:val="center"/>
                </w:tcPr>
                <w:p w14:paraId="028717BF">
                  <w:pPr>
                    <w:pStyle w:val="141"/>
                    <w:rPr>
                      <w:rFonts w:cs="Times New Roman"/>
                      <w:color w:val="auto"/>
                      <w:sz w:val="22"/>
                      <w:szCs w:val="22"/>
                    </w:rPr>
                  </w:pPr>
                  <w:r>
                    <w:rPr>
                      <w:rFonts w:hint="default" w:cs="Times New Roman"/>
                      <w:color w:val="auto"/>
                      <w:sz w:val="22"/>
                      <w:szCs w:val="22"/>
                      <w:lang w:val="en-US" w:eastAsia="zh-CN"/>
                    </w:rPr>
                    <w:t>2</w:t>
                  </w:r>
                </w:p>
              </w:tc>
              <w:tc>
                <w:tcPr>
                  <w:tcW w:w="818" w:type="pct"/>
                  <w:vAlign w:val="center"/>
                </w:tcPr>
                <w:p w14:paraId="107AAA4E">
                  <w:pPr>
                    <w:pStyle w:val="141"/>
                    <w:rPr>
                      <w:rFonts w:cs="Times New Roman"/>
                      <w:color w:val="auto"/>
                      <w:sz w:val="22"/>
                      <w:szCs w:val="22"/>
                    </w:rPr>
                  </w:pPr>
                  <w:r>
                    <w:rPr>
                      <w:rFonts w:hint="eastAsia" w:cs="Times New Roman"/>
                      <w:color w:val="auto"/>
                      <w:sz w:val="22"/>
                      <w:szCs w:val="22"/>
                      <w:lang w:val="en-US" w:eastAsia="zh-CN"/>
                    </w:rPr>
                    <w:t>东地块办公</w:t>
                  </w:r>
                </w:p>
              </w:tc>
              <w:tc>
                <w:tcPr>
                  <w:tcW w:w="901" w:type="pct"/>
                  <w:vAlign w:val="center"/>
                </w:tcPr>
                <w:p w14:paraId="166A5714">
                  <w:pPr>
                    <w:pStyle w:val="141"/>
                    <w:rPr>
                      <w:rFonts w:cs="Times New Roman"/>
                      <w:color w:val="auto"/>
                      <w:sz w:val="22"/>
                      <w:szCs w:val="22"/>
                    </w:rPr>
                  </w:pPr>
                  <w:r>
                    <w:rPr>
                      <w:rFonts w:hint="default" w:cs="Times New Roman"/>
                      <w:color w:val="auto"/>
                      <w:sz w:val="22"/>
                      <w:szCs w:val="22"/>
                      <w:lang w:val="en-US" w:eastAsia="zh-CN"/>
                    </w:rPr>
                    <w:t>50</w:t>
                  </w:r>
                  <w:r>
                    <w:rPr>
                      <w:rFonts w:hint="eastAsia" w:cs="Times New Roman"/>
                      <w:color w:val="auto"/>
                      <w:sz w:val="22"/>
                      <w:szCs w:val="22"/>
                      <w:lang w:val="en-US" w:eastAsia="zh-CN"/>
                    </w:rPr>
                    <w:t>人，5</w:t>
                  </w:r>
                  <w:r>
                    <w:rPr>
                      <w:rFonts w:hint="default" w:cs="Times New Roman"/>
                      <w:color w:val="auto"/>
                      <w:sz w:val="22"/>
                      <w:szCs w:val="22"/>
                      <w:lang w:val="en-US" w:eastAsia="zh-CN"/>
                    </w:rPr>
                    <w:t>0L/</w:t>
                  </w:r>
                  <w:r>
                    <w:rPr>
                      <w:rFonts w:hint="eastAsia" w:cs="Times New Roman"/>
                      <w:color w:val="auto"/>
                      <w:sz w:val="22"/>
                      <w:szCs w:val="22"/>
                      <w:lang w:val="en-US" w:eastAsia="zh-CN"/>
                    </w:rPr>
                    <w:t>人</w:t>
                  </w:r>
                  <w:r>
                    <w:rPr>
                      <w:rFonts w:hint="default" w:cs="Times New Roman"/>
                      <w:color w:val="auto"/>
                      <w:sz w:val="22"/>
                      <w:szCs w:val="22"/>
                      <w:lang w:val="en-US" w:eastAsia="zh-CN"/>
                    </w:rPr>
                    <w:t>·d</w:t>
                  </w:r>
                </w:p>
              </w:tc>
              <w:tc>
                <w:tcPr>
                  <w:tcW w:w="476" w:type="pct"/>
                  <w:vAlign w:val="center"/>
                </w:tcPr>
                <w:p w14:paraId="350DCF5A">
                  <w:pPr>
                    <w:pStyle w:val="141"/>
                    <w:rPr>
                      <w:rFonts w:hint="eastAsia" w:cs="Times New Roman"/>
                      <w:color w:val="auto"/>
                      <w:sz w:val="22"/>
                      <w:szCs w:val="22"/>
                      <w:lang w:val="en-US" w:eastAsia="zh-CN"/>
                    </w:rPr>
                  </w:pPr>
                  <w:r>
                    <w:rPr>
                      <w:rFonts w:hint="default" w:cs="Times New Roman"/>
                      <w:color w:val="auto"/>
                      <w:sz w:val="22"/>
                      <w:szCs w:val="22"/>
                      <w:lang w:val="en-US" w:eastAsia="zh-CN"/>
                    </w:rPr>
                    <w:t>2.5</w:t>
                  </w:r>
                </w:p>
              </w:tc>
              <w:tc>
                <w:tcPr>
                  <w:tcW w:w="454" w:type="pct"/>
                  <w:vAlign w:val="center"/>
                </w:tcPr>
                <w:p w14:paraId="4DB192ED">
                  <w:pPr>
                    <w:pStyle w:val="141"/>
                    <w:rPr>
                      <w:rFonts w:hint="eastAsia" w:cs="Times New Roman"/>
                      <w:color w:val="auto"/>
                      <w:sz w:val="22"/>
                      <w:szCs w:val="22"/>
                      <w:lang w:val="en-US" w:eastAsia="zh-CN"/>
                    </w:rPr>
                  </w:pPr>
                  <w:r>
                    <w:rPr>
                      <w:rFonts w:hint="default" w:cs="Times New Roman"/>
                      <w:color w:val="auto"/>
                      <w:sz w:val="22"/>
                      <w:szCs w:val="22"/>
                      <w:lang w:val="en-US" w:eastAsia="zh-CN"/>
                    </w:rPr>
                    <w:t>750</w:t>
                  </w:r>
                </w:p>
              </w:tc>
              <w:tc>
                <w:tcPr>
                  <w:tcW w:w="506" w:type="pct"/>
                  <w:vAlign w:val="center"/>
                </w:tcPr>
                <w:p w14:paraId="71B1559A">
                  <w:pPr>
                    <w:pStyle w:val="141"/>
                    <w:rPr>
                      <w:rFonts w:hint="eastAsia" w:cs="Times New Roman"/>
                      <w:color w:val="auto"/>
                      <w:sz w:val="22"/>
                      <w:szCs w:val="22"/>
                      <w:lang w:val="en-US" w:eastAsia="zh-CN"/>
                    </w:rPr>
                  </w:pPr>
                  <w:r>
                    <w:rPr>
                      <w:rFonts w:hint="default" w:cs="Times New Roman"/>
                      <w:color w:val="auto"/>
                      <w:sz w:val="22"/>
                      <w:szCs w:val="22"/>
                      <w:lang w:val="en-US" w:eastAsia="zh-CN"/>
                    </w:rPr>
                    <w:t>2.25</w:t>
                  </w:r>
                </w:p>
              </w:tc>
              <w:tc>
                <w:tcPr>
                  <w:tcW w:w="514" w:type="pct"/>
                  <w:vAlign w:val="center"/>
                </w:tcPr>
                <w:p w14:paraId="2DF6E3B4">
                  <w:pPr>
                    <w:pStyle w:val="141"/>
                    <w:rPr>
                      <w:rFonts w:hint="eastAsia" w:cs="Times New Roman"/>
                      <w:color w:val="auto"/>
                      <w:sz w:val="22"/>
                      <w:szCs w:val="22"/>
                      <w:lang w:val="en-US" w:eastAsia="zh-CN"/>
                    </w:rPr>
                  </w:pPr>
                  <w:r>
                    <w:rPr>
                      <w:rFonts w:hint="default" w:cs="Times New Roman"/>
                      <w:color w:val="auto"/>
                      <w:sz w:val="22"/>
                      <w:szCs w:val="22"/>
                      <w:lang w:val="en-US" w:eastAsia="zh-CN"/>
                    </w:rPr>
                    <w:t xml:space="preserve">675.000 </w:t>
                  </w:r>
                </w:p>
              </w:tc>
              <w:tc>
                <w:tcPr>
                  <w:tcW w:w="431" w:type="pct"/>
                  <w:vAlign w:val="center"/>
                </w:tcPr>
                <w:p w14:paraId="46913FD3">
                  <w:pPr>
                    <w:pStyle w:val="141"/>
                    <w:rPr>
                      <w:rFonts w:hint="default" w:cs="Times New Roman"/>
                      <w:color w:val="auto"/>
                      <w:sz w:val="22"/>
                      <w:szCs w:val="22"/>
                      <w:lang w:val="en-US" w:eastAsia="zh-CN"/>
                    </w:rPr>
                  </w:pPr>
                  <w:r>
                    <w:rPr>
                      <w:rFonts w:hint="eastAsia" w:cs="Times New Roman"/>
                      <w:color w:val="auto"/>
                      <w:sz w:val="22"/>
                      <w:szCs w:val="22"/>
                      <w:lang w:val="en-US" w:eastAsia="zh-CN"/>
                    </w:rPr>
                    <w:t>0.9</w:t>
                  </w:r>
                </w:p>
              </w:tc>
              <w:tc>
                <w:tcPr>
                  <w:tcW w:w="599" w:type="pct"/>
                  <w:vMerge w:val="continue"/>
                  <w:vAlign w:val="center"/>
                </w:tcPr>
                <w:p w14:paraId="185FEFBB">
                  <w:pPr>
                    <w:pStyle w:val="141"/>
                    <w:rPr>
                      <w:rFonts w:cs="Times New Roman"/>
                      <w:color w:val="auto"/>
                      <w:sz w:val="22"/>
                      <w:szCs w:val="22"/>
                    </w:rPr>
                  </w:pPr>
                </w:p>
              </w:tc>
            </w:tr>
            <w:tr w14:paraId="171D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trPr>
              <w:tc>
                <w:tcPr>
                  <w:tcW w:w="296" w:type="pct"/>
                  <w:vAlign w:val="center"/>
                </w:tcPr>
                <w:p w14:paraId="545A6863">
                  <w:pPr>
                    <w:pStyle w:val="141"/>
                    <w:rPr>
                      <w:rFonts w:hint="default" w:cs="Times New Roman"/>
                      <w:color w:val="auto"/>
                      <w:sz w:val="22"/>
                      <w:szCs w:val="22"/>
                      <w:lang w:val="en-US" w:eastAsia="zh-CN"/>
                    </w:rPr>
                  </w:pPr>
                  <w:r>
                    <w:rPr>
                      <w:rFonts w:hint="eastAsia" w:cs="Times New Roman"/>
                      <w:color w:val="auto"/>
                      <w:sz w:val="22"/>
                      <w:szCs w:val="22"/>
                      <w:lang w:val="en-US" w:eastAsia="zh-CN"/>
                    </w:rPr>
                    <w:t>3</w:t>
                  </w:r>
                </w:p>
              </w:tc>
              <w:tc>
                <w:tcPr>
                  <w:tcW w:w="818" w:type="pct"/>
                  <w:vAlign w:val="center"/>
                </w:tcPr>
                <w:p w14:paraId="3FB1F3DF">
                  <w:pPr>
                    <w:pStyle w:val="141"/>
                    <w:rPr>
                      <w:rFonts w:hint="eastAsia" w:cs="Times New Roman"/>
                      <w:color w:val="auto"/>
                      <w:sz w:val="22"/>
                      <w:szCs w:val="22"/>
                      <w:lang w:val="en-US" w:eastAsia="zh-CN"/>
                    </w:rPr>
                  </w:pPr>
                  <w:r>
                    <w:rPr>
                      <w:rFonts w:hint="eastAsia" w:cs="Times New Roman"/>
                      <w:color w:val="auto"/>
                      <w:sz w:val="22"/>
                      <w:szCs w:val="22"/>
                      <w:lang w:val="en-US" w:eastAsia="zh-CN"/>
                    </w:rPr>
                    <w:t>东地块设施清洁</w:t>
                  </w:r>
                </w:p>
              </w:tc>
              <w:tc>
                <w:tcPr>
                  <w:tcW w:w="901" w:type="pct"/>
                  <w:vAlign w:val="center"/>
                </w:tcPr>
                <w:p w14:paraId="386C313D">
                  <w:pPr>
                    <w:pStyle w:val="141"/>
                    <w:rPr>
                      <w:rFonts w:hint="default" w:cs="Times New Roman"/>
                      <w:color w:val="auto"/>
                      <w:sz w:val="22"/>
                      <w:szCs w:val="22"/>
                      <w:lang w:val="en-US" w:eastAsia="zh-CN"/>
                    </w:rPr>
                  </w:pPr>
                  <w:r>
                    <w:rPr>
                      <w:rFonts w:hint="eastAsia" w:cs="Times New Roman"/>
                      <w:color w:val="auto"/>
                      <w:sz w:val="22"/>
                      <w:szCs w:val="22"/>
                      <w:lang w:val="en-US" w:eastAsia="zh-CN"/>
                    </w:rPr>
                    <w:t>冷却塔、管道等清洗用水</w:t>
                  </w:r>
                </w:p>
              </w:tc>
              <w:tc>
                <w:tcPr>
                  <w:tcW w:w="476" w:type="pct"/>
                  <w:vAlign w:val="center"/>
                </w:tcPr>
                <w:p w14:paraId="5A40E196">
                  <w:pPr>
                    <w:pStyle w:val="141"/>
                    <w:rPr>
                      <w:rFonts w:hint="default" w:cs="Times New Roman"/>
                      <w:color w:val="auto"/>
                      <w:sz w:val="22"/>
                      <w:szCs w:val="22"/>
                      <w:lang w:val="en-US" w:eastAsia="zh-CN"/>
                    </w:rPr>
                  </w:pPr>
                  <w:r>
                    <w:rPr>
                      <w:rFonts w:hint="eastAsia" w:cs="Times New Roman"/>
                      <w:color w:val="auto"/>
                      <w:sz w:val="22"/>
                      <w:szCs w:val="22"/>
                      <w:lang w:val="en-US" w:eastAsia="zh-CN"/>
                    </w:rPr>
                    <w:t xml:space="preserve">1.067 </w:t>
                  </w:r>
                </w:p>
              </w:tc>
              <w:tc>
                <w:tcPr>
                  <w:tcW w:w="454" w:type="pct"/>
                  <w:vAlign w:val="center"/>
                </w:tcPr>
                <w:p w14:paraId="7EC5584F">
                  <w:pPr>
                    <w:pStyle w:val="141"/>
                    <w:rPr>
                      <w:rFonts w:hint="default" w:cs="Times New Roman"/>
                      <w:color w:val="auto"/>
                      <w:sz w:val="22"/>
                      <w:szCs w:val="22"/>
                      <w:lang w:val="en-US" w:eastAsia="zh-CN"/>
                    </w:rPr>
                  </w:pPr>
                  <w:r>
                    <w:rPr>
                      <w:rFonts w:hint="eastAsia" w:cs="Times New Roman"/>
                      <w:color w:val="auto"/>
                      <w:sz w:val="22"/>
                      <w:szCs w:val="22"/>
                      <w:lang w:val="en-US" w:eastAsia="zh-CN"/>
                    </w:rPr>
                    <w:t>320</w:t>
                  </w:r>
                </w:p>
              </w:tc>
              <w:tc>
                <w:tcPr>
                  <w:tcW w:w="506" w:type="pct"/>
                  <w:vAlign w:val="center"/>
                </w:tcPr>
                <w:p w14:paraId="0E3E0E45">
                  <w:pPr>
                    <w:pStyle w:val="141"/>
                    <w:rPr>
                      <w:rFonts w:hint="default" w:cs="Times New Roman"/>
                      <w:color w:val="auto"/>
                      <w:sz w:val="22"/>
                      <w:szCs w:val="22"/>
                      <w:lang w:val="en-US" w:eastAsia="zh-CN"/>
                    </w:rPr>
                  </w:pPr>
                  <w:r>
                    <w:rPr>
                      <w:rFonts w:hint="eastAsia" w:cs="Times New Roman"/>
                      <w:color w:val="auto"/>
                      <w:sz w:val="22"/>
                      <w:szCs w:val="22"/>
                      <w:lang w:val="en-US" w:eastAsia="zh-CN"/>
                    </w:rPr>
                    <w:t>0.96</w:t>
                  </w:r>
                </w:p>
              </w:tc>
              <w:tc>
                <w:tcPr>
                  <w:tcW w:w="514" w:type="pct"/>
                  <w:vAlign w:val="center"/>
                </w:tcPr>
                <w:p w14:paraId="6623A9FB">
                  <w:pPr>
                    <w:pStyle w:val="141"/>
                    <w:rPr>
                      <w:rFonts w:hint="default" w:cs="Times New Roman"/>
                      <w:color w:val="auto"/>
                      <w:sz w:val="22"/>
                      <w:szCs w:val="22"/>
                      <w:lang w:val="en-US" w:eastAsia="zh-CN"/>
                    </w:rPr>
                  </w:pPr>
                  <w:r>
                    <w:rPr>
                      <w:rFonts w:hint="eastAsia" w:cs="Times New Roman"/>
                      <w:color w:val="auto"/>
                      <w:sz w:val="22"/>
                      <w:szCs w:val="22"/>
                      <w:lang w:val="en-US" w:eastAsia="zh-CN"/>
                    </w:rPr>
                    <w:t>288</w:t>
                  </w:r>
                </w:p>
              </w:tc>
              <w:tc>
                <w:tcPr>
                  <w:tcW w:w="431" w:type="pct"/>
                  <w:vAlign w:val="center"/>
                </w:tcPr>
                <w:p w14:paraId="2F684741">
                  <w:pPr>
                    <w:pStyle w:val="141"/>
                    <w:rPr>
                      <w:rFonts w:hint="eastAsia" w:cs="Times New Roman"/>
                      <w:color w:val="auto"/>
                      <w:sz w:val="22"/>
                      <w:szCs w:val="22"/>
                      <w:lang w:val="en-US" w:eastAsia="zh-CN"/>
                    </w:rPr>
                  </w:pPr>
                  <w:r>
                    <w:rPr>
                      <w:rFonts w:hint="eastAsia" w:cs="Times New Roman"/>
                      <w:color w:val="auto"/>
                      <w:sz w:val="22"/>
                      <w:szCs w:val="22"/>
                      <w:lang w:val="en-US" w:eastAsia="zh-CN"/>
                    </w:rPr>
                    <w:t>0.9</w:t>
                  </w:r>
                </w:p>
              </w:tc>
              <w:tc>
                <w:tcPr>
                  <w:tcW w:w="599" w:type="pct"/>
                  <w:vMerge w:val="continue"/>
                  <w:vAlign w:val="center"/>
                </w:tcPr>
                <w:p w14:paraId="3FAFF89D">
                  <w:pPr>
                    <w:pStyle w:val="141"/>
                    <w:rPr>
                      <w:rFonts w:cs="Times New Roman"/>
                      <w:color w:val="auto"/>
                      <w:sz w:val="22"/>
                      <w:szCs w:val="22"/>
                    </w:rPr>
                  </w:pPr>
                </w:p>
              </w:tc>
            </w:tr>
            <w:tr w14:paraId="624C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trPr>
              <w:tc>
                <w:tcPr>
                  <w:tcW w:w="296" w:type="pct"/>
                  <w:vAlign w:val="center"/>
                </w:tcPr>
                <w:p w14:paraId="5E09C8C9">
                  <w:pPr>
                    <w:pStyle w:val="141"/>
                    <w:rPr>
                      <w:rFonts w:cs="Times New Roman"/>
                      <w:color w:val="auto"/>
                      <w:sz w:val="22"/>
                      <w:szCs w:val="22"/>
                    </w:rPr>
                  </w:pPr>
                  <w:r>
                    <w:rPr>
                      <w:rFonts w:hint="eastAsia" w:cs="Times New Roman"/>
                      <w:color w:val="auto"/>
                      <w:sz w:val="22"/>
                      <w:szCs w:val="22"/>
                      <w:lang w:val="en-US" w:eastAsia="zh-CN"/>
                    </w:rPr>
                    <w:t>4</w:t>
                  </w:r>
                </w:p>
              </w:tc>
              <w:tc>
                <w:tcPr>
                  <w:tcW w:w="818" w:type="pct"/>
                  <w:vAlign w:val="center"/>
                </w:tcPr>
                <w:p w14:paraId="47169E0C">
                  <w:pPr>
                    <w:pStyle w:val="141"/>
                    <w:rPr>
                      <w:rFonts w:hint="eastAsia" w:cs="Times New Roman"/>
                      <w:color w:val="auto"/>
                      <w:sz w:val="22"/>
                      <w:szCs w:val="22"/>
                    </w:rPr>
                  </w:pPr>
                  <w:r>
                    <w:rPr>
                      <w:rFonts w:hint="eastAsia" w:cs="Times New Roman"/>
                      <w:color w:val="auto"/>
                      <w:sz w:val="22"/>
                      <w:szCs w:val="22"/>
                      <w:lang w:val="en-US" w:eastAsia="zh-CN"/>
                    </w:rPr>
                    <w:t>西地块办公</w:t>
                  </w:r>
                </w:p>
              </w:tc>
              <w:tc>
                <w:tcPr>
                  <w:tcW w:w="901" w:type="pct"/>
                  <w:vAlign w:val="center"/>
                </w:tcPr>
                <w:p w14:paraId="3DDEE6C9">
                  <w:pPr>
                    <w:pStyle w:val="141"/>
                    <w:rPr>
                      <w:rFonts w:hint="eastAsia" w:cs="Times New Roman"/>
                      <w:color w:val="auto"/>
                      <w:sz w:val="22"/>
                      <w:szCs w:val="22"/>
                    </w:rPr>
                  </w:pPr>
                  <w:r>
                    <w:rPr>
                      <w:rFonts w:hint="default" w:cs="Times New Roman"/>
                      <w:color w:val="auto"/>
                      <w:sz w:val="22"/>
                      <w:szCs w:val="22"/>
                      <w:lang w:val="en-US" w:eastAsia="zh-CN"/>
                    </w:rPr>
                    <w:t>20</w:t>
                  </w:r>
                  <w:r>
                    <w:rPr>
                      <w:rFonts w:hint="eastAsia" w:cs="Times New Roman"/>
                      <w:color w:val="auto"/>
                      <w:sz w:val="22"/>
                      <w:szCs w:val="22"/>
                      <w:lang w:val="en-US" w:eastAsia="zh-CN"/>
                    </w:rPr>
                    <w:t>人，5</w:t>
                  </w:r>
                  <w:r>
                    <w:rPr>
                      <w:rFonts w:hint="default" w:cs="Times New Roman"/>
                      <w:color w:val="auto"/>
                      <w:sz w:val="22"/>
                      <w:szCs w:val="22"/>
                      <w:lang w:val="en-US" w:eastAsia="zh-CN"/>
                    </w:rPr>
                    <w:t>0L/</w:t>
                  </w:r>
                  <w:r>
                    <w:rPr>
                      <w:rFonts w:hint="eastAsia" w:cs="Times New Roman"/>
                      <w:color w:val="auto"/>
                      <w:sz w:val="22"/>
                      <w:szCs w:val="22"/>
                      <w:lang w:val="en-US" w:eastAsia="zh-CN"/>
                    </w:rPr>
                    <w:t>人</w:t>
                  </w:r>
                  <w:r>
                    <w:rPr>
                      <w:rFonts w:hint="default" w:cs="Times New Roman"/>
                      <w:color w:val="auto"/>
                      <w:sz w:val="22"/>
                      <w:szCs w:val="22"/>
                      <w:lang w:val="en-US" w:eastAsia="zh-CN"/>
                    </w:rPr>
                    <w:t>·d</w:t>
                  </w:r>
                </w:p>
              </w:tc>
              <w:tc>
                <w:tcPr>
                  <w:tcW w:w="476" w:type="pct"/>
                  <w:vAlign w:val="center"/>
                </w:tcPr>
                <w:p w14:paraId="63CBB659">
                  <w:pPr>
                    <w:pStyle w:val="141"/>
                    <w:rPr>
                      <w:rFonts w:hint="eastAsia" w:cs="Times New Roman"/>
                      <w:color w:val="auto"/>
                      <w:sz w:val="22"/>
                      <w:szCs w:val="22"/>
                      <w:lang w:val="en-US" w:eastAsia="zh-CN"/>
                    </w:rPr>
                  </w:pPr>
                  <w:r>
                    <w:rPr>
                      <w:rFonts w:hint="default" w:cs="Times New Roman"/>
                      <w:color w:val="auto"/>
                      <w:sz w:val="22"/>
                      <w:szCs w:val="22"/>
                      <w:lang w:val="en-US" w:eastAsia="zh-CN"/>
                    </w:rPr>
                    <w:t>1</w:t>
                  </w:r>
                </w:p>
              </w:tc>
              <w:tc>
                <w:tcPr>
                  <w:tcW w:w="454" w:type="pct"/>
                  <w:vAlign w:val="center"/>
                </w:tcPr>
                <w:p w14:paraId="05E7235D">
                  <w:pPr>
                    <w:pStyle w:val="141"/>
                    <w:rPr>
                      <w:rFonts w:hint="eastAsia" w:cs="Times New Roman"/>
                      <w:color w:val="auto"/>
                      <w:sz w:val="22"/>
                      <w:szCs w:val="22"/>
                      <w:lang w:val="en-US" w:eastAsia="zh-CN"/>
                    </w:rPr>
                  </w:pPr>
                  <w:r>
                    <w:rPr>
                      <w:rFonts w:hint="default" w:cs="Times New Roman"/>
                      <w:color w:val="auto"/>
                      <w:sz w:val="22"/>
                      <w:szCs w:val="22"/>
                      <w:lang w:val="en-US" w:eastAsia="zh-CN"/>
                    </w:rPr>
                    <w:t>300</w:t>
                  </w:r>
                </w:p>
              </w:tc>
              <w:tc>
                <w:tcPr>
                  <w:tcW w:w="506" w:type="pct"/>
                  <w:vAlign w:val="center"/>
                </w:tcPr>
                <w:p w14:paraId="52C9FA23">
                  <w:pPr>
                    <w:pStyle w:val="141"/>
                    <w:rPr>
                      <w:rFonts w:hint="eastAsia" w:cs="Times New Roman"/>
                      <w:color w:val="auto"/>
                      <w:sz w:val="22"/>
                      <w:szCs w:val="22"/>
                      <w:lang w:val="en-US" w:eastAsia="zh-CN"/>
                    </w:rPr>
                  </w:pPr>
                  <w:r>
                    <w:rPr>
                      <w:rFonts w:hint="default" w:cs="Times New Roman"/>
                      <w:color w:val="auto"/>
                      <w:sz w:val="22"/>
                      <w:szCs w:val="22"/>
                      <w:lang w:val="en-US" w:eastAsia="zh-CN"/>
                    </w:rPr>
                    <w:t>0.9</w:t>
                  </w:r>
                </w:p>
              </w:tc>
              <w:tc>
                <w:tcPr>
                  <w:tcW w:w="514" w:type="pct"/>
                  <w:vAlign w:val="center"/>
                </w:tcPr>
                <w:p w14:paraId="7B262F71">
                  <w:pPr>
                    <w:pStyle w:val="141"/>
                    <w:rPr>
                      <w:rFonts w:hint="eastAsia" w:cs="Times New Roman"/>
                      <w:color w:val="auto"/>
                      <w:sz w:val="22"/>
                      <w:szCs w:val="22"/>
                      <w:lang w:val="en-US" w:eastAsia="zh-CN"/>
                    </w:rPr>
                  </w:pPr>
                  <w:r>
                    <w:rPr>
                      <w:rFonts w:hint="default" w:cs="Times New Roman"/>
                      <w:color w:val="auto"/>
                      <w:sz w:val="22"/>
                      <w:szCs w:val="22"/>
                      <w:lang w:val="en-US" w:eastAsia="zh-CN"/>
                    </w:rPr>
                    <w:t xml:space="preserve">270.000 </w:t>
                  </w:r>
                </w:p>
              </w:tc>
              <w:tc>
                <w:tcPr>
                  <w:tcW w:w="431" w:type="pct"/>
                  <w:vAlign w:val="center"/>
                </w:tcPr>
                <w:p w14:paraId="029EDC7F">
                  <w:pPr>
                    <w:pStyle w:val="141"/>
                    <w:rPr>
                      <w:rFonts w:hint="default" w:cs="Times New Roman"/>
                      <w:color w:val="auto"/>
                      <w:sz w:val="22"/>
                      <w:szCs w:val="22"/>
                      <w:lang w:val="en-US" w:eastAsia="zh-CN"/>
                    </w:rPr>
                  </w:pPr>
                  <w:r>
                    <w:rPr>
                      <w:rFonts w:hint="eastAsia" w:cs="Times New Roman"/>
                      <w:color w:val="auto"/>
                      <w:sz w:val="22"/>
                      <w:szCs w:val="22"/>
                      <w:lang w:val="en-US" w:eastAsia="zh-CN"/>
                    </w:rPr>
                    <w:t>0.9</w:t>
                  </w:r>
                </w:p>
              </w:tc>
              <w:tc>
                <w:tcPr>
                  <w:tcW w:w="599" w:type="pct"/>
                  <w:vMerge w:val="restart"/>
                  <w:vAlign w:val="center"/>
                </w:tcPr>
                <w:p w14:paraId="213E1852">
                  <w:pPr>
                    <w:pStyle w:val="141"/>
                    <w:rPr>
                      <w:rFonts w:hint="default" w:cs="Times New Roman"/>
                      <w:color w:val="auto"/>
                      <w:sz w:val="22"/>
                      <w:szCs w:val="22"/>
                      <w:lang w:val="en-US" w:eastAsia="zh-CN"/>
                    </w:rPr>
                  </w:pPr>
                  <w:r>
                    <w:rPr>
                      <w:rFonts w:hint="eastAsia" w:cs="Times New Roman"/>
                      <w:color w:val="auto"/>
                      <w:sz w:val="22"/>
                      <w:szCs w:val="22"/>
                      <w:lang w:val="en-US" w:eastAsia="zh-CN"/>
                    </w:rPr>
                    <w:t>西地块化粪池</w:t>
                  </w:r>
                </w:p>
              </w:tc>
            </w:tr>
            <w:tr w14:paraId="0FE5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trPr>
              <w:tc>
                <w:tcPr>
                  <w:tcW w:w="296" w:type="pct"/>
                  <w:vAlign w:val="center"/>
                </w:tcPr>
                <w:p w14:paraId="0CE78464">
                  <w:pPr>
                    <w:pStyle w:val="141"/>
                    <w:rPr>
                      <w:rFonts w:cs="Times New Roman"/>
                      <w:color w:val="auto"/>
                      <w:sz w:val="22"/>
                      <w:szCs w:val="22"/>
                    </w:rPr>
                  </w:pPr>
                  <w:r>
                    <w:rPr>
                      <w:rFonts w:hint="eastAsia" w:cs="Times New Roman"/>
                      <w:color w:val="auto"/>
                      <w:sz w:val="22"/>
                      <w:szCs w:val="22"/>
                      <w:lang w:val="en-US" w:eastAsia="zh-CN"/>
                    </w:rPr>
                    <w:t>5</w:t>
                  </w:r>
                </w:p>
              </w:tc>
              <w:tc>
                <w:tcPr>
                  <w:tcW w:w="818" w:type="pct"/>
                  <w:vAlign w:val="center"/>
                </w:tcPr>
                <w:p w14:paraId="3BD06B58">
                  <w:pPr>
                    <w:pStyle w:val="141"/>
                    <w:rPr>
                      <w:rFonts w:hint="eastAsia" w:cs="Times New Roman"/>
                      <w:color w:val="auto"/>
                      <w:sz w:val="22"/>
                      <w:szCs w:val="22"/>
                    </w:rPr>
                  </w:pPr>
                  <w:r>
                    <w:rPr>
                      <w:rFonts w:hint="eastAsia" w:cs="Times New Roman"/>
                      <w:color w:val="auto"/>
                      <w:sz w:val="22"/>
                      <w:szCs w:val="22"/>
                      <w:lang w:val="en-US" w:eastAsia="zh-CN"/>
                    </w:rPr>
                    <w:t>西地块循环水</w:t>
                  </w:r>
                </w:p>
              </w:tc>
              <w:tc>
                <w:tcPr>
                  <w:tcW w:w="901" w:type="pct"/>
                  <w:vAlign w:val="center"/>
                </w:tcPr>
                <w:p w14:paraId="6E42B31F">
                  <w:pPr>
                    <w:pStyle w:val="141"/>
                    <w:rPr>
                      <w:rFonts w:hint="default" w:cs="Times New Roman"/>
                      <w:color w:val="auto"/>
                      <w:sz w:val="22"/>
                      <w:szCs w:val="22"/>
                      <w:lang w:val="en-US"/>
                    </w:rPr>
                  </w:pPr>
                  <w:r>
                    <w:rPr>
                      <w:rFonts w:hint="eastAsia" w:cs="Times New Roman"/>
                      <w:color w:val="auto"/>
                      <w:sz w:val="22"/>
                      <w:szCs w:val="22"/>
                      <w:lang w:val="en-US" w:eastAsia="zh-CN"/>
                    </w:rPr>
                    <w:t>循环水</w:t>
                  </w:r>
                  <w:r>
                    <w:rPr>
                      <w:rFonts w:hint="default" w:cs="Times New Roman"/>
                      <w:color w:val="auto"/>
                      <w:sz w:val="22"/>
                      <w:szCs w:val="22"/>
                      <w:lang w:val="en-US" w:eastAsia="zh-CN"/>
                    </w:rPr>
                    <w:t>360m</w:t>
                  </w:r>
                  <w:r>
                    <w:rPr>
                      <w:rFonts w:hint="default" w:cs="Times New Roman"/>
                      <w:color w:val="auto"/>
                      <w:sz w:val="22"/>
                      <w:szCs w:val="22"/>
                      <w:vertAlign w:val="superscript"/>
                      <w:lang w:val="en-US" w:eastAsia="zh-CN"/>
                    </w:rPr>
                    <w:t>3</w:t>
                  </w:r>
                  <w:r>
                    <w:rPr>
                      <w:rFonts w:hint="default" w:cs="Times New Roman"/>
                      <w:color w:val="auto"/>
                      <w:sz w:val="22"/>
                      <w:szCs w:val="22"/>
                      <w:lang w:val="en-US" w:eastAsia="zh-CN"/>
                    </w:rPr>
                    <w:t>/d</w:t>
                  </w:r>
                  <w:r>
                    <w:rPr>
                      <w:rFonts w:hint="eastAsia" w:cs="Times New Roman"/>
                      <w:color w:val="auto"/>
                      <w:sz w:val="22"/>
                      <w:szCs w:val="22"/>
                      <w:lang w:val="en-US" w:eastAsia="zh-CN"/>
                    </w:rPr>
                    <w:t>，补水量为循环水量的1%</w:t>
                  </w:r>
                </w:p>
              </w:tc>
              <w:tc>
                <w:tcPr>
                  <w:tcW w:w="476" w:type="pct"/>
                  <w:vAlign w:val="center"/>
                </w:tcPr>
                <w:p w14:paraId="22408B7C">
                  <w:pPr>
                    <w:pStyle w:val="141"/>
                    <w:rPr>
                      <w:rFonts w:hint="default" w:cs="Times New Roman"/>
                      <w:color w:val="auto"/>
                      <w:sz w:val="22"/>
                      <w:szCs w:val="22"/>
                      <w:lang w:val="en-US" w:eastAsia="zh-CN"/>
                    </w:rPr>
                  </w:pPr>
                  <w:r>
                    <w:rPr>
                      <w:rFonts w:hint="default" w:cs="Times New Roman"/>
                      <w:color w:val="auto"/>
                      <w:sz w:val="22"/>
                      <w:szCs w:val="22"/>
                      <w:lang w:val="en-US" w:eastAsia="zh-CN"/>
                    </w:rPr>
                    <w:t>3.6</w:t>
                  </w:r>
                </w:p>
              </w:tc>
              <w:tc>
                <w:tcPr>
                  <w:tcW w:w="454" w:type="pct"/>
                  <w:vAlign w:val="center"/>
                </w:tcPr>
                <w:p w14:paraId="2AC3E3D8">
                  <w:pPr>
                    <w:pStyle w:val="141"/>
                    <w:rPr>
                      <w:rFonts w:hint="default" w:cs="Times New Roman"/>
                      <w:color w:val="auto"/>
                      <w:sz w:val="22"/>
                      <w:szCs w:val="22"/>
                      <w:lang w:val="en-US" w:eastAsia="zh-CN"/>
                    </w:rPr>
                  </w:pPr>
                  <w:r>
                    <w:rPr>
                      <w:rFonts w:hint="default" w:cs="Times New Roman"/>
                      <w:color w:val="auto"/>
                      <w:sz w:val="22"/>
                      <w:szCs w:val="22"/>
                      <w:lang w:val="en-US" w:eastAsia="zh-CN"/>
                    </w:rPr>
                    <w:t>1080</w:t>
                  </w:r>
                </w:p>
              </w:tc>
              <w:tc>
                <w:tcPr>
                  <w:tcW w:w="506" w:type="pct"/>
                  <w:vAlign w:val="center"/>
                </w:tcPr>
                <w:p w14:paraId="2DDEDB98">
                  <w:pPr>
                    <w:pStyle w:val="141"/>
                    <w:rPr>
                      <w:rFonts w:hint="default" w:cs="Times New Roman"/>
                      <w:color w:val="auto"/>
                      <w:sz w:val="22"/>
                      <w:szCs w:val="22"/>
                      <w:lang w:val="en-US" w:eastAsia="zh-CN"/>
                    </w:rPr>
                  </w:pPr>
                  <w:r>
                    <w:rPr>
                      <w:rFonts w:hint="default" w:cs="Times New Roman"/>
                      <w:color w:val="auto"/>
                      <w:sz w:val="22"/>
                      <w:szCs w:val="22"/>
                      <w:lang w:val="en-US" w:eastAsia="zh-CN"/>
                    </w:rPr>
                    <w:t>0.72</w:t>
                  </w:r>
                </w:p>
              </w:tc>
              <w:tc>
                <w:tcPr>
                  <w:tcW w:w="514" w:type="pct"/>
                  <w:vAlign w:val="center"/>
                </w:tcPr>
                <w:p w14:paraId="4CFBED69">
                  <w:pPr>
                    <w:pStyle w:val="141"/>
                    <w:rPr>
                      <w:rFonts w:hint="default" w:cs="Times New Roman"/>
                      <w:color w:val="auto"/>
                      <w:sz w:val="22"/>
                      <w:szCs w:val="22"/>
                      <w:lang w:val="en-US" w:eastAsia="zh-CN"/>
                    </w:rPr>
                  </w:pPr>
                  <w:r>
                    <w:rPr>
                      <w:rFonts w:hint="default" w:cs="Times New Roman"/>
                      <w:color w:val="auto"/>
                      <w:sz w:val="22"/>
                      <w:szCs w:val="22"/>
                      <w:lang w:val="en-US" w:eastAsia="zh-CN"/>
                    </w:rPr>
                    <w:t xml:space="preserve">216.000 </w:t>
                  </w:r>
                </w:p>
              </w:tc>
              <w:tc>
                <w:tcPr>
                  <w:tcW w:w="431" w:type="pct"/>
                  <w:vAlign w:val="center"/>
                </w:tcPr>
                <w:p w14:paraId="196C6F55">
                  <w:pPr>
                    <w:pStyle w:val="141"/>
                    <w:rPr>
                      <w:rFonts w:hint="default" w:cs="Times New Roman"/>
                      <w:color w:val="auto"/>
                      <w:sz w:val="22"/>
                      <w:szCs w:val="22"/>
                      <w:lang w:val="en-US" w:eastAsia="zh-CN"/>
                    </w:rPr>
                  </w:pPr>
                  <w:r>
                    <w:rPr>
                      <w:rFonts w:hint="eastAsia" w:cs="Times New Roman"/>
                      <w:color w:val="auto"/>
                      <w:sz w:val="22"/>
                      <w:szCs w:val="22"/>
                      <w:lang w:val="en-US" w:eastAsia="zh-CN"/>
                    </w:rPr>
                    <w:t>0.2</w:t>
                  </w:r>
                </w:p>
              </w:tc>
              <w:tc>
                <w:tcPr>
                  <w:tcW w:w="599" w:type="pct"/>
                  <w:vMerge w:val="continue"/>
                  <w:vAlign w:val="center"/>
                </w:tcPr>
                <w:p w14:paraId="15F36BEB">
                  <w:pPr>
                    <w:pStyle w:val="141"/>
                    <w:rPr>
                      <w:rFonts w:hint="default" w:cs="Times New Roman"/>
                      <w:color w:val="auto"/>
                      <w:sz w:val="22"/>
                      <w:szCs w:val="22"/>
                      <w:lang w:val="en-US" w:eastAsia="zh-CN"/>
                    </w:rPr>
                  </w:pPr>
                </w:p>
              </w:tc>
            </w:tr>
            <w:tr w14:paraId="701D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trPr>
              <w:tc>
                <w:tcPr>
                  <w:tcW w:w="296" w:type="pct"/>
                  <w:vAlign w:val="center"/>
                </w:tcPr>
                <w:p w14:paraId="057C9068">
                  <w:pPr>
                    <w:pStyle w:val="141"/>
                    <w:rPr>
                      <w:rFonts w:hint="default" w:cs="Times New Roman"/>
                      <w:color w:val="auto"/>
                      <w:sz w:val="22"/>
                      <w:szCs w:val="22"/>
                      <w:lang w:val="en-US" w:eastAsia="zh-CN"/>
                    </w:rPr>
                  </w:pPr>
                  <w:r>
                    <w:rPr>
                      <w:rFonts w:hint="eastAsia" w:cs="Times New Roman"/>
                      <w:color w:val="auto"/>
                      <w:sz w:val="22"/>
                      <w:szCs w:val="22"/>
                      <w:lang w:val="en-US" w:eastAsia="zh-CN"/>
                    </w:rPr>
                    <w:t>6</w:t>
                  </w:r>
                </w:p>
              </w:tc>
              <w:tc>
                <w:tcPr>
                  <w:tcW w:w="818" w:type="pct"/>
                  <w:vAlign w:val="center"/>
                </w:tcPr>
                <w:p w14:paraId="2092F44C">
                  <w:pPr>
                    <w:pStyle w:val="141"/>
                    <w:rPr>
                      <w:rFonts w:hint="eastAsia" w:cs="Times New Roman"/>
                      <w:color w:val="auto"/>
                      <w:sz w:val="22"/>
                      <w:szCs w:val="22"/>
                      <w:lang w:val="en-US" w:eastAsia="zh-CN"/>
                    </w:rPr>
                  </w:pPr>
                  <w:r>
                    <w:rPr>
                      <w:rFonts w:hint="eastAsia" w:cs="Times New Roman"/>
                      <w:color w:val="auto"/>
                      <w:sz w:val="22"/>
                      <w:szCs w:val="22"/>
                      <w:lang w:val="en-US" w:eastAsia="zh-CN"/>
                    </w:rPr>
                    <w:t>西地块设施清洁</w:t>
                  </w:r>
                </w:p>
              </w:tc>
              <w:tc>
                <w:tcPr>
                  <w:tcW w:w="901" w:type="pct"/>
                  <w:vAlign w:val="center"/>
                </w:tcPr>
                <w:p w14:paraId="284D8863">
                  <w:pPr>
                    <w:pStyle w:val="141"/>
                    <w:rPr>
                      <w:rFonts w:hint="eastAsia" w:cs="Times New Roman"/>
                      <w:color w:val="auto"/>
                      <w:sz w:val="22"/>
                      <w:szCs w:val="22"/>
                      <w:lang w:val="en-US" w:eastAsia="zh-CN"/>
                    </w:rPr>
                  </w:pPr>
                  <w:r>
                    <w:rPr>
                      <w:rFonts w:hint="eastAsia" w:cs="Times New Roman"/>
                      <w:color w:val="auto"/>
                      <w:sz w:val="22"/>
                      <w:szCs w:val="22"/>
                      <w:lang w:val="en-US" w:eastAsia="zh-CN"/>
                    </w:rPr>
                    <w:t>冷却塔、管道、水池等清洗用水</w:t>
                  </w:r>
                </w:p>
              </w:tc>
              <w:tc>
                <w:tcPr>
                  <w:tcW w:w="476" w:type="pct"/>
                  <w:vAlign w:val="center"/>
                </w:tcPr>
                <w:p w14:paraId="4D3EC1B9">
                  <w:pPr>
                    <w:pStyle w:val="141"/>
                    <w:rPr>
                      <w:rFonts w:hint="default" w:cs="Times New Roman"/>
                      <w:color w:val="auto"/>
                      <w:sz w:val="22"/>
                      <w:szCs w:val="22"/>
                      <w:lang w:val="en-US" w:eastAsia="zh-CN"/>
                    </w:rPr>
                  </w:pPr>
                  <w:r>
                    <w:rPr>
                      <w:rFonts w:hint="eastAsia" w:cs="Times New Roman"/>
                      <w:color w:val="auto"/>
                      <w:sz w:val="22"/>
                      <w:szCs w:val="22"/>
                      <w:lang w:val="en-US" w:eastAsia="zh-CN"/>
                    </w:rPr>
                    <w:t xml:space="preserve">10.733 </w:t>
                  </w:r>
                </w:p>
              </w:tc>
              <w:tc>
                <w:tcPr>
                  <w:tcW w:w="454" w:type="pct"/>
                  <w:vAlign w:val="center"/>
                </w:tcPr>
                <w:p w14:paraId="34732669">
                  <w:pPr>
                    <w:pStyle w:val="141"/>
                    <w:rPr>
                      <w:rFonts w:hint="default" w:cs="Times New Roman"/>
                      <w:color w:val="auto"/>
                      <w:sz w:val="22"/>
                      <w:szCs w:val="22"/>
                      <w:lang w:val="en-US" w:eastAsia="zh-CN"/>
                    </w:rPr>
                  </w:pPr>
                  <w:r>
                    <w:rPr>
                      <w:rFonts w:hint="eastAsia" w:cs="Times New Roman"/>
                      <w:color w:val="auto"/>
                      <w:sz w:val="22"/>
                      <w:szCs w:val="22"/>
                      <w:lang w:val="en-US" w:eastAsia="zh-CN"/>
                    </w:rPr>
                    <w:t>3220</w:t>
                  </w:r>
                </w:p>
              </w:tc>
              <w:tc>
                <w:tcPr>
                  <w:tcW w:w="506" w:type="pct"/>
                  <w:vAlign w:val="center"/>
                </w:tcPr>
                <w:p w14:paraId="62541995">
                  <w:pPr>
                    <w:pStyle w:val="141"/>
                    <w:rPr>
                      <w:rFonts w:hint="default" w:cs="Times New Roman"/>
                      <w:color w:val="auto"/>
                      <w:sz w:val="22"/>
                      <w:szCs w:val="22"/>
                      <w:lang w:val="en-US" w:eastAsia="zh-CN"/>
                    </w:rPr>
                  </w:pPr>
                  <w:r>
                    <w:rPr>
                      <w:rFonts w:hint="eastAsia" w:cs="Times New Roman"/>
                      <w:color w:val="auto"/>
                      <w:sz w:val="22"/>
                      <w:szCs w:val="22"/>
                      <w:lang w:val="en-US" w:eastAsia="zh-CN"/>
                    </w:rPr>
                    <w:t>9.66</w:t>
                  </w:r>
                </w:p>
              </w:tc>
              <w:tc>
                <w:tcPr>
                  <w:tcW w:w="514" w:type="pct"/>
                  <w:vAlign w:val="center"/>
                </w:tcPr>
                <w:p w14:paraId="2F9ED79E">
                  <w:pPr>
                    <w:pStyle w:val="141"/>
                    <w:rPr>
                      <w:rFonts w:hint="default" w:cs="Times New Roman"/>
                      <w:color w:val="auto"/>
                      <w:sz w:val="22"/>
                      <w:szCs w:val="22"/>
                      <w:lang w:val="en-US" w:eastAsia="zh-CN"/>
                    </w:rPr>
                  </w:pPr>
                  <w:r>
                    <w:rPr>
                      <w:rFonts w:hint="eastAsia" w:cs="Times New Roman"/>
                      <w:color w:val="auto"/>
                      <w:sz w:val="22"/>
                      <w:szCs w:val="22"/>
                      <w:lang w:val="en-US" w:eastAsia="zh-CN"/>
                    </w:rPr>
                    <w:t>2898</w:t>
                  </w:r>
                </w:p>
              </w:tc>
              <w:tc>
                <w:tcPr>
                  <w:tcW w:w="431" w:type="pct"/>
                  <w:vAlign w:val="center"/>
                </w:tcPr>
                <w:p w14:paraId="31E2F695">
                  <w:pPr>
                    <w:pStyle w:val="141"/>
                    <w:rPr>
                      <w:rFonts w:hint="eastAsia" w:cs="Times New Roman"/>
                      <w:color w:val="auto"/>
                      <w:sz w:val="22"/>
                      <w:szCs w:val="22"/>
                      <w:lang w:val="en-US" w:eastAsia="zh-CN"/>
                    </w:rPr>
                  </w:pPr>
                  <w:r>
                    <w:rPr>
                      <w:rFonts w:hint="eastAsia" w:cs="Times New Roman"/>
                      <w:color w:val="auto"/>
                      <w:sz w:val="22"/>
                      <w:szCs w:val="22"/>
                      <w:lang w:val="en-US" w:eastAsia="zh-CN"/>
                    </w:rPr>
                    <w:t>0.9</w:t>
                  </w:r>
                </w:p>
              </w:tc>
              <w:tc>
                <w:tcPr>
                  <w:tcW w:w="599" w:type="pct"/>
                  <w:vMerge w:val="continue"/>
                  <w:vAlign w:val="center"/>
                </w:tcPr>
                <w:p w14:paraId="71F244CA">
                  <w:pPr>
                    <w:pStyle w:val="141"/>
                    <w:rPr>
                      <w:rFonts w:hint="default" w:cs="Times New Roman"/>
                      <w:color w:val="auto"/>
                      <w:sz w:val="22"/>
                      <w:szCs w:val="22"/>
                      <w:lang w:val="en-US" w:eastAsia="zh-CN"/>
                    </w:rPr>
                  </w:pPr>
                </w:p>
              </w:tc>
            </w:tr>
            <w:tr w14:paraId="0817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trPr>
              <w:tc>
                <w:tcPr>
                  <w:tcW w:w="1115" w:type="pct"/>
                  <w:gridSpan w:val="2"/>
                  <w:vAlign w:val="center"/>
                </w:tcPr>
                <w:p w14:paraId="2DD88B87">
                  <w:pPr>
                    <w:pStyle w:val="141"/>
                    <w:rPr>
                      <w:rFonts w:hint="default" w:cs="Times New Roman"/>
                      <w:color w:val="auto"/>
                      <w:sz w:val="22"/>
                      <w:szCs w:val="22"/>
                      <w:lang w:val="en-US" w:eastAsia="zh-CN"/>
                    </w:rPr>
                  </w:pPr>
                  <w:r>
                    <w:rPr>
                      <w:rFonts w:hint="eastAsia" w:cs="Times New Roman"/>
                      <w:color w:val="auto"/>
                      <w:sz w:val="22"/>
                      <w:szCs w:val="22"/>
                      <w:lang w:val="en-US" w:eastAsia="zh-CN"/>
                    </w:rPr>
                    <w:t>合计</w:t>
                  </w:r>
                </w:p>
              </w:tc>
              <w:tc>
                <w:tcPr>
                  <w:tcW w:w="901" w:type="pct"/>
                  <w:vAlign w:val="center"/>
                </w:tcPr>
                <w:p w14:paraId="1EA24782">
                  <w:pPr>
                    <w:pStyle w:val="141"/>
                    <w:rPr>
                      <w:rFonts w:hint="default" w:cs="Times New Roman"/>
                      <w:color w:val="auto"/>
                      <w:sz w:val="22"/>
                      <w:szCs w:val="22"/>
                      <w:lang w:val="en-US" w:eastAsia="zh-CN"/>
                    </w:rPr>
                  </w:pPr>
                  <w:r>
                    <w:rPr>
                      <w:rFonts w:hint="default" w:cs="Times New Roman"/>
                      <w:color w:val="auto"/>
                      <w:sz w:val="22"/>
                      <w:szCs w:val="22"/>
                      <w:lang w:val="en-US" w:eastAsia="zh-CN"/>
                    </w:rPr>
                    <w:t>/</w:t>
                  </w:r>
                </w:p>
              </w:tc>
              <w:tc>
                <w:tcPr>
                  <w:tcW w:w="476" w:type="pct"/>
                  <w:vAlign w:val="center"/>
                </w:tcPr>
                <w:p w14:paraId="12F6626B">
                  <w:pPr>
                    <w:pStyle w:val="141"/>
                    <w:rPr>
                      <w:rFonts w:hint="default" w:cs="Times New Roman"/>
                      <w:color w:val="auto"/>
                      <w:sz w:val="22"/>
                      <w:szCs w:val="22"/>
                      <w:lang w:val="en-US" w:eastAsia="zh-CN"/>
                    </w:rPr>
                  </w:pPr>
                  <w:r>
                    <w:rPr>
                      <w:rFonts w:hint="eastAsia" w:cs="Times New Roman"/>
                      <w:color w:val="auto"/>
                      <w:sz w:val="22"/>
                      <w:szCs w:val="22"/>
                      <w:lang w:val="en-US" w:eastAsia="zh-CN"/>
                    </w:rPr>
                    <w:t>20.65</w:t>
                  </w:r>
                </w:p>
              </w:tc>
              <w:tc>
                <w:tcPr>
                  <w:tcW w:w="454" w:type="pct"/>
                  <w:vAlign w:val="center"/>
                </w:tcPr>
                <w:p w14:paraId="3BBA2292">
                  <w:pPr>
                    <w:pStyle w:val="141"/>
                    <w:rPr>
                      <w:rFonts w:hint="default" w:cs="Times New Roman"/>
                      <w:color w:val="auto"/>
                      <w:sz w:val="22"/>
                      <w:szCs w:val="22"/>
                      <w:lang w:val="en-US" w:eastAsia="zh-CN"/>
                    </w:rPr>
                  </w:pPr>
                  <w:r>
                    <w:rPr>
                      <w:rFonts w:hint="eastAsia" w:cs="Times New Roman"/>
                      <w:color w:val="auto"/>
                      <w:sz w:val="22"/>
                      <w:szCs w:val="22"/>
                      <w:lang w:val="en-US" w:eastAsia="zh-CN"/>
                    </w:rPr>
                    <w:t>6195</w:t>
                  </w:r>
                </w:p>
              </w:tc>
              <w:tc>
                <w:tcPr>
                  <w:tcW w:w="506" w:type="pct"/>
                  <w:vAlign w:val="center"/>
                </w:tcPr>
                <w:p w14:paraId="28339D26">
                  <w:pPr>
                    <w:pStyle w:val="141"/>
                    <w:rPr>
                      <w:rFonts w:hint="default" w:cs="Times New Roman"/>
                      <w:color w:val="auto"/>
                      <w:sz w:val="22"/>
                      <w:szCs w:val="22"/>
                      <w:lang w:val="en-US" w:eastAsia="zh-CN"/>
                    </w:rPr>
                  </w:pPr>
                  <w:r>
                    <w:rPr>
                      <w:rFonts w:hint="eastAsia" w:cs="Times New Roman"/>
                      <w:color w:val="auto"/>
                      <w:sz w:val="22"/>
                      <w:szCs w:val="22"/>
                      <w:lang w:val="en-US" w:eastAsia="zh-CN"/>
                    </w:rPr>
                    <w:t>16.065</w:t>
                  </w:r>
                </w:p>
              </w:tc>
              <w:tc>
                <w:tcPr>
                  <w:tcW w:w="514" w:type="pct"/>
                  <w:vAlign w:val="center"/>
                </w:tcPr>
                <w:p w14:paraId="171977EA">
                  <w:pPr>
                    <w:pStyle w:val="141"/>
                    <w:rPr>
                      <w:rFonts w:hint="default" w:cs="Times New Roman"/>
                      <w:color w:val="auto"/>
                      <w:sz w:val="22"/>
                      <w:szCs w:val="22"/>
                      <w:lang w:val="en-US" w:eastAsia="zh-CN"/>
                    </w:rPr>
                  </w:pPr>
                  <w:r>
                    <w:rPr>
                      <w:rFonts w:hint="eastAsia" w:cs="Times New Roman"/>
                      <w:color w:val="auto"/>
                      <w:sz w:val="22"/>
                      <w:szCs w:val="22"/>
                      <w:lang w:val="en-US" w:eastAsia="zh-CN"/>
                    </w:rPr>
                    <w:t>4819.5</w:t>
                  </w:r>
                </w:p>
              </w:tc>
              <w:tc>
                <w:tcPr>
                  <w:tcW w:w="431" w:type="pct"/>
                  <w:vAlign w:val="bottom"/>
                </w:tcPr>
                <w:p w14:paraId="1C391B22">
                  <w:pPr>
                    <w:pStyle w:val="141"/>
                    <w:rPr>
                      <w:rFonts w:hint="default" w:cs="Times New Roman"/>
                      <w:color w:val="auto"/>
                      <w:sz w:val="22"/>
                      <w:szCs w:val="22"/>
                      <w:lang w:val="en-US" w:eastAsia="zh-CN"/>
                    </w:rPr>
                  </w:pPr>
                  <w:r>
                    <w:rPr>
                      <w:rFonts w:hint="eastAsia" w:cs="Times New Roman"/>
                      <w:color w:val="auto"/>
                      <w:sz w:val="22"/>
                      <w:szCs w:val="22"/>
                      <w:lang w:val="en-US" w:eastAsia="zh-CN"/>
                    </w:rPr>
                    <w:t>/</w:t>
                  </w:r>
                </w:p>
              </w:tc>
              <w:tc>
                <w:tcPr>
                  <w:tcW w:w="599" w:type="pct"/>
                  <w:vAlign w:val="center"/>
                </w:tcPr>
                <w:p w14:paraId="1EE11731">
                  <w:pPr>
                    <w:pStyle w:val="141"/>
                    <w:rPr>
                      <w:rFonts w:hint="default" w:cs="Times New Roman"/>
                      <w:color w:val="auto"/>
                      <w:sz w:val="22"/>
                      <w:szCs w:val="22"/>
                      <w:lang w:val="en-US" w:eastAsia="zh-CN"/>
                    </w:rPr>
                  </w:pPr>
                  <w:r>
                    <w:rPr>
                      <w:rFonts w:hint="default" w:cs="Times New Roman"/>
                      <w:color w:val="auto"/>
                      <w:sz w:val="22"/>
                      <w:szCs w:val="22"/>
                      <w:lang w:val="en-US" w:eastAsia="zh-CN"/>
                    </w:rPr>
                    <w:t>/</w:t>
                  </w:r>
                </w:p>
              </w:tc>
            </w:tr>
          </w:tbl>
          <w:p w14:paraId="169E2EEC">
            <w:pPr>
              <w:pStyle w:val="82"/>
              <w:ind w:firstLine="0" w:firstLineChars="0"/>
              <w:jc w:val="center"/>
              <w:rPr>
                <w:rFonts w:hint="eastAsia" w:eastAsia="宋体"/>
                <w:color w:val="auto"/>
                <w:lang w:eastAsia="zh-CN"/>
              </w:rPr>
            </w:pPr>
            <w:r>
              <w:rPr>
                <w:color w:val="auto"/>
              </w:rPr>
              <w:drawing>
                <wp:inline distT="0" distB="0" distL="114300" distR="114300">
                  <wp:extent cx="5327015" cy="3761740"/>
                  <wp:effectExtent l="0" t="0" r="698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27015" cy="3761740"/>
                          </a:xfrm>
                          <a:prstGeom prst="rect">
                            <a:avLst/>
                          </a:prstGeom>
                          <a:noFill/>
                          <a:ln>
                            <a:noFill/>
                          </a:ln>
                        </pic:spPr>
                      </pic:pic>
                    </a:graphicData>
                  </a:graphic>
                </wp:inline>
              </w:drawing>
            </w:r>
          </w:p>
          <w:p w14:paraId="75DE7B43">
            <w:pPr>
              <w:pStyle w:val="82"/>
              <w:ind w:firstLine="0" w:firstLineChars="0"/>
              <w:jc w:val="center"/>
            </w:pPr>
            <w:r>
              <w:t>图2.9-1</w:t>
            </w:r>
            <w:r>
              <w:rPr>
                <w:rFonts w:hint="eastAsia"/>
              </w:rPr>
              <w:t>拟</w:t>
            </w:r>
            <w:r>
              <w:rPr>
                <w:rFonts w:hint="eastAsia"/>
                <w:color w:val="auto"/>
              </w:rPr>
              <w:t>建</w:t>
            </w:r>
            <w:r>
              <w:rPr>
                <w:color w:val="auto"/>
              </w:rPr>
              <w:t>项目</w:t>
            </w:r>
            <w:r>
              <w:rPr>
                <w:rFonts w:hint="eastAsia"/>
                <w:color w:val="auto"/>
                <w:lang w:val="en-US" w:eastAsia="zh-CN"/>
              </w:rPr>
              <w:t>新增用</w:t>
            </w:r>
            <w:bookmarkStart w:id="8" w:name="_GoBack"/>
            <w:bookmarkEnd w:id="8"/>
            <w:r>
              <w:rPr>
                <w:rFonts w:hint="eastAsia"/>
                <w:color w:val="auto"/>
                <w:lang w:val="en-US" w:eastAsia="zh-CN"/>
              </w:rPr>
              <w:t>水</w:t>
            </w:r>
            <w:r>
              <w:rPr>
                <w:color w:val="auto"/>
              </w:rPr>
              <w:t>水</w:t>
            </w:r>
            <w:r>
              <w:t>平衡图（单位：m</w:t>
            </w:r>
            <w:r>
              <w:rPr>
                <w:vertAlign w:val="superscript"/>
              </w:rPr>
              <w:t>3</w:t>
            </w:r>
            <w:r>
              <w:t>/d）</w:t>
            </w:r>
          </w:p>
          <w:p w14:paraId="3904B79D">
            <w:pPr>
              <w:pStyle w:val="82"/>
              <w:ind w:firstLine="0" w:firstLineChars="0"/>
              <w:jc w:val="center"/>
              <w:rPr>
                <w:rFonts w:hint="eastAsia" w:eastAsia="宋体"/>
                <w:lang w:eastAsia="zh-CN"/>
              </w:rPr>
            </w:pPr>
            <w:r>
              <w:drawing>
                <wp:inline distT="0" distB="0" distL="114300" distR="114300">
                  <wp:extent cx="5330190" cy="5794375"/>
                  <wp:effectExtent l="0" t="0" r="3810" b="1587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9"/>
                          <a:stretch>
                            <a:fillRect/>
                          </a:stretch>
                        </pic:blipFill>
                        <pic:spPr>
                          <a:xfrm>
                            <a:off x="0" y="0"/>
                            <a:ext cx="5330190" cy="5794375"/>
                          </a:xfrm>
                          <a:prstGeom prst="rect">
                            <a:avLst/>
                          </a:prstGeom>
                          <a:noFill/>
                          <a:ln>
                            <a:noFill/>
                          </a:ln>
                        </pic:spPr>
                      </pic:pic>
                    </a:graphicData>
                  </a:graphic>
                </wp:inline>
              </w:drawing>
            </w:r>
          </w:p>
          <w:p w14:paraId="05DA6538">
            <w:pPr>
              <w:pStyle w:val="82"/>
              <w:ind w:firstLine="0" w:firstLineChars="0"/>
              <w:jc w:val="center"/>
            </w:pPr>
            <w:r>
              <w:t>图2.9-1</w:t>
            </w:r>
            <w:r>
              <w:rPr>
                <w:rFonts w:hint="eastAsia"/>
              </w:rPr>
              <w:t>全厂</w:t>
            </w:r>
            <w:r>
              <w:t>水平衡图（单位：m</w:t>
            </w:r>
            <w:r>
              <w:rPr>
                <w:vertAlign w:val="superscript"/>
              </w:rPr>
              <w:t>3</w:t>
            </w:r>
            <w:r>
              <w:t>/d）</w:t>
            </w:r>
          </w:p>
          <w:p w14:paraId="0D69EB17">
            <w:pPr>
              <w:pStyle w:val="82"/>
              <w:ind w:firstLine="522"/>
              <w:rPr>
                <w:b/>
              </w:rPr>
            </w:pPr>
            <w:r>
              <w:rPr>
                <w:b/>
              </w:rPr>
              <w:t>2.10劳动定员及生产制度</w:t>
            </w:r>
          </w:p>
          <w:p w14:paraId="2443F149">
            <w:pPr>
              <w:pStyle w:val="82"/>
              <w:ind w:firstLine="520"/>
              <w:rPr>
                <w:rFonts w:cs="Times New Roman"/>
              </w:rPr>
            </w:pPr>
            <w:r>
              <w:t>本项目总</w:t>
            </w:r>
            <w:r>
              <w:rPr>
                <w:color w:val="auto"/>
              </w:rPr>
              <w:t>计</w:t>
            </w:r>
            <w:r>
              <w:rPr>
                <w:rFonts w:hint="eastAsia"/>
                <w:color w:val="auto"/>
                <w:lang w:val="en-US" w:eastAsia="zh-CN"/>
              </w:rPr>
              <w:t>新增</w:t>
            </w:r>
            <w:r>
              <w:rPr>
                <w:color w:val="auto"/>
              </w:rPr>
              <w:t>工作人员</w:t>
            </w:r>
            <w:r>
              <w:rPr>
                <w:rFonts w:hint="eastAsia"/>
                <w:color w:val="auto"/>
                <w:lang w:val="en-US" w:eastAsia="zh-CN"/>
              </w:rPr>
              <w:t>70</w:t>
            </w:r>
            <w:r>
              <w:t>人，全年生产天数300天。采用</w:t>
            </w:r>
            <w:r>
              <w:rPr>
                <w:rFonts w:hint="eastAsia"/>
                <w:lang w:val="en-US" w:eastAsia="zh-CN"/>
              </w:rPr>
              <w:t>2</w:t>
            </w:r>
            <w:r>
              <w:t>班工作制度，每班工作8小时。</w:t>
            </w:r>
          </w:p>
        </w:tc>
      </w:tr>
      <w:tr w14:paraId="698A0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76" w:hRule="atLeast"/>
          <w:jc w:val="center"/>
        </w:trPr>
        <w:tc>
          <w:tcPr>
            <w:tcW w:w="909" w:type="dxa"/>
            <w:vAlign w:val="center"/>
          </w:tcPr>
          <w:p w14:paraId="5093D30C">
            <w:pPr>
              <w:pStyle w:val="27"/>
              <w:adjustRightInd w:val="0"/>
              <w:snapToGrid w:val="0"/>
              <w:spacing w:before="0" w:beforeAutospacing="0" w:after="0" w:afterAutospacing="0"/>
              <w:jc w:val="center"/>
              <w:rPr>
                <w:rFonts w:ascii="Times New Roman" w:hAnsi="Times New Roman" w:cs="Times New Roman"/>
                <w:sz w:val="26"/>
                <w:szCs w:val="21"/>
              </w:rPr>
            </w:pPr>
            <w:r>
              <w:rPr>
                <w:rFonts w:ascii="Times New Roman" w:hAnsi="Times New Roman" w:cs="Times New Roman"/>
                <w:sz w:val="26"/>
                <w:szCs w:val="21"/>
              </w:rPr>
              <w:t>工艺流程和产排污环节</w:t>
            </w:r>
          </w:p>
        </w:tc>
        <w:tc>
          <w:tcPr>
            <w:tcW w:w="8617" w:type="dxa"/>
          </w:tcPr>
          <w:p w14:paraId="3332C2B8">
            <w:pPr>
              <w:pStyle w:val="82"/>
              <w:spacing w:line="480" w:lineRule="exact"/>
              <w:ind w:firstLine="522"/>
              <w:rPr>
                <w:b/>
                <w:color w:val="auto"/>
              </w:rPr>
            </w:pPr>
            <w:r>
              <w:rPr>
                <w:b/>
                <w:color w:val="auto"/>
              </w:rPr>
              <w:t>2.11施工期工艺流程及产排污环节</w:t>
            </w:r>
          </w:p>
          <w:p w14:paraId="612C3C1A">
            <w:pPr>
              <w:pStyle w:val="125"/>
              <w:spacing w:line="480" w:lineRule="exact"/>
              <w:ind w:firstLine="520"/>
              <w:rPr>
                <w:rFonts w:cs="Times New Roman"/>
                <w:color w:val="auto"/>
              </w:rPr>
            </w:pPr>
            <w:r>
              <w:rPr>
                <w:rFonts w:cs="Times New Roman"/>
                <w:color w:val="auto"/>
              </w:rPr>
              <w:t>项目在现有厂区新建生产线。施工期仅为内部装修和设备安装，施工时间较短，产生的污染物较少。施工期产污环节主要为施工人员的生活污水及生活垃圾、施工运输扬尘及装修期间产生的废气、施工噪声和拆除的设施、建筑垃圾、装修垃圾等。</w:t>
            </w:r>
          </w:p>
          <w:p w14:paraId="7D8333E6">
            <w:pPr>
              <w:pStyle w:val="82"/>
              <w:spacing w:line="480" w:lineRule="exact"/>
              <w:ind w:firstLine="522"/>
              <w:rPr>
                <w:b/>
                <w:color w:val="auto"/>
              </w:rPr>
            </w:pPr>
            <w:r>
              <w:rPr>
                <w:b/>
                <w:color w:val="auto"/>
              </w:rPr>
              <w:t>2.12运营期工艺流程及产排污环节</w:t>
            </w:r>
          </w:p>
          <w:p w14:paraId="2C147F7E">
            <w:pPr>
              <w:pStyle w:val="82"/>
              <w:spacing w:line="480" w:lineRule="exact"/>
              <w:ind w:firstLine="522"/>
              <w:rPr>
                <w:b/>
                <w:bCs w:val="0"/>
                <w:color w:val="auto"/>
              </w:rPr>
            </w:pPr>
            <w:r>
              <w:rPr>
                <w:b/>
                <w:bCs w:val="0"/>
                <w:color w:val="auto"/>
              </w:rPr>
              <w:t>2.12.1项目生产工艺</w:t>
            </w:r>
          </w:p>
          <w:p w14:paraId="731266EE">
            <w:pPr>
              <w:pStyle w:val="82"/>
              <w:spacing w:line="480" w:lineRule="exact"/>
              <w:ind w:firstLine="520"/>
              <w:rPr>
                <w:color w:val="auto"/>
              </w:rPr>
            </w:pPr>
            <w:r>
              <w:rPr>
                <w:color w:val="auto"/>
              </w:rPr>
              <w:t>2.12.1.1电驱桥装配和测试线生产工艺</w:t>
            </w:r>
          </w:p>
          <w:p w14:paraId="694A23FE">
            <w:pPr>
              <w:pStyle w:val="82"/>
              <w:spacing w:line="480" w:lineRule="exact"/>
              <w:ind w:firstLine="520"/>
              <w:rPr>
                <w:color w:val="auto"/>
              </w:rPr>
            </w:pPr>
            <w:r>
              <w:rPr>
                <w:color w:val="auto"/>
              </w:rPr>
              <w:t>本项目产品主要为重型电驱桥，生产工艺主要为：电机装配及泄漏测试、变速箱组件及桥腿安装、系统泄漏测试及线束装配</w:t>
            </w:r>
            <w:r>
              <w:rPr>
                <w:rFonts w:hint="eastAsia"/>
                <w:color w:val="auto"/>
              </w:rPr>
              <w:t>、下线测试、测试工装拆解</w:t>
            </w:r>
            <w:r>
              <w:rPr>
                <w:color w:val="auto"/>
              </w:rPr>
              <w:t>等。具体工艺流程及产排污环节如下：</w:t>
            </w:r>
          </w:p>
          <w:p w14:paraId="381FB424">
            <w:pPr>
              <w:pStyle w:val="82"/>
              <w:numPr>
                <w:ilvl w:val="0"/>
                <w:numId w:val="4"/>
              </w:numPr>
              <w:spacing w:line="480" w:lineRule="exact"/>
              <w:ind w:firstLine="520"/>
              <w:rPr>
                <w:color w:val="auto"/>
              </w:rPr>
            </w:pPr>
            <w:r>
              <w:rPr>
                <w:color w:val="auto"/>
              </w:rPr>
              <w:t>电机装配及泄漏测试</w:t>
            </w:r>
          </w:p>
          <w:p w14:paraId="76FCC9EC">
            <w:pPr>
              <w:pStyle w:val="82"/>
              <w:spacing w:line="480" w:lineRule="exact"/>
              <w:ind w:firstLine="520"/>
              <w:rPr>
                <w:color w:val="auto"/>
              </w:rPr>
            </w:pPr>
            <w:r>
              <w:rPr>
                <w:color w:val="auto"/>
              </w:rPr>
              <w:t>用平衡吊将电机吊至工作台，并安装水路和油路的密封圈；然后将电机压装入变速箱，</w:t>
            </w:r>
            <w:r>
              <w:rPr>
                <w:rFonts w:hint="eastAsia"/>
                <w:color w:val="auto"/>
              </w:rPr>
              <w:t>利用激光打标机对变速箱进行蚀刻打标，</w:t>
            </w:r>
            <w:r>
              <w:rPr>
                <w:color w:val="auto"/>
              </w:rPr>
              <w:t>并进行电机高压线束和冷却系统的安装；安装完成后进行电机的气密检测和电检测。测试合格进入下一步，不合格则返修。产生废包装、废零部件S1</w:t>
            </w:r>
            <w:r>
              <w:rPr>
                <w:rFonts w:hint="eastAsia"/>
                <w:color w:val="auto"/>
              </w:rPr>
              <w:t>，蚀刻打标产生废气颗粒物G1。</w:t>
            </w:r>
          </w:p>
          <w:p w14:paraId="295CCD4A">
            <w:pPr>
              <w:pStyle w:val="82"/>
              <w:numPr>
                <w:ilvl w:val="0"/>
                <w:numId w:val="4"/>
              </w:numPr>
              <w:spacing w:line="480" w:lineRule="exact"/>
              <w:ind w:firstLine="520"/>
              <w:rPr>
                <w:color w:val="auto"/>
              </w:rPr>
            </w:pPr>
            <w:r>
              <w:rPr>
                <w:color w:val="auto"/>
              </w:rPr>
              <w:t>变速箱组件及桥腿安装</w:t>
            </w:r>
          </w:p>
          <w:p w14:paraId="0875B287">
            <w:pPr>
              <w:pStyle w:val="82"/>
              <w:spacing w:line="480" w:lineRule="exact"/>
              <w:ind w:firstLine="520"/>
              <w:rPr>
                <w:color w:val="auto"/>
                <w:szCs w:val="26"/>
              </w:rPr>
            </w:pPr>
            <w:r>
              <w:rPr>
                <w:color w:val="auto"/>
                <w:szCs w:val="26"/>
              </w:rPr>
              <w:t>人工完成减速箱和桥腿的预装；在助力臂拧紧枪的帮助下，完成桥腿和DCA&amp;传感器的装配。安装合格进入下一步，不合格则返回上一步进行维修。</w:t>
            </w:r>
          </w:p>
          <w:p w14:paraId="47CCA7D0">
            <w:pPr>
              <w:pStyle w:val="82"/>
              <w:numPr>
                <w:ilvl w:val="0"/>
                <w:numId w:val="4"/>
              </w:numPr>
              <w:spacing w:line="480" w:lineRule="exact"/>
              <w:ind w:firstLine="520"/>
              <w:rPr>
                <w:color w:val="auto"/>
                <w:szCs w:val="26"/>
              </w:rPr>
            </w:pPr>
            <w:r>
              <w:rPr>
                <w:color w:val="auto"/>
                <w:szCs w:val="26"/>
              </w:rPr>
              <w:t>线束装配及系统泄漏测试</w:t>
            </w:r>
          </w:p>
          <w:p w14:paraId="3EDAACA9">
            <w:pPr>
              <w:pStyle w:val="82"/>
              <w:spacing w:line="480" w:lineRule="exact"/>
              <w:ind w:firstLine="520"/>
              <w:rPr>
                <w:rFonts w:hint="default" w:eastAsia="宋体"/>
                <w:color w:val="auto"/>
                <w:szCs w:val="26"/>
                <w:lang w:val="en-US" w:eastAsia="zh-CN"/>
              </w:rPr>
            </w:pPr>
            <w:r>
              <w:rPr>
                <w:color w:val="auto"/>
                <w:szCs w:val="26"/>
              </w:rPr>
              <w:t>安装</w:t>
            </w:r>
            <w:r>
              <w:rPr>
                <w:rFonts w:hint="eastAsia"/>
                <w:color w:val="auto"/>
                <w:szCs w:val="26"/>
              </w:rPr>
              <w:t>线束及相关支架</w:t>
            </w:r>
            <w:r>
              <w:rPr>
                <w:color w:val="auto"/>
                <w:szCs w:val="26"/>
              </w:rPr>
              <w:t>，使用压缩空气对整桥进行气密检测。测试和装配合格进入下一步，不合格则返回上一步进行维修</w:t>
            </w:r>
            <w:r>
              <w:rPr>
                <w:rFonts w:hint="eastAsia"/>
                <w:color w:val="auto"/>
                <w:szCs w:val="26"/>
                <w:lang w:eastAsia="zh-CN"/>
              </w:rPr>
              <w:t>，</w:t>
            </w:r>
            <w:r>
              <w:rPr>
                <w:rFonts w:hint="eastAsia"/>
                <w:color w:val="auto"/>
                <w:sz w:val="26"/>
                <w:szCs w:val="26"/>
                <w:lang w:val="en-US" w:eastAsia="zh-CN"/>
              </w:rPr>
              <w:t>此过程中，涉及电驱桥水管/油管的测试拆解，该过程防冻液与润滑油混合，产生油水混合物S10。</w:t>
            </w:r>
          </w:p>
          <w:p w14:paraId="7A801A5F">
            <w:pPr>
              <w:pStyle w:val="82"/>
              <w:numPr>
                <w:ilvl w:val="0"/>
                <w:numId w:val="4"/>
              </w:numPr>
              <w:spacing w:line="480" w:lineRule="exact"/>
              <w:ind w:firstLine="520"/>
              <w:rPr>
                <w:color w:val="auto"/>
                <w:szCs w:val="26"/>
              </w:rPr>
            </w:pPr>
            <w:r>
              <w:rPr>
                <w:color w:val="auto"/>
                <w:szCs w:val="26"/>
              </w:rPr>
              <w:t>下线测试</w:t>
            </w:r>
          </w:p>
          <w:p w14:paraId="16E92942">
            <w:pPr>
              <w:pStyle w:val="82"/>
              <w:spacing w:line="480" w:lineRule="exact"/>
              <w:ind w:firstLine="520"/>
              <w:rPr>
                <w:rFonts w:hint="eastAsia" w:eastAsia="宋体"/>
                <w:color w:val="auto"/>
                <w:szCs w:val="26"/>
                <w:lang w:val="en-US" w:eastAsia="zh-CN"/>
              </w:rPr>
            </w:pPr>
            <w:r>
              <w:rPr>
                <w:color w:val="auto"/>
                <w:szCs w:val="26"/>
              </w:rPr>
              <w:t>产品下线进行测试，在测试台完成功能、效率以及振动和噪声（NVH）的检测，测试过程使用变速箱油、电机润滑油和防冻液。测试合格进入下一步，不合格则返回上一步进行维修。该流程产生废机油（S</w:t>
            </w:r>
            <w:r>
              <w:rPr>
                <w:rFonts w:hint="eastAsia"/>
                <w:color w:val="auto"/>
                <w:szCs w:val="26"/>
                <w:lang w:val="en-US" w:eastAsia="zh-CN"/>
              </w:rPr>
              <w:t>6</w:t>
            </w:r>
            <w:r>
              <w:rPr>
                <w:rFonts w:hint="eastAsia"/>
                <w:color w:val="auto"/>
                <w:szCs w:val="26"/>
                <w:lang w:eastAsia="zh-CN"/>
              </w:rPr>
              <w:t>）</w:t>
            </w:r>
            <w:r>
              <w:rPr>
                <w:color w:val="auto"/>
                <w:szCs w:val="26"/>
              </w:rPr>
              <w:t>、废防冻液（S</w:t>
            </w:r>
            <w:r>
              <w:rPr>
                <w:rFonts w:hint="eastAsia"/>
                <w:color w:val="auto"/>
                <w:szCs w:val="26"/>
                <w:lang w:val="en-US" w:eastAsia="zh-CN"/>
              </w:rPr>
              <w:t>9</w:t>
            </w:r>
            <w:r>
              <w:rPr>
                <w:color w:val="auto"/>
                <w:szCs w:val="26"/>
              </w:rPr>
              <w:t>）。</w:t>
            </w:r>
          </w:p>
          <w:p w14:paraId="4FA1F5A9">
            <w:pPr>
              <w:pStyle w:val="82"/>
              <w:numPr>
                <w:ilvl w:val="0"/>
                <w:numId w:val="4"/>
              </w:numPr>
              <w:spacing w:line="460" w:lineRule="exact"/>
              <w:ind w:firstLine="520"/>
              <w:rPr>
                <w:color w:val="auto"/>
                <w:szCs w:val="26"/>
              </w:rPr>
            </w:pPr>
            <w:r>
              <w:rPr>
                <w:color w:val="auto"/>
                <w:szCs w:val="26"/>
              </w:rPr>
              <w:t>测试工装拆解</w:t>
            </w:r>
          </w:p>
          <w:p w14:paraId="7A2F2097">
            <w:pPr>
              <w:pStyle w:val="82"/>
              <w:spacing w:line="460" w:lineRule="exact"/>
              <w:ind w:firstLine="520"/>
              <w:rPr>
                <w:rFonts w:hint="default" w:eastAsia="宋体"/>
                <w:color w:val="auto"/>
                <w:szCs w:val="26"/>
                <w:lang w:val="en-US" w:eastAsia="zh-CN"/>
              </w:rPr>
            </w:pPr>
            <w:r>
              <w:rPr>
                <w:color w:val="auto"/>
                <w:szCs w:val="26"/>
              </w:rPr>
              <w:t>测试完成后拆解测试工装，并吊装零件下线，安装</w:t>
            </w:r>
            <w:r>
              <w:rPr>
                <w:rFonts w:hint="eastAsia"/>
                <w:color w:val="auto"/>
                <w:szCs w:val="26"/>
              </w:rPr>
              <w:t>推力杆座</w:t>
            </w:r>
            <w:r>
              <w:rPr>
                <w:color w:val="auto"/>
                <w:szCs w:val="26"/>
              </w:rPr>
              <w:t>等剩余部件。拆解安装合格进入下一步，不合格则返回上一步进行维修。</w:t>
            </w:r>
            <w:r>
              <w:rPr>
                <w:rFonts w:hint="eastAsia"/>
                <w:color w:val="auto"/>
                <w:szCs w:val="26"/>
                <w:lang w:val="en-US" w:eastAsia="zh-CN"/>
              </w:rPr>
              <w:t>拆解过程产生油水混合物（S10）。</w:t>
            </w:r>
          </w:p>
          <w:p w14:paraId="6C3F4737">
            <w:pPr>
              <w:pStyle w:val="82"/>
              <w:numPr>
                <w:ilvl w:val="0"/>
                <w:numId w:val="4"/>
              </w:numPr>
              <w:spacing w:line="460" w:lineRule="exact"/>
              <w:ind w:firstLine="520"/>
              <w:rPr>
                <w:color w:val="auto"/>
                <w:szCs w:val="26"/>
              </w:rPr>
            </w:pPr>
            <w:r>
              <w:rPr>
                <w:color w:val="auto"/>
                <w:szCs w:val="26"/>
              </w:rPr>
              <w:t>外观检测/包装</w:t>
            </w:r>
          </w:p>
          <w:p w14:paraId="7AA162C8">
            <w:pPr>
              <w:pStyle w:val="82"/>
              <w:spacing w:line="460" w:lineRule="exact"/>
              <w:ind w:firstLine="520"/>
              <w:rPr>
                <w:color w:val="auto"/>
                <w:szCs w:val="26"/>
              </w:rPr>
            </w:pPr>
            <w:r>
              <w:rPr>
                <w:color w:val="auto"/>
                <w:szCs w:val="26"/>
              </w:rPr>
              <w:t>测试完成的产品进入外观检测/包装区，</w:t>
            </w:r>
            <w:r>
              <w:rPr>
                <w:rFonts w:hint="eastAsia"/>
                <w:color w:val="auto"/>
                <w:szCs w:val="26"/>
              </w:rPr>
              <w:t>人工用记号笔打点标识</w:t>
            </w:r>
            <w:r>
              <w:rPr>
                <w:color w:val="auto"/>
                <w:szCs w:val="26"/>
              </w:rPr>
              <w:t>，根据标记位置确认螺栓是否松动，经该工位工人目检合格的产品进行包装并由AGV运输至成品区。检测合格进入下一步，不合格则返回上一步进行维修。</w:t>
            </w:r>
            <w:r>
              <w:rPr>
                <w:rFonts w:hint="eastAsia"/>
                <w:color w:val="auto"/>
                <w:szCs w:val="26"/>
              </w:rPr>
              <w:t>产生</w:t>
            </w:r>
            <w:r>
              <w:rPr>
                <w:color w:val="auto"/>
                <w:szCs w:val="26"/>
              </w:rPr>
              <w:t>废包装、废零部件S1。</w:t>
            </w:r>
          </w:p>
          <w:p w14:paraId="6162C3B9">
            <w:pPr>
              <w:pStyle w:val="82"/>
              <w:spacing w:line="460" w:lineRule="exact"/>
              <w:ind w:left="420" w:leftChars="200" w:firstLine="0" w:firstLineChars="0"/>
              <w:rPr>
                <w:color w:val="auto"/>
                <w:szCs w:val="26"/>
              </w:rPr>
            </w:pPr>
            <w:r>
              <w:rPr>
                <w:rFonts w:hint="eastAsia"/>
                <w:color w:val="auto"/>
                <w:szCs w:val="26"/>
              </w:rPr>
              <w:t>（7）</w:t>
            </w:r>
            <w:r>
              <w:rPr>
                <w:color w:val="auto"/>
                <w:szCs w:val="26"/>
              </w:rPr>
              <w:t>车间及工作台擦拭</w:t>
            </w:r>
          </w:p>
          <w:p w14:paraId="23EA6144">
            <w:pPr>
              <w:pStyle w:val="82"/>
              <w:spacing w:line="460" w:lineRule="exact"/>
              <w:ind w:firstLine="520"/>
              <w:rPr>
                <w:rFonts w:hint="default" w:eastAsia="宋体"/>
                <w:color w:val="auto"/>
                <w:sz w:val="26"/>
                <w:szCs w:val="26"/>
                <w:lang w:val="en-US" w:eastAsia="zh-CN"/>
              </w:rPr>
            </w:pPr>
            <w:r>
              <w:rPr>
                <w:rFonts w:hint="eastAsia"/>
                <w:color w:val="auto"/>
                <w:sz w:val="26"/>
                <w:szCs w:val="26"/>
                <w:lang w:val="en-US" w:eastAsia="zh-CN"/>
              </w:rPr>
              <w:t>车间</w:t>
            </w:r>
            <w:r>
              <w:rPr>
                <w:rFonts w:hint="eastAsia"/>
                <w:color w:val="auto"/>
                <w:sz w:val="26"/>
                <w:szCs w:val="26"/>
              </w:rPr>
              <w:t>生产过程中产生废手套、废口罩等劳保用品</w:t>
            </w:r>
            <w:r>
              <w:rPr>
                <w:rFonts w:hint="eastAsia"/>
                <w:color w:val="auto"/>
                <w:sz w:val="26"/>
                <w:szCs w:val="26"/>
                <w:lang w:val="en-US" w:eastAsia="zh-CN"/>
              </w:rPr>
              <w:t>S2</w:t>
            </w:r>
            <w:r>
              <w:rPr>
                <w:rFonts w:hint="eastAsia"/>
                <w:color w:val="auto"/>
                <w:sz w:val="26"/>
                <w:szCs w:val="26"/>
                <w:lang w:eastAsia="zh-CN"/>
              </w:rPr>
              <w:t>；</w:t>
            </w:r>
            <w:r>
              <w:rPr>
                <w:color w:val="auto"/>
                <w:szCs w:val="26"/>
              </w:rPr>
              <w:t>工作台清洁过程中，立即用抹布擦拭干净</w:t>
            </w:r>
            <w:r>
              <w:rPr>
                <w:rFonts w:hint="eastAsia"/>
                <w:color w:val="auto"/>
                <w:szCs w:val="26"/>
                <w:lang w:eastAsia="zh-CN"/>
              </w:rPr>
              <w:t>，</w:t>
            </w:r>
            <w:r>
              <w:rPr>
                <w:rFonts w:hint="eastAsia"/>
                <w:color w:val="auto"/>
                <w:szCs w:val="26"/>
                <w:lang w:val="en-US" w:eastAsia="zh-CN"/>
              </w:rPr>
              <w:t>产生废抹布，属于</w:t>
            </w:r>
            <w:r>
              <w:rPr>
                <w:rFonts w:hint="eastAsia"/>
                <w:color w:val="auto"/>
                <w:sz w:val="26"/>
                <w:szCs w:val="26"/>
              </w:rPr>
              <w:t>化学品沾染物S4</w:t>
            </w:r>
            <w:r>
              <w:rPr>
                <w:rFonts w:hint="eastAsia"/>
                <w:color w:val="auto"/>
                <w:sz w:val="26"/>
                <w:szCs w:val="26"/>
                <w:lang w:eastAsia="zh-CN"/>
              </w:rPr>
              <w:t>；</w:t>
            </w:r>
            <w:r>
              <w:rPr>
                <w:rFonts w:hint="eastAsia"/>
                <w:color w:val="auto"/>
                <w:sz w:val="26"/>
                <w:szCs w:val="26"/>
                <w:lang w:val="en-US" w:eastAsia="zh-CN"/>
              </w:rPr>
              <w:t>此外，车间定期更换应急电源蓄电池及照明灯管，产生废蓄电池（S7）、废灯管（S8）。</w:t>
            </w:r>
          </w:p>
          <w:p w14:paraId="59B0D469">
            <w:pPr>
              <w:pStyle w:val="82"/>
              <w:spacing w:line="460" w:lineRule="exact"/>
              <w:ind w:firstLine="520"/>
              <w:rPr>
                <w:color w:val="auto"/>
                <w:szCs w:val="26"/>
              </w:rPr>
            </w:pPr>
            <w:r>
              <w:rPr>
                <w:rFonts w:hint="eastAsia"/>
                <w:color w:val="auto"/>
                <w:szCs w:val="26"/>
              </w:rPr>
              <w:t>（8）设备维修</w:t>
            </w:r>
          </w:p>
          <w:p w14:paraId="35BA14A5">
            <w:pPr>
              <w:pStyle w:val="82"/>
              <w:spacing w:line="460" w:lineRule="exact"/>
              <w:ind w:firstLine="520"/>
              <w:rPr>
                <w:rFonts w:hint="eastAsia"/>
                <w:color w:val="auto"/>
                <w:sz w:val="26"/>
                <w:szCs w:val="26"/>
                <w:lang w:val="en-US" w:eastAsia="zh-CN"/>
              </w:rPr>
            </w:pPr>
            <w:r>
              <w:rPr>
                <w:color w:val="auto"/>
                <w:sz w:val="26"/>
                <w:szCs w:val="26"/>
              </w:rPr>
              <w:t>项目</w:t>
            </w:r>
            <w:r>
              <w:rPr>
                <w:rFonts w:hint="eastAsia"/>
                <w:color w:val="auto"/>
                <w:sz w:val="26"/>
                <w:szCs w:val="26"/>
              </w:rPr>
              <w:t>在</w:t>
            </w:r>
            <w:r>
              <w:rPr>
                <w:color w:val="auto"/>
                <w:sz w:val="26"/>
                <w:szCs w:val="26"/>
              </w:rPr>
              <w:t>设备维护及检修过程</w:t>
            </w:r>
            <w:r>
              <w:rPr>
                <w:rFonts w:hint="eastAsia"/>
                <w:color w:val="auto"/>
                <w:sz w:val="26"/>
                <w:szCs w:val="26"/>
                <w:lang w:val="en-US" w:eastAsia="zh-CN"/>
              </w:rPr>
              <w:t>中产生</w:t>
            </w:r>
            <w:r>
              <w:rPr>
                <w:color w:val="auto"/>
                <w:sz w:val="26"/>
                <w:szCs w:val="26"/>
              </w:rPr>
              <w:t>废</w:t>
            </w:r>
            <w:r>
              <w:rPr>
                <w:rFonts w:hint="eastAsia"/>
                <w:color w:val="auto"/>
                <w:sz w:val="26"/>
                <w:szCs w:val="26"/>
              </w:rPr>
              <w:t>润滑</w:t>
            </w:r>
            <w:r>
              <w:rPr>
                <w:color w:val="auto"/>
                <w:sz w:val="26"/>
                <w:szCs w:val="26"/>
              </w:rPr>
              <w:t>油</w:t>
            </w:r>
            <w:r>
              <w:rPr>
                <w:rFonts w:hint="eastAsia"/>
                <w:color w:val="auto"/>
                <w:sz w:val="26"/>
                <w:szCs w:val="26"/>
                <w:lang w:val="en-US" w:eastAsia="zh-CN"/>
              </w:rPr>
              <w:t>S5、废油桶S6。</w:t>
            </w:r>
          </w:p>
          <w:p w14:paraId="2B3D9BE2">
            <w:pPr>
              <w:pStyle w:val="82"/>
              <w:spacing w:line="460" w:lineRule="exact"/>
              <w:ind w:firstLine="520"/>
              <w:rPr>
                <w:color w:val="auto"/>
                <w:szCs w:val="26"/>
              </w:rPr>
            </w:pPr>
            <w:r>
              <w:rPr>
                <w:color w:val="auto"/>
                <w:szCs w:val="26"/>
              </w:rPr>
              <w:t>项目主要生产工艺流程详见下图：</w:t>
            </w:r>
          </w:p>
          <w:p w14:paraId="64AE60EC">
            <w:pPr>
              <w:pStyle w:val="82"/>
              <w:ind w:firstLine="0" w:firstLineChars="0"/>
              <w:jc w:val="center"/>
              <w:rPr>
                <w:rFonts w:hint="eastAsia" w:eastAsia="宋体"/>
                <w:color w:val="auto"/>
                <w:lang w:eastAsia="zh-CN"/>
              </w:rPr>
            </w:pPr>
            <w:r>
              <w:rPr>
                <w:rFonts w:hint="eastAsia" w:eastAsia="宋体"/>
                <w:color w:val="auto"/>
                <w:lang w:eastAsia="zh-CN"/>
              </w:rPr>
              <w:drawing>
                <wp:inline distT="0" distB="0" distL="114300" distR="114300">
                  <wp:extent cx="5327650" cy="4259580"/>
                  <wp:effectExtent l="0" t="0" r="6350" b="7620"/>
                  <wp:docPr id="10" name="图片 10" descr="微信图片_20250107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50107104619"/>
                          <pic:cNvPicPr>
                            <a:picLocks noChangeAspect="1"/>
                          </pic:cNvPicPr>
                        </pic:nvPicPr>
                        <pic:blipFill>
                          <a:blip r:embed="rId10"/>
                          <a:stretch>
                            <a:fillRect/>
                          </a:stretch>
                        </pic:blipFill>
                        <pic:spPr>
                          <a:xfrm>
                            <a:off x="0" y="0"/>
                            <a:ext cx="5327650" cy="4259580"/>
                          </a:xfrm>
                          <a:prstGeom prst="rect">
                            <a:avLst/>
                          </a:prstGeom>
                        </pic:spPr>
                      </pic:pic>
                    </a:graphicData>
                  </a:graphic>
                </wp:inline>
              </w:drawing>
            </w:r>
          </w:p>
          <w:p w14:paraId="65AF94D8">
            <w:pPr>
              <w:spacing w:line="460" w:lineRule="exact"/>
              <w:ind w:firstLine="520" w:firstLineChars="200"/>
              <w:jc w:val="center"/>
              <w:rPr>
                <w:bCs/>
                <w:color w:val="auto"/>
                <w:sz w:val="26"/>
                <w:szCs w:val="72"/>
              </w:rPr>
            </w:pPr>
            <w:r>
              <w:rPr>
                <w:bCs/>
                <w:color w:val="auto"/>
                <w:sz w:val="26"/>
                <w:szCs w:val="72"/>
              </w:rPr>
              <w:t>图2.12-1电驱桥装配和测试线生产工艺及产排污环节图</w:t>
            </w:r>
          </w:p>
          <w:p w14:paraId="70E7220D">
            <w:pPr>
              <w:pStyle w:val="82"/>
              <w:spacing w:line="480" w:lineRule="exact"/>
              <w:ind w:firstLine="520"/>
              <w:rPr>
                <w:color w:val="auto"/>
              </w:rPr>
            </w:pPr>
            <w:r>
              <w:rPr>
                <w:color w:val="auto"/>
              </w:rPr>
              <w:t>2.12.1.</w:t>
            </w:r>
            <w:r>
              <w:rPr>
                <w:rFonts w:hint="eastAsia"/>
                <w:color w:val="auto"/>
                <w:lang w:val="en-US" w:eastAsia="zh-CN"/>
              </w:rPr>
              <w:t>2</w:t>
            </w:r>
            <w:r>
              <w:rPr>
                <w:rFonts w:hint="eastAsia"/>
                <w:color w:val="auto"/>
              </w:rPr>
              <w:t>氢瓶瓶口阀、瓶底阀</w:t>
            </w:r>
            <w:r>
              <w:rPr>
                <w:color w:val="auto"/>
              </w:rPr>
              <w:t>工艺流程</w:t>
            </w:r>
          </w:p>
          <w:p w14:paraId="2C058ACF">
            <w:pPr>
              <w:pStyle w:val="82"/>
              <w:numPr>
                <w:ilvl w:val="255"/>
                <w:numId w:val="0"/>
              </w:numPr>
              <w:spacing w:line="480" w:lineRule="exact"/>
              <w:ind w:firstLine="520" w:firstLineChars="200"/>
              <w:rPr>
                <w:color w:val="auto"/>
              </w:rPr>
            </w:pPr>
            <w:r>
              <w:rPr>
                <w:color w:val="auto"/>
              </w:rPr>
              <w:t>为了满足氢燃料电池动力总成开发需求，实现稳定储存氢气的目的，达到高效安全的氢气充放目标。博世氢动力公司推出了高效，集成化，轻量化的储氢系统瓶口阀。该产品集泄压阀，电子关断阀，温度传感器，溢流阀和排气阀为一体。可搭载于各种氢燃料电池动力系统和所有350bar储氢系统。</w:t>
            </w:r>
            <w:r>
              <w:rPr>
                <w:rFonts w:hint="eastAsia"/>
                <w:color w:val="auto"/>
              </w:rPr>
              <w:t>组装过程中用到润滑脂和螺纹胶，产生废</w:t>
            </w:r>
            <w:r>
              <w:rPr>
                <w:rFonts w:hint="eastAsia"/>
                <w:color w:val="auto"/>
                <w:lang w:val="en-US" w:eastAsia="zh-CN"/>
              </w:rPr>
              <w:t>化学品包装（S3）</w:t>
            </w:r>
            <w:r>
              <w:rPr>
                <w:rFonts w:hint="eastAsia"/>
                <w:color w:val="auto"/>
                <w:highlight w:val="none"/>
              </w:rPr>
              <w:t>，</w:t>
            </w:r>
            <w:r>
              <w:rPr>
                <w:rFonts w:hint="eastAsia"/>
                <w:color w:val="auto"/>
                <w:highlight w:val="none"/>
                <w:lang w:val="en-US" w:eastAsia="zh-CN"/>
              </w:rPr>
              <w:t>产生螺纹胶挥发废气G2（主要污染物为非甲烷总烃）</w:t>
            </w:r>
            <w:r>
              <w:rPr>
                <w:rFonts w:hint="eastAsia"/>
                <w:color w:val="auto"/>
                <w:highlight w:val="none"/>
              </w:rPr>
              <w:t>。</w:t>
            </w:r>
          </w:p>
          <w:p w14:paraId="2C73B149">
            <w:pPr>
              <w:pStyle w:val="82"/>
              <w:numPr>
                <w:ilvl w:val="0"/>
                <w:numId w:val="5"/>
              </w:numPr>
              <w:spacing w:line="480" w:lineRule="exact"/>
              <w:ind w:firstLine="520"/>
              <w:rPr>
                <w:color w:val="auto"/>
              </w:rPr>
            </w:pPr>
            <w:r>
              <w:rPr>
                <w:rFonts w:hint="eastAsia"/>
                <w:color w:val="auto"/>
              </w:rPr>
              <w:t>HTV（瓶口阀）</w:t>
            </w:r>
          </w:p>
          <w:p w14:paraId="36FC0892">
            <w:pPr>
              <w:spacing w:line="500" w:lineRule="exact"/>
              <w:ind w:firstLine="480"/>
              <w:rPr>
                <w:bCs/>
                <w:color w:val="auto"/>
                <w:sz w:val="26"/>
                <w:szCs w:val="26"/>
              </w:rPr>
            </w:pPr>
            <w:r>
              <w:rPr>
                <w:rFonts w:hint="eastAsia"/>
                <w:bCs/>
                <w:color w:val="auto"/>
                <w:sz w:val="26"/>
                <w:szCs w:val="26"/>
              </w:rPr>
              <w:t>①零件分选</w:t>
            </w:r>
          </w:p>
          <w:p w14:paraId="6BF83121">
            <w:pPr>
              <w:pStyle w:val="82"/>
              <w:numPr>
                <w:ilvl w:val="255"/>
                <w:numId w:val="0"/>
              </w:numPr>
              <w:spacing w:line="480" w:lineRule="exact"/>
              <w:ind w:firstLine="520" w:firstLineChars="200"/>
              <w:rPr>
                <w:color w:val="auto"/>
              </w:rPr>
            </w:pPr>
            <w:r>
              <w:rPr>
                <w:color w:val="auto"/>
              </w:rPr>
              <w:t>将所有需要使用的机加工件拆包后按照</w:t>
            </w:r>
            <w:r>
              <w:rPr>
                <w:rFonts w:hint="eastAsia"/>
                <w:color w:val="auto"/>
              </w:rPr>
              <w:t>工作搬运</w:t>
            </w:r>
            <w:r>
              <w:rPr>
                <w:color w:val="auto"/>
              </w:rPr>
              <w:t>板上的顺序摆放好。</w:t>
            </w:r>
          </w:p>
          <w:p w14:paraId="41C5D31F">
            <w:pPr>
              <w:spacing w:line="500" w:lineRule="exact"/>
              <w:ind w:firstLine="480"/>
              <w:rPr>
                <w:bCs/>
                <w:color w:val="auto"/>
                <w:sz w:val="26"/>
                <w:szCs w:val="26"/>
              </w:rPr>
            </w:pPr>
            <w:r>
              <w:rPr>
                <w:rFonts w:hint="eastAsia"/>
                <w:bCs/>
                <w:color w:val="auto"/>
                <w:sz w:val="26"/>
                <w:szCs w:val="26"/>
              </w:rPr>
              <w:t>②辅助阀体及组件预装-1</w:t>
            </w:r>
          </w:p>
          <w:p w14:paraId="5134106E">
            <w:pPr>
              <w:pStyle w:val="82"/>
              <w:numPr>
                <w:ilvl w:val="255"/>
                <w:numId w:val="0"/>
              </w:numPr>
              <w:spacing w:line="480" w:lineRule="exact"/>
              <w:ind w:firstLine="520" w:firstLineChars="200"/>
              <w:rPr>
                <w:color w:val="auto"/>
              </w:rPr>
            </w:pPr>
            <w:r>
              <w:rPr>
                <w:rFonts w:hint="eastAsia"/>
                <w:color w:val="auto"/>
              </w:rPr>
              <w:t>按顺序依次装好手动阀、排气阀、针阀、热压力释放装置和温度传感器，并放回工作搬运</w:t>
            </w:r>
            <w:r>
              <w:rPr>
                <w:color w:val="auto"/>
              </w:rPr>
              <w:t>板上</w:t>
            </w:r>
            <w:r>
              <w:rPr>
                <w:rFonts w:hint="eastAsia"/>
                <w:color w:val="auto"/>
              </w:rPr>
              <w:t>。</w:t>
            </w:r>
          </w:p>
          <w:p w14:paraId="2B0FA61A">
            <w:pPr>
              <w:spacing w:line="500" w:lineRule="exact"/>
              <w:ind w:firstLine="480"/>
              <w:rPr>
                <w:bCs/>
                <w:color w:val="auto"/>
                <w:sz w:val="26"/>
                <w:szCs w:val="26"/>
              </w:rPr>
            </w:pPr>
            <w:r>
              <w:rPr>
                <w:rFonts w:hint="eastAsia"/>
                <w:bCs/>
                <w:color w:val="auto"/>
                <w:sz w:val="26"/>
                <w:szCs w:val="26"/>
              </w:rPr>
              <w:t>③辅助阀体及组件预装-2</w:t>
            </w:r>
          </w:p>
          <w:p w14:paraId="41BF2612">
            <w:pPr>
              <w:pStyle w:val="82"/>
              <w:numPr>
                <w:ilvl w:val="255"/>
                <w:numId w:val="0"/>
              </w:numPr>
              <w:spacing w:line="480" w:lineRule="exact"/>
              <w:ind w:firstLine="520" w:firstLineChars="200"/>
              <w:rPr>
                <w:color w:val="auto"/>
              </w:rPr>
            </w:pPr>
            <w:r>
              <w:rPr>
                <w:rFonts w:hint="eastAsia"/>
                <w:color w:val="auto"/>
              </w:rPr>
              <w:t>按顺序依次装好截至阀、溢流阀等组件，并放回工作搬运</w:t>
            </w:r>
            <w:r>
              <w:rPr>
                <w:color w:val="auto"/>
              </w:rPr>
              <w:t>板上</w:t>
            </w:r>
            <w:r>
              <w:rPr>
                <w:rFonts w:hint="eastAsia"/>
                <w:color w:val="auto"/>
              </w:rPr>
              <w:t>。</w:t>
            </w:r>
          </w:p>
          <w:p w14:paraId="42935BDD">
            <w:pPr>
              <w:spacing w:line="500" w:lineRule="exact"/>
              <w:ind w:firstLine="480"/>
              <w:rPr>
                <w:bCs/>
                <w:color w:val="auto"/>
                <w:sz w:val="26"/>
                <w:szCs w:val="26"/>
              </w:rPr>
            </w:pPr>
            <w:r>
              <w:rPr>
                <w:rFonts w:hint="eastAsia"/>
                <w:bCs/>
                <w:color w:val="auto"/>
                <w:sz w:val="26"/>
                <w:szCs w:val="26"/>
              </w:rPr>
              <w:t>③阀体总装配-1</w:t>
            </w:r>
          </w:p>
          <w:p w14:paraId="65E2968D">
            <w:pPr>
              <w:pStyle w:val="82"/>
              <w:numPr>
                <w:ilvl w:val="255"/>
                <w:numId w:val="0"/>
              </w:numPr>
              <w:spacing w:line="480" w:lineRule="exact"/>
              <w:ind w:firstLine="520" w:firstLineChars="200"/>
              <w:rPr>
                <w:color w:val="auto"/>
              </w:rPr>
            </w:pPr>
            <w:r>
              <w:rPr>
                <w:rFonts w:hint="eastAsia"/>
                <w:color w:val="auto"/>
              </w:rPr>
              <w:t>将手动阀、排气阀、针阀、热压力释放装置、温度传感器等组件装配到HTV阀上，并将阀体传递到下个工位。</w:t>
            </w:r>
          </w:p>
          <w:p w14:paraId="41C59B5C">
            <w:pPr>
              <w:spacing w:line="500" w:lineRule="exact"/>
              <w:ind w:firstLine="480"/>
              <w:rPr>
                <w:bCs/>
                <w:color w:val="auto"/>
                <w:sz w:val="26"/>
                <w:szCs w:val="26"/>
              </w:rPr>
            </w:pPr>
            <w:r>
              <w:rPr>
                <w:rFonts w:hint="eastAsia"/>
                <w:bCs/>
                <w:color w:val="auto"/>
                <w:sz w:val="26"/>
                <w:szCs w:val="26"/>
              </w:rPr>
              <w:t>④阀体总装配-2</w:t>
            </w:r>
          </w:p>
          <w:p w14:paraId="549AE511">
            <w:pPr>
              <w:pStyle w:val="82"/>
              <w:numPr>
                <w:ilvl w:val="255"/>
                <w:numId w:val="0"/>
              </w:numPr>
              <w:spacing w:line="480" w:lineRule="exact"/>
              <w:ind w:firstLine="520" w:firstLineChars="200"/>
              <w:rPr>
                <w:rFonts w:hint="eastAsia"/>
                <w:color w:val="auto"/>
              </w:rPr>
            </w:pPr>
            <w:r>
              <w:rPr>
                <w:rFonts w:hint="eastAsia"/>
                <w:color w:val="auto"/>
              </w:rPr>
              <w:t>将截至阀、溢流阀等组件和电磁温度传感器装配到阀体上，进行电阻测试，然后存放于物料车，测试合格则进入下一步，不合格则返修。</w:t>
            </w:r>
          </w:p>
          <w:p w14:paraId="67F96703">
            <w:pPr>
              <w:pStyle w:val="82"/>
              <w:numPr>
                <w:ilvl w:val="255"/>
                <w:numId w:val="0"/>
              </w:numPr>
              <w:spacing w:line="480" w:lineRule="exact"/>
              <w:ind w:firstLine="520" w:firstLineChars="200"/>
              <w:rPr>
                <w:color w:val="auto"/>
              </w:rPr>
            </w:pPr>
            <w:r>
              <w:rPr>
                <w:rFonts w:hint="eastAsia"/>
                <w:color w:val="auto"/>
              </w:rPr>
              <w:t>⑤泄漏测试</w:t>
            </w:r>
          </w:p>
          <w:p w14:paraId="71C89BFA">
            <w:pPr>
              <w:pStyle w:val="82"/>
              <w:numPr>
                <w:ilvl w:val="255"/>
                <w:numId w:val="0"/>
              </w:numPr>
              <w:spacing w:line="480" w:lineRule="exact"/>
              <w:ind w:firstLine="520" w:firstLineChars="200"/>
              <w:rPr>
                <w:color w:val="auto"/>
              </w:rPr>
            </w:pPr>
            <w:r>
              <w:rPr>
                <w:color w:val="auto"/>
              </w:rPr>
              <w:t>HTV产品</w:t>
            </w:r>
            <w:r>
              <w:rPr>
                <w:rFonts w:hint="eastAsia"/>
                <w:color w:val="auto"/>
                <w:lang w:val="en-US" w:eastAsia="zh-CN"/>
              </w:rPr>
              <w:t>存放24小时后</w:t>
            </w:r>
            <w:r>
              <w:rPr>
                <w:color w:val="auto"/>
              </w:rPr>
              <w:t>进行泄漏测试</w:t>
            </w:r>
            <w:r>
              <w:rPr>
                <w:rFonts w:hint="eastAsia"/>
                <w:color w:val="auto"/>
              </w:rPr>
              <w:t>，</w:t>
            </w:r>
            <w:r>
              <w:rPr>
                <w:rFonts w:hint="eastAsia"/>
                <w:color w:val="auto"/>
                <w:lang w:val="en-US" w:eastAsia="zh-CN"/>
              </w:rPr>
              <w:t>分别通入氮气和氦气测试阀门的流量及密封性能，对组合阀门充氢并逐级增压，直至其达到设定压力，观测组合阀门的接头和或密封处是否存在泄漏，</w:t>
            </w:r>
            <w:r>
              <w:rPr>
                <w:rFonts w:hint="eastAsia"/>
                <w:color w:val="auto"/>
              </w:rPr>
              <w:t>不合格则返修。</w:t>
            </w:r>
            <w:r>
              <w:rPr>
                <w:rFonts w:hint="eastAsia"/>
                <w:color w:val="auto"/>
                <w:lang w:val="en-US" w:eastAsia="zh-CN"/>
              </w:rPr>
              <w:t>该测试过程中空压机及增压机会产生设备噪声C1、C2。</w:t>
            </w:r>
          </w:p>
          <w:p w14:paraId="5B0B5D46">
            <w:pPr>
              <w:pStyle w:val="82"/>
              <w:numPr>
                <w:ilvl w:val="255"/>
                <w:numId w:val="0"/>
              </w:numPr>
              <w:spacing w:line="480" w:lineRule="exact"/>
              <w:ind w:firstLine="520" w:firstLineChars="200"/>
              <w:rPr>
                <w:color w:val="auto"/>
              </w:rPr>
            </w:pPr>
            <w:r>
              <w:rPr>
                <w:rFonts w:hint="eastAsia"/>
                <w:color w:val="auto"/>
              </w:rPr>
              <w:t>⑥打包</w:t>
            </w:r>
          </w:p>
          <w:p w14:paraId="67F42883">
            <w:pPr>
              <w:pStyle w:val="82"/>
              <w:numPr>
                <w:ilvl w:val="255"/>
                <w:numId w:val="0"/>
              </w:numPr>
              <w:spacing w:line="480" w:lineRule="exact"/>
              <w:ind w:firstLine="520" w:firstLineChars="200"/>
              <w:rPr>
                <w:color w:val="auto"/>
              </w:rPr>
            </w:pPr>
            <w:r>
              <w:rPr>
                <w:rFonts w:hint="eastAsia"/>
                <w:color w:val="auto"/>
              </w:rPr>
              <w:t>测试完成后，将合格品打包转运。产生废包装、废零部件S1。</w:t>
            </w:r>
          </w:p>
          <w:p w14:paraId="1316CA18">
            <w:pPr>
              <w:pStyle w:val="82"/>
              <w:numPr>
                <w:ilvl w:val="0"/>
                <w:numId w:val="5"/>
              </w:numPr>
              <w:spacing w:line="480" w:lineRule="exact"/>
              <w:ind w:firstLine="520"/>
              <w:rPr>
                <w:color w:val="auto"/>
              </w:rPr>
            </w:pPr>
            <w:r>
              <w:rPr>
                <w:rFonts w:hint="eastAsia"/>
                <w:color w:val="auto"/>
              </w:rPr>
              <w:t>HTP（瓶底阀）</w:t>
            </w:r>
          </w:p>
          <w:p w14:paraId="7A23CEF5">
            <w:pPr>
              <w:spacing w:line="500" w:lineRule="exact"/>
              <w:ind w:firstLine="480"/>
              <w:rPr>
                <w:bCs/>
                <w:color w:val="auto"/>
                <w:sz w:val="26"/>
                <w:szCs w:val="26"/>
              </w:rPr>
            </w:pPr>
            <w:r>
              <w:rPr>
                <w:rFonts w:hint="eastAsia"/>
                <w:bCs/>
                <w:color w:val="auto"/>
                <w:sz w:val="26"/>
                <w:szCs w:val="26"/>
              </w:rPr>
              <w:t>①零件分选</w:t>
            </w:r>
          </w:p>
          <w:p w14:paraId="66AA9063">
            <w:pPr>
              <w:pStyle w:val="82"/>
              <w:numPr>
                <w:ilvl w:val="255"/>
                <w:numId w:val="0"/>
              </w:numPr>
              <w:spacing w:line="480" w:lineRule="exact"/>
              <w:ind w:firstLine="520" w:firstLineChars="200"/>
              <w:rPr>
                <w:color w:val="auto"/>
              </w:rPr>
            </w:pPr>
            <w:r>
              <w:rPr>
                <w:color w:val="auto"/>
              </w:rPr>
              <w:t>将所有需要使用的机加工件拆包后按照</w:t>
            </w:r>
            <w:r>
              <w:rPr>
                <w:rFonts w:hint="eastAsia"/>
                <w:color w:val="auto"/>
              </w:rPr>
              <w:t>工作搬运</w:t>
            </w:r>
            <w:r>
              <w:rPr>
                <w:color w:val="auto"/>
              </w:rPr>
              <w:t>板上的顺序摆放好。</w:t>
            </w:r>
          </w:p>
          <w:p w14:paraId="7AF70890">
            <w:pPr>
              <w:spacing w:line="500" w:lineRule="exact"/>
              <w:ind w:firstLine="480"/>
              <w:rPr>
                <w:bCs/>
                <w:color w:val="auto"/>
                <w:sz w:val="26"/>
                <w:szCs w:val="26"/>
              </w:rPr>
            </w:pPr>
            <w:r>
              <w:rPr>
                <w:rFonts w:hint="eastAsia"/>
                <w:bCs/>
                <w:color w:val="auto"/>
                <w:sz w:val="26"/>
                <w:szCs w:val="26"/>
              </w:rPr>
              <w:t>②辅助阀体及组件预装</w:t>
            </w:r>
          </w:p>
          <w:p w14:paraId="36F4CD57">
            <w:pPr>
              <w:pStyle w:val="82"/>
              <w:numPr>
                <w:ilvl w:val="255"/>
                <w:numId w:val="0"/>
              </w:numPr>
              <w:spacing w:line="480" w:lineRule="exact"/>
              <w:ind w:firstLine="520" w:firstLineChars="200"/>
              <w:rPr>
                <w:color w:val="auto"/>
              </w:rPr>
            </w:pPr>
            <w:r>
              <w:rPr>
                <w:rFonts w:hint="eastAsia"/>
                <w:color w:val="auto"/>
              </w:rPr>
              <w:t>将热压力释放装置、温度传感器等组件装好，并放回工作搬运</w:t>
            </w:r>
            <w:r>
              <w:rPr>
                <w:color w:val="auto"/>
              </w:rPr>
              <w:t>板上</w:t>
            </w:r>
            <w:r>
              <w:rPr>
                <w:rFonts w:hint="eastAsia"/>
                <w:color w:val="auto"/>
              </w:rPr>
              <w:t>。</w:t>
            </w:r>
          </w:p>
          <w:p w14:paraId="226C07A0">
            <w:pPr>
              <w:spacing w:line="500" w:lineRule="exact"/>
              <w:ind w:firstLine="480"/>
              <w:rPr>
                <w:bCs/>
                <w:color w:val="auto"/>
                <w:sz w:val="26"/>
                <w:szCs w:val="26"/>
              </w:rPr>
            </w:pPr>
            <w:r>
              <w:rPr>
                <w:rFonts w:hint="eastAsia"/>
                <w:bCs/>
                <w:color w:val="auto"/>
                <w:sz w:val="26"/>
                <w:szCs w:val="26"/>
              </w:rPr>
              <w:t>③阀体总装配</w:t>
            </w:r>
          </w:p>
          <w:p w14:paraId="61EEE933">
            <w:pPr>
              <w:pStyle w:val="82"/>
              <w:numPr>
                <w:ilvl w:val="255"/>
                <w:numId w:val="0"/>
              </w:numPr>
              <w:spacing w:line="480" w:lineRule="exact"/>
              <w:ind w:firstLine="520" w:firstLineChars="200"/>
              <w:rPr>
                <w:color w:val="auto"/>
              </w:rPr>
            </w:pPr>
            <w:r>
              <w:rPr>
                <w:rFonts w:hint="eastAsia"/>
                <w:color w:val="auto"/>
              </w:rPr>
              <w:t>将热压力释放装置、温度传感器等组件装配到阀体上。</w:t>
            </w:r>
          </w:p>
          <w:p w14:paraId="0E6EF6BB">
            <w:pPr>
              <w:pStyle w:val="82"/>
              <w:numPr>
                <w:ilvl w:val="255"/>
                <w:numId w:val="0"/>
              </w:numPr>
              <w:spacing w:line="480" w:lineRule="exact"/>
              <w:ind w:firstLine="520" w:firstLineChars="200"/>
              <w:rPr>
                <w:color w:val="auto"/>
              </w:rPr>
            </w:pPr>
            <w:r>
              <w:rPr>
                <w:rFonts w:hint="eastAsia"/>
                <w:color w:val="auto"/>
              </w:rPr>
              <w:t>④泄漏测试</w:t>
            </w:r>
          </w:p>
          <w:p w14:paraId="35D504C8">
            <w:pPr>
              <w:pStyle w:val="82"/>
              <w:numPr>
                <w:ilvl w:val="255"/>
                <w:numId w:val="0"/>
              </w:numPr>
              <w:spacing w:line="480" w:lineRule="exact"/>
              <w:ind w:firstLine="520" w:firstLineChars="200"/>
              <w:rPr>
                <w:color w:val="auto"/>
              </w:rPr>
            </w:pPr>
            <w:r>
              <w:rPr>
                <w:color w:val="auto"/>
              </w:rPr>
              <w:t>HT</w:t>
            </w:r>
            <w:r>
              <w:rPr>
                <w:rFonts w:hint="eastAsia"/>
                <w:color w:val="auto"/>
                <w:lang w:val="en-US" w:eastAsia="zh-CN"/>
              </w:rPr>
              <w:t>P</w:t>
            </w:r>
            <w:r>
              <w:rPr>
                <w:color w:val="auto"/>
              </w:rPr>
              <w:t>产品</w:t>
            </w:r>
            <w:r>
              <w:rPr>
                <w:rFonts w:hint="eastAsia"/>
                <w:color w:val="auto"/>
                <w:lang w:val="en-US" w:eastAsia="zh-CN"/>
              </w:rPr>
              <w:t>存放24小时后</w:t>
            </w:r>
            <w:r>
              <w:rPr>
                <w:color w:val="auto"/>
              </w:rPr>
              <w:t>进行泄漏测试</w:t>
            </w:r>
            <w:r>
              <w:rPr>
                <w:rFonts w:hint="eastAsia"/>
                <w:color w:val="auto"/>
              </w:rPr>
              <w:t>，</w:t>
            </w:r>
            <w:r>
              <w:rPr>
                <w:rFonts w:hint="eastAsia"/>
                <w:color w:val="auto"/>
                <w:lang w:val="en-US" w:eastAsia="zh-CN"/>
              </w:rPr>
              <w:t>分别通入氮气和氦气测试阀门的流量及密封性能，对组合阀门充氢并逐级增压，直至其达到设定压力，观测组合阀门的接头和或密封处是否存在泄漏，</w:t>
            </w:r>
            <w:r>
              <w:rPr>
                <w:rFonts w:hint="eastAsia"/>
                <w:color w:val="auto"/>
              </w:rPr>
              <w:t>不合格则返修。</w:t>
            </w:r>
            <w:r>
              <w:rPr>
                <w:rFonts w:hint="eastAsia"/>
                <w:color w:val="auto"/>
                <w:lang w:val="en-US" w:eastAsia="zh-CN"/>
              </w:rPr>
              <w:t>该测试过程中空压机及增压机会产生设备噪声C2、C3。</w:t>
            </w:r>
          </w:p>
          <w:p w14:paraId="1D2EAAAD">
            <w:pPr>
              <w:pStyle w:val="82"/>
              <w:numPr>
                <w:ilvl w:val="255"/>
                <w:numId w:val="0"/>
              </w:numPr>
              <w:spacing w:line="480" w:lineRule="exact"/>
              <w:ind w:firstLine="520" w:firstLineChars="200"/>
              <w:rPr>
                <w:color w:val="auto"/>
              </w:rPr>
            </w:pPr>
            <w:r>
              <w:rPr>
                <w:rFonts w:hint="eastAsia"/>
                <w:color w:val="auto"/>
              </w:rPr>
              <w:t>⑤打包</w:t>
            </w:r>
          </w:p>
          <w:p w14:paraId="56468B1E">
            <w:pPr>
              <w:pStyle w:val="82"/>
              <w:numPr>
                <w:ilvl w:val="255"/>
                <w:numId w:val="0"/>
              </w:numPr>
              <w:spacing w:line="480" w:lineRule="exact"/>
              <w:ind w:firstLine="520" w:firstLineChars="200"/>
              <w:rPr>
                <w:color w:val="auto"/>
              </w:rPr>
            </w:pPr>
            <w:r>
              <w:rPr>
                <w:rFonts w:hint="eastAsia"/>
                <w:color w:val="auto"/>
              </w:rPr>
              <w:t>测试完成后，将合格品打包转运。产生废包装、废零部件S1。</w:t>
            </w:r>
          </w:p>
          <w:p w14:paraId="73AB56B7">
            <w:pPr>
              <w:jc w:val="center"/>
              <w:rPr>
                <w:rFonts w:hint="eastAsia" w:eastAsia="宋体"/>
                <w:color w:val="auto"/>
                <w:lang w:eastAsia="zh-CN"/>
              </w:rPr>
            </w:pPr>
            <w:r>
              <w:rPr>
                <w:color w:val="auto"/>
              </w:rPr>
              <w:drawing>
                <wp:inline distT="0" distB="0" distL="114300" distR="114300">
                  <wp:extent cx="5328920" cy="4359275"/>
                  <wp:effectExtent l="0" t="0" r="5080"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5328920" cy="4359275"/>
                          </a:xfrm>
                          <a:prstGeom prst="rect">
                            <a:avLst/>
                          </a:prstGeom>
                          <a:noFill/>
                          <a:ln>
                            <a:noFill/>
                          </a:ln>
                        </pic:spPr>
                      </pic:pic>
                    </a:graphicData>
                  </a:graphic>
                </wp:inline>
              </w:drawing>
            </w:r>
          </w:p>
          <w:p w14:paraId="7FE92FA3">
            <w:pPr>
              <w:jc w:val="center"/>
              <w:rPr>
                <w:bCs/>
                <w:color w:val="auto"/>
                <w:sz w:val="26"/>
                <w:szCs w:val="72"/>
              </w:rPr>
            </w:pPr>
            <w:r>
              <w:rPr>
                <w:bCs/>
                <w:color w:val="auto"/>
                <w:sz w:val="26"/>
                <w:szCs w:val="72"/>
              </w:rPr>
              <w:t>图2.12-</w:t>
            </w:r>
            <w:r>
              <w:rPr>
                <w:rFonts w:hint="eastAsia"/>
                <w:bCs/>
                <w:color w:val="auto"/>
                <w:sz w:val="26"/>
                <w:szCs w:val="72"/>
                <w:lang w:val="en-US" w:eastAsia="zh-CN"/>
              </w:rPr>
              <w:t xml:space="preserve">2  </w:t>
            </w:r>
            <w:r>
              <w:rPr>
                <w:rFonts w:hint="eastAsia"/>
                <w:bCs/>
                <w:color w:val="auto"/>
                <w:sz w:val="26"/>
                <w:szCs w:val="72"/>
              </w:rPr>
              <w:t>HTP/HTV</w:t>
            </w:r>
            <w:r>
              <w:rPr>
                <w:bCs/>
                <w:color w:val="auto"/>
                <w:sz w:val="26"/>
                <w:szCs w:val="72"/>
              </w:rPr>
              <w:t>工艺流程图</w:t>
            </w:r>
          </w:p>
          <w:p w14:paraId="1FE4A1E0">
            <w:pPr>
              <w:pStyle w:val="82"/>
              <w:numPr>
                <w:ilvl w:val="255"/>
                <w:numId w:val="0"/>
              </w:numPr>
              <w:spacing w:line="480" w:lineRule="exact"/>
              <w:ind w:firstLine="520" w:firstLineChars="200"/>
              <w:rPr>
                <w:rFonts w:hint="eastAsia"/>
                <w:color w:val="auto"/>
                <w:lang w:val="en-US" w:eastAsia="zh-CN"/>
              </w:rPr>
            </w:pPr>
            <w:r>
              <w:rPr>
                <w:rFonts w:hint="eastAsia"/>
                <w:color w:val="auto"/>
                <w:lang w:val="en-US" w:eastAsia="zh-CN"/>
              </w:rPr>
              <w:t>2.12.1.3电驱桥实验室</w:t>
            </w:r>
          </w:p>
          <w:p w14:paraId="0FD478DF">
            <w:pPr>
              <w:pStyle w:val="82"/>
              <w:numPr>
                <w:ilvl w:val="255"/>
                <w:numId w:val="0"/>
              </w:numPr>
              <w:spacing w:line="480" w:lineRule="exact"/>
              <w:ind w:firstLine="520" w:firstLineChars="200"/>
              <w:rPr>
                <w:rFonts w:hint="default" w:cs="Times New Roman"/>
                <w:bCs w:val="0"/>
                <w:color w:val="auto"/>
                <w:kern w:val="0"/>
                <w:sz w:val="26"/>
                <w:szCs w:val="26"/>
                <w:lang w:val="en-US" w:eastAsia="zh-CN" w:bidi="ar-SA"/>
              </w:rPr>
            </w:pPr>
            <w:r>
              <w:rPr>
                <w:rFonts w:hint="eastAsia" w:ascii="Times New Roman" w:hAnsi="Times New Roman" w:eastAsia="宋体" w:cs="Times New Roman"/>
                <w:bCs w:val="0"/>
                <w:color w:val="auto"/>
                <w:kern w:val="0"/>
                <w:sz w:val="26"/>
                <w:szCs w:val="26"/>
                <w:lang w:val="en-US" w:eastAsia="zh-CN" w:bidi="ar-SA"/>
              </w:rPr>
              <w:t>装配完成的</w:t>
            </w:r>
            <w:r>
              <w:rPr>
                <w:rFonts w:hint="eastAsia" w:cs="Times New Roman"/>
                <w:bCs w:val="0"/>
                <w:color w:val="auto"/>
                <w:kern w:val="0"/>
                <w:sz w:val="26"/>
                <w:szCs w:val="26"/>
                <w:lang w:val="en-US" w:eastAsia="zh-CN" w:bidi="ar-SA"/>
              </w:rPr>
              <w:t>电驱桥总成需安装于测试台上，对电驱桥整机功能/性能、控制策略等进行测试，主要方法是将电驱桥总成固定在测试台架上，通过控制电驱桥的转速/扭矩以及台架测功机的转速/扭矩，来完成相关实验。实验过程中，需对电驱桥拆解组装，产生</w:t>
            </w:r>
            <w:r>
              <w:rPr>
                <w:color w:val="auto"/>
                <w:szCs w:val="26"/>
              </w:rPr>
              <w:t>废机油</w:t>
            </w:r>
            <w:r>
              <w:rPr>
                <w:rFonts w:hint="eastAsia"/>
                <w:color w:val="auto"/>
                <w:szCs w:val="26"/>
                <w:lang w:eastAsia="zh-CN"/>
              </w:rPr>
              <w:t>（</w:t>
            </w:r>
            <w:r>
              <w:rPr>
                <w:color w:val="auto"/>
                <w:szCs w:val="26"/>
              </w:rPr>
              <w:t>S</w:t>
            </w:r>
            <w:r>
              <w:rPr>
                <w:rFonts w:hint="eastAsia"/>
                <w:color w:val="auto"/>
                <w:szCs w:val="26"/>
                <w:lang w:val="en-US" w:eastAsia="zh-CN"/>
              </w:rPr>
              <w:t>6</w:t>
            </w:r>
            <w:r>
              <w:rPr>
                <w:rFonts w:hint="eastAsia"/>
                <w:color w:val="auto"/>
                <w:szCs w:val="26"/>
                <w:lang w:eastAsia="zh-CN"/>
              </w:rPr>
              <w:t>）</w:t>
            </w:r>
            <w:r>
              <w:rPr>
                <w:color w:val="auto"/>
                <w:szCs w:val="26"/>
              </w:rPr>
              <w:t>、废防冻液（S</w:t>
            </w:r>
            <w:r>
              <w:rPr>
                <w:rFonts w:hint="eastAsia"/>
                <w:color w:val="auto"/>
                <w:szCs w:val="26"/>
                <w:lang w:val="en-US" w:eastAsia="zh-CN"/>
              </w:rPr>
              <w:t>9</w:t>
            </w:r>
            <w:r>
              <w:rPr>
                <w:color w:val="auto"/>
                <w:szCs w:val="26"/>
              </w:rPr>
              <w:t>）</w:t>
            </w:r>
            <w:r>
              <w:rPr>
                <w:rFonts w:hint="eastAsia" w:cs="Times New Roman"/>
                <w:bCs w:val="0"/>
                <w:color w:val="auto"/>
                <w:kern w:val="0"/>
                <w:sz w:val="26"/>
                <w:szCs w:val="26"/>
                <w:lang w:val="en-US" w:eastAsia="zh-CN" w:bidi="ar-SA"/>
              </w:rPr>
              <w:t>。</w:t>
            </w:r>
          </w:p>
          <w:p w14:paraId="0F82F263">
            <w:pPr>
              <w:pStyle w:val="82"/>
              <w:numPr>
                <w:ilvl w:val="255"/>
                <w:numId w:val="0"/>
              </w:numPr>
              <w:spacing w:line="480" w:lineRule="exact"/>
              <w:ind w:firstLine="520" w:firstLineChars="200"/>
              <w:rPr>
                <w:rFonts w:hint="eastAsia"/>
                <w:color w:val="auto"/>
                <w:lang w:val="en-US" w:eastAsia="zh-CN"/>
              </w:rPr>
            </w:pPr>
            <w:r>
              <w:rPr>
                <w:rFonts w:hint="eastAsia" w:cs="Times New Roman"/>
                <w:bCs w:val="0"/>
                <w:color w:val="auto"/>
                <w:kern w:val="0"/>
                <w:sz w:val="26"/>
                <w:szCs w:val="26"/>
                <w:lang w:val="en-US" w:eastAsia="zh-CN" w:bidi="ar-SA"/>
              </w:rPr>
              <w:t>部分实验需要在环境舱内的试验台上进行。</w:t>
            </w:r>
            <w:r>
              <w:rPr>
                <w:rFonts w:hint="eastAsia"/>
                <w:color w:val="auto"/>
              </w:rPr>
              <w:t>环境舱温度调节大致范围</w:t>
            </w:r>
            <w:r>
              <w:rPr>
                <w:color w:val="auto"/>
              </w:rPr>
              <w:t>- 40 °C ~ +</w:t>
            </w:r>
            <w:r>
              <w:rPr>
                <w:rFonts w:hint="eastAsia"/>
                <w:color w:val="auto"/>
                <w:lang w:val="en-US" w:eastAsia="zh-CN"/>
              </w:rPr>
              <w:t>9</w:t>
            </w:r>
            <w:r>
              <w:rPr>
                <w:color w:val="auto"/>
              </w:rPr>
              <w:t>0 °C</w:t>
            </w:r>
            <w:r>
              <w:rPr>
                <w:rFonts w:hint="eastAsia"/>
                <w:color w:val="auto"/>
              </w:rPr>
              <w:t>（</w:t>
            </w:r>
            <w:r>
              <w:rPr>
                <w:rFonts w:hint="eastAsia"/>
                <w:color w:val="auto"/>
                <w:lang w:val="en-US" w:eastAsia="zh-CN"/>
              </w:rPr>
              <w:t>涡旋式</w:t>
            </w:r>
            <w:r>
              <w:rPr>
                <w:rFonts w:hint="eastAsia"/>
                <w:color w:val="auto"/>
              </w:rPr>
              <w:t>压缩机，</w:t>
            </w:r>
            <w:r>
              <w:rPr>
                <w:rFonts w:hint="eastAsia"/>
                <w:color w:val="auto"/>
                <w:szCs w:val="21"/>
                <w:lang w:val="en-US" w:eastAsia="zh-CN"/>
              </w:rPr>
              <w:t>R404A制冷剂制</w:t>
            </w:r>
            <w:r>
              <w:rPr>
                <w:rFonts w:hint="eastAsia"/>
                <w:color w:val="auto"/>
                <w:szCs w:val="21"/>
              </w:rPr>
              <w:t>冷，循环水量</w:t>
            </w:r>
            <w:r>
              <w:rPr>
                <w:rFonts w:hint="eastAsia"/>
                <w:color w:val="auto"/>
                <w:szCs w:val="21"/>
                <w:lang w:val="en-US" w:eastAsia="zh-CN"/>
              </w:rPr>
              <w:t>15</w:t>
            </w:r>
            <w:r>
              <w:rPr>
                <w:rFonts w:hint="eastAsia"/>
                <w:color w:val="auto"/>
                <w:szCs w:val="21"/>
              </w:rPr>
              <w:t>m</w:t>
            </w:r>
            <w:r>
              <w:rPr>
                <w:rFonts w:hint="eastAsia"/>
                <w:color w:val="auto"/>
                <w:szCs w:val="21"/>
                <w:vertAlign w:val="superscript"/>
              </w:rPr>
              <w:t>3</w:t>
            </w:r>
            <w:r>
              <w:rPr>
                <w:rFonts w:hint="eastAsia"/>
                <w:color w:val="auto"/>
                <w:szCs w:val="21"/>
              </w:rPr>
              <w:t>/h</w:t>
            </w:r>
            <w:r>
              <w:rPr>
                <w:rFonts w:hint="eastAsia"/>
                <w:color w:val="auto"/>
              </w:rPr>
              <w:t>）</w:t>
            </w:r>
            <w:r>
              <w:rPr>
                <w:rFonts w:hint="eastAsia"/>
                <w:color w:val="auto"/>
                <w:lang w:eastAsia="zh-CN"/>
              </w:rPr>
              <w:t>，</w:t>
            </w:r>
            <w:r>
              <w:rPr>
                <w:rFonts w:hint="eastAsia"/>
                <w:color w:val="auto"/>
                <w:lang w:val="en-US" w:eastAsia="zh-CN"/>
              </w:rPr>
              <w:t>（循环水使用后定期排放，产生循环水排水W2）</w:t>
            </w:r>
            <w:r>
              <w:rPr>
                <w:rFonts w:hint="eastAsia"/>
                <w:color w:val="auto"/>
              </w:rPr>
              <w:t>，湿度范围2</w:t>
            </w:r>
            <w:r>
              <w:rPr>
                <w:color w:val="auto"/>
              </w:rPr>
              <w:t>0%~90%</w:t>
            </w:r>
            <w:r>
              <w:rPr>
                <w:rFonts w:hint="eastAsia"/>
                <w:color w:val="auto"/>
                <w:lang w:eastAsia="zh-CN"/>
              </w:rPr>
              <w:t>。</w:t>
            </w:r>
            <w:r>
              <w:rPr>
                <w:rFonts w:hint="eastAsia" w:cs="Times New Roman"/>
                <w:bCs w:val="0"/>
                <w:color w:val="auto"/>
                <w:kern w:val="0"/>
                <w:sz w:val="26"/>
                <w:szCs w:val="26"/>
                <w:lang w:val="en-US" w:eastAsia="zh-CN" w:bidi="ar-SA"/>
              </w:rPr>
              <w:t>设定好环境舱舱内环境后，</w:t>
            </w:r>
            <w:r>
              <w:rPr>
                <w:rFonts w:hint="eastAsia"/>
                <w:color w:val="auto"/>
              </w:rPr>
              <w:t>环境舱的制冷/加热系统、加湿/除湿系统开始工作，直至舱内温湿度达到设定值，环境舱会自动维持设定的舱内环境条件。</w:t>
            </w:r>
            <w:r>
              <w:rPr>
                <w:rFonts w:hint="eastAsia"/>
                <w:color w:val="auto"/>
                <w:lang w:val="en-US" w:eastAsia="zh-CN"/>
              </w:rPr>
              <w:t>涡旋式</w:t>
            </w:r>
            <w:r>
              <w:rPr>
                <w:rFonts w:hint="eastAsia"/>
                <w:color w:val="auto"/>
              </w:rPr>
              <w:t>压缩机</w:t>
            </w:r>
            <w:r>
              <w:rPr>
                <w:rFonts w:hint="eastAsia"/>
                <w:color w:val="auto"/>
                <w:lang w:val="en-US" w:eastAsia="zh-CN"/>
              </w:rPr>
              <w:t>使用期间定期保养，将产生废机油（S5），正常运行状态下产生设备噪声C3， 无含油废水产生。</w:t>
            </w:r>
          </w:p>
          <w:p w14:paraId="635C2E37">
            <w:pPr>
              <w:pStyle w:val="82"/>
              <w:numPr>
                <w:ilvl w:val="255"/>
                <w:numId w:val="0"/>
              </w:numPr>
              <w:spacing w:line="480" w:lineRule="exact"/>
              <w:rPr>
                <w:b/>
                <w:bCs/>
                <w:color w:val="auto"/>
                <w:sz w:val="26"/>
                <w:szCs w:val="26"/>
              </w:rPr>
            </w:pPr>
            <w:r>
              <w:rPr>
                <w:b/>
                <w:bCs/>
                <w:color w:val="auto"/>
                <w:sz w:val="26"/>
                <w:szCs w:val="26"/>
              </w:rPr>
              <w:t>2.12.2产排污环节分析</w:t>
            </w:r>
          </w:p>
          <w:p w14:paraId="5D39B179">
            <w:pPr>
              <w:pStyle w:val="82"/>
              <w:numPr>
                <w:ilvl w:val="0"/>
                <w:numId w:val="6"/>
              </w:numPr>
              <w:spacing w:line="480" w:lineRule="exact"/>
              <w:ind w:firstLine="520"/>
              <w:rPr>
                <w:color w:val="auto"/>
                <w:szCs w:val="26"/>
              </w:rPr>
            </w:pPr>
            <w:r>
              <w:rPr>
                <w:color w:val="auto"/>
                <w:szCs w:val="26"/>
              </w:rPr>
              <w:t>废气：打标机废气（G</w:t>
            </w:r>
            <w:r>
              <w:rPr>
                <w:rFonts w:hint="eastAsia"/>
                <w:color w:val="auto"/>
                <w:szCs w:val="26"/>
              </w:rPr>
              <w:t>1</w:t>
            </w:r>
            <w:r>
              <w:rPr>
                <w:color w:val="auto"/>
                <w:szCs w:val="26"/>
              </w:rPr>
              <w:t>，主要污染物为颗粒物）</w:t>
            </w:r>
            <w:r>
              <w:rPr>
                <w:rFonts w:hint="eastAsia"/>
                <w:color w:val="auto"/>
                <w:szCs w:val="26"/>
                <w:lang w:eastAsia="zh-CN"/>
              </w:rPr>
              <w:t>，</w:t>
            </w:r>
            <w:r>
              <w:rPr>
                <w:rFonts w:hint="eastAsia"/>
                <w:color w:val="auto"/>
                <w:szCs w:val="26"/>
                <w:lang w:val="en-US" w:eastAsia="zh-CN"/>
              </w:rPr>
              <w:t>螺纹胶挥发废气（G2，主要污染物为非甲烷总烃）</w:t>
            </w:r>
            <w:r>
              <w:rPr>
                <w:color w:val="auto"/>
                <w:szCs w:val="26"/>
              </w:rPr>
              <w:t>。</w:t>
            </w:r>
          </w:p>
          <w:p w14:paraId="53C9AFEC">
            <w:pPr>
              <w:pStyle w:val="82"/>
              <w:numPr>
                <w:ilvl w:val="0"/>
                <w:numId w:val="6"/>
              </w:numPr>
              <w:spacing w:line="480" w:lineRule="exact"/>
              <w:ind w:firstLine="520"/>
              <w:rPr>
                <w:color w:val="auto"/>
                <w:szCs w:val="26"/>
              </w:rPr>
            </w:pPr>
            <w:r>
              <w:rPr>
                <w:color w:val="auto"/>
                <w:szCs w:val="26"/>
              </w:rPr>
              <w:t>废水：生活污水（W1）、</w:t>
            </w:r>
            <w:r>
              <w:rPr>
                <w:rFonts w:hint="eastAsia"/>
                <w:color w:val="auto"/>
                <w:szCs w:val="26"/>
                <w:lang w:val="en-US" w:eastAsia="zh-CN"/>
              </w:rPr>
              <w:t>循环水排水</w:t>
            </w:r>
            <w:r>
              <w:rPr>
                <w:color w:val="auto"/>
                <w:szCs w:val="26"/>
              </w:rPr>
              <w:t>（W2）</w:t>
            </w:r>
            <w:r>
              <w:rPr>
                <w:rFonts w:hint="eastAsia"/>
                <w:color w:val="auto"/>
                <w:szCs w:val="26"/>
                <w:lang w:eastAsia="zh-CN"/>
              </w:rPr>
              <w:t>、</w:t>
            </w:r>
            <w:r>
              <w:rPr>
                <w:rFonts w:hint="eastAsia"/>
                <w:color w:val="auto"/>
                <w:szCs w:val="26"/>
                <w:lang w:val="en-US" w:eastAsia="zh-CN"/>
              </w:rPr>
              <w:t>厂区设施清洁废水（W3）</w:t>
            </w:r>
            <w:r>
              <w:rPr>
                <w:color w:val="auto"/>
                <w:szCs w:val="26"/>
              </w:rPr>
              <w:t>。</w:t>
            </w:r>
          </w:p>
          <w:p w14:paraId="4025A851">
            <w:pPr>
              <w:pStyle w:val="82"/>
              <w:numPr>
                <w:ilvl w:val="0"/>
                <w:numId w:val="6"/>
              </w:numPr>
              <w:spacing w:line="480" w:lineRule="exact"/>
              <w:ind w:firstLine="520"/>
              <w:rPr>
                <w:color w:val="auto"/>
                <w:szCs w:val="26"/>
              </w:rPr>
            </w:pPr>
            <w:r>
              <w:rPr>
                <w:color w:val="auto"/>
                <w:szCs w:val="26"/>
              </w:rPr>
              <w:t>固体废物：废包装、废零部件（S1）、</w:t>
            </w:r>
            <w:r>
              <w:rPr>
                <w:rFonts w:hint="eastAsia"/>
                <w:color w:val="auto"/>
                <w:kern w:val="0"/>
                <w:szCs w:val="26"/>
              </w:rPr>
              <w:t>劳保用品</w:t>
            </w:r>
            <w:r>
              <w:rPr>
                <w:color w:val="auto"/>
                <w:szCs w:val="26"/>
              </w:rPr>
              <w:t>（S2)、</w:t>
            </w:r>
            <w:r>
              <w:rPr>
                <w:rFonts w:hint="eastAsia"/>
                <w:color w:val="auto"/>
                <w:kern w:val="0"/>
                <w:szCs w:val="26"/>
              </w:rPr>
              <w:t>废包装桶/瓶</w:t>
            </w:r>
            <w:r>
              <w:rPr>
                <w:color w:val="auto"/>
                <w:szCs w:val="26"/>
              </w:rPr>
              <w:t>（S3）、</w:t>
            </w:r>
            <w:r>
              <w:rPr>
                <w:rFonts w:hint="eastAsia"/>
                <w:color w:val="auto"/>
                <w:kern w:val="0"/>
                <w:szCs w:val="26"/>
              </w:rPr>
              <w:t>化学品沾染物（</w:t>
            </w:r>
            <w:r>
              <w:rPr>
                <w:color w:val="auto"/>
                <w:szCs w:val="26"/>
              </w:rPr>
              <w:t>S4）</w:t>
            </w:r>
            <w:r>
              <w:rPr>
                <w:rFonts w:hint="eastAsia"/>
                <w:color w:val="auto"/>
                <w:szCs w:val="26"/>
              </w:rPr>
              <w:t>、</w:t>
            </w:r>
            <w:r>
              <w:rPr>
                <w:rFonts w:hint="eastAsia"/>
                <w:color w:val="auto"/>
                <w:kern w:val="0"/>
                <w:szCs w:val="26"/>
              </w:rPr>
              <w:t>废机油</w:t>
            </w:r>
            <w:r>
              <w:rPr>
                <w:color w:val="auto"/>
                <w:szCs w:val="26"/>
              </w:rPr>
              <w:t>（S5）、</w:t>
            </w:r>
            <w:r>
              <w:rPr>
                <w:rFonts w:hint="eastAsia"/>
                <w:color w:val="auto"/>
                <w:kern w:val="0"/>
                <w:szCs w:val="26"/>
              </w:rPr>
              <w:t>废油桶</w:t>
            </w:r>
            <w:r>
              <w:rPr>
                <w:bCs w:val="0"/>
                <w:color w:val="auto"/>
                <w:szCs w:val="26"/>
              </w:rPr>
              <w:t>（S6)、</w:t>
            </w:r>
            <w:r>
              <w:rPr>
                <w:rFonts w:hint="eastAsia"/>
                <w:color w:val="auto"/>
                <w:kern w:val="0"/>
                <w:szCs w:val="26"/>
              </w:rPr>
              <w:t>废蓄电池</w:t>
            </w:r>
            <w:r>
              <w:rPr>
                <w:color w:val="auto"/>
                <w:szCs w:val="26"/>
              </w:rPr>
              <w:t>（S7）、</w:t>
            </w:r>
            <w:r>
              <w:rPr>
                <w:rFonts w:hint="eastAsia"/>
                <w:color w:val="auto"/>
                <w:kern w:val="0"/>
                <w:szCs w:val="26"/>
              </w:rPr>
              <w:t>废灯管</w:t>
            </w:r>
            <w:r>
              <w:rPr>
                <w:color w:val="auto"/>
                <w:szCs w:val="26"/>
              </w:rPr>
              <w:t>（S8）、</w:t>
            </w:r>
            <w:r>
              <w:rPr>
                <w:rFonts w:hint="eastAsia"/>
                <w:color w:val="auto"/>
                <w:kern w:val="0"/>
                <w:szCs w:val="26"/>
              </w:rPr>
              <w:t>废防冻液</w:t>
            </w:r>
            <w:r>
              <w:rPr>
                <w:color w:val="auto"/>
                <w:szCs w:val="26"/>
              </w:rPr>
              <w:t>（S9）、</w:t>
            </w:r>
            <w:r>
              <w:rPr>
                <w:rFonts w:hint="eastAsia"/>
                <w:color w:val="auto"/>
                <w:szCs w:val="26"/>
                <w:lang w:val="en-US" w:eastAsia="zh-CN"/>
              </w:rPr>
              <w:t>油水混合物</w:t>
            </w:r>
            <w:r>
              <w:rPr>
                <w:rFonts w:hint="eastAsia"/>
                <w:color w:val="auto"/>
                <w:szCs w:val="26"/>
              </w:rPr>
              <w:t>（</w:t>
            </w:r>
            <w:r>
              <w:rPr>
                <w:color w:val="auto"/>
                <w:szCs w:val="26"/>
              </w:rPr>
              <w:t>S10</w:t>
            </w:r>
            <w:r>
              <w:rPr>
                <w:rFonts w:hint="eastAsia"/>
                <w:color w:val="auto"/>
                <w:szCs w:val="26"/>
              </w:rPr>
              <w:t>）</w:t>
            </w:r>
            <w:r>
              <w:rPr>
                <w:rFonts w:hint="eastAsia"/>
                <w:color w:val="auto"/>
                <w:szCs w:val="26"/>
                <w:lang w:val="en-US" w:eastAsia="zh-CN"/>
              </w:rPr>
              <w:t>、</w:t>
            </w:r>
            <w:r>
              <w:rPr>
                <w:color w:val="auto"/>
                <w:szCs w:val="26"/>
              </w:rPr>
              <w:t>餐厨垃圾（S1</w:t>
            </w:r>
            <w:r>
              <w:rPr>
                <w:rFonts w:hint="eastAsia"/>
                <w:color w:val="auto"/>
                <w:szCs w:val="26"/>
                <w:lang w:val="en-US" w:eastAsia="zh-CN"/>
              </w:rPr>
              <w:t>1</w:t>
            </w:r>
            <w:r>
              <w:rPr>
                <w:color w:val="auto"/>
                <w:szCs w:val="26"/>
              </w:rPr>
              <w:t>）、生活垃圾（S1</w:t>
            </w:r>
            <w:r>
              <w:rPr>
                <w:rFonts w:hint="eastAsia"/>
                <w:color w:val="auto"/>
                <w:szCs w:val="26"/>
                <w:lang w:val="en-US" w:eastAsia="zh-CN"/>
              </w:rPr>
              <w:t>2</w:t>
            </w:r>
            <w:r>
              <w:rPr>
                <w:color w:val="auto"/>
                <w:szCs w:val="26"/>
              </w:rPr>
              <w:t>）。</w:t>
            </w:r>
          </w:p>
          <w:p w14:paraId="753D2E95">
            <w:pPr>
              <w:pStyle w:val="82"/>
              <w:numPr>
                <w:ilvl w:val="0"/>
                <w:numId w:val="6"/>
              </w:numPr>
              <w:spacing w:line="480" w:lineRule="exact"/>
              <w:ind w:firstLine="520"/>
              <w:rPr>
                <w:color w:val="auto"/>
                <w:szCs w:val="26"/>
              </w:rPr>
            </w:pPr>
            <w:r>
              <w:rPr>
                <w:color w:val="auto"/>
                <w:szCs w:val="26"/>
              </w:rPr>
              <w:t>噪声</w:t>
            </w:r>
            <w:r>
              <w:rPr>
                <w:rFonts w:hint="eastAsia"/>
                <w:color w:val="auto"/>
                <w:szCs w:val="26"/>
                <w:lang w:eastAsia="zh-CN"/>
              </w:rPr>
              <w:t>：</w:t>
            </w:r>
            <w:r>
              <w:rPr>
                <w:rFonts w:hint="eastAsia"/>
                <w:color w:val="auto"/>
                <w:szCs w:val="26"/>
              </w:rPr>
              <w:t>空压机</w:t>
            </w:r>
            <w:r>
              <w:rPr>
                <w:color w:val="auto"/>
                <w:szCs w:val="26"/>
              </w:rPr>
              <w:t>（</w:t>
            </w:r>
            <w:r>
              <w:rPr>
                <w:rFonts w:hint="eastAsia"/>
                <w:color w:val="auto"/>
                <w:szCs w:val="26"/>
                <w:lang w:val="en-US" w:eastAsia="zh-CN"/>
              </w:rPr>
              <w:t>C1</w:t>
            </w:r>
            <w:r>
              <w:rPr>
                <w:color w:val="auto"/>
                <w:szCs w:val="26"/>
              </w:rPr>
              <w:t>）</w:t>
            </w:r>
            <w:r>
              <w:rPr>
                <w:rFonts w:hint="eastAsia"/>
                <w:color w:val="auto"/>
                <w:szCs w:val="26"/>
              </w:rPr>
              <w:t>、增压机</w:t>
            </w:r>
            <w:r>
              <w:rPr>
                <w:color w:val="auto"/>
                <w:szCs w:val="26"/>
              </w:rPr>
              <w:t>（</w:t>
            </w:r>
            <w:r>
              <w:rPr>
                <w:rFonts w:hint="eastAsia"/>
                <w:color w:val="auto"/>
                <w:szCs w:val="26"/>
                <w:lang w:val="en-US" w:eastAsia="zh-CN"/>
              </w:rPr>
              <w:t>C2</w:t>
            </w:r>
            <w:r>
              <w:rPr>
                <w:color w:val="auto"/>
                <w:szCs w:val="26"/>
              </w:rPr>
              <w:t>）</w:t>
            </w:r>
            <w:r>
              <w:rPr>
                <w:rFonts w:hint="eastAsia"/>
                <w:color w:val="auto"/>
                <w:szCs w:val="26"/>
                <w:lang w:eastAsia="zh-CN"/>
              </w:rPr>
              <w:t>、</w:t>
            </w:r>
            <w:r>
              <w:rPr>
                <w:rFonts w:hint="eastAsia"/>
                <w:color w:val="auto"/>
                <w:szCs w:val="26"/>
                <w:lang w:val="en-US" w:eastAsia="zh-CN"/>
              </w:rPr>
              <w:t>涡旋式压缩机</w:t>
            </w:r>
            <w:r>
              <w:rPr>
                <w:color w:val="auto"/>
                <w:szCs w:val="26"/>
              </w:rPr>
              <w:t>（</w:t>
            </w:r>
            <w:r>
              <w:rPr>
                <w:rFonts w:hint="eastAsia"/>
                <w:color w:val="auto"/>
                <w:szCs w:val="26"/>
                <w:lang w:val="en-US" w:eastAsia="zh-CN"/>
              </w:rPr>
              <w:t>C3</w:t>
            </w:r>
            <w:r>
              <w:rPr>
                <w:color w:val="auto"/>
                <w:szCs w:val="26"/>
              </w:rPr>
              <w:t>）。</w:t>
            </w:r>
          </w:p>
          <w:p w14:paraId="31219B70">
            <w:pPr>
              <w:spacing w:line="480" w:lineRule="exact"/>
              <w:ind w:firstLine="520" w:firstLineChars="200"/>
              <w:rPr>
                <w:color w:val="auto"/>
                <w:sz w:val="26"/>
                <w:szCs w:val="26"/>
              </w:rPr>
            </w:pPr>
            <w:r>
              <w:rPr>
                <w:color w:val="auto"/>
                <w:sz w:val="26"/>
                <w:szCs w:val="26"/>
              </w:rPr>
              <w:t>根据前述分析，工程主要污染物产排污环节详见下表：</w:t>
            </w:r>
          </w:p>
          <w:p w14:paraId="6B7417D7">
            <w:pPr>
              <w:spacing w:line="480" w:lineRule="exact"/>
              <w:ind w:firstLine="520" w:firstLineChars="200"/>
              <w:jc w:val="center"/>
              <w:rPr>
                <w:color w:val="auto"/>
                <w:sz w:val="26"/>
                <w:szCs w:val="26"/>
              </w:rPr>
            </w:pPr>
            <w:r>
              <w:rPr>
                <w:color w:val="auto"/>
                <w:sz w:val="26"/>
                <w:szCs w:val="26"/>
              </w:rPr>
              <w:t>表2.12-1</w:t>
            </w:r>
            <w:r>
              <w:rPr>
                <w:rFonts w:hint="eastAsia"/>
                <w:color w:val="auto"/>
                <w:sz w:val="26"/>
                <w:szCs w:val="26"/>
                <w:lang w:val="en-US" w:eastAsia="zh-CN"/>
              </w:rPr>
              <w:t xml:space="preserve">  </w:t>
            </w:r>
            <w:r>
              <w:rPr>
                <w:color w:val="auto"/>
                <w:sz w:val="26"/>
                <w:szCs w:val="26"/>
              </w:rPr>
              <w:t>项目主要污染物产排污环节表</w:t>
            </w:r>
          </w:p>
          <w:tbl>
            <w:tblPr>
              <w:tblStyle w:val="31"/>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65"/>
              <w:gridCol w:w="1639"/>
              <w:gridCol w:w="1547"/>
              <w:gridCol w:w="3040"/>
            </w:tblGrid>
            <w:tr w14:paraId="2E1F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Align w:val="center"/>
                </w:tcPr>
                <w:p w14:paraId="2B6FB8B1">
                  <w:pPr>
                    <w:spacing w:line="300" w:lineRule="exact"/>
                    <w:jc w:val="center"/>
                    <w:rPr>
                      <w:color w:val="auto"/>
                      <w:sz w:val="22"/>
                      <w:szCs w:val="22"/>
                    </w:rPr>
                  </w:pPr>
                  <w:r>
                    <w:rPr>
                      <w:color w:val="auto"/>
                      <w:sz w:val="22"/>
                      <w:szCs w:val="22"/>
                    </w:rPr>
                    <w:t>类别</w:t>
                  </w:r>
                </w:p>
              </w:tc>
              <w:tc>
                <w:tcPr>
                  <w:tcW w:w="965" w:type="dxa"/>
                  <w:vAlign w:val="center"/>
                </w:tcPr>
                <w:p w14:paraId="41C7B2F2">
                  <w:pPr>
                    <w:spacing w:line="300" w:lineRule="exact"/>
                    <w:jc w:val="center"/>
                    <w:rPr>
                      <w:color w:val="auto"/>
                      <w:sz w:val="22"/>
                      <w:szCs w:val="22"/>
                    </w:rPr>
                  </w:pPr>
                  <w:r>
                    <w:rPr>
                      <w:color w:val="auto"/>
                      <w:sz w:val="22"/>
                      <w:szCs w:val="22"/>
                    </w:rPr>
                    <w:t>序号</w:t>
                  </w:r>
                </w:p>
              </w:tc>
              <w:tc>
                <w:tcPr>
                  <w:tcW w:w="1639" w:type="dxa"/>
                  <w:vAlign w:val="center"/>
                </w:tcPr>
                <w:p w14:paraId="056298F5">
                  <w:pPr>
                    <w:spacing w:line="300" w:lineRule="exact"/>
                    <w:jc w:val="center"/>
                    <w:rPr>
                      <w:color w:val="auto"/>
                      <w:sz w:val="22"/>
                      <w:szCs w:val="22"/>
                    </w:rPr>
                  </w:pPr>
                  <w:r>
                    <w:rPr>
                      <w:color w:val="auto"/>
                      <w:sz w:val="22"/>
                      <w:szCs w:val="22"/>
                    </w:rPr>
                    <w:t>排污节点</w:t>
                  </w:r>
                </w:p>
              </w:tc>
              <w:tc>
                <w:tcPr>
                  <w:tcW w:w="1547" w:type="dxa"/>
                  <w:vAlign w:val="center"/>
                </w:tcPr>
                <w:p w14:paraId="3A00FBB7">
                  <w:pPr>
                    <w:spacing w:line="300" w:lineRule="exact"/>
                    <w:jc w:val="center"/>
                    <w:rPr>
                      <w:color w:val="auto"/>
                      <w:sz w:val="22"/>
                      <w:szCs w:val="22"/>
                    </w:rPr>
                  </w:pPr>
                  <w:r>
                    <w:rPr>
                      <w:color w:val="auto"/>
                      <w:sz w:val="22"/>
                      <w:szCs w:val="22"/>
                    </w:rPr>
                    <w:t>主要污染物</w:t>
                  </w:r>
                </w:p>
              </w:tc>
              <w:tc>
                <w:tcPr>
                  <w:tcW w:w="3040" w:type="dxa"/>
                  <w:vAlign w:val="center"/>
                </w:tcPr>
                <w:p w14:paraId="4A940D33">
                  <w:pPr>
                    <w:spacing w:line="300" w:lineRule="exact"/>
                    <w:jc w:val="center"/>
                    <w:rPr>
                      <w:color w:val="auto"/>
                      <w:sz w:val="22"/>
                      <w:szCs w:val="22"/>
                    </w:rPr>
                  </w:pPr>
                  <w:r>
                    <w:rPr>
                      <w:color w:val="auto"/>
                      <w:sz w:val="22"/>
                      <w:szCs w:val="22"/>
                    </w:rPr>
                    <w:t>治理措施</w:t>
                  </w:r>
                </w:p>
              </w:tc>
            </w:tr>
            <w:tr w14:paraId="4290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1" w:type="dxa"/>
                  <w:vMerge w:val="restart"/>
                  <w:vAlign w:val="center"/>
                </w:tcPr>
                <w:p w14:paraId="26BF432F">
                  <w:pPr>
                    <w:spacing w:line="300" w:lineRule="exact"/>
                    <w:jc w:val="center"/>
                    <w:rPr>
                      <w:color w:val="auto"/>
                      <w:sz w:val="22"/>
                      <w:szCs w:val="22"/>
                    </w:rPr>
                  </w:pPr>
                  <w:r>
                    <w:rPr>
                      <w:color w:val="auto"/>
                      <w:sz w:val="22"/>
                      <w:szCs w:val="22"/>
                    </w:rPr>
                    <w:t>废气</w:t>
                  </w:r>
                </w:p>
              </w:tc>
              <w:tc>
                <w:tcPr>
                  <w:tcW w:w="965" w:type="dxa"/>
                  <w:vAlign w:val="center"/>
                </w:tcPr>
                <w:p w14:paraId="4F2F3395">
                  <w:pPr>
                    <w:spacing w:line="300" w:lineRule="exact"/>
                    <w:jc w:val="center"/>
                    <w:rPr>
                      <w:color w:val="auto"/>
                      <w:sz w:val="22"/>
                      <w:szCs w:val="22"/>
                    </w:rPr>
                  </w:pPr>
                  <w:r>
                    <w:rPr>
                      <w:color w:val="auto"/>
                      <w:sz w:val="22"/>
                      <w:szCs w:val="22"/>
                    </w:rPr>
                    <w:t>G1</w:t>
                  </w:r>
                </w:p>
              </w:tc>
              <w:tc>
                <w:tcPr>
                  <w:tcW w:w="1639" w:type="dxa"/>
                  <w:vAlign w:val="center"/>
                </w:tcPr>
                <w:p w14:paraId="74EC0D32">
                  <w:pPr>
                    <w:spacing w:line="300" w:lineRule="exact"/>
                    <w:jc w:val="center"/>
                    <w:rPr>
                      <w:color w:val="auto"/>
                      <w:sz w:val="22"/>
                      <w:szCs w:val="22"/>
                    </w:rPr>
                  </w:pPr>
                  <w:r>
                    <w:rPr>
                      <w:color w:val="auto"/>
                      <w:sz w:val="22"/>
                      <w:szCs w:val="22"/>
                    </w:rPr>
                    <w:t>打标机废气</w:t>
                  </w:r>
                </w:p>
              </w:tc>
              <w:tc>
                <w:tcPr>
                  <w:tcW w:w="1547" w:type="dxa"/>
                  <w:vAlign w:val="center"/>
                </w:tcPr>
                <w:p w14:paraId="0A0ECD0B">
                  <w:pPr>
                    <w:spacing w:line="300" w:lineRule="exact"/>
                    <w:jc w:val="center"/>
                    <w:rPr>
                      <w:color w:val="auto"/>
                      <w:sz w:val="22"/>
                      <w:szCs w:val="22"/>
                    </w:rPr>
                  </w:pPr>
                  <w:r>
                    <w:rPr>
                      <w:color w:val="auto"/>
                      <w:sz w:val="22"/>
                      <w:szCs w:val="22"/>
                    </w:rPr>
                    <w:t>颗粒物</w:t>
                  </w:r>
                </w:p>
              </w:tc>
              <w:tc>
                <w:tcPr>
                  <w:tcW w:w="3040" w:type="dxa"/>
                  <w:vAlign w:val="center"/>
                </w:tcPr>
                <w:p w14:paraId="10BB63AC">
                  <w:pPr>
                    <w:spacing w:line="300" w:lineRule="exact"/>
                    <w:jc w:val="center"/>
                    <w:rPr>
                      <w:color w:val="auto"/>
                      <w:sz w:val="22"/>
                      <w:szCs w:val="22"/>
                    </w:rPr>
                  </w:pPr>
                  <w:r>
                    <w:rPr>
                      <w:color w:val="auto"/>
                      <w:sz w:val="22"/>
                      <w:szCs w:val="22"/>
                    </w:rPr>
                    <w:t>废气通过设备自带的除尘装置处理后无组织排放。</w:t>
                  </w:r>
                </w:p>
              </w:tc>
            </w:tr>
            <w:tr w14:paraId="6849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1" w:type="dxa"/>
                  <w:vMerge w:val="continue"/>
                  <w:vAlign w:val="center"/>
                </w:tcPr>
                <w:p w14:paraId="6922D13C">
                  <w:pPr>
                    <w:spacing w:line="300" w:lineRule="exact"/>
                    <w:jc w:val="center"/>
                    <w:rPr>
                      <w:color w:val="auto"/>
                      <w:sz w:val="22"/>
                      <w:szCs w:val="22"/>
                    </w:rPr>
                  </w:pPr>
                </w:p>
              </w:tc>
              <w:tc>
                <w:tcPr>
                  <w:tcW w:w="965" w:type="dxa"/>
                  <w:vAlign w:val="center"/>
                </w:tcPr>
                <w:p w14:paraId="384F9108">
                  <w:pPr>
                    <w:spacing w:line="300" w:lineRule="exact"/>
                    <w:jc w:val="center"/>
                    <w:rPr>
                      <w:rFonts w:hint="default" w:eastAsia="宋体"/>
                      <w:color w:val="auto"/>
                      <w:sz w:val="22"/>
                      <w:szCs w:val="22"/>
                      <w:lang w:val="en-US" w:eastAsia="zh-CN"/>
                    </w:rPr>
                  </w:pPr>
                  <w:r>
                    <w:rPr>
                      <w:rFonts w:hint="eastAsia"/>
                      <w:color w:val="auto"/>
                      <w:sz w:val="22"/>
                      <w:szCs w:val="22"/>
                      <w:lang w:val="en-US" w:eastAsia="zh-CN"/>
                    </w:rPr>
                    <w:t>G2</w:t>
                  </w:r>
                </w:p>
              </w:tc>
              <w:tc>
                <w:tcPr>
                  <w:tcW w:w="1639" w:type="dxa"/>
                  <w:vAlign w:val="center"/>
                </w:tcPr>
                <w:p w14:paraId="5AF676D7">
                  <w:pPr>
                    <w:spacing w:line="300" w:lineRule="exact"/>
                    <w:jc w:val="center"/>
                    <w:rPr>
                      <w:rFonts w:hint="default" w:eastAsia="宋体"/>
                      <w:color w:val="auto"/>
                      <w:sz w:val="22"/>
                      <w:szCs w:val="22"/>
                      <w:lang w:val="en-US" w:eastAsia="zh-CN"/>
                    </w:rPr>
                  </w:pPr>
                  <w:r>
                    <w:rPr>
                      <w:rFonts w:hint="eastAsia"/>
                      <w:color w:val="auto"/>
                      <w:sz w:val="22"/>
                      <w:szCs w:val="22"/>
                      <w:lang w:val="en-US" w:eastAsia="zh-CN"/>
                    </w:rPr>
                    <w:t>螺纹胶挥发废气</w:t>
                  </w:r>
                </w:p>
              </w:tc>
              <w:tc>
                <w:tcPr>
                  <w:tcW w:w="1547" w:type="dxa"/>
                  <w:vAlign w:val="center"/>
                </w:tcPr>
                <w:p w14:paraId="331E5863">
                  <w:pPr>
                    <w:spacing w:line="300" w:lineRule="exact"/>
                    <w:jc w:val="center"/>
                    <w:rPr>
                      <w:rFonts w:hint="eastAsia" w:eastAsia="宋体"/>
                      <w:color w:val="auto"/>
                      <w:sz w:val="22"/>
                      <w:szCs w:val="22"/>
                      <w:lang w:val="en-US" w:eastAsia="zh-CN"/>
                    </w:rPr>
                  </w:pPr>
                  <w:r>
                    <w:rPr>
                      <w:rFonts w:hint="eastAsia"/>
                      <w:color w:val="auto"/>
                      <w:sz w:val="22"/>
                      <w:szCs w:val="22"/>
                      <w:lang w:val="en-US" w:eastAsia="zh-CN"/>
                    </w:rPr>
                    <w:t>非甲烷总烃</w:t>
                  </w:r>
                </w:p>
              </w:tc>
              <w:tc>
                <w:tcPr>
                  <w:tcW w:w="3040" w:type="dxa"/>
                  <w:vAlign w:val="center"/>
                </w:tcPr>
                <w:p w14:paraId="72F01112">
                  <w:pPr>
                    <w:spacing w:line="300" w:lineRule="exact"/>
                    <w:jc w:val="center"/>
                    <w:rPr>
                      <w:rFonts w:hint="default" w:eastAsia="宋体"/>
                      <w:color w:val="auto"/>
                      <w:sz w:val="22"/>
                      <w:szCs w:val="22"/>
                      <w:lang w:val="en-US" w:eastAsia="zh-CN"/>
                    </w:rPr>
                  </w:pPr>
                  <w:r>
                    <w:rPr>
                      <w:rFonts w:hint="eastAsia"/>
                      <w:color w:val="auto"/>
                      <w:sz w:val="22"/>
                      <w:szCs w:val="22"/>
                      <w:lang w:val="en-US" w:eastAsia="zh-CN"/>
                    </w:rPr>
                    <w:t>车间无组织排放</w:t>
                  </w:r>
                </w:p>
              </w:tc>
            </w:tr>
            <w:tr w14:paraId="28ED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041" w:type="dxa"/>
                  <w:vMerge w:val="restart"/>
                  <w:vAlign w:val="center"/>
                </w:tcPr>
                <w:p w14:paraId="21FCFEDD">
                  <w:pPr>
                    <w:spacing w:line="300" w:lineRule="exact"/>
                    <w:jc w:val="center"/>
                    <w:rPr>
                      <w:color w:val="auto"/>
                      <w:sz w:val="22"/>
                      <w:szCs w:val="22"/>
                    </w:rPr>
                  </w:pPr>
                  <w:r>
                    <w:rPr>
                      <w:color w:val="auto"/>
                      <w:sz w:val="22"/>
                      <w:szCs w:val="22"/>
                    </w:rPr>
                    <w:t>废水</w:t>
                  </w:r>
                </w:p>
              </w:tc>
              <w:tc>
                <w:tcPr>
                  <w:tcW w:w="965" w:type="dxa"/>
                  <w:vAlign w:val="center"/>
                </w:tcPr>
                <w:p w14:paraId="36BC0354">
                  <w:pPr>
                    <w:spacing w:line="300" w:lineRule="exact"/>
                    <w:jc w:val="center"/>
                    <w:rPr>
                      <w:color w:val="auto"/>
                      <w:sz w:val="22"/>
                      <w:szCs w:val="22"/>
                    </w:rPr>
                  </w:pPr>
                  <w:r>
                    <w:rPr>
                      <w:color w:val="auto"/>
                      <w:sz w:val="22"/>
                      <w:szCs w:val="22"/>
                    </w:rPr>
                    <w:t>W1</w:t>
                  </w:r>
                </w:p>
              </w:tc>
              <w:tc>
                <w:tcPr>
                  <w:tcW w:w="1639" w:type="dxa"/>
                  <w:vAlign w:val="center"/>
                </w:tcPr>
                <w:p w14:paraId="75578419">
                  <w:pPr>
                    <w:spacing w:line="300" w:lineRule="exact"/>
                    <w:jc w:val="center"/>
                    <w:rPr>
                      <w:color w:val="auto"/>
                      <w:sz w:val="22"/>
                      <w:szCs w:val="22"/>
                    </w:rPr>
                  </w:pPr>
                  <w:r>
                    <w:rPr>
                      <w:color w:val="auto"/>
                      <w:sz w:val="22"/>
                      <w:szCs w:val="22"/>
                    </w:rPr>
                    <w:t>食堂、办公（生活污水）</w:t>
                  </w:r>
                </w:p>
              </w:tc>
              <w:tc>
                <w:tcPr>
                  <w:tcW w:w="1547" w:type="dxa"/>
                  <w:vAlign w:val="center"/>
                </w:tcPr>
                <w:p w14:paraId="77166EE2">
                  <w:pPr>
                    <w:spacing w:line="300" w:lineRule="exact"/>
                    <w:jc w:val="center"/>
                    <w:rPr>
                      <w:color w:val="auto"/>
                      <w:sz w:val="22"/>
                      <w:szCs w:val="22"/>
                    </w:rPr>
                  </w:pPr>
                  <w:r>
                    <w:rPr>
                      <w:color w:val="auto"/>
                      <w:sz w:val="22"/>
                      <w:szCs w:val="22"/>
                    </w:rPr>
                    <w:t>COD、BOD</w:t>
                  </w:r>
                  <w:r>
                    <w:rPr>
                      <w:color w:val="auto"/>
                      <w:sz w:val="22"/>
                      <w:szCs w:val="22"/>
                      <w:vertAlign w:val="subscript"/>
                    </w:rPr>
                    <w:t>5</w:t>
                  </w:r>
                  <w:r>
                    <w:rPr>
                      <w:color w:val="auto"/>
                      <w:sz w:val="22"/>
                      <w:szCs w:val="22"/>
                    </w:rPr>
                    <w:t>、SS、氨氮、动植物油等</w:t>
                  </w:r>
                </w:p>
              </w:tc>
              <w:tc>
                <w:tcPr>
                  <w:tcW w:w="3040" w:type="dxa"/>
                  <w:vAlign w:val="center"/>
                </w:tcPr>
                <w:p w14:paraId="171FE1A4">
                  <w:pPr>
                    <w:spacing w:line="300" w:lineRule="exact"/>
                    <w:jc w:val="center"/>
                    <w:rPr>
                      <w:color w:val="auto"/>
                      <w:sz w:val="22"/>
                      <w:szCs w:val="22"/>
                    </w:rPr>
                  </w:pPr>
                  <w:r>
                    <w:rPr>
                      <w:color w:val="auto"/>
                      <w:sz w:val="22"/>
                      <w:szCs w:val="22"/>
                    </w:rPr>
                    <w:t>食堂废水经隔油池处理后，同其他生活污水一起经过</w:t>
                  </w:r>
                  <w:r>
                    <w:rPr>
                      <w:rFonts w:hint="eastAsia"/>
                      <w:color w:val="auto"/>
                      <w:sz w:val="22"/>
                      <w:szCs w:val="22"/>
                      <w:lang w:eastAsia="zh-CN"/>
                    </w:rPr>
                    <w:t>化粪池</w:t>
                  </w:r>
                  <w:r>
                    <w:rPr>
                      <w:color w:val="auto"/>
                      <w:sz w:val="22"/>
                      <w:szCs w:val="22"/>
                    </w:rPr>
                    <w:t>处理后排入园区污水管网。</w:t>
                  </w:r>
                </w:p>
              </w:tc>
            </w:tr>
            <w:tr w14:paraId="166E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041" w:type="dxa"/>
                  <w:vMerge w:val="continue"/>
                  <w:vAlign w:val="center"/>
                </w:tcPr>
                <w:p w14:paraId="53C4C564">
                  <w:pPr>
                    <w:spacing w:line="300" w:lineRule="exact"/>
                    <w:jc w:val="center"/>
                    <w:rPr>
                      <w:color w:val="auto"/>
                      <w:sz w:val="22"/>
                      <w:szCs w:val="22"/>
                    </w:rPr>
                  </w:pPr>
                </w:p>
              </w:tc>
              <w:tc>
                <w:tcPr>
                  <w:tcW w:w="965" w:type="dxa"/>
                  <w:vAlign w:val="center"/>
                </w:tcPr>
                <w:p w14:paraId="54434961">
                  <w:pPr>
                    <w:spacing w:line="300" w:lineRule="exact"/>
                    <w:jc w:val="center"/>
                    <w:rPr>
                      <w:color w:val="auto"/>
                      <w:sz w:val="22"/>
                      <w:szCs w:val="22"/>
                    </w:rPr>
                  </w:pPr>
                  <w:r>
                    <w:rPr>
                      <w:color w:val="auto"/>
                      <w:sz w:val="22"/>
                      <w:szCs w:val="22"/>
                    </w:rPr>
                    <w:t>W2</w:t>
                  </w:r>
                </w:p>
              </w:tc>
              <w:tc>
                <w:tcPr>
                  <w:tcW w:w="1639" w:type="dxa"/>
                  <w:vAlign w:val="center"/>
                </w:tcPr>
                <w:p w14:paraId="58EA23AC">
                  <w:pPr>
                    <w:spacing w:line="300" w:lineRule="exact"/>
                    <w:jc w:val="center"/>
                    <w:rPr>
                      <w:rFonts w:hint="default" w:eastAsia="宋体"/>
                      <w:color w:val="auto"/>
                      <w:sz w:val="22"/>
                      <w:szCs w:val="22"/>
                      <w:lang w:val="en-US" w:eastAsia="zh-CN"/>
                    </w:rPr>
                  </w:pPr>
                  <w:r>
                    <w:rPr>
                      <w:rFonts w:hint="eastAsia"/>
                      <w:color w:val="auto"/>
                      <w:sz w:val="22"/>
                      <w:szCs w:val="22"/>
                      <w:lang w:val="en-US" w:eastAsia="zh-CN"/>
                    </w:rPr>
                    <w:t>循环水排水</w:t>
                  </w:r>
                </w:p>
              </w:tc>
              <w:tc>
                <w:tcPr>
                  <w:tcW w:w="1547" w:type="dxa"/>
                  <w:vAlign w:val="center"/>
                </w:tcPr>
                <w:p w14:paraId="77C66E24">
                  <w:pPr>
                    <w:spacing w:line="300" w:lineRule="exact"/>
                    <w:jc w:val="center"/>
                    <w:rPr>
                      <w:color w:val="auto"/>
                      <w:sz w:val="22"/>
                      <w:szCs w:val="22"/>
                    </w:rPr>
                  </w:pPr>
                  <w:r>
                    <w:rPr>
                      <w:color w:val="auto"/>
                      <w:sz w:val="22"/>
                      <w:szCs w:val="22"/>
                    </w:rPr>
                    <w:t>COD、SS</w:t>
                  </w:r>
                  <w:r>
                    <w:rPr>
                      <w:rFonts w:hint="eastAsia"/>
                      <w:color w:val="auto"/>
                      <w:sz w:val="22"/>
                      <w:szCs w:val="22"/>
                    </w:rPr>
                    <w:t>等</w:t>
                  </w:r>
                </w:p>
              </w:tc>
              <w:tc>
                <w:tcPr>
                  <w:tcW w:w="3040" w:type="dxa"/>
                  <w:vAlign w:val="center"/>
                </w:tcPr>
                <w:p w14:paraId="19622FCB">
                  <w:pPr>
                    <w:spacing w:line="300" w:lineRule="exact"/>
                    <w:jc w:val="center"/>
                    <w:rPr>
                      <w:color w:val="auto"/>
                      <w:sz w:val="22"/>
                      <w:szCs w:val="22"/>
                    </w:rPr>
                  </w:pPr>
                  <w:r>
                    <w:rPr>
                      <w:rFonts w:hint="eastAsia"/>
                      <w:color w:val="auto"/>
                      <w:sz w:val="22"/>
                      <w:szCs w:val="22"/>
                      <w:lang w:val="en-US" w:eastAsia="zh-CN"/>
                    </w:rPr>
                    <w:t>同生活污水一起</w:t>
                  </w:r>
                  <w:r>
                    <w:rPr>
                      <w:color w:val="auto"/>
                      <w:sz w:val="22"/>
                      <w:szCs w:val="22"/>
                    </w:rPr>
                    <w:t>经过</w:t>
                  </w:r>
                  <w:r>
                    <w:rPr>
                      <w:rFonts w:hint="eastAsia"/>
                      <w:color w:val="auto"/>
                      <w:sz w:val="22"/>
                      <w:szCs w:val="22"/>
                      <w:lang w:eastAsia="zh-CN"/>
                    </w:rPr>
                    <w:t>化粪池</w:t>
                  </w:r>
                  <w:r>
                    <w:rPr>
                      <w:color w:val="auto"/>
                      <w:sz w:val="22"/>
                      <w:szCs w:val="22"/>
                    </w:rPr>
                    <w:t>处理后排入园区污水管网。</w:t>
                  </w:r>
                </w:p>
              </w:tc>
            </w:tr>
            <w:tr w14:paraId="32E7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041" w:type="dxa"/>
                  <w:vMerge w:val="continue"/>
                  <w:vAlign w:val="center"/>
                </w:tcPr>
                <w:p w14:paraId="426A80B4">
                  <w:pPr>
                    <w:spacing w:line="300" w:lineRule="exact"/>
                    <w:jc w:val="center"/>
                    <w:rPr>
                      <w:color w:val="auto"/>
                      <w:sz w:val="22"/>
                      <w:szCs w:val="22"/>
                    </w:rPr>
                  </w:pPr>
                </w:p>
              </w:tc>
              <w:tc>
                <w:tcPr>
                  <w:tcW w:w="965" w:type="dxa"/>
                  <w:vAlign w:val="center"/>
                </w:tcPr>
                <w:p w14:paraId="2F3CED69">
                  <w:pPr>
                    <w:spacing w:line="300" w:lineRule="exact"/>
                    <w:jc w:val="center"/>
                    <w:rPr>
                      <w:rFonts w:hint="eastAsia" w:eastAsia="宋体"/>
                      <w:color w:val="auto"/>
                      <w:sz w:val="22"/>
                      <w:szCs w:val="22"/>
                      <w:lang w:val="en-US" w:eastAsia="zh-CN"/>
                    </w:rPr>
                  </w:pPr>
                  <w:r>
                    <w:rPr>
                      <w:color w:val="auto"/>
                      <w:sz w:val="22"/>
                      <w:szCs w:val="22"/>
                    </w:rPr>
                    <w:t>W</w:t>
                  </w:r>
                  <w:r>
                    <w:rPr>
                      <w:rFonts w:hint="eastAsia"/>
                      <w:color w:val="auto"/>
                      <w:sz w:val="22"/>
                      <w:szCs w:val="22"/>
                      <w:lang w:val="en-US" w:eastAsia="zh-CN"/>
                    </w:rPr>
                    <w:t>3</w:t>
                  </w:r>
                </w:p>
              </w:tc>
              <w:tc>
                <w:tcPr>
                  <w:tcW w:w="1639" w:type="dxa"/>
                  <w:vAlign w:val="center"/>
                </w:tcPr>
                <w:p w14:paraId="524C385E">
                  <w:pPr>
                    <w:spacing w:line="300" w:lineRule="exact"/>
                    <w:jc w:val="center"/>
                    <w:rPr>
                      <w:rFonts w:hint="eastAsia"/>
                      <w:color w:val="auto"/>
                      <w:sz w:val="22"/>
                      <w:szCs w:val="22"/>
                      <w:lang w:val="en-US" w:eastAsia="zh-CN"/>
                    </w:rPr>
                  </w:pPr>
                  <w:r>
                    <w:rPr>
                      <w:rFonts w:hint="eastAsia"/>
                      <w:color w:val="auto"/>
                      <w:szCs w:val="26"/>
                      <w:lang w:val="en-US" w:eastAsia="zh-CN"/>
                    </w:rPr>
                    <w:t>厂区设施清洁废水</w:t>
                  </w:r>
                </w:p>
              </w:tc>
              <w:tc>
                <w:tcPr>
                  <w:tcW w:w="1547" w:type="dxa"/>
                  <w:vAlign w:val="center"/>
                </w:tcPr>
                <w:p w14:paraId="4219A9EA">
                  <w:pPr>
                    <w:spacing w:line="300" w:lineRule="exact"/>
                    <w:jc w:val="center"/>
                    <w:rPr>
                      <w:color w:val="auto"/>
                      <w:sz w:val="22"/>
                      <w:szCs w:val="22"/>
                    </w:rPr>
                  </w:pPr>
                  <w:r>
                    <w:rPr>
                      <w:color w:val="auto"/>
                      <w:sz w:val="22"/>
                      <w:szCs w:val="22"/>
                    </w:rPr>
                    <w:t>COD、SS</w:t>
                  </w:r>
                  <w:r>
                    <w:rPr>
                      <w:rFonts w:hint="eastAsia"/>
                      <w:color w:val="auto"/>
                      <w:sz w:val="22"/>
                      <w:szCs w:val="22"/>
                    </w:rPr>
                    <w:t>等</w:t>
                  </w:r>
                </w:p>
              </w:tc>
              <w:tc>
                <w:tcPr>
                  <w:tcW w:w="3040" w:type="dxa"/>
                  <w:vAlign w:val="center"/>
                </w:tcPr>
                <w:p w14:paraId="78283E9B">
                  <w:pPr>
                    <w:spacing w:line="300" w:lineRule="exact"/>
                    <w:jc w:val="center"/>
                    <w:rPr>
                      <w:rFonts w:hint="eastAsia"/>
                      <w:color w:val="auto"/>
                      <w:sz w:val="22"/>
                      <w:szCs w:val="22"/>
                      <w:lang w:val="en-US" w:eastAsia="zh-CN"/>
                    </w:rPr>
                  </w:pPr>
                  <w:r>
                    <w:rPr>
                      <w:rFonts w:hint="eastAsia"/>
                      <w:color w:val="auto"/>
                      <w:sz w:val="22"/>
                      <w:szCs w:val="22"/>
                      <w:lang w:val="en-US" w:eastAsia="zh-CN"/>
                    </w:rPr>
                    <w:t>同生活污水一起</w:t>
                  </w:r>
                  <w:r>
                    <w:rPr>
                      <w:color w:val="auto"/>
                      <w:sz w:val="22"/>
                      <w:szCs w:val="22"/>
                    </w:rPr>
                    <w:t>经过</w:t>
                  </w:r>
                  <w:r>
                    <w:rPr>
                      <w:rFonts w:hint="eastAsia"/>
                      <w:color w:val="auto"/>
                      <w:sz w:val="22"/>
                      <w:szCs w:val="22"/>
                      <w:lang w:eastAsia="zh-CN"/>
                    </w:rPr>
                    <w:t>化粪池</w:t>
                  </w:r>
                  <w:r>
                    <w:rPr>
                      <w:color w:val="auto"/>
                      <w:sz w:val="22"/>
                      <w:szCs w:val="22"/>
                    </w:rPr>
                    <w:t>处理后排入园区污水管网。</w:t>
                  </w:r>
                </w:p>
              </w:tc>
            </w:tr>
            <w:tr w14:paraId="60FA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Align w:val="center"/>
                </w:tcPr>
                <w:p w14:paraId="132C8A2D">
                  <w:pPr>
                    <w:spacing w:line="300" w:lineRule="exact"/>
                    <w:jc w:val="center"/>
                    <w:rPr>
                      <w:color w:val="auto"/>
                      <w:sz w:val="22"/>
                      <w:szCs w:val="22"/>
                    </w:rPr>
                  </w:pPr>
                  <w:r>
                    <w:rPr>
                      <w:color w:val="auto"/>
                      <w:sz w:val="22"/>
                      <w:szCs w:val="22"/>
                    </w:rPr>
                    <w:t>噪声</w:t>
                  </w:r>
                </w:p>
              </w:tc>
              <w:tc>
                <w:tcPr>
                  <w:tcW w:w="965" w:type="dxa"/>
                  <w:vAlign w:val="center"/>
                </w:tcPr>
                <w:p w14:paraId="54527FC3">
                  <w:pPr>
                    <w:spacing w:line="300" w:lineRule="exact"/>
                    <w:jc w:val="center"/>
                    <w:rPr>
                      <w:color w:val="auto"/>
                      <w:sz w:val="22"/>
                      <w:szCs w:val="22"/>
                    </w:rPr>
                  </w:pPr>
                  <w:r>
                    <w:rPr>
                      <w:color w:val="auto"/>
                      <w:sz w:val="22"/>
                      <w:szCs w:val="22"/>
                    </w:rPr>
                    <w:t>/</w:t>
                  </w:r>
                </w:p>
              </w:tc>
              <w:tc>
                <w:tcPr>
                  <w:tcW w:w="1639" w:type="dxa"/>
                  <w:vAlign w:val="center"/>
                </w:tcPr>
                <w:p w14:paraId="7F69CE6B">
                  <w:pPr>
                    <w:spacing w:line="300" w:lineRule="exact"/>
                    <w:jc w:val="center"/>
                    <w:rPr>
                      <w:color w:val="auto"/>
                      <w:sz w:val="22"/>
                      <w:szCs w:val="22"/>
                    </w:rPr>
                  </w:pPr>
                  <w:r>
                    <w:rPr>
                      <w:rFonts w:hint="eastAsia"/>
                      <w:color w:val="auto"/>
                      <w:sz w:val="22"/>
                      <w:szCs w:val="22"/>
                    </w:rPr>
                    <w:t>增压机、空压机</w:t>
                  </w:r>
                  <w:r>
                    <w:rPr>
                      <w:rFonts w:hint="eastAsia"/>
                      <w:color w:val="auto"/>
                      <w:sz w:val="22"/>
                      <w:szCs w:val="22"/>
                      <w:lang w:val="en-US" w:eastAsia="zh-CN"/>
                    </w:rPr>
                    <w:t>、压缩机</w:t>
                  </w:r>
                  <w:r>
                    <w:rPr>
                      <w:color w:val="auto"/>
                      <w:sz w:val="22"/>
                      <w:szCs w:val="22"/>
                    </w:rPr>
                    <w:t>运行</w:t>
                  </w:r>
                </w:p>
              </w:tc>
              <w:tc>
                <w:tcPr>
                  <w:tcW w:w="1547" w:type="dxa"/>
                  <w:vAlign w:val="center"/>
                </w:tcPr>
                <w:p w14:paraId="460A7A56">
                  <w:pPr>
                    <w:spacing w:line="300" w:lineRule="exact"/>
                    <w:jc w:val="center"/>
                    <w:rPr>
                      <w:color w:val="auto"/>
                      <w:sz w:val="22"/>
                      <w:szCs w:val="22"/>
                    </w:rPr>
                  </w:pPr>
                  <w:r>
                    <w:rPr>
                      <w:color w:val="auto"/>
                      <w:sz w:val="22"/>
                      <w:szCs w:val="22"/>
                    </w:rPr>
                    <w:t>噪声</w:t>
                  </w:r>
                </w:p>
              </w:tc>
              <w:tc>
                <w:tcPr>
                  <w:tcW w:w="3040" w:type="dxa"/>
                  <w:vAlign w:val="center"/>
                </w:tcPr>
                <w:p w14:paraId="31EB9749">
                  <w:pPr>
                    <w:spacing w:line="300" w:lineRule="exact"/>
                    <w:jc w:val="center"/>
                    <w:rPr>
                      <w:color w:val="auto"/>
                      <w:sz w:val="22"/>
                      <w:szCs w:val="22"/>
                    </w:rPr>
                  </w:pPr>
                  <w:r>
                    <w:rPr>
                      <w:color w:val="auto"/>
                      <w:sz w:val="22"/>
                      <w:szCs w:val="22"/>
                    </w:rPr>
                    <w:t>选用低噪声设备，采取基础减震、建筑隔声、距离衰减等。</w:t>
                  </w:r>
                </w:p>
              </w:tc>
            </w:tr>
            <w:tr w14:paraId="3685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restart"/>
                  <w:vAlign w:val="center"/>
                </w:tcPr>
                <w:p w14:paraId="69F4B6E8">
                  <w:pPr>
                    <w:spacing w:line="300" w:lineRule="exact"/>
                    <w:jc w:val="center"/>
                    <w:rPr>
                      <w:color w:val="auto"/>
                      <w:sz w:val="22"/>
                      <w:szCs w:val="22"/>
                    </w:rPr>
                  </w:pPr>
                  <w:r>
                    <w:rPr>
                      <w:color w:val="auto"/>
                      <w:sz w:val="22"/>
                      <w:szCs w:val="22"/>
                    </w:rPr>
                    <w:t>固废</w:t>
                  </w:r>
                </w:p>
              </w:tc>
              <w:tc>
                <w:tcPr>
                  <w:tcW w:w="965" w:type="dxa"/>
                  <w:vAlign w:val="center"/>
                </w:tcPr>
                <w:p w14:paraId="12A7FBA4">
                  <w:pPr>
                    <w:spacing w:line="300" w:lineRule="exact"/>
                    <w:jc w:val="center"/>
                    <w:rPr>
                      <w:color w:val="auto"/>
                      <w:sz w:val="22"/>
                      <w:szCs w:val="22"/>
                    </w:rPr>
                  </w:pPr>
                  <w:r>
                    <w:rPr>
                      <w:color w:val="auto"/>
                      <w:sz w:val="22"/>
                      <w:szCs w:val="22"/>
                    </w:rPr>
                    <w:t>S1</w:t>
                  </w:r>
                </w:p>
              </w:tc>
              <w:tc>
                <w:tcPr>
                  <w:tcW w:w="1639" w:type="dxa"/>
                  <w:vAlign w:val="center"/>
                </w:tcPr>
                <w:p w14:paraId="659A07D0">
                  <w:pPr>
                    <w:spacing w:line="300" w:lineRule="exact"/>
                    <w:jc w:val="center"/>
                    <w:rPr>
                      <w:color w:val="auto"/>
                      <w:sz w:val="22"/>
                      <w:szCs w:val="22"/>
                    </w:rPr>
                  </w:pPr>
                  <w:r>
                    <w:rPr>
                      <w:rFonts w:hint="eastAsia"/>
                      <w:color w:val="auto"/>
                      <w:sz w:val="22"/>
                      <w:szCs w:val="22"/>
                    </w:rPr>
                    <w:t>废包装材料、废零部件</w:t>
                  </w:r>
                </w:p>
              </w:tc>
              <w:tc>
                <w:tcPr>
                  <w:tcW w:w="1547" w:type="dxa"/>
                  <w:vAlign w:val="center"/>
                </w:tcPr>
                <w:p w14:paraId="03A6F4FB">
                  <w:pPr>
                    <w:spacing w:line="300" w:lineRule="exact"/>
                    <w:jc w:val="center"/>
                    <w:rPr>
                      <w:color w:val="auto"/>
                      <w:sz w:val="22"/>
                      <w:szCs w:val="22"/>
                    </w:rPr>
                  </w:pPr>
                  <w:r>
                    <w:rPr>
                      <w:color w:val="auto"/>
                      <w:sz w:val="22"/>
                      <w:szCs w:val="22"/>
                    </w:rPr>
                    <w:t>废材料</w:t>
                  </w:r>
                </w:p>
              </w:tc>
              <w:tc>
                <w:tcPr>
                  <w:tcW w:w="3040" w:type="dxa"/>
                  <w:vAlign w:val="center"/>
                </w:tcPr>
                <w:p w14:paraId="44AAA7D0">
                  <w:pPr>
                    <w:spacing w:line="300" w:lineRule="exact"/>
                    <w:jc w:val="center"/>
                    <w:rPr>
                      <w:color w:val="auto"/>
                      <w:sz w:val="22"/>
                      <w:szCs w:val="22"/>
                    </w:rPr>
                  </w:pPr>
                  <w:r>
                    <w:rPr>
                      <w:color w:val="auto"/>
                      <w:sz w:val="22"/>
                      <w:szCs w:val="22"/>
                    </w:rPr>
                    <w:t>经厂区收集后，由资源回收公司回收</w:t>
                  </w:r>
                </w:p>
              </w:tc>
            </w:tr>
            <w:tr w14:paraId="5D3F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continue"/>
                  <w:vAlign w:val="center"/>
                </w:tcPr>
                <w:p w14:paraId="2C2279E2">
                  <w:pPr>
                    <w:spacing w:line="300" w:lineRule="exact"/>
                    <w:jc w:val="center"/>
                    <w:rPr>
                      <w:color w:val="auto"/>
                      <w:sz w:val="22"/>
                      <w:szCs w:val="22"/>
                    </w:rPr>
                  </w:pPr>
                </w:p>
              </w:tc>
              <w:tc>
                <w:tcPr>
                  <w:tcW w:w="965" w:type="dxa"/>
                  <w:vAlign w:val="center"/>
                </w:tcPr>
                <w:p w14:paraId="3E842173">
                  <w:pPr>
                    <w:spacing w:line="300" w:lineRule="exact"/>
                    <w:jc w:val="center"/>
                    <w:rPr>
                      <w:color w:val="auto"/>
                      <w:sz w:val="22"/>
                      <w:szCs w:val="22"/>
                    </w:rPr>
                  </w:pPr>
                  <w:r>
                    <w:rPr>
                      <w:color w:val="auto"/>
                      <w:sz w:val="22"/>
                      <w:szCs w:val="22"/>
                    </w:rPr>
                    <w:t>S2</w:t>
                  </w:r>
                </w:p>
              </w:tc>
              <w:tc>
                <w:tcPr>
                  <w:tcW w:w="1639" w:type="dxa"/>
                  <w:vAlign w:val="center"/>
                </w:tcPr>
                <w:p w14:paraId="73327B47">
                  <w:pPr>
                    <w:spacing w:line="300" w:lineRule="exact"/>
                    <w:jc w:val="center"/>
                    <w:rPr>
                      <w:color w:val="auto"/>
                      <w:sz w:val="22"/>
                      <w:szCs w:val="22"/>
                    </w:rPr>
                  </w:pPr>
                  <w:r>
                    <w:rPr>
                      <w:rFonts w:hint="eastAsia"/>
                      <w:color w:val="auto"/>
                      <w:sz w:val="22"/>
                      <w:szCs w:val="22"/>
                    </w:rPr>
                    <w:t>劳保用品</w:t>
                  </w:r>
                </w:p>
              </w:tc>
              <w:tc>
                <w:tcPr>
                  <w:tcW w:w="1547" w:type="dxa"/>
                  <w:vAlign w:val="center"/>
                </w:tcPr>
                <w:p w14:paraId="2F045430">
                  <w:pPr>
                    <w:spacing w:line="300" w:lineRule="exact"/>
                    <w:jc w:val="center"/>
                    <w:rPr>
                      <w:color w:val="auto"/>
                      <w:sz w:val="22"/>
                      <w:szCs w:val="22"/>
                    </w:rPr>
                  </w:pPr>
                  <w:r>
                    <w:rPr>
                      <w:color w:val="auto"/>
                      <w:sz w:val="22"/>
                      <w:szCs w:val="22"/>
                    </w:rPr>
                    <w:t>废手套</w:t>
                  </w:r>
                </w:p>
              </w:tc>
              <w:tc>
                <w:tcPr>
                  <w:tcW w:w="3040" w:type="dxa"/>
                  <w:vAlign w:val="center"/>
                </w:tcPr>
                <w:p w14:paraId="534ADDB1">
                  <w:pPr>
                    <w:spacing w:line="300" w:lineRule="exact"/>
                    <w:jc w:val="center"/>
                    <w:rPr>
                      <w:color w:val="auto"/>
                      <w:sz w:val="22"/>
                      <w:szCs w:val="22"/>
                    </w:rPr>
                  </w:pPr>
                  <w:r>
                    <w:rPr>
                      <w:color w:val="auto"/>
                      <w:sz w:val="22"/>
                      <w:szCs w:val="22"/>
                    </w:rPr>
                    <w:t>交具有相应处置资质的单位处置</w:t>
                  </w:r>
                </w:p>
              </w:tc>
            </w:tr>
            <w:tr w14:paraId="7FBE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continue"/>
                  <w:vAlign w:val="center"/>
                </w:tcPr>
                <w:p w14:paraId="21C7BB27">
                  <w:pPr>
                    <w:spacing w:line="300" w:lineRule="exact"/>
                    <w:jc w:val="center"/>
                    <w:rPr>
                      <w:color w:val="auto"/>
                      <w:sz w:val="22"/>
                      <w:szCs w:val="22"/>
                    </w:rPr>
                  </w:pPr>
                </w:p>
              </w:tc>
              <w:tc>
                <w:tcPr>
                  <w:tcW w:w="965" w:type="dxa"/>
                  <w:vAlign w:val="center"/>
                </w:tcPr>
                <w:p w14:paraId="51EA9696">
                  <w:pPr>
                    <w:spacing w:line="300" w:lineRule="exact"/>
                    <w:jc w:val="center"/>
                    <w:rPr>
                      <w:color w:val="auto"/>
                      <w:sz w:val="22"/>
                      <w:szCs w:val="22"/>
                    </w:rPr>
                  </w:pPr>
                  <w:r>
                    <w:rPr>
                      <w:color w:val="auto"/>
                      <w:sz w:val="22"/>
                      <w:szCs w:val="22"/>
                    </w:rPr>
                    <w:t>S3</w:t>
                  </w:r>
                </w:p>
              </w:tc>
              <w:tc>
                <w:tcPr>
                  <w:tcW w:w="1639" w:type="dxa"/>
                  <w:vAlign w:val="center"/>
                </w:tcPr>
                <w:p w14:paraId="7E227BE5">
                  <w:pPr>
                    <w:spacing w:line="300" w:lineRule="exact"/>
                    <w:jc w:val="center"/>
                    <w:rPr>
                      <w:color w:val="auto"/>
                      <w:sz w:val="22"/>
                      <w:szCs w:val="22"/>
                    </w:rPr>
                  </w:pPr>
                  <w:r>
                    <w:rPr>
                      <w:rFonts w:hint="eastAsia"/>
                      <w:color w:val="auto"/>
                      <w:sz w:val="22"/>
                      <w:szCs w:val="22"/>
                    </w:rPr>
                    <w:t>废包装桶/瓶</w:t>
                  </w:r>
                </w:p>
              </w:tc>
              <w:tc>
                <w:tcPr>
                  <w:tcW w:w="1547" w:type="dxa"/>
                  <w:vAlign w:val="center"/>
                </w:tcPr>
                <w:p w14:paraId="3081BC43">
                  <w:pPr>
                    <w:spacing w:line="300" w:lineRule="exact"/>
                    <w:jc w:val="center"/>
                    <w:rPr>
                      <w:color w:val="auto"/>
                      <w:sz w:val="22"/>
                      <w:szCs w:val="22"/>
                    </w:rPr>
                  </w:pPr>
                  <w:r>
                    <w:rPr>
                      <w:rFonts w:hint="eastAsia"/>
                      <w:color w:val="auto"/>
                      <w:sz w:val="22"/>
                      <w:szCs w:val="22"/>
                    </w:rPr>
                    <w:t>化学品</w:t>
                  </w:r>
                </w:p>
              </w:tc>
              <w:tc>
                <w:tcPr>
                  <w:tcW w:w="3040" w:type="dxa"/>
                  <w:vAlign w:val="center"/>
                </w:tcPr>
                <w:p w14:paraId="2F08AFD6">
                  <w:pPr>
                    <w:spacing w:line="300" w:lineRule="exact"/>
                    <w:jc w:val="center"/>
                    <w:rPr>
                      <w:color w:val="auto"/>
                      <w:sz w:val="22"/>
                      <w:szCs w:val="22"/>
                    </w:rPr>
                  </w:pPr>
                  <w:r>
                    <w:rPr>
                      <w:color w:val="auto"/>
                      <w:sz w:val="22"/>
                      <w:szCs w:val="22"/>
                    </w:rPr>
                    <w:t>交具有相应处置资质的单位处置</w:t>
                  </w:r>
                </w:p>
              </w:tc>
            </w:tr>
            <w:tr w14:paraId="720C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continue"/>
                  <w:vAlign w:val="center"/>
                </w:tcPr>
                <w:p w14:paraId="24DCD339">
                  <w:pPr>
                    <w:spacing w:line="300" w:lineRule="exact"/>
                    <w:jc w:val="center"/>
                    <w:rPr>
                      <w:color w:val="auto"/>
                      <w:sz w:val="22"/>
                      <w:szCs w:val="22"/>
                    </w:rPr>
                  </w:pPr>
                </w:p>
              </w:tc>
              <w:tc>
                <w:tcPr>
                  <w:tcW w:w="965" w:type="dxa"/>
                  <w:vAlign w:val="center"/>
                </w:tcPr>
                <w:p w14:paraId="7CD5C498">
                  <w:pPr>
                    <w:spacing w:line="300" w:lineRule="exact"/>
                    <w:jc w:val="center"/>
                    <w:rPr>
                      <w:color w:val="auto"/>
                      <w:sz w:val="22"/>
                      <w:szCs w:val="22"/>
                    </w:rPr>
                  </w:pPr>
                  <w:r>
                    <w:rPr>
                      <w:color w:val="auto"/>
                      <w:sz w:val="22"/>
                      <w:szCs w:val="22"/>
                    </w:rPr>
                    <w:t>S4</w:t>
                  </w:r>
                </w:p>
              </w:tc>
              <w:tc>
                <w:tcPr>
                  <w:tcW w:w="1639" w:type="dxa"/>
                  <w:vAlign w:val="center"/>
                </w:tcPr>
                <w:p w14:paraId="21BDBA89">
                  <w:pPr>
                    <w:spacing w:line="300" w:lineRule="exact"/>
                    <w:jc w:val="center"/>
                    <w:rPr>
                      <w:color w:val="auto"/>
                      <w:sz w:val="22"/>
                      <w:szCs w:val="22"/>
                    </w:rPr>
                  </w:pPr>
                  <w:r>
                    <w:rPr>
                      <w:rFonts w:hint="eastAsia"/>
                      <w:color w:val="auto"/>
                      <w:sz w:val="22"/>
                      <w:szCs w:val="22"/>
                    </w:rPr>
                    <w:t>化学品沾染物</w:t>
                  </w:r>
                </w:p>
              </w:tc>
              <w:tc>
                <w:tcPr>
                  <w:tcW w:w="1547" w:type="dxa"/>
                  <w:vAlign w:val="center"/>
                </w:tcPr>
                <w:p w14:paraId="4F373301">
                  <w:pPr>
                    <w:spacing w:line="300" w:lineRule="exact"/>
                    <w:jc w:val="center"/>
                    <w:rPr>
                      <w:color w:val="auto"/>
                      <w:sz w:val="22"/>
                      <w:szCs w:val="22"/>
                    </w:rPr>
                  </w:pPr>
                  <w:r>
                    <w:rPr>
                      <w:rFonts w:hint="eastAsia"/>
                      <w:color w:val="auto"/>
                      <w:sz w:val="22"/>
                      <w:szCs w:val="22"/>
                    </w:rPr>
                    <w:t>废抹布</w:t>
                  </w:r>
                </w:p>
              </w:tc>
              <w:tc>
                <w:tcPr>
                  <w:tcW w:w="3040" w:type="dxa"/>
                  <w:vAlign w:val="center"/>
                </w:tcPr>
                <w:p w14:paraId="130F0D6C">
                  <w:pPr>
                    <w:spacing w:line="300" w:lineRule="exact"/>
                    <w:jc w:val="center"/>
                    <w:rPr>
                      <w:color w:val="auto"/>
                      <w:sz w:val="22"/>
                      <w:szCs w:val="22"/>
                    </w:rPr>
                  </w:pPr>
                  <w:r>
                    <w:rPr>
                      <w:color w:val="auto"/>
                      <w:sz w:val="22"/>
                      <w:szCs w:val="22"/>
                    </w:rPr>
                    <w:t>交具有相应处置资质的单位处置</w:t>
                  </w:r>
                </w:p>
              </w:tc>
            </w:tr>
            <w:tr w14:paraId="43B8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continue"/>
                  <w:vAlign w:val="center"/>
                </w:tcPr>
                <w:p w14:paraId="705DAB59">
                  <w:pPr>
                    <w:spacing w:line="300" w:lineRule="exact"/>
                    <w:jc w:val="center"/>
                    <w:rPr>
                      <w:color w:val="auto"/>
                      <w:sz w:val="22"/>
                      <w:szCs w:val="22"/>
                    </w:rPr>
                  </w:pPr>
                </w:p>
              </w:tc>
              <w:tc>
                <w:tcPr>
                  <w:tcW w:w="965" w:type="dxa"/>
                  <w:vAlign w:val="center"/>
                </w:tcPr>
                <w:p w14:paraId="5BB2F265">
                  <w:pPr>
                    <w:spacing w:line="300" w:lineRule="exact"/>
                    <w:jc w:val="center"/>
                    <w:rPr>
                      <w:color w:val="auto"/>
                      <w:sz w:val="22"/>
                      <w:szCs w:val="22"/>
                    </w:rPr>
                  </w:pPr>
                  <w:r>
                    <w:rPr>
                      <w:color w:val="auto"/>
                      <w:sz w:val="22"/>
                      <w:szCs w:val="22"/>
                    </w:rPr>
                    <w:t>S5</w:t>
                  </w:r>
                </w:p>
              </w:tc>
              <w:tc>
                <w:tcPr>
                  <w:tcW w:w="1639" w:type="dxa"/>
                  <w:vAlign w:val="center"/>
                </w:tcPr>
                <w:p w14:paraId="7D87DCAB">
                  <w:pPr>
                    <w:spacing w:line="300" w:lineRule="exact"/>
                    <w:jc w:val="center"/>
                    <w:rPr>
                      <w:color w:val="auto"/>
                      <w:sz w:val="22"/>
                      <w:szCs w:val="22"/>
                    </w:rPr>
                  </w:pPr>
                  <w:r>
                    <w:rPr>
                      <w:rFonts w:hint="eastAsia"/>
                      <w:color w:val="auto"/>
                      <w:sz w:val="22"/>
                      <w:szCs w:val="22"/>
                    </w:rPr>
                    <w:t>设备维护</w:t>
                  </w:r>
                </w:p>
              </w:tc>
              <w:tc>
                <w:tcPr>
                  <w:tcW w:w="1547" w:type="dxa"/>
                  <w:vAlign w:val="center"/>
                </w:tcPr>
                <w:p w14:paraId="3087513B">
                  <w:pPr>
                    <w:spacing w:line="300" w:lineRule="exact"/>
                    <w:jc w:val="center"/>
                    <w:rPr>
                      <w:color w:val="auto"/>
                      <w:sz w:val="22"/>
                      <w:szCs w:val="22"/>
                    </w:rPr>
                  </w:pPr>
                  <w:r>
                    <w:rPr>
                      <w:rFonts w:hint="eastAsia"/>
                      <w:color w:val="auto"/>
                      <w:sz w:val="22"/>
                      <w:szCs w:val="22"/>
                    </w:rPr>
                    <w:t>废机油</w:t>
                  </w:r>
                </w:p>
              </w:tc>
              <w:tc>
                <w:tcPr>
                  <w:tcW w:w="3040" w:type="dxa"/>
                  <w:vAlign w:val="center"/>
                </w:tcPr>
                <w:p w14:paraId="433783F0">
                  <w:pPr>
                    <w:spacing w:line="300" w:lineRule="exact"/>
                    <w:jc w:val="center"/>
                    <w:rPr>
                      <w:color w:val="auto"/>
                      <w:sz w:val="22"/>
                      <w:szCs w:val="22"/>
                    </w:rPr>
                  </w:pPr>
                  <w:r>
                    <w:rPr>
                      <w:color w:val="auto"/>
                      <w:sz w:val="22"/>
                      <w:szCs w:val="22"/>
                    </w:rPr>
                    <w:t>交具有相应处置资质的单位处置</w:t>
                  </w:r>
                </w:p>
              </w:tc>
            </w:tr>
            <w:tr w14:paraId="4F2A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1" w:type="dxa"/>
                  <w:vMerge w:val="continue"/>
                  <w:vAlign w:val="center"/>
                </w:tcPr>
                <w:p w14:paraId="3B8D0402">
                  <w:pPr>
                    <w:spacing w:line="300" w:lineRule="exact"/>
                    <w:jc w:val="center"/>
                    <w:rPr>
                      <w:color w:val="auto"/>
                      <w:sz w:val="22"/>
                      <w:szCs w:val="22"/>
                    </w:rPr>
                  </w:pPr>
                </w:p>
              </w:tc>
              <w:tc>
                <w:tcPr>
                  <w:tcW w:w="965" w:type="dxa"/>
                  <w:vAlign w:val="center"/>
                </w:tcPr>
                <w:p w14:paraId="52FFDFBA">
                  <w:pPr>
                    <w:spacing w:line="300" w:lineRule="exact"/>
                    <w:jc w:val="center"/>
                    <w:rPr>
                      <w:color w:val="auto"/>
                      <w:sz w:val="22"/>
                      <w:szCs w:val="22"/>
                    </w:rPr>
                  </w:pPr>
                  <w:r>
                    <w:rPr>
                      <w:color w:val="auto"/>
                      <w:sz w:val="22"/>
                      <w:szCs w:val="22"/>
                    </w:rPr>
                    <w:t>S6</w:t>
                  </w:r>
                </w:p>
              </w:tc>
              <w:tc>
                <w:tcPr>
                  <w:tcW w:w="1639" w:type="dxa"/>
                  <w:vAlign w:val="center"/>
                </w:tcPr>
                <w:p w14:paraId="58EAC725">
                  <w:pPr>
                    <w:spacing w:line="300" w:lineRule="exact"/>
                    <w:jc w:val="center"/>
                    <w:rPr>
                      <w:color w:val="auto"/>
                      <w:sz w:val="22"/>
                      <w:szCs w:val="22"/>
                    </w:rPr>
                  </w:pPr>
                  <w:r>
                    <w:rPr>
                      <w:rFonts w:hint="eastAsia"/>
                      <w:color w:val="auto"/>
                      <w:sz w:val="22"/>
                      <w:szCs w:val="22"/>
                    </w:rPr>
                    <w:t>电机、变速箱润滑油</w:t>
                  </w:r>
                </w:p>
              </w:tc>
              <w:tc>
                <w:tcPr>
                  <w:tcW w:w="1547" w:type="dxa"/>
                  <w:vAlign w:val="center"/>
                </w:tcPr>
                <w:p w14:paraId="6EB614FD">
                  <w:pPr>
                    <w:spacing w:line="300" w:lineRule="exact"/>
                    <w:jc w:val="center"/>
                    <w:rPr>
                      <w:color w:val="auto"/>
                      <w:sz w:val="22"/>
                      <w:szCs w:val="22"/>
                    </w:rPr>
                  </w:pPr>
                  <w:r>
                    <w:rPr>
                      <w:rFonts w:hint="eastAsia"/>
                      <w:color w:val="auto"/>
                      <w:sz w:val="22"/>
                      <w:szCs w:val="22"/>
                    </w:rPr>
                    <w:t>废机油</w:t>
                  </w:r>
                </w:p>
              </w:tc>
              <w:tc>
                <w:tcPr>
                  <w:tcW w:w="3040" w:type="dxa"/>
                  <w:vAlign w:val="center"/>
                </w:tcPr>
                <w:p w14:paraId="6FBEE6B1">
                  <w:pPr>
                    <w:spacing w:line="300" w:lineRule="exact"/>
                    <w:jc w:val="center"/>
                    <w:rPr>
                      <w:color w:val="auto"/>
                      <w:sz w:val="22"/>
                      <w:szCs w:val="22"/>
                    </w:rPr>
                  </w:pPr>
                  <w:r>
                    <w:rPr>
                      <w:color w:val="auto"/>
                      <w:sz w:val="22"/>
                      <w:szCs w:val="22"/>
                    </w:rPr>
                    <w:t>交具有相应处置资质的单位处置</w:t>
                  </w:r>
                </w:p>
              </w:tc>
            </w:tr>
            <w:tr w14:paraId="5A4D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continue"/>
                  <w:vAlign w:val="center"/>
                </w:tcPr>
                <w:p w14:paraId="01426E82">
                  <w:pPr>
                    <w:spacing w:line="300" w:lineRule="exact"/>
                    <w:jc w:val="center"/>
                    <w:rPr>
                      <w:color w:val="auto"/>
                      <w:sz w:val="22"/>
                      <w:szCs w:val="22"/>
                    </w:rPr>
                  </w:pPr>
                </w:p>
              </w:tc>
              <w:tc>
                <w:tcPr>
                  <w:tcW w:w="965" w:type="dxa"/>
                  <w:vAlign w:val="center"/>
                </w:tcPr>
                <w:p w14:paraId="70E20ADD">
                  <w:pPr>
                    <w:spacing w:line="300" w:lineRule="exact"/>
                    <w:jc w:val="center"/>
                    <w:rPr>
                      <w:rFonts w:hint="eastAsia" w:eastAsia="宋体"/>
                      <w:color w:val="auto"/>
                      <w:sz w:val="22"/>
                      <w:szCs w:val="22"/>
                      <w:lang w:eastAsia="zh-CN"/>
                    </w:rPr>
                  </w:pPr>
                  <w:r>
                    <w:rPr>
                      <w:color w:val="auto"/>
                      <w:sz w:val="22"/>
                      <w:szCs w:val="22"/>
                    </w:rPr>
                    <w:t>S</w:t>
                  </w:r>
                  <w:r>
                    <w:rPr>
                      <w:rFonts w:hint="eastAsia"/>
                      <w:color w:val="auto"/>
                      <w:sz w:val="22"/>
                      <w:szCs w:val="22"/>
                      <w:lang w:val="en-US" w:eastAsia="zh-CN"/>
                    </w:rPr>
                    <w:t>7</w:t>
                  </w:r>
                </w:p>
              </w:tc>
              <w:tc>
                <w:tcPr>
                  <w:tcW w:w="1639" w:type="dxa"/>
                  <w:vAlign w:val="center"/>
                </w:tcPr>
                <w:p w14:paraId="2B2E932F">
                  <w:pPr>
                    <w:spacing w:line="300" w:lineRule="exact"/>
                    <w:jc w:val="center"/>
                    <w:rPr>
                      <w:color w:val="auto"/>
                      <w:sz w:val="22"/>
                      <w:szCs w:val="22"/>
                    </w:rPr>
                  </w:pPr>
                  <w:r>
                    <w:rPr>
                      <w:rFonts w:hint="eastAsia"/>
                      <w:color w:val="auto"/>
                      <w:sz w:val="22"/>
                      <w:szCs w:val="22"/>
                    </w:rPr>
                    <w:t>废蓄电池</w:t>
                  </w:r>
                </w:p>
              </w:tc>
              <w:tc>
                <w:tcPr>
                  <w:tcW w:w="1547" w:type="dxa"/>
                  <w:vAlign w:val="center"/>
                </w:tcPr>
                <w:p w14:paraId="430A1CEA">
                  <w:pPr>
                    <w:spacing w:line="300" w:lineRule="exact"/>
                    <w:jc w:val="center"/>
                    <w:rPr>
                      <w:color w:val="auto"/>
                      <w:sz w:val="22"/>
                      <w:szCs w:val="22"/>
                    </w:rPr>
                  </w:pPr>
                  <w:r>
                    <w:rPr>
                      <w:color w:val="auto"/>
                      <w:sz w:val="22"/>
                      <w:szCs w:val="22"/>
                    </w:rPr>
                    <w:t>废蓄电池</w:t>
                  </w:r>
                </w:p>
              </w:tc>
              <w:tc>
                <w:tcPr>
                  <w:tcW w:w="3040" w:type="dxa"/>
                  <w:vAlign w:val="center"/>
                </w:tcPr>
                <w:p w14:paraId="06625AFA">
                  <w:pPr>
                    <w:spacing w:line="300" w:lineRule="exact"/>
                    <w:jc w:val="center"/>
                    <w:rPr>
                      <w:color w:val="auto"/>
                      <w:sz w:val="22"/>
                      <w:szCs w:val="22"/>
                    </w:rPr>
                  </w:pPr>
                  <w:r>
                    <w:rPr>
                      <w:color w:val="auto"/>
                      <w:sz w:val="22"/>
                      <w:szCs w:val="22"/>
                    </w:rPr>
                    <w:t>交具有相应危废处置资质的单位处置</w:t>
                  </w:r>
                </w:p>
              </w:tc>
            </w:tr>
            <w:tr w14:paraId="59FE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1" w:type="dxa"/>
                  <w:vMerge w:val="continue"/>
                  <w:vAlign w:val="center"/>
                </w:tcPr>
                <w:p w14:paraId="5727AF61">
                  <w:pPr>
                    <w:spacing w:line="300" w:lineRule="exact"/>
                    <w:jc w:val="center"/>
                    <w:rPr>
                      <w:color w:val="auto"/>
                      <w:sz w:val="22"/>
                      <w:szCs w:val="22"/>
                    </w:rPr>
                  </w:pPr>
                </w:p>
              </w:tc>
              <w:tc>
                <w:tcPr>
                  <w:tcW w:w="965" w:type="dxa"/>
                  <w:vAlign w:val="center"/>
                </w:tcPr>
                <w:p w14:paraId="0FA3843A">
                  <w:pPr>
                    <w:spacing w:line="300" w:lineRule="exact"/>
                    <w:jc w:val="center"/>
                    <w:rPr>
                      <w:color w:val="auto"/>
                      <w:sz w:val="22"/>
                      <w:szCs w:val="22"/>
                    </w:rPr>
                  </w:pPr>
                  <w:r>
                    <w:rPr>
                      <w:color w:val="auto"/>
                      <w:sz w:val="22"/>
                      <w:szCs w:val="22"/>
                    </w:rPr>
                    <w:t>S8</w:t>
                  </w:r>
                </w:p>
              </w:tc>
              <w:tc>
                <w:tcPr>
                  <w:tcW w:w="1639" w:type="dxa"/>
                  <w:vAlign w:val="center"/>
                </w:tcPr>
                <w:p w14:paraId="38CCBA52">
                  <w:pPr>
                    <w:spacing w:line="300" w:lineRule="exact"/>
                    <w:jc w:val="center"/>
                    <w:rPr>
                      <w:color w:val="auto"/>
                      <w:sz w:val="22"/>
                      <w:szCs w:val="22"/>
                    </w:rPr>
                  </w:pPr>
                  <w:r>
                    <w:rPr>
                      <w:rFonts w:hint="eastAsia"/>
                      <w:color w:val="auto"/>
                      <w:sz w:val="22"/>
                      <w:szCs w:val="22"/>
                    </w:rPr>
                    <w:t>废灯管</w:t>
                  </w:r>
                </w:p>
              </w:tc>
              <w:tc>
                <w:tcPr>
                  <w:tcW w:w="1547" w:type="dxa"/>
                  <w:vAlign w:val="center"/>
                </w:tcPr>
                <w:p w14:paraId="158F9EFB">
                  <w:pPr>
                    <w:spacing w:line="300" w:lineRule="exact"/>
                    <w:jc w:val="center"/>
                    <w:rPr>
                      <w:color w:val="auto"/>
                      <w:sz w:val="22"/>
                      <w:szCs w:val="22"/>
                    </w:rPr>
                  </w:pPr>
                  <w:r>
                    <w:rPr>
                      <w:color w:val="auto"/>
                      <w:sz w:val="22"/>
                      <w:szCs w:val="22"/>
                    </w:rPr>
                    <w:t>废灯管</w:t>
                  </w:r>
                </w:p>
              </w:tc>
              <w:tc>
                <w:tcPr>
                  <w:tcW w:w="3040" w:type="dxa"/>
                  <w:vAlign w:val="center"/>
                </w:tcPr>
                <w:p w14:paraId="419169C6">
                  <w:pPr>
                    <w:spacing w:line="300" w:lineRule="exact"/>
                    <w:jc w:val="center"/>
                    <w:rPr>
                      <w:color w:val="auto"/>
                      <w:sz w:val="22"/>
                      <w:szCs w:val="22"/>
                    </w:rPr>
                  </w:pPr>
                  <w:r>
                    <w:rPr>
                      <w:color w:val="auto"/>
                      <w:sz w:val="22"/>
                      <w:szCs w:val="22"/>
                    </w:rPr>
                    <w:t>交具有相应危废处置资质的单位处置</w:t>
                  </w:r>
                </w:p>
              </w:tc>
            </w:tr>
            <w:tr w14:paraId="5AEE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continue"/>
                  <w:vAlign w:val="center"/>
                </w:tcPr>
                <w:p w14:paraId="566C8A86">
                  <w:pPr>
                    <w:spacing w:line="300" w:lineRule="exact"/>
                    <w:jc w:val="center"/>
                    <w:rPr>
                      <w:color w:val="auto"/>
                      <w:sz w:val="22"/>
                      <w:szCs w:val="22"/>
                    </w:rPr>
                  </w:pPr>
                </w:p>
              </w:tc>
              <w:tc>
                <w:tcPr>
                  <w:tcW w:w="965" w:type="dxa"/>
                  <w:vAlign w:val="center"/>
                </w:tcPr>
                <w:p w14:paraId="25056DD0">
                  <w:pPr>
                    <w:spacing w:line="300" w:lineRule="exact"/>
                    <w:jc w:val="center"/>
                    <w:rPr>
                      <w:color w:val="auto"/>
                      <w:sz w:val="22"/>
                      <w:szCs w:val="22"/>
                    </w:rPr>
                  </w:pPr>
                  <w:r>
                    <w:rPr>
                      <w:color w:val="auto"/>
                      <w:sz w:val="22"/>
                      <w:szCs w:val="22"/>
                    </w:rPr>
                    <w:t>S9</w:t>
                  </w:r>
                </w:p>
              </w:tc>
              <w:tc>
                <w:tcPr>
                  <w:tcW w:w="1639" w:type="dxa"/>
                  <w:vAlign w:val="center"/>
                </w:tcPr>
                <w:p w14:paraId="4AF5D7C4">
                  <w:pPr>
                    <w:spacing w:line="300" w:lineRule="exact"/>
                    <w:jc w:val="center"/>
                    <w:rPr>
                      <w:color w:val="auto"/>
                      <w:sz w:val="22"/>
                      <w:szCs w:val="22"/>
                    </w:rPr>
                  </w:pPr>
                  <w:r>
                    <w:rPr>
                      <w:rFonts w:hint="eastAsia"/>
                      <w:color w:val="auto"/>
                      <w:sz w:val="22"/>
                      <w:szCs w:val="22"/>
                    </w:rPr>
                    <w:t>电驱桥生产</w:t>
                  </w:r>
                </w:p>
              </w:tc>
              <w:tc>
                <w:tcPr>
                  <w:tcW w:w="1547" w:type="dxa"/>
                  <w:vAlign w:val="center"/>
                </w:tcPr>
                <w:p w14:paraId="02AE9288">
                  <w:pPr>
                    <w:spacing w:line="300" w:lineRule="exact"/>
                    <w:jc w:val="center"/>
                    <w:rPr>
                      <w:color w:val="auto"/>
                      <w:sz w:val="22"/>
                      <w:szCs w:val="22"/>
                    </w:rPr>
                  </w:pPr>
                  <w:r>
                    <w:rPr>
                      <w:color w:val="auto"/>
                      <w:sz w:val="22"/>
                      <w:szCs w:val="22"/>
                    </w:rPr>
                    <w:t>废防冻液</w:t>
                  </w:r>
                </w:p>
              </w:tc>
              <w:tc>
                <w:tcPr>
                  <w:tcW w:w="3040" w:type="dxa"/>
                  <w:vAlign w:val="center"/>
                </w:tcPr>
                <w:p w14:paraId="5B29B43F">
                  <w:pPr>
                    <w:spacing w:line="300" w:lineRule="exact"/>
                    <w:jc w:val="center"/>
                    <w:rPr>
                      <w:color w:val="auto"/>
                      <w:sz w:val="22"/>
                      <w:szCs w:val="22"/>
                    </w:rPr>
                  </w:pPr>
                  <w:r>
                    <w:rPr>
                      <w:color w:val="auto"/>
                      <w:sz w:val="22"/>
                      <w:szCs w:val="22"/>
                    </w:rPr>
                    <w:t>交具有相应危废处置资质的单位处置</w:t>
                  </w:r>
                </w:p>
              </w:tc>
            </w:tr>
            <w:tr w14:paraId="43C8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continue"/>
                  <w:vAlign w:val="center"/>
                </w:tcPr>
                <w:p w14:paraId="52C8C2DB">
                  <w:pPr>
                    <w:spacing w:line="300" w:lineRule="exact"/>
                    <w:jc w:val="center"/>
                    <w:rPr>
                      <w:color w:val="auto"/>
                      <w:sz w:val="22"/>
                      <w:szCs w:val="22"/>
                    </w:rPr>
                  </w:pPr>
                </w:p>
              </w:tc>
              <w:tc>
                <w:tcPr>
                  <w:tcW w:w="965" w:type="dxa"/>
                  <w:vAlign w:val="center"/>
                </w:tcPr>
                <w:p w14:paraId="20DC4DD7">
                  <w:pPr>
                    <w:spacing w:line="300" w:lineRule="exact"/>
                    <w:jc w:val="center"/>
                    <w:rPr>
                      <w:color w:val="auto"/>
                      <w:sz w:val="22"/>
                      <w:szCs w:val="22"/>
                    </w:rPr>
                  </w:pPr>
                  <w:r>
                    <w:rPr>
                      <w:color w:val="auto"/>
                      <w:sz w:val="22"/>
                      <w:szCs w:val="22"/>
                    </w:rPr>
                    <w:t>S10</w:t>
                  </w:r>
                </w:p>
              </w:tc>
              <w:tc>
                <w:tcPr>
                  <w:tcW w:w="1639" w:type="dxa"/>
                  <w:vAlign w:val="center"/>
                </w:tcPr>
                <w:p w14:paraId="5AE5E049">
                  <w:pPr>
                    <w:spacing w:line="300" w:lineRule="exact"/>
                    <w:jc w:val="center"/>
                    <w:rPr>
                      <w:rFonts w:hint="default" w:eastAsia="宋体"/>
                      <w:color w:val="auto"/>
                      <w:sz w:val="22"/>
                      <w:szCs w:val="22"/>
                      <w:lang w:val="en-US" w:eastAsia="zh-CN"/>
                    </w:rPr>
                  </w:pPr>
                  <w:r>
                    <w:rPr>
                      <w:rFonts w:hint="eastAsia"/>
                      <w:color w:val="auto"/>
                      <w:sz w:val="22"/>
                      <w:szCs w:val="22"/>
                      <w:lang w:val="en-US" w:eastAsia="zh-CN"/>
                    </w:rPr>
                    <w:t>电驱桥生产</w:t>
                  </w:r>
                </w:p>
              </w:tc>
              <w:tc>
                <w:tcPr>
                  <w:tcW w:w="1547" w:type="dxa"/>
                  <w:vAlign w:val="center"/>
                </w:tcPr>
                <w:p w14:paraId="4E1D6DB3">
                  <w:pPr>
                    <w:spacing w:line="300" w:lineRule="exact"/>
                    <w:jc w:val="center"/>
                    <w:rPr>
                      <w:rFonts w:hint="default" w:eastAsia="宋体"/>
                      <w:color w:val="auto"/>
                      <w:sz w:val="22"/>
                      <w:szCs w:val="22"/>
                      <w:lang w:val="en-US" w:eastAsia="zh-CN"/>
                    </w:rPr>
                  </w:pPr>
                  <w:r>
                    <w:rPr>
                      <w:rFonts w:hint="eastAsia"/>
                      <w:color w:val="auto"/>
                      <w:sz w:val="22"/>
                      <w:szCs w:val="22"/>
                    </w:rPr>
                    <w:t>废</w:t>
                  </w:r>
                  <w:r>
                    <w:rPr>
                      <w:rFonts w:hint="eastAsia"/>
                      <w:color w:val="auto"/>
                      <w:sz w:val="22"/>
                      <w:szCs w:val="22"/>
                      <w:lang w:val="en-US" w:eastAsia="zh-CN"/>
                    </w:rPr>
                    <w:t>油水混合物</w:t>
                  </w:r>
                </w:p>
              </w:tc>
              <w:tc>
                <w:tcPr>
                  <w:tcW w:w="3040" w:type="dxa"/>
                  <w:vAlign w:val="center"/>
                </w:tcPr>
                <w:p w14:paraId="54952AD9">
                  <w:pPr>
                    <w:spacing w:line="300" w:lineRule="exact"/>
                    <w:jc w:val="center"/>
                    <w:rPr>
                      <w:color w:val="auto"/>
                      <w:sz w:val="22"/>
                      <w:szCs w:val="22"/>
                    </w:rPr>
                  </w:pPr>
                  <w:r>
                    <w:rPr>
                      <w:color w:val="auto"/>
                      <w:sz w:val="22"/>
                      <w:szCs w:val="22"/>
                    </w:rPr>
                    <w:t>交具有相应危废处置资质的单位处置</w:t>
                  </w:r>
                </w:p>
              </w:tc>
            </w:tr>
            <w:tr w14:paraId="1BDC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continue"/>
                  <w:vAlign w:val="center"/>
                </w:tcPr>
                <w:p w14:paraId="100D3E46">
                  <w:pPr>
                    <w:spacing w:line="300" w:lineRule="exact"/>
                    <w:jc w:val="center"/>
                    <w:rPr>
                      <w:color w:val="auto"/>
                      <w:sz w:val="22"/>
                      <w:szCs w:val="22"/>
                    </w:rPr>
                  </w:pPr>
                </w:p>
              </w:tc>
              <w:tc>
                <w:tcPr>
                  <w:tcW w:w="965" w:type="dxa"/>
                  <w:vAlign w:val="center"/>
                </w:tcPr>
                <w:p w14:paraId="651C8EC0">
                  <w:pPr>
                    <w:spacing w:line="300" w:lineRule="exact"/>
                    <w:jc w:val="center"/>
                    <w:rPr>
                      <w:rFonts w:hint="eastAsia" w:eastAsia="宋体"/>
                      <w:color w:val="auto"/>
                      <w:sz w:val="22"/>
                      <w:szCs w:val="22"/>
                      <w:lang w:eastAsia="zh-CN"/>
                    </w:rPr>
                  </w:pPr>
                  <w:r>
                    <w:rPr>
                      <w:color w:val="auto"/>
                      <w:sz w:val="22"/>
                      <w:szCs w:val="22"/>
                    </w:rPr>
                    <w:t>S1</w:t>
                  </w:r>
                  <w:r>
                    <w:rPr>
                      <w:rFonts w:hint="eastAsia"/>
                      <w:color w:val="auto"/>
                      <w:sz w:val="22"/>
                      <w:szCs w:val="22"/>
                      <w:lang w:val="en-US" w:eastAsia="zh-CN"/>
                    </w:rPr>
                    <w:t>1</w:t>
                  </w:r>
                </w:p>
              </w:tc>
              <w:tc>
                <w:tcPr>
                  <w:tcW w:w="1639" w:type="dxa"/>
                  <w:vAlign w:val="center"/>
                </w:tcPr>
                <w:p w14:paraId="33F2883F">
                  <w:pPr>
                    <w:spacing w:line="300" w:lineRule="exact"/>
                    <w:jc w:val="center"/>
                    <w:rPr>
                      <w:color w:val="auto"/>
                      <w:sz w:val="22"/>
                      <w:szCs w:val="22"/>
                    </w:rPr>
                  </w:pPr>
                  <w:r>
                    <w:rPr>
                      <w:rFonts w:hint="eastAsia"/>
                      <w:color w:val="auto"/>
                      <w:sz w:val="22"/>
                      <w:szCs w:val="22"/>
                    </w:rPr>
                    <w:t>餐厨垃圾</w:t>
                  </w:r>
                </w:p>
              </w:tc>
              <w:tc>
                <w:tcPr>
                  <w:tcW w:w="1547" w:type="dxa"/>
                  <w:vAlign w:val="center"/>
                </w:tcPr>
                <w:p w14:paraId="2E33B813">
                  <w:pPr>
                    <w:spacing w:line="300" w:lineRule="exact"/>
                    <w:jc w:val="center"/>
                    <w:rPr>
                      <w:color w:val="auto"/>
                      <w:sz w:val="22"/>
                      <w:szCs w:val="22"/>
                    </w:rPr>
                  </w:pPr>
                  <w:r>
                    <w:rPr>
                      <w:color w:val="auto"/>
                      <w:sz w:val="22"/>
                      <w:szCs w:val="22"/>
                    </w:rPr>
                    <w:t>餐厨垃圾</w:t>
                  </w:r>
                </w:p>
              </w:tc>
              <w:tc>
                <w:tcPr>
                  <w:tcW w:w="3040" w:type="dxa"/>
                  <w:vAlign w:val="center"/>
                </w:tcPr>
                <w:p w14:paraId="54995560">
                  <w:pPr>
                    <w:spacing w:line="300" w:lineRule="exact"/>
                    <w:jc w:val="center"/>
                    <w:rPr>
                      <w:color w:val="auto"/>
                      <w:sz w:val="22"/>
                      <w:szCs w:val="22"/>
                    </w:rPr>
                  </w:pPr>
                  <w:r>
                    <w:rPr>
                      <w:color w:val="auto"/>
                      <w:sz w:val="22"/>
                      <w:szCs w:val="22"/>
                    </w:rPr>
                    <w:t>交由市政环卫部门处理</w:t>
                  </w:r>
                </w:p>
              </w:tc>
            </w:tr>
            <w:tr w14:paraId="497C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1" w:type="dxa"/>
                  <w:vMerge w:val="continue"/>
                  <w:vAlign w:val="center"/>
                </w:tcPr>
                <w:p w14:paraId="32FEEE72">
                  <w:pPr>
                    <w:spacing w:line="300" w:lineRule="exact"/>
                    <w:jc w:val="center"/>
                    <w:rPr>
                      <w:color w:val="auto"/>
                      <w:sz w:val="22"/>
                      <w:szCs w:val="22"/>
                    </w:rPr>
                  </w:pPr>
                </w:p>
              </w:tc>
              <w:tc>
                <w:tcPr>
                  <w:tcW w:w="965" w:type="dxa"/>
                  <w:vAlign w:val="center"/>
                </w:tcPr>
                <w:p w14:paraId="3C5381B8">
                  <w:pPr>
                    <w:spacing w:line="300" w:lineRule="exact"/>
                    <w:jc w:val="center"/>
                    <w:rPr>
                      <w:rFonts w:hint="eastAsia" w:eastAsia="宋体"/>
                      <w:color w:val="auto"/>
                      <w:sz w:val="22"/>
                      <w:szCs w:val="22"/>
                      <w:lang w:eastAsia="zh-CN"/>
                    </w:rPr>
                  </w:pPr>
                  <w:r>
                    <w:rPr>
                      <w:color w:val="auto"/>
                      <w:sz w:val="22"/>
                      <w:szCs w:val="22"/>
                    </w:rPr>
                    <w:t>S1</w:t>
                  </w:r>
                  <w:r>
                    <w:rPr>
                      <w:rFonts w:hint="eastAsia"/>
                      <w:color w:val="auto"/>
                      <w:sz w:val="22"/>
                      <w:szCs w:val="22"/>
                      <w:lang w:val="en-US" w:eastAsia="zh-CN"/>
                    </w:rPr>
                    <w:t>2</w:t>
                  </w:r>
                </w:p>
              </w:tc>
              <w:tc>
                <w:tcPr>
                  <w:tcW w:w="1639" w:type="dxa"/>
                  <w:vAlign w:val="center"/>
                </w:tcPr>
                <w:p w14:paraId="6BECC391">
                  <w:pPr>
                    <w:spacing w:line="300" w:lineRule="exact"/>
                    <w:jc w:val="center"/>
                    <w:rPr>
                      <w:color w:val="auto"/>
                      <w:sz w:val="22"/>
                      <w:szCs w:val="22"/>
                    </w:rPr>
                  </w:pPr>
                  <w:r>
                    <w:rPr>
                      <w:rFonts w:hint="eastAsia"/>
                      <w:color w:val="auto"/>
                      <w:sz w:val="22"/>
                      <w:szCs w:val="22"/>
                    </w:rPr>
                    <w:t>生活垃圾</w:t>
                  </w:r>
                </w:p>
              </w:tc>
              <w:tc>
                <w:tcPr>
                  <w:tcW w:w="1547" w:type="dxa"/>
                  <w:vAlign w:val="center"/>
                </w:tcPr>
                <w:p w14:paraId="41AC0981">
                  <w:pPr>
                    <w:spacing w:line="300" w:lineRule="exact"/>
                    <w:jc w:val="center"/>
                    <w:rPr>
                      <w:color w:val="auto"/>
                      <w:sz w:val="22"/>
                      <w:szCs w:val="22"/>
                    </w:rPr>
                  </w:pPr>
                  <w:r>
                    <w:rPr>
                      <w:color w:val="auto"/>
                      <w:sz w:val="22"/>
                      <w:szCs w:val="22"/>
                    </w:rPr>
                    <w:t>生活垃圾</w:t>
                  </w:r>
                </w:p>
              </w:tc>
              <w:tc>
                <w:tcPr>
                  <w:tcW w:w="3040" w:type="dxa"/>
                  <w:vAlign w:val="center"/>
                </w:tcPr>
                <w:p w14:paraId="36326F44">
                  <w:pPr>
                    <w:spacing w:line="300" w:lineRule="exact"/>
                    <w:jc w:val="center"/>
                    <w:rPr>
                      <w:color w:val="auto"/>
                      <w:sz w:val="22"/>
                      <w:szCs w:val="22"/>
                    </w:rPr>
                  </w:pPr>
                  <w:r>
                    <w:rPr>
                      <w:color w:val="auto"/>
                      <w:sz w:val="22"/>
                      <w:szCs w:val="22"/>
                    </w:rPr>
                    <w:t>交由市政环卫部门处理</w:t>
                  </w:r>
                </w:p>
              </w:tc>
            </w:tr>
          </w:tbl>
          <w:p w14:paraId="3A83BFD5">
            <w:pPr>
              <w:spacing w:line="460" w:lineRule="exact"/>
              <w:rPr>
                <w:bCs/>
                <w:color w:val="auto"/>
                <w:sz w:val="26"/>
                <w:szCs w:val="72"/>
              </w:rPr>
            </w:pPr>
          </w:p>
        </w:tc>
      </w:tr>
      <w:tr w14:paraId="4C422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76" w:hRule="atLeast"/>
          <w:jc w:val="center"/>
        </w:trPr>
        <w:tc>
          <w:tcPr>
            <w:tcW w:w="909" w:type="dxa"/>
            <w:vAlign w:val="center"/>
          </w:tcPr>
          <w:p w14:paraId="242D8C9B">
            <w:pPr>
              <w:pStyle w:val="27"/>
              <w:adjustRightInd w:val="0"/>
              <w:snapToGrid w:val="0"/>
              <w:spacing w:before="0" w:beforeAutospacing="0" w:after="0" w:afterAutospacing="0"/>
              <w:jc w:val="center"/>
              <w:rPr>
                <w:rFonts w:ascii="Times New Roman" w:hAnsi="Times New Roman" w:cs="Times New Roman"/>
                <w:sz w:val="26"/>
                <w:szCs w:val="21"/>
              </w:rPr>
            </w:pPr>
          </w:p>
        </w:tc>
        <w:tc>
          <w:tcPr>
            <w:tcW w:w="8617" w:type="dxa"/>
            <w:vAlign w:val="center"/>
          </w:tcPr>
          <w:p w14:paraId="070EAF26">
            <w:pPr>
              <w:pStyle w:val="82"/>
              <w:spacing w:line="460" w:lineRule="exact"/>
              <w:ind w:firstLine="522"/>
              <w:rPr>
                <w:b/>
                <w:color w:val="auto"/>
                <w:szCs w:val="26"/>
              </w:rPr>
            </w:pPr>
            <w:r>
              <w:rPr>
                <w:b/>
                <w:color w:val="auto"/>
                <w:szCs w:val="26"/>
              </w:rPr>
              <w:t>2.13企业现有项目概况</w:t>
            </w:r>
          </w:p>
          <w:p w14:paraId="07C1EE37">
            <w:pPr>
              <w:spacing w:line="460" w:lineRule="exact"/>
              <w:ind w:firstLine="522" w:firstLineChars="200"/>
              <w:rPr>
                <w:b/>
                <w:bCs/>
                <w:color w:val="auto"/>
                <w:sz w:val="26"/>
                <w:szCs w:val="26"/>
              </w:rPr>
            </w:pPr>
            <w:r>
              <w:rPr>
                <w:b/>
                <w:bCs/>
                <w:color w:val="auto"/>
                <w:sz w:val="26"/>
                <w:szCs w:val="26"/>
              </w:rPr>
              <w:t>2.13.1现有项目环保手续情况</w:t>
            </w:r>
          </w:p>
          <w:p w14:paraId="4F35F273">
            <w:pPr>
              <w:pStyle w:val="136"/>
              <w:spacing w:line="460" w:lineRule="exact"/>
              <w:ind w:firstLine="520"/>
              <w:rPr>
                <w:rFonts w:hint="default" w:eastAsia="宋体"/>
                <w:color w:val="auto"/>
                <w:sz w:val="26"/>
                <w:szCs w:val="26"/>
                <w:lang w:val="en-US" w:eastAsia="zh-CN"/>
              </w:rPr>
            </w:pPr>
            <w:r>
              <w:rPr>
                <w:rFonts w:hint="eastAsia"/>
                <w:color w:val="auto"/>
                <w:sz w:val="26"/>
                <w:szCs w:val="26"/>
              </w:rPr>
              <w:t>2022年，</w:t>
            </w:r>
            <w:r>
              <w:rPr>
                <w:color w:val="auto"/>
                <w:sz w:val="26"/>
                <w:szCs w:val="26"/>
              </w:rPr>
              <w:t>博世氢动力系统（重庆）有限公司在重庆市九龙坡区陶家镇建设</w:t>
            </w:r>
            <w:r>
              <w:rPr>
                <w:rFonts w:hint="eastAsia"/>
                <w:color w:val="auto"/>
                <w:sz w:val="26"/>
                <w:szCs w:val="26"/>
                <w:lang w:eastAsia="zh-CN"/>
              </w:rPr>
              <w:t>“</w:t>
            </w:r>
            <w:r>
              <w:rPr>
                <w:color w:val="auto"/>
                <w:sz w:val="26"/>
                <w:szCs w:val="26"/>
              </w:rPr>
              <w:t>氢燃料电池研发检测生产产线建设项目</w:t>
            </w:r>
            <w:r>
              <w:rPr>
                <w:rFonts w:hint="eastAsia"/>
                <w:color w:val="auto"/>
                <w:sz w:val="26"/>
                <w:szCs w:val="26"/>
                <w:lang w:eastAsia="zh-CN"/>
              </w:rPr>
              <w:t>”</w:t>
            </w:r>
            <w:r>
              <w:rPr>
                <w:color w:val="auto"/>
                <w:sz w:val="26"/>
                <w:szCs w:val="26"/>
              </w:rPr>
              <w:t>。项目占地面积239892m</w:t>
            </w:r>
            <w:r>
              <w:rPr>
                <w:color w:val="auto"/>
                <w:sz w:val="26"/>
                <w:szCs w:val="26"/>
                <w:vertAlign w:val="superscript"/>
              </w:rPr>
              <w:t>2</w:t>
            </w:r>
            <w:r>
              <w:rPr>
                <w:color w:val="auto"/>
                <w:sz w:val="26"/>
                <w:szCs w:val="26"/>
              </w:rPr>
              <w:t>，主要建设发动机主生产车间、发动机检测实验室、配套公辅设施及环保设施，建筑面积70284.96m</w:t>
            </w:r>
            <w:r>
              <w:rPr>
                <w:color w:val="auto"/>
                <w:sz w:val="26"/>
                <w:szCs w:val="26"/>
                <w:vertAlign w:val="superscript"/>
              </w:rPr>
              <w:t>2</w:t>
            </w:r>
            <w:r>
              <w:rPr>
                <w:color w:val="auto"/>
                <w:sz w:val="26"/>
                <w:szCs w:val="26"/>
              </w:rPr>
              <w:t>。该项目已取得重庆市九龙坡区生态环境局2022年5月16日下发的渝（九）环准〔2022〕028号文的环评批复，并于2023年12月29日通过了竣工环境保护验收会议并取得竣工环境保护验收意见。2023年10月，</w:t>
            </w:r>
            <w:r>
              <w:rPr>
                <w:rFonts w:hint="eastAsia"/>
                <w:color w:val="auto"/>
                <w:sz w:val="26"/>
                <w:szCs w:val="26"/>
                <w:lang w:val="en-US" w:eastAsia="zh-CN"/>
              </w:rPr>
              <w:t>该</w:t>
            </w:r>
            <w:r>
              <w:rPr>
                <w:color w:val="auto"/>
                <w:sz w:val="26"/>
                <w:szCs w:val="26"/>
              </w:rPr>
              <w:t>项目取得固定污染源排污登记回执，有效期为：202</w:t>
            </w:r>
            <w:r>
              <w:rPr>
                <w:rFonts w:hint="eastAsia"/>
                <w:color w:val="auto"/>
                <w:sz w:val="26"/>
                <w:szCs w:val="26"/>
                <w:lang w:val="en-US" w:eastAsia="zh-CN"/>
              </w:rPr>
              <w:t>3</w:t>
            </w:r>
            <w:r>
              <w:rPr>
                <w:color w:val="auto"/>
                <w:sz w:val="26"/>
                <w:szCs w:val="26"/>
              </w:rPr>
              <w:t>年10月23日至2028年10月22日，登记编号：91500107MA61QANH34002U</w:t>
            </w:r>
            <w:r>
              <w:rPr>
                <w:rFonts w:hint="eastAsia"/>
                <w:color w:val="auto"/>
                <w:sz w:val="26"/>
                <w:szCs w:val="26"/>
              </w:rPr>
              <w:t>。2024年2月，项目完成风险评估和应急预案备案并取得备案回执，风评备案号：5001072024020003；预案备案号：500107-2024-006-L</w:t>
            </w:r>
            <w:r>
              <w:rPr>
                <w:rFonts w:hint="eastAsia"/>
                <w:color w:val="auto"/>
                <w:sz w:val="26"/>
                <w:szCs w:val="26"/>
                <w:lang w:val="en-US" w:eastAsia="zh-CN"/>
              </w:rPr>
              <w:t>。</w:t>
            </w:r>
          </w:p>
          <w:p w14:paraId="1841D3F4">
            <w:pPr>
              <w:pStyle w:val="136"/>
              <w:spacing w:line="460" w:lineRule="exact"/>
              <w:ind w:firstLine="520"/>
              <w:rPr>
                <w:rFonts w:hint="default" w:eastAsia="宋体"/>
                <w:color w:val="auto"/>
                <w:sz w:val="26"/>
                <w:szCs w:val="26"/>
                <w:lang w:val="en-US" w:eastAsia="zh-CN"/>
              </w:rPr>
            </w:pPr>
            <w:r>
              <w:rPr>
                <w:rFonts w:hint="eastAsia"/>
                <w:color w:val="auto"/>
                <w:sz w:val="26"/>
                <w:szCs w:val="26"/>
              </w:rPr>
              <w:t>2024年，</w:t>
            </w:r>
            <w:r>
              <w:rPr>
                <w:color w:val="auto"/>
                <w:sz w:val="26"/>
                <w:szCs w:val="26"/>
              </w:rPr>
              <w:t>博世氢动力系统（重庆）有限公司在重庆市九龙坡区陶家镇建设“</w:t>
            </w:r>
            <w:r>
              <w:rPr>
                <w:color w:val="auto"/>
                <w:sz w:val="26"/>
              </w:rPr>
              <w:t>重型电驱桥项目</w:t>
            </w:r>
            <w:r>
              <w:rPr>
                <w:color w:val="auto"/>
                <w:sz w:val="26"/>
                <w:szCs w:val="26"/>
              </w:rPr>
              <w:t>”。项目</w:t>
            </w:r>
            <w:r>
              <w:rPr>
                <w:rFonts w:hint="eastAsia"/>
                <w:color w:val="auto"/>
                <w:sz w:val="26"/>
                <w:szCs w:val="26"/>
              </w:rPr>
              <w:t>不新增用地</w:t>
            </w:r>
            <w:r>
              <w:rPr>
                <w:color w:val="auto"/>
                <w:sz w:val="26"/>
                <w:szCs w:val="26"/>
              </w:rPr>
              <w:t>，</w:t>
            </w:r>
            <w:r>
              <w:rPr>
                <w:rFonts w:hint="eastAsia"/>
                <w:color w:val="auto"/>
                <w:sz w:val="26"/>
                <w:szCs w:val="26"/>
              </w:rPr>
              <w:t>在已建厂房内建设重型电驱桥装配和测试线1条，含电机装配及泄露测试、变速箱组件及桥腿安装、系统泄露测试及线速装配、下线测试、测试工装拆解等，并配套设置原材料仓库等，建设面积400</w:t>
            </w:r>
            <w:r>
              <w:rPr>
                <w:color w:val="auto"/>
                <w:sz w:val="26"/>
                <w:szCs w:val="26"/>
              </w:rPr>
              <w:t>m</w:t>
            </w:r>
            <w:r>
              <w:rPr>
                <w:color w:val="auto"/>
                <w:sz w:val="26"/>
                <w:szCs w:val="26"/>
                <w:vertAlign w:val="superscript"/>
              </w:rPr>
              <w:t>2</w:t>
            </w:r>
            <w:r>
              <w:rPr>
                <w:rFonts w:hint="eastAsia"/>
                <w:color w:val="auto"/>
                <w:sz w:val="26"/>
                <w:szCs w:val="26"/>
              </w:rPr>
              <w:t>；在已建气站空地新建加氢站，面积约为840.9m</w:t>
            </w:r>
            <w:r>
              <w:rPr>
                <w:rFonts w:hint="eastAsia"/>
                <w:color w:val="auto"/>
                <w:sz w:val="26"/>
                <w:szCs w:val="26"/>
                <w:vertAlign w:val="superscript"/>
              </w:rPr>
              <w:t>2</w:t>
            </w:r>
            <w:r>
              <w:rPr>
                <w:rFonts w:hint="eastAsia"/>
                <w:color w:val="auto"/>
                <w:sz w:val="26"/>
                <w:szCs w:val="26"/>
              </w:rPr>
              <w:t>，主要用于给内部燃料电池测试车辆加氢</w:t>
            </w:r>
            <w:r>
              <w:rPr>
                <w:color w:val="auto"/>
                <w:sz w:val="26"/>
                <w:szCs w:val="26"/>
              </w:rPr>
              <w:t>。该项目已取得重庆市九龙坡区生态环境局202</w:t>
            </w:r>
            <w:r>
              <w:rPr>
                <w:rFonts w:hint="eastAsia"/>
                <w:color w:val="auto"/>
                <w:sz w:val="26"/>
                <w:szCs w:val="26"/>
              </w:rPr>
              <w:t>4</w:t>
            </w:r>
            <w:r>
              <w:rPr>
                <w:color w:val="auto"/>
                <w:sz w:val="26"/>
                <w:szCs w:val="26"/>
              </w:rPr>
              <w:t>年</w:t>
            </w:r>
            <w:r>
              <w:rPr>
                <w:rFonts w:hint="eastAsia"/>
                <w:color w:val="auto"/>
                <w:sz w:val="26"/>
                <w:szCs w:val="26"/>
              </w:rPr>
              <w:t>6</w:t>
            </w:r>
            <w:r>
              <w:rPr>
                <w:color w:val="auto"/>
                <w:sz w:val="26"/>
                <w:szCs w:val="26"/>
              </w:rPr>
              <w:t>月</w:t>
            </w:r>
            <w:r>
              <w:rPr>
                <w:rFonts w:hint="eastAsia"/>
                <w:color w:val="auto"/>
                <w:sz w:val="26"/>
                <w:szCs w:val="26"/>
              </w:rPr>
              <w:t>20</w:t>
            </w:r>
            <w:r>
              <w:rPr>
                <w:color w:val="auto"/>
                <w:sz w:val="26"/>
                <w:szCs w:val="26"/>
              </w:rPr>
              <w:t>日下发的渝（九）环准〔2024〕24号文的环评批复，</w:t>
            </w:r>
            <w:r>
              <w:rPr>
                <w:rFonts w:hint="eastAsia"/>
                <w:color w:val="auto"/>
                <w:sz w:val="26"/>
                <w:szCs w:val="26"/>
              </w:rPr>
              <w:t>该项目</w:t>
            </w:r>
            <w:r>
              <w:rPr>
                <w:rFonts w:hint="eastAsia"/>
                <w:color w:val="auto"/>
                <w:sz w:val="26"/>
                <w:szCs w:val="26"/>
                <w:lang w:val="en-US" w:eastAsia="zh-CN"/>
              </w:rPr>
              <w:t>于2025年1月22日</w:t>
            </w:r>
            <w:r>
              <w:rPr>
                <w:color w:val="auto"/>
                <w:sz w:val="26"/>
                <w:szCs w:val="26"/>
              </w:rPr>
              <w:t>通过了竣工环境保护验收会议并取得竣工环境保护验收意见</w:t>
            </w:r>
            <w:r>
              <w:rPr>
                <w:rFonts w:hint="eastAsia"/>
                <w:color w:val="auto"/>
                <w:sz w:val="26"/>
                <w:szCs w:val="26"/>
              </w:rPr>
              <w:t>。</w:t>
            </w:r>
            <w:r>
              <w:rPr>
                <w:rFonts w:hint="eastAsia"/>
                <w:color w:val="auto"/>
                <w:sz w:val="26"/>
                <w:szCs w:val="26"/>
                <w:lang w:val="en-US" w:eastAsia="zh-CN"/>
              </w:rPr>
              <w:t>由于</w:t>
            </w:r>
            <w:r>
              <w:rPr>
                <w:color w:val="auto"/>
                <w:sz w:val="26"/>
                <w:szCs w:val="26"/>
              </w:rPr>
              <w:t>博世氢动力系统（重庆）有限</w:t>
            </w:r>
            <w:r>
              <w:rPr>
                <w:rFonts w:hint="eastAsia"/>
                <w:color w:val="auto"/>
                <w:sz w:val="26"/>
                <w:szCs w:val="26"/>
                <w:lang w:val="en-US" w:eastAsia="zh-CN"/>
              </w:rPr>
              <w:t>公司排污许可管理内容调整，企业重新申领了排污许可证，许可证编号：</w:t>
            </w:r>
            <w:r>
              <w:rPr>
                <w:color w:val="auto"/>
                <w:sz w:val="26"/>
                <w:szCs w:val="26"/>
              </w:rPr>
              <w:t>91500107MA61QANH34002U</w:t>
            </w:r>
            <w:r>
              <w:rPr>
                <w:rFonts w:hint="eastAsia"/>
                <w:color w:val="auto"/>
                <w:sz w:val="26"/>
                <w:szCs w:val="26"/>
                <w:lang w:eastAsia="zh-CN"/>
              </w:rPr>
              <w:t>，</w:t>
            </w:r>
            <w:r>
              <w:rPr>
                <w:rFonts w:hint="eastAsia"/>
                <w:color w:val="auto"/>
                <w:sz w:val="26"/>
                <w:szCs w:val="26"/>
                <w:lang w:val="en-US" w:eastAsia="zh-CN"/>
              </w:rPr>
              <w:t>有效日期为自</w:t>
            </w:r>
            <w:r>
              <w:rPr>
                <w:rFonts w:hint="eastAsia" w:ascii="Times New Roman" w:hAnsi="Times New Roman" w:eastAsia="宋体" w:cs="Times New Roman"/>
                <w:color w:val="auto"/>
                <w:sz w:val="26"/>
                <w:szCs w:val="26"/>
                <w:lang w:val="en-US" w:eastAsia="zh-CN"/>
              </w:rPr>
              <w:t>2024年7月31日至2029年7月30日止</w:t>
            </w:r>
            <w:r>
              <w:rPr>
                <w:rFonts w:hint="eastAsia" w:cs="Times New Roman"/>
                <w:color w:val="auto"/>
                <w:sz w:val="26"/>
                <w:szCs w:val="26"/>
                <w:lang w:val="en-US" w:eastAsia="zh-CN"/>
              </w:rPr>
              <w:t>，现有项目环保手续见附件2。</w:t>
            </w:r>
          </w:p>
          <w:p w14:paraId="2344D928">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-1</w:t>
            </w:r>
            <w:r>
              <w:rPr>
                <w:rFonts w:hint="eastAsia" w:eastAsia="宋体"/>
                <w:color w:val="auto"/>
                <w:sz w:val="26"/>
                <w:szCs w:val="26"/>
                <w:lang w:val="en-US" w:eastAsia="zh-CN"/>
              </w:rPr>
              <w:t xml:space="preserve">  </w:t>
            </w:r>
            <w:r>
              <w:rPr>
                <w:rFonts w:eastAsia="宋体"/>
                <w:color w:val="auto"/>
                <w:sz w:val="26"/>
                <w:szCs w:val="26"/>
              </w:rPr>
              <w:t>博世氢动力系统（重庆）有限公司环评、</w:t>
            </w:r>
            <w:r>
              <w:rPr>
                <w:rFonts w:hint="eastAsia" w:eastAsia="宋体"/>
                <w:color w:val="auto"/>
                <w:sz w:val="26"/>
                <w:szCs w:val="26"/>
                <w:lang w:eastAsia="zh-CN"/>
              </w:rPr>
              <w:t>“</w:t>
            </w:r>
            <w:r>
              <w:rPr>
                <w:rFonts w:eastAsia="宋体"/>
                <w:color w:val="auto"/>
                <w:sz w:val="26"/>
                <w:szCs w:val="26"/>
              </w:rPr>
              <w:t>三同时</w:t>
            </w:r>
            <w:r>
              <w:rPr>
                <w:rFonts w:hint="eastAsia" w:eastAsia="宋体"/>
                <w:color w:val="auto"/>
                <w:sz w:val="26"/>
                <w:szCs w:val="26"/>
                <w:lang w:eastAsia="zh-CN"/>
              </w:rPr>
              <w:t>”</w:t>
            </w:r>
            <w:r>
              <w:rPr>
                <w:rFonts w:eastAsia="宋体"/>
                <w:color w:val="auto"/>
                <w:sz w:val="26"/>
                <w:szCs w:val="26"/>
              </w:rPr>
              <w:t>执行情况</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142"/>
              <w:gridCol w:w="1149"/>
              <w:gridCol w:w="1153"/>
              <w:gridCol w:w="3375"/>
            </w:tblGrid>
            <w:tr w14:paraId="2293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2" w:type="dxa"/>
                  <w:vMerge w:val="restart"/>
                  <w:vAlign w:val="center"/>
                </w:tcPr>
                <w:p w14:paraId="655EAED1">
                  <w:pPr>
                    <w:pStyle w:val="141"/>
                    <w:rPr>
                      <w:rFonts w:cs="Times New Roman"/>
                      <w:color w:val="auto"/>
                      <w:sz w:val="22"/>
                      <w:szCs w:val="22"/>
                    </w:rPr>
                  </w:pPr>
                  <w:r>
                    <w:rPr>
                      <w:rFonts w:cs="Times New Roman"/>
                      <w:color w:val="auto"/>
                      <w:sz w:val="22"/>
                      <w:szCs w:val="22"/>
                    </w:rPr>
                    <w:t>建设项目名称</w:t>
                  </w:r>
                </w:p>
              </w:tc>
              <w:tc>
                <w:tcPr>
                  <w:tcW w:w="3444" w:type="dxa"/>
                  <w:gridSpan w:val="3"/>
                  <w:vAlign w:val="center"/>
                </w:tcPr>
                <w:p w14:paraId="027D650B">
                  <w:pPr>
                    <w:pStyle w:val="141"/>
                    <w:rPr>
                      <w:rFonts w:cs="Times New Roman"/>
                      <w:color w:val="auto"/>
                      <w:sz w:val="22"/>
                      <w:szCs w:val="22"/>
                    </w:rPr>
                  </w:pPr>
                  <w:r>
                    <w:rPr>
                      <w:rFonts w:cs="Times New Roman"/>
                      <w:color w:val="auto"/>
                      <w:sz w:val="22"/>
                      <w:szCs w:val="22"/>
                    </w:rPr>
                    <w:t>环境影响评价</w:t>
                  </w:r>
                </w:p>
              </w:tc>
              <w:tc>
                <w:tcPr>
                  <w:tcW w:w="3375" w:type="dxa"/>
                  <w:vMerge w:val="restart"/>
                  <w:vAlign w:val="center"/>
                </w:tcPr>
                <w:p w14:paraId="4A778DDD">
                  <w:pPr>
                    <w:pStyle w:val="141"/>
                    <w:rPr>
                      <w:rFonts w:cs="Times New Roman"/>
                      <w:color w:val="auto"/>
                      <w:sz w:val="22"/>
                      <w:szCs w:val="22"/>
                    </w:rPr>
                  </w:pPr>
                  <w:r>
                    <w:rPr>
                      <w:rFonts w:cs="Times New Roman"/>
                      <w:color w:val="auto"/>
                      <w:sz w:val="22"/>
                      <w:szCs w:val="22"/>
                    </w:rPr>
                    <w:t>竣工环境保护验收</w:t>
                  </w:r>
                </w:p>
              </w:tc>
            </w:tr>
            <w:tr w14:paraId="122F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2" w:type="dxa"/>
                  <w:vMerge w:val="continue"/>
                  <w:vAlign w:val="center"/>
                </w:tcPr>
                <w:p w14:paraId="01458F86">
                  <w:pPr>
                    <w:pStyle w:val="141"/>
                    <w:rPr>
                      <w:rFonts w:cs="Times New Roman"/>
                      <w:color w:val="auto"/>
                      <w:sz w:val="22"/>
                      <w:szCs w:val="22"/>
                    </w:rPr>
                  </w:pPr>
                </w:p>
              </w:tc>
              <w:tc>
                <w:tcPr>
                  <w:tcW w:w="1142" w:type="dxa"/>
                  <w:vAlign w:val="center"/>
                </w:tcPr>
                <w:p w14:paraId="39487289">
                  <w:pPr>
                    <w:pStyle w:val="141"/>
                    <w:rPr>
                      <w:rFonts w:cs="Times New Roman"/>
                      <w:color w:val="auto"/>
                      <w:sz w:val="22"/>
                      <w:szCs w:val="22"/>
                    </w:rPr>
                  </w:pPr>
                  <w:r>
                    <w:rPr>
                      <w:rFonts w:cs="Times New Roman"/>
                      <w:color w:val="auto"/>
                      <w:sz w:val="22"/>
                      <w:szCs w:val="22"/>
                    </w:rPr>
                    <w:t>审批单位</w:t>
                  </w:r>
                </w:p>
              </w:tc>
              <w:tc>
                <w:tcPr>
                  <w:tcW w:w="1149" w:type="dxa"/>
                  <w:vAlign w:val="center"/>
                </w:tcPr>
                <w:p w14:paraId="1B28140E">
                  <w:pPr>
                    <w:pStyle w:val="141"/>
                    <w:rPr>
                      <w:rFonts w:cs="Times New Roman"/>
                      <w:color w:val="auto"/>
                      <w:sz w:val="22"/>
                      <w:szCs w:val="22"/>
                    </w:rPr>
                  </w:pPr>
                  <w:r>
                    <w:rPr>
                      <w:rFonts w:cs="Times New Roman"/>
                      <w:color w:val="auto"/>
                      <w:sz w:val="22"/>
                      <w:szCs w:val="22"/>
                    </w:rPr>
                    <w:t>批准文号</w:t>
                  </w:r>
                </w:p>
              </w:tc>
              <w:tc>
                <w:tcPr>
                  <w:tcW w:w="1153" w:type="dxa"/>
                  <w:vAlign w:val="center"/>
                </w:tcPr>
                <w:p w14:paraId="6708AB6A">
                  <w:pPr>
                    <w:pStyle w:val="141"/>
                    <w:rPr>
                      <w:rFonts w:cs="Times New Roman"/>
                      <w:color w:val="auto"/>
                      <w:sz w:val="22"/>
                      <w:szCs w:val="22"/>
                    </w:rPr>
                  </w:pPr>
                  <w:r>
                    <w:rPr>
                      <w:rFonts w:cs="Times New Roman"/>
                      <w:color w:val="auto"/>
                      <w:sz w:val="22"/>
                      <w:szCs w:val="22"/>
                    </w:rPr>
                    <w:t>批准时间</w:t>
                  </w:r>
                </w:p>
              </w:tc>
              <w:tc>
                <w:tcPr>
                  <w:tcW w:w="3375" w:type="dxa"/>
                  <w:vMerge w:val="continue"/>
                  <w:vAlign w:val="center"/>
                </w:tcPr>
                <w:p w14:paraId="12EC8BFE">
                  <w:pPr>
                    <w:pStyle w:val="141"/>
                    <w:rPr>
                      <w:rFonts w:cs="Times New Roman"/>
                      <w:color w:val="auto"/>
                      <w:sz w:val="22"/>
                      <w:szCs w:val="22"/>
                    </w:rPr>
                  </w:pPr>
                </w:p>
              </w:tc>
            </w:tr>
            <w:tr w14:paraId="5C46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2" w:type="dxa"/>
                  <w:vAlign w:val="center"/>
                </w:tcPr>
                <w:p w14:paraId="2B8EDA03">
                  <w:pPr>
                    <w:pStyle w:val="141"/>
                    <w:rPr>
                      <w:rFonts w:cs="Times New Roman"/>
                      <w:color w:val="auto"/>
                      <w:sz w:val="22"/>
                      <w:szCs w:val="22"/>
                    </w:rPr>
                  </w:pPr>
                  <w:r>
                    <w:rPr>
                      <w:rFonts w:cs="Times New Roman"/>
                      <w:color w:val="auto"/>
                      <w:sz w:val="22"/>
                      <w:szCs w:val="22"/>
                    </w:rPr>
                    <w:t>博世氢动力系统（重庆）有限公司</w:t>
                  </w:r>
                </w:p>
                <w:p w14:paraId="0486AC9C">
                  <w:pPr>
                    <w:pStyle w:val="141"/>
                    <w:rPr>
                      <w:rFonts w:cs="Times New Roman"/>
                      <w:color w:val="auto"/>
                      <w:sz w:val="22"/>
                      <w:szCs w:val="22"/>
                    </w:rPr>
                  </w:pPr>
                  <w:r>
                    <w:rPr>
                      <w:rFonts w:cs="Times New Roman"/>
                      <w:color w:val="auto"/>
                      <w:sz w:val="22"/>
                      <w:szCs w:val="22"/>
                    </w:rPr>
                    <w:t>氢燃料电池研发检测生产产线建设项目</w:t>
                  </w:r>
                </w:p>
                <w:p w14:paraId="5A5B7B60">
                  <w:pPr>
                    <w:pStyle w:val="141"/>
                    <w:rPr>
                      <w:rFonts w:cs="Times New Roman"/>
                      <w:color w:val="auto"/>
                      <w:sz w:val="22"/>
                      <w:szCs w:val="22"/>
                    </w:rPr>
                  </w:pPr>
                  <w:r>
                    <w:rPr>
                      <w:rFonts w:cs="Times New Roman"/>
                      <w:color w:val="auto"/>
                      <w:sz w:val="22"/>
                      <w:szCs w:val="22"/>
                    </w:rPr>
                    <w:t>（一阶段）</w:t>
                  </w:r>
                </w:p>
              </w:tc>
              <w:tc>
                <w:tcPr>
                  <w:tcW w:w="1142" w:type="dxa"/>
                  <w:vAlign w:val="center"/>
                </w:tcPr>
                <w:p w14:paraId="41E893A3">
                  <w:pPr>
                    <w:pStyle w:val="141"/>
                    <w:rPr>
                      <w:rFonts w:cs="Times New Roman"/>
                      <w:color w:val="auto"/>
                      <w:sz w:val="22"/>
                      <w:szCs w:val="22"/>
                    </w:rPr>
                  </w:pPr>
                  <w:r>
                    <w:rPr>
                      <w:rFonts w:cs="Times New Roman"/>
                      <w:color w:val="auto"/>
                      <w:sz w:val="22"/>
                      <w:szCs w:val="22"/>
                    </w:rPr>
                    <w:t>重庆市九龙坡区生态环境局</w:t>
                  </w:r>
                </w:p>
              </w:tc>
              <w:tc>
                <w:tcPr>
                  <w:tcW w:w="1149" w:type="dxa"/>
                  <w:vAlign w:val="center"/>
                </w:tcPr>
                <w:p w14:paraId="2AEA0530">
                  <w:pPr>
                    <w:pStyle w:val="141"/>
                    <w:rPr>
                      <w:rFonts w:cs="Times New Roman"/>
                      <w:color w:val="auto"/>
                      <w:sz w:val="22"/>
                      <w:szCs w:val="22"/>
                    </w:rPr>
                  </w:pPr>
                  <w:r>
                    <w:rPr>
                      <w:rFonts w:cs="Times New Roman"/>
                      <w:color w:val="auto"/>
                      <w:sz w:val="22"/>
                      <w:szCs w:val="22"/>
                    </w:rPr>
                    <w:t>渝（九）环准〔2022〕028号</w:t>
                  </w:r>
                </w:p>
              </w:tc>
              <w:tc>
                <w:tcPr>
                  <w:tcW w:w="1153" w:type="dxa"/>
                  <w:vAlign w:val="center"/>
                </w:tcPr>
                <w:p w14:paraId="3BB6D5AB">
                  <w:pPr>
                    <w:pStyle w:val="141"/>
                    <w:rPr>
                      <w:rFonts w:cs="Times New Roman"/>
                      <w:color w:val="auto"/>
                      <w:sz w:val="22"/>
                      <w:szCs w:val="22"/>
                    </w:rPr>
                  </w:pPr>
                  <w:r>
                    <w:rPr>
                      <w:rFonts w:cs="Times New Roman"/>
                      <w:color w:val="auto"/>
                      <w:sz w:val="22"/>
                      <w:szCs w:val="22"/>
                    </w:rPr>
                    <w:t>2022年5月16日</w:t>
                  </w:r>
                </w:p>
              </w:tc>
              <w:tc>
                <w:tcPr>
                  <w:tcW w:w="3375" w:type="dxa"/>
                  <w:vAlign w:val="center"/>
                </w:tcPr>
                <w:p w14:paraId="527F5985">
                  <w:pPr>
                    <w:pStyle w:val="141"/>
                    <w:rPr>
                      <w:rFonts w:cs="Times New Roman"/>
                      <w:color w:val="auto"/>
                      <w:sz w:val="22"/>
                      <w:szCs w:val="22"/>
                    </w:rPr>
                  </w:pPr>
                  <w:r>
                    <w:rPr>
                      <w:rFonts w:cs="Times New Roman"/>
                      <w:color w:val="auto"/>
                      <w:sz w:val="22"/>
                      <w:szCs w:val="22"/>
                    </w:rPr>
                    <w:t>项目于2023年12月29日组织验收组进行了现场检查，取得了《博世氢动力系统（重庆）有限公司</w:t>
                  </w:r>
                </w:p>
                <w:p w14:paraId="363CAC2F">
                  <w:pPr>
                    <w:pStyle w:val="141"/>
                    <w:rPr>
                      <w:rFonts w:cs="Times New Roman"/>
                      <w:color w:val="auto"/>
                      <w:sz w:val="22"/>
                      <w:szCs w:val="22"/>
                    </w:rPr>
                  </w:pPr>
                  <w:r>
                    <w:rPr>
                      <w:rFonts w:cs="Times New Roman"/>
                      <w:color w:val="auto"/>
                      <w:sz w:val="22"/>
                      <w:szCs w:val="22"/>
                    </w:rPr>
                    <w:t>氢燃料电池研发检测生产产线建设项目（一阶段）竣工环境保护验收意见》，通过了竣工环保验收</w:t>
                  </w:r>
                  <w:r>
                    <w:rPr>
                      <w:rFonts w:hint="eastAsia" w:cs="Times New Roman"/>
                      <w:color w:val="auto"/>
                      <w:sz w:val="22"/>
                      <w:szCs w:val="22"/>
                    </w:rPr>
                    <w:t>。</w:t>
                  </w:r>
                </w:p>
              </w:tc>
            </w:tr>
            <w:tr w14:paraId="6F84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2" w:type="dxa"/>
                  <w:vAlign w:val="center"/>
                </w:tcPr>
                <w:p w14:paraId="2845AD63">
                  <w:pPr>
                    <w:pStyle w:val="141"/>
                    <w:rPr>
                      <w:rFonts w:cs="Times New Roman"/>
                      <w:color w:val="auto"/>
                      <w:sz w:val="22"/>
                      <w:szCs w:val="22"/>
                    </w:rPr>
                  </w:pPr>
                  <w:r>
                    <w:rPr>
                      <w:rFonts w:cs="Times New Roman"/>
                      <w:color w:val="auto"/>
                      <w:sz w:val="22"/>
                      <w:szCs w:val="22"/>
                    </w:rPr>
                    <w:t>博世氢动力系统（重庆）有限公司</w:t>
                  </w:r>
                </w:p>
                <w:p w14:paraId="1C2A35D3">
                  <w:pPr>
                    <w:pStyle w:val="141"/>
                    <w:rPr>
                      <w:rFonts w:cs="Times New Roman"/>
                      <w:color w:val="auto"/>
                      <w:sz w:val="22"/>
                      <w:szCs w:val="22"/>
                    </w:rPr>
                  </w:pPr>
                  <w:r>
                    <w:rPr>
                      <w:rFonts w:cs="Times New Roman"/>
                      <w:color w:val="auto"/>
                      <w:sz w:val="22"/>
                      <w:szCs w:val="22"/>
                    </w:rPr>
                    <w:t>重型电驱桥项目</w:t>
                  </w:r>
                </w:p>
              </w:tc>
              <w:tc>
                <w:tcPr>
                  <w:tcW w:w="1142" w:type="dxa"/>
                  <w:vAlign w:val="center"/>
                </w:tcPr>
                <w:p w14:paraId="26EAB0F0">
                  <w:pPr>
                    <w:pStyle w:val="141"/>
                    <w:rPr>
                      <w:rFonts w:cs="Times New Roman"/>
                      <w:color w:val="auto"/>
                      <w:sz w:val="22"/>
                      <w:szCs w:val="22"/>
                    </w:rPr>
                  </w:pPr>
                  <w:r>
                    <w:rPr>
                      <w:rFonts w:cs="Times New Roman"/>
                      <w:color w:val="auto"/>
                      <w:sz w:val="22"/>
                      <w:szCs w:val="22"/>
                    </w:rPr>
                    <w:t>重庆市九龙坡区生态环境局</w:t>
                  </w:r>
                </w:p>
              </w:tc>
              <w:tc>
                <w:tcPr>
                  <w:tcW w:w="1149" w:type="dxa"/>
                  <w:vAlign w:val="center"/>
                </w:tcPr>
                <w:p w14:paraId="3AB48387">
                  <w:pPr>
                    <w:pStyle w:val="141"/>
                    <w:rPr>
                      <w:rFonts w:cs="Times New Roman"/>
                      <w:color w:val="auto"/>
                      <w:sz w:val="22"/>
                      <w:szCs w:val="22"/>
                    </w:rPr>
                  </w:pPr>
                  <w:r>
                    <w:rPr>
                      <w:rFonts w:cs="Times New Roman"/>
                      <w:color w:val="auto"/>
                      <w:sz w:val="22"/>
                      <w:szCs w:val="22"/>
                    </w:rPr>
                    <w:t>渝（九）环准〔202</w:t>
                  </w:r>
                  <w:r>
                    <w:rPr>
                      <w:rFonts w:hint="eastAsia" w:cs="Times New Roman"/>
                      <w:color w:val="auto"/>
                      <w:sz w:val="22"/>
                      <w:szCs w:val="22"/>
                    </w:rPr>
                    <w:t>4</w:t>
                  </w:r>
                  <w:r>
                    <w:rPr>
                      <w:rFonts w:cs="Times New Roman"/>
                      <w:color w:val="auto"/>
                      <w:sz w:val="22"/>
                      <w:szCs w:val="22"/>
                    </w:rPr>
                    <w:t>〕</w:t>
                  </w:r>
                  <w:r>
                    <w:rPr>
                      <w:rFonts w:hint="eastAsia" w:cs="Times New Roman"/>
                      <w:color w:val="auto"/>
                      <w:sz w:val="22"/>
                      <w:szCs w:val="22"/>
                    </w:rPr>
                    <w:t>24</w:t>
                  </w:r>
                  <w:r>
                    <w:rPr>
                      <w:rFonts w:cs="Times New Roman"/>
                      <w:color w:val="auto"/>
                      <w:sz w:val="22"/>
                      <w:szCs w:val="22"/>
                    </w:rPr>
                    <w:t>号</w:t>
                  </w:r>
                </w:p>
              </w:tc>
              <w:tc>
                <w:tcPr>
                  <w:tcW w:w="1153" w:type="dxa"/>
                  <w:vAlign w:val="center"/>
                </w:tcPr>
                <w:p w14:paraId="4EAB9E9A">
                  <w:pPr>
                    <w:pStyle w:val="141"/>
                    <w:rPr>
                      <w:rFonts w:cs="Times New Roman"/>
                      <w:color w:val="auto"/>
                      <w:sz w:val="22"/>
                      <w:szCs w:val="22"/>
                    </w:rPr>
                  </w:pPr>
                  <w:r>
                    <w:rPr>
                      <w:rFonts w:cs="Times New Roman"/>
                      <w:color w:val="auto"/>
                      <w:sz w:val="22"/>
                      <w:szCs w:val="22"/>
                    </w:rPr>
                    <w:t>202</w:t>
                  </w:r>
                  <w:r>
                    <w:rPr>
                      <w:rFonts w:hint="eastAsia" w:cs="Times New Roman"/>
                      <w:color w:val="auto"/>
                      <w:sz w:val="22"/>
                      <w:szCs w:val="22"/>
                    </w:rPr>
                    <w:t>4</w:t>
                  </w:r>
                  <w:r>
                    <w:rPr>
                      <w:rFonts w:cs="Times New Roman"/>
                      <w:color w:val="auto"/>
                      <w:sz w:val="22"/>
                      <w:szCs w:val="22"/>
                    </w:rPr>
                    <w:t>年</w:t>
                  </w:r>
                  <w:r>
                    <w:rPr>
                      <w:rFonts w:hint="eastAsia" w:cs="Times New Roman"/>
                      <w:color w:val="auto"/>
                      <w:sz w:val="22"/>
                      <w:szCs w:val="22"/>
                    </w:rPr>
                    <w:t>6</w:t>
                  </w:r>
                  <w:r>
                    <w:rPr>
                      <w:rFonts w:cs="Times New Roman"/>
                      <w:color w:val="auto"/>
                      <w:sz w:val="22"/>
                      <w:szCs w:val="22"/>
                    </w:rPr>
                    <w:t>月</w:t>
                  </w:r>
                  <w:r>
                    <w:rPr>
                      <w:rFonts w:hint="eastAsia" w:cs="Times New Roman"/>
                      <w:color w:val="auto"/>
                      <w:sz w:val="22"/>
                      <w:szCs w:val="22"/>
                    </w:rPr>
                    <w:t>20</w:t>
                  </w:r>
                  <w:r>
                    <w:rPr>
                      <w:rFonts w:cs="Times New Roman"/>
                      <w:color w:val="auto"/>
                      <w:sz w:val="22"/>
                      <w:szCs w:val="22"/>
                    </w:rPr>
                    <w:t>日</w:t>
                  </w:r>
                </w:p>
              </w:tc>
              <w:tc>
                <w:tcPr>
                  <w:tcW w:w="3375" w:type="dxa"/>
                  <w:vAlign w:val="center"/>
                </w:tcPr>
                <w:p w14:paraId="74DF266F">
                  <w:pPr>
                    <w:pStyle w:val="141"/>
                    <w:rPr>
                      <w:rFonts w:cs="Times New Roman"/>
                      <w:color w:val="auto"/>
                      <w:sz w:val="22"/>
                      <w:szCs w:val="22"/>
                    </w:rPr>
                  </w:pPr>
                  <w:r>
                    <w:rPr>
                      <w:rFonts w:cs="Times New Roman"/>
                      <w:color w:val="auto"/>
                      <w:sz w:val="22"/>
                      <w:szCs w:val="22"/>
                    </w:rPr>
                    <w:t>项目于202</w:t>
                  </w:r>
                  <w:r>
                    <w:rPr>
                      <w:rFonts w:hint="eastAsia" w:cs="Times New Roman"/>
                      <w:color w:val="auto"/>
                      <w:sz w:val="22"/>
                      <w:szCs w:val="22"/>
                      <w:lang w:val="en-US" w:eastAsia="zh-CN"/>
                    </w:rPr>
                    <w:t>5</w:t>
                  </w:r>
                  <w:r>
                    <w:rPr>
                      <w:rFonts w:cs="Times New Roman"/>
                      <w:color w:val="auto"/>
                      <w:sz w:val="22"/>
                      <w:szCs w:val="22"/>
                    </w:rPr>
                    <w:t>年</w:t>
                  </w:r>
                  <w:r>
                    <w:rPr>
                      <w:rFonts w:hint="eastAsia" w:cs="Times New Roman"/>
                      <w:color w:val="auto"/>
                      <w:sz w:val="22"/>
                      <w:szCs w:val="22"/>
                      <w:lang w:val="en-US" w:eastAsia="zh-CN"/>
                    </w:rPr>
                    <w:t>1</w:t>
                  </w:r>
                  <w:r>
                    <w:rPr>
                      <w:rFonts w:cs="Times New Roman"/>
                      <w:color w:val="auto"/>
                      <w:sz w:val="22"/>
                      <w:szCs w:val="22"/>
                    </w:rPr>
                    <w:t>月</w:t>
                  </w:r>
                  <w:r>
                    <w:rPr>
                      <w:rFonts w:hint="eastAsia" w:cs="Times New Roman"/>
                      <w:color w:val="auto"/>
                      <w:sz w:val="22"/>
                      <w:szCs w:val="22"/>
                      <w:lang w:val="en-US" w:eastAsia="zh-CN"/>
                    </w:rPr>
                    <w:t>22</w:t>
                  </w:r>
                  <w:r>
                    <w:rPr>
                      <w:rFonts w:cs="Times New Roman"/>
                      <w:color w:val="auto"/>
                      <w:sz w:val="22"/>
                      <w:szCs w:val="22"/>
                    </w:rPr>
                    <w:t>日组织验收组进行了现场检查，取得了《博世氢动力系统（重庆）有限公司</w:t>
                  </w:r>
                </w:p>
                <w:p w14:paraId="793FDBB9">
                  <w:pPr>
                    <w:pStyle w:val="141"/>
                    <w:rPr>
                      <w:rFonts w:cs="Times New Roman"/>
                      <w:color w:val="auto"/>
                      <w:sz w:val="22"/>
                      <w:szCs w:val="22"/>
                    </w:rPr>
                  </w:pPr>
                  <w:r>
                    <w:rPr>
                      <w:rFonts w:hint="eastAsia" w:cs="Times New Roman"/>
                      <w:color w:val="auto"/>
                      <w:sz w:val="22"/>
                      <w:szCs w:val="22"/>
                      <w:lang w:val="en-US" w:eastAsia="zh-CN"/>
                    </w:rPr>
                    <w:t>重型电驱桥</w:t>
                  </w:r>
                  <w:r>
                    <w:rPr>
                      <w:rFonts w:cs="Times New Roman"/>
                      <w:color w:val="auto"/>
                      <w:sz w:val="22"/>
                      <w:szCs w:val="22"/>
                    </w:rPr>
                    <w:t>项目竣工环境保护验收意见》，通过了竣工环保验收</w:t>
                  </w:r>
                  <w:r>
                    <w:rPr>
                      <w:rFonts w:hint="eastAsia" w:cs="Times New Roman"/>
                      <w:color w:val="auto"/>
                      <w:sz w:val="22"/>
                      <w:szCs w:val="22"/>
                    </w:rPr>
                    <w:t>。</w:t>
                  </w:r>
                </w:p>
              </w:tc>
            </w:tr>
          </w:tbl>
          <w:p w14:paraId="1D18E7B1">
            <w:pPr>
              <w:spacing w:line="460" w:lineRule="exact"/>
              <w:ind w:firstLine="522" w:firstLineChars="200"/>
              <w:rPr>
                <w:b/>
                <w:bCs/>
                <w:color w:val="auto"/>
                <w:sz w:val="26"/>
                <w:szCs w:val="26"/>
              </w:rPr>
            </w:pPr>
            <w:r>
              <w:rPr>
                <w:b/>
                <w:bCs/>
                <w:color w:val="auto"/>
                <w:sz w:val="26"/>
                <w:szCs w:val="26"/>
              </w:rPr>
              <w:t>2.13.2现有项目产品方案</w:t>
            </w:r>
          </w:p>
          <w:p w14:paraId="0669580A">
            <w:pPr>
              <w:pStyle w:val="136"/>
              <w:spacing w:line="460" w:lineRule="exact"/>
              <w:ind w:firstLine="520"/>
              <w:rPr>
                <w:color w:val="auto"/>
                <w:sz w:val="26"/>
                <w:szCs w:val="26"/>
              </w:rPr>
            </w:pPr>
            <w:r>
              <w:rPr>
                <w:color w:val="auto"/>
                <w:sz w:val="26"/>
                <w:szCs w:val="26"/>
              </w:rPr>
              <w:t>现有项目产品方案见表2.1</w:t>
            </w:r>
            <w:r>
              <w:rPr>
                <w:rFonts w:hint="eastAsia"/>
                <w:color w:val="auto"/>
                <w:sz w:val="26"/>
                <w:szCs w:val="26"/>
              </w:rPr>
              <w:t>3</w:t>
            </w:r>
            <w:r>
              <w:rPr>
                <w:color w:val="auto"/>
                <w:sz w:val="26"/>
                <w:szCs w:val="26"/>
              </w:rPr>
              <w:t>-2。</w:t>
            </w:r>
          </w:p>
          <w:p w14:paraId="622E4FE7">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-2</w:t>
            </w:r>
            <w:r>
              <w:rPr>
                <w:rFonts w:hint="eastAsia" w:eastAsia="宋体"/>
                <w:color w:val="auto"/>
                <w:sz w:val="26"/>
                <w:szCs w:val="26"/>
                <w:lang w:val="en-US" w:eastAsia="zh-CN"/>
              </w:rPr>
              <w:t xml:space="preserve">  </w:t>
            </w:r>
            <w:r>
              <w:rPr>
                <w:rFonts w:eastAsia="宋体"/>
                <w:color w:val="auto"/>
                <w:sz w:val="26"/>
                <w:szCs w:val="26"/>
              </w:rPr>
              <w:t>现有项目产品方案一览表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3882"/>
              <w:gridCol w:w="1938"/>
              <w:gridCol w:w="1509"/>
            </w:tblGrid>
            <w:tr w14:paraId="4C4661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632" w:type="pct"/>
                  <w:tcBorders>
                    <w:top w:val="single" w:color="auto" w:sz="4" w:space="0"/>
                    <w:left w:val="single" w:color="auto" w:sz="4" w:space="0"/>
                    <w:right w:val="single" w:color="auto" w:sz="4" w:space="0"/>
                  </w:tcBorders>
                  <w:vAlign w:val="center"/>
                </w:tcPr>
                <w:p w14:paraId="411AD666">
                  <w:pPr>
                    <w:pStyle w:val="141"/>
                    <w:rPr>
                      <w:rFonts w:cs="Times New Roman"/>
                      <w:color w:val="auto"/>
                      <w:sz w:val="22"/>
                      <w:szCs w:val="22"/>
                    </w:rPr>
                  </w:pPr>
                  <w:r>
                    <w:rPr>
                      <w:rFonts w:cs="Times New Roman"/>
                      <w:color w:val="auto"/>
                      <w:sz w:val="22"/>
                      <w:szCs w:val="22"/>
                    </w:rPr>
                    <w:t>生产线（条）</w:t>
                  </w:r>
                </w:p>
              </w:tc>
              <w:tc>
                <w:tcPr>
                  <w:tcW w:w="2312" w:type="pct"/>
                  <w:tcBorders>
                    <w:top w:val="single" w:color="auto" w:sz="4" w:space="0"/>
                    <w:left w:val="single" w:color="auto" w:sz="4" w:space="0"/>
                  </w:tcBorders>
                  <w:vAlign w:val="center"/>
                </w:tcPr>
                <w:p w14:paraId="1FC11C7D">
                  <w:pPr>
                    <w:pStyle w:val="141"/>
                    <w:rPr>
                      <w:rFonts w:cs="Times New Roman"/>
                      <w:color w:val="auto"/>
                      <w:sz w:val="22"/>
                      <w:szCs w:val="22"/>
                    </w:rPr>
                  </w:pPr>
                  <w:r>
                    <w:rPr>
                      <w:rFonts w:cs="Times New Roman"/>
                      <w:color w:val="auto"/>
                      <w:sz w:val="22"/>
                      <w:szCs w:val="22"/>
                    </w:rPr>
                    <w:t>产品名称</w:t>
                  </w:r>
                </w:p>
              </w:tc>
              <w:tc>
                <w:tcPr>
                  <w:tcW w:w="1155" w:type="pct"/>
                  <w:tcBorders>
                    <w:top w:val="single" w:color="auto" w:sz="4" w:space="0"/>
                  </w:tcBorders>
                  <w:vAlign w:val="center"/>
                </w:tcPr>
                <w:p w14:paraId="260C8F5A">
                  <w:pPr>
                    <w:pStyle w:val="141"/>
                    <w:rPr>
                      <w:rFonts w:cs="Times New Roman"/>
                      <w:color w:val="auto"/>
                      <w:sz w:val="22"/>
                      <w:szCs w:val="22"/>
                    </w:rPr>
                  </w:pPr>
                  <w:r>
                    <w:rPr>
                      <w:rFonts w:cs="Times New Roman"/>
                      <w:color w:val="auto"/>
                      <w:sz w:val="22"/>
                      <w:szCs w:val="22"/>
                    </w:rPr>
                    <w:t>产品规模</w:t>
                  </w:r>
                </w:p>
              </w:tc>
              <w:tc>
                <w:tcPr>
                  <w:tcW w:w="899" w:type="pct"/>
                  <w:tcBorders>
                    <w:top w:val="single" w:color="auto" w:sz="4" w:space="0"/>
                    <w:left w:val="single" w:color="auto" w:sz="4" w:space="0"/>
                    <w:right w:val="single" w:color="auto" w:sz="4" w:space="0"/>
                  </w:tcBorders>
                  <w:vAlign w:val="center"/>
                </w:tcPr>
                <w:p w14:paraId="1FFCE69F">
                  <w:pPr>
                    <w:pStyle w:val="141"/>
                    <w:rPr>
                      <w:rFonts w:cs="Times New Roman"/>
                      <w:color w:val="auto"/>
                      <w:sz w:val="22"/>
                      <w:szCs w:val="22"/>
                    </w:rPr>
                  </w:pPr>
                  <w:r>
                    <w:rPr>
                      <w:rFonts w:cs="Times New Roman"/>
                      <w:color w:val="auto"/>
                      <w:sz w:val="22"/>
                      <w:szCs w:val="22"/>
                    </w:rPr>
                    <w:t>备注</w:t>
                  </w:r>
                </w:p>
              </w:tc>
            </w:tr>
            <w:tr w14:paraId="6BEA4C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14:paraId="4DA494ED">
                  <w:pPr>
                    <w:pStyle w:val="141"/>
                    <w:rPr>
                      <w:rFonts w:cs="Times New Roman"/>
                      <w:color w:val="auto"/>
                      <w:sz w:val="22"/>
                      <w:szCs w:val="22"/>
                    </w:rPr>
                  </w:pPr>
                  <w:r>
                    <w:rPr>
                      <w:rFonts w:cs="Times New Roman"/>
                      <w:color w:val="auto"/>
                      <w:sz w:val="22"/>
                      <w:szCs w:val="22"/>
                    </w:rPr>
                    <w:t>2</w:t>
                  </w:r>
                </w:p>
              </w:tc>
              <w:tc>
                <w:tcPr>
                  <w:tcW w:w="3881" w:type="dxa"/>
                  <w:tcBorders>
                    <w:top w:val="single" w:color="auto" w:sz="4" w:space="0"/>
                    <w:left w:val="single" w:color="auto" w:sz="4" w:space="0"/>
                    <w:bottom w:val="single" w:color="auto" w:sz="4" w:space="0"/>
                  </w:tcBorders>
                  <w:vAlign w:val="center"/>
                </w:tcPr>
                <w:p w14:paraId="6D98712D">
                  <w:pPr>
                    <w:pStyle w:val="141"/>
                    <w:rPr>
                      <w:rFonts w:cs="Times New Roman"/>
                      <w:color w:val="auto"/>
                      <w:sz w:val="22"/>
                      <w:szCs w:val="22"/>
                    </w:rPr>
                  </w:pPr>
                  <w:r>
                    <w:rPr>
                      <w:rFonts w:cs="Times New Roman"/>
                      <w:color w:val="auto"/>
                      <w:sz w:val="22"/>
                      <w:szCs w:val="22"/>
                    </w:rPr>
                    <w:t>氢动力系统</w:t>
                  </w:r>
                </w:p>
              </w:tc>
              <w:tc>
                <w:tcPr>
                  <w:tcW w:w="1939" w:type="dxa"/>
                  <w:tcBorders>
                    <w:top w:val="single" w:color="auto" w:sz="4" w:space="0"/>
                    <w:bottom w:val="single" w:color="auto" w:sz="4" w:space="0"/>
                  </w:tcBorders>
                  <w:vAlign w:val="center"/>
                </w:tcPr>
                <w:p w14:paraId="7503C998">
                  <w:pPr>
                    <w:pStyle w:val="141"/>
                    <w:rPr>
                      <w:rFonts w:cs="Times New Roman"/>
                      <w:color w:val="auto"/>
                      <w:sz w:val="22"/>
                      <w:szCs w:val="22"/>
                    </w:rPr>
                  </w:pPr>
                  <w:r>
                    <w:rPr>
                      <w:rFonts w:cs="Times New Roman"/>
                      <w:color w:val="auto"/>
                      <w:sz w:val="22"/>
                      <w:szCs w:val="22"/>
                    </w:rPr>
                    <w:t>3500台/年</w:t>
                  </w:r>
                </w:p>
              </w:tc>
              <w:tc>
                <w:tcPr>
                  <w:tcW w:w="1510" w:type="dxa"/>
                  <w:tcBorders>
                    <w:top w:val="single" w:color="auto" w:sz="4" w:space="0"/>
                    <w:left w:val="single" w:color="auto" w:sz="4" w:space="0"/>
                    <w:bottom w:val="single" w:color="auto" w:sz="4" w:space="0"/>
                    <w:right w:val="single" w:color="auto" w:sz="4" w:space="0"/>
                  </w:tcBorders>
                  <w:vAlign w:val="center"/>
                </w:tcPr>
                <w:p w14:paraId="3CFDA33D">
                  <w:pPr>
                    <w:pStyle w:val="141"/>
                    <w:rPr>
                      <w:rFonts w:cs="Times New Roman"/>
                      <w:color w:val="auto"/>
                      <w:sz w:val="22"/>
                      <w:szCs w:val="22"/>
                    </w:rPr>
                  </w:pPr>
                  <w:r>
                    <w:rPr>
                      <w:rFonts w:hint="eastAsia" w:cs="Times New Roman"/>
                      <w:color w:val="auto"/>
                      <w:sz w:val="22"/>
                      <w:szCs w:val="22"/>
                    </w:rPr>
                    <w:t>已建</w:t>
                  </w:r>
                </w:p>
              </w:tc>
            </w:tr>
            <w:tr w14:paraId="621E24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632" w:type="pct"/>
                  <w:tcBorders>
                    <w:top w:val="single" w:color="auto" w:sz="4" w:space="0"/>
                    <w:left w:val="single" w:color="auto" w:sz="4" w:space="0"/>
                    <w:right w:val="single" w:color="auto" w:sz="4" w:space="0"/>
                  </w:tcBorders>
                  <w:shd w:val="clear" w:color="auto" w:fill="auto"/>
                  <w:vAlign w:val="center"/>
                </w:tcPr>
                <w:p w14:paraId="541EB01F">
                  <w:pPr>
                    <w:pStyle w:val="141"/>
                    <w:rPr>
                      <w:rFonts w:cs="Times New Roman"/>
                      <w:color w:val="auto"/>
                      <w:sz w:val="22"/>
                      <w:szCs w:val="22"/>
                    </w:rPr>
                  </w:pPr>
                  <w:r>
                    <w:rPr>
                      <w:rFonts w:hint="eastAsia" w:cs="Times New Roman"/>
                      <w:color w:val="auto"/>
                      <w:sz w:val="22"/>
                      <w:szCs w:val="22"/>
                    </w:rPr>
                    <w:t>1</w:t>
                  </w:r>
                </w:p>
              </w:tc>
              <w:tc>
                <w:tcPr>
                  <w:tcW w:w="2312" w:type="pct"/>
                  <w:tcBorders>
                    <w:top w:val="single" w:color="auto" w:sz="4" w:space="0"/>
                    <w:left w:val="single" w:color="auto" w:sz="4" w:space="0"/>
                  </w:tcBorders>
                  <w:shd w:val="clear" w:color="auto" w:fill="auto"/>
                  <w:vAlign w:val="center"/>
                </w:tcPr>
                <w:p w14:paraId="66F94F22">
                  <w:pPr>
                    <w:pStyle w:val="41"/>
                    <w:spacing w:line="320" w:lineRule="exact"/>
                    <w:rPr>
                      <w:color w:val="auto"/>
                      <w:sz w:val="22"/>
                      <w:szCs w:val="22"/>
                    </w:rPr>
                  </w:pPr>
                  <w:r>
                    <w:rPr>
                      <w:color w:val="auto"/>
                      <w:sz w:val="22"/>
                      <w:szCs w:val="22"/>
                    </w:rPr>
                    <w:t>重型电驱桥</w:t>
                  </w:r>
                </w:p>
              </w:tc>
              <w:tc>
                <w:tcPr>
                  <w:tcW w:w="1155" w:type="pct"/>
                  <w:tcBorders>
                    <w:top w:val="single" w:color="auto" w:sz="4" w:space="0"/>
                  </w:tcBorders>
                  <w:shd w:val="clear" w:color="auto" w:fill="auto"/>
                  <w:vAlign w:val="center"/>
                </w:tcPr>
                <w:p w14:paraId="162296C7">
                  <w:pPr>
                    <w:pStyle w:val="41"/>
                    <w:spacing w:line="320" w:lineRule="exact"/>
                    <w:rPr>
                      <w:color w:val="auto"/>
                      <w:sz w:val="22"/>
                      <w:szCs w:val="22"/>
                    </w:rPr>
                  </w:pPr>
                  <w:r>
                    <w:rPr>
                      <w:color w:val="auto"/>
                      <w:sz w:val="22"/>
                      <w:szCs w:val="22"/>
                    </w:rPr>
                    <w:t>10000套/年</w:t>
                  </w:r>
                </w:p>
              </w:tc>
              <w:tc>
                <w:tcPr>
                  <w:tcW w:w="899" w:type="pct"/>
                  <w:tcBorders>
                    <w:top w:val="single" w:color="auto" w:sz="4" w:space="0"/>
                    <w:left w:val="single" w:color="auto" w:sz="4" w:space="0"/>
                    <w:right w:val="single" w:color="auto" w:sz="4" w:space="0"/>
                  </w:tcBorders>
                  <w:shd w:val="clear" w:color="auto" w:fill="auto"/>
                  <w:vAlign w:val="center"/>
                </w:tcPr>
                <w:p w14:paraId="46CA72FD">
                  <w:pPr>
                    <w:pStyle w:val="141"/>
                    <w:rPr>
                      <w:rFonts w:cs="Times New Roman"/>
                      <w:color w:val="auto"/>
                      <w:sz w:val="22"/>
                      <w:szCs w:val="22"/>
                    </w:rPr>
                  </w:pPr>
                  <w:r>
                    <w:rPr>
                      <w:rFonts w:hint="eastAsia" w:cs="Times New Roman"/>
                      <w:color w:val="auto"/>
                      <w:sz w:val="22"/>
                      <w:szCs w:val="22"/>
                    </w:rPr>
                    <w:t>已建</w:t>
                  </w:r>
                </w:p>
              </w:tc>
            </w:tr>
          </w:tbl>
          <w:p w14:paraId="150BA4E0">
            <w:pPr>
              <w:spacing w:line="460" w:lineRule="exact"/>
              <w:ind w:firstLine="522" w:firstLineChars="200"/>
              <w:rPr>
                <w:b/>
                <w:bCs/>
                <w:color w:val="auto"/>
                <w:sz w:val="26"/>
                <w:szCs w:val="26"/>
              </w:rPr>
            </w:pPr>
            <w:r>
              <w:rPr>
                <w:b/>
                <w:bCs/>
                <w:color w:val="auto"/>
                <w:sz w:val="26"/>
                <w:szCs w:val="26"/>
              </w:rPr>
              <w:t>2.13.3现有项目建设内容</w:t>
            </w:r>
          </w:p>
          <w:p w14:paraId="5341C759">
            <w:pPr>
              <w:pStyle w:val="136"/>
              <w:spacing w:line="460" w:lineRule="exact"/>
              <w:ind w:firstLine="520"/>
              <w:rPr>
                <w:color w:val="auto"/>
                <w:sz w:val="26"/>
                <w:szCs w:val="26"/>
              </w:rPr>
            </w:pPr>
            <w:r>
              <w:rPr>
                <w:rFonts w:hint="eastAsia"/>
                <w:color w:val="auto"/>
                <w:sz w:val="26"/>
                <w:szCs w:val="26"/>
              </w:rPr>
              <w:t>根据重型电驱桥项目、</w:t>
            </w:r>
            <w:r>
              <w:rPr>
                <w:color w:val="auto"/>
                <w:sz w:val="26"/>
                <w:szCs w:val="26"/>
              </w:rPr>
              <w:t>氢燃料电池研发检测生产产线建设项目</w:t>
            </w:r>
            <w:r>
              <w:rPr>
                <w:rFonts w:hint="eastAsia"/>
                <w:color w:val="auto"/>
                <w:sz w:val="26"/>
                <w:szCs w:val="26"/>
              </w:rPr>
              <w:t>环评和验收资料，</w:t>
            </w:r>
            <w:r>
              <w:rPr>
                <w:color w:val="auto"/>
                <w:sz w:val="26"/>
                <w:szCs w:val="26"/>
              </w:rPr>
              <w:t>项目组成一览表见表2.1</w:t>
            </w:r>
            <w:r>
              <w:rPr>
                <w:rFonts w:hint="eastAsia"/>
                <w:color w:val="auto"/>
                <w:sz w:val="26"/>
                <w:szCs w:val="26"/>
              </w:rPr>
              <w:t>3</w:t>
            </w:r>
            <w:r>
              <w:rPr>
                <w:color w:val="auto"/>
                <w:sz w:val="26"/>
                <w:szCs w:val="26"/>
              </w:rPr>
              <w:t>-3。</w:t>
            </w:r>
          </w:p>
          <w:p w14:paraId="3CEB74AD">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-3</w:t>
            </w:r>
            <w:r>
              <w:rPr>
                <w:rFonts w:hint="eastAsia" w:eastAsia="宋体"/>
                <w:color w:val="auto"/>
                <w:sz w:val="26"/>
                <w:szCs w:val="26"/>
                <w:lang w:val="en-US" w:eastAsia="zh-CN"/>
              </w:rPr>
              <w:t xml:space="preserve">  现有</w:t>
            </w:r>
            <w:r>
              <w:rPr>
                <w:rFonts w:eastAsia="宋体"/>
                <w:color w:val="auto"/>
                <w:sz w:val="26"/>
                <w:szCs w:val="26"/>
              </w:rPr>
              <w:t>项目组成一览表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42"/>
              <w:gridCol w:w="725"/>
              <w:gridCol w:w="5700"/>
              <w:gridCol w:w="920"/>
            </w:tblGrid>
            <w:tr w14:paraId="0DE0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1771" w:type="dxa"/>
                  <w:gridSpan w:val="3"/>
                  <w:vAlign w:val="center"/>
                </w:tcPr>
                <w:p w14:paraId="2CA1E33C">
                  <w:pPr>
                    <w:pStyle w:val="143"/>
                    <w:spacing w:line="240" w:lineRule="auto"/>
                    <w:rPr>
                      <w:color w:val="auto"/>
                      <w:sz w:val="22"/>
                      <w:szCs w:val="22"/>
                    </w:rPr>
                  </w:pPr>
                  <w:r>
                    <w:rPr>
                      <w:color w:val="auto"/>
                      <w:sz w:val="22"/>
                      <w:szCs w:val="22"/>
                    </w:rPr>
                    <w:t>项目组成</w:t>
                  </w:r>
                </w:p>
              </w:tc>
              <w:tc>
                <w:tcPr>
                  <w:tcW w:w="5700" w:type="dxa"/>
                  <w:vAlign w:val="center"/>
                </w:tcPr>
                <w:p w14:paraId="743B7DA2">
                  <w:pPr>
                    <w:pStyle w:val="143"/>
                    <w:spacing w:line="240" w:lineRule="auto"/>
                    <w:rPr>
                      <w:color w:val="auto"/>
                      <w:sz w:val="22"/>
                      <w:szCs w:val="22"/>
                    </w:rPr>
                  </w:pPr>
                  <w:r>
                    <w:rPr>
                      <w:color w:val="auto"/>
                      <w:sz w:val="22"/>
                      <w:szCs w:val="22"/>
                    </w:rPr>
                    <w:t>建设内容及规模</w:t>
                  </w:r>
                </w:p>
              </w:tc>
              <w:tc>
                <w:tcPr>
                  <w:tcW w:w="920" w:type="dxa"/>
                  <w:vAlign w:val="center"/>
                </w:tcPr>
                <w:p w14:paraId="59F2F4ED">
                  <w:pPr>
                    <w:pStyle w:val="143"/>
                    <w:spacing w:line="240" w:lineRule="auto"/>
                    <w:rPr>
                      <w:color w:val="auto"/>
                      <w:sz w:val="22"/>
                      <w:szCs w:val="22"/>
                    </w:rPr>
                  </w:pPr>
                  <w:r>
                    <w:rPr>
                      <w:color w:val="auto"/>
                      <w:sz w:val="22"/>
                      <w:szCs w:val="22"/>
                    </w:rPr>
                    <w:t>备注</w:t>
                  </w:r>
                </w:p>
              </w:tc>
            </w:tr>
            <w:tr w14:paraId="48C1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blHeader/>
                <w:jc w:val="center"/>
              </w:trPr>
              <w:tc>
                <w:tcPr>
                  <w:tcW w:w="504" w:type="dxa"/>
                  <w:vMerge w:val="restart"/>
                  <w:vAlign w:val="center"/>
                </w:tcPr>
                <w:p w14:paraId="4F9CDD7B">
                  <w:pPr>
                    <w:pStyle w:val="143"/>
                    <w:spacing w:line="240" w:lineRule="auto"/>
                    <w:rPr>
                      <w:color w:val="auto"/>
                      <w:sz w:val="22"/>
                      <w:szCs w:val="22"/>
                    </w:rPr>
                  </w:pPr>
                  <w:r>
                    <w:rPr>
                      <w:color w:val="auto"/>
                      <w:sz w:val="22"/>
                      <w:szCs w:val="22"/>
                    </w:rPr>
                    <w:t>主体工程</w:t>
                  </w:r>
                </w:p>
              </w:tc>
              <w:tc>
                <w:tcPr>
                  <w:tcW w:w="1267" w:type="dxa"/>
                  <w:gridSpan w:val="2"/>
                  <w:vMerge w:val="restart"/>
                  <w:vAlign w:val="center"/>
                </w:tcPr>
                <w:p w14:paraId="17780872">
                  <w:pPr>
                    <w:pStyle w:val="143"/>
                    <w:spacing w:line="240" w:lineRule="auto"/>
                    <w:rPr>
                      <w:color w:val="auto"/>
                      <w:sz w:val="22"/>
                      <w:szCs w:val="22"/>
                    </w:rPr>
                  </w:pPr>
                  <w:r>
                    <w:rPr>
                      <w:color w:val="auto"/>
                      <w:sz w:val="22"/>
                      <w:szCs w:val="22"/>
                    </w:rPr>
                    <w:t>发动机生产车间060</w:t>
                  </w:r>
                </w:p>
              </w:tc>
              <w:tc>
                <w:tcPr>
                  <w:tcW w:w="5700" w:type="dxa"/>
                  <w:vAlign w:val="center"/>
                </w:tcPr>
                <w:p w14:paraId="5C99731D">
                  <w:pPr>
                    <w:pStyle w:val="143"/>
                    <w:spacing w:line="240" w:lineRule="auto"/>
                    <w:rPr>
                      <w:color w:val="auto"/>
                      <w:sz w:val="22"/>
                      <w:szCs w:val="22"/>
                    </w:rPr>
                  </w:pPr>
                  <w:r>
                    <w:rPr>
                      <w:color w:val="auto"/>
                      <w:sz w:val="22"/>
                      <w:szCs w:val="22"/>
                    </w:rPr>
                    <w:t>已建1栋，布设于东地块，1F（南侧配套用房为2F），建筑面积约22188.67m</w:t>
                  </w:r>
                  <w:r>
                    <w:rPr>
                      <w:color w:val="auto"/>
                      <w:sz w:val="22"/>
                      <w:szCs w:val="22"/>
                      <w:vertAlign w:val="superscript"/>
                    </w:rPr>
                    <w:t>2</w:t>
                  </w:r>
                  <w:r>
                    <w:rPr>
                      <w:color w:val="auto"/>
                      <w:sz w:val="22"/>
                      <w:szCs w:val="22"/>
                    </w:rPr>
                    <w:t>，布置氢动力系统装配线2条，含阳极系统装配、冷却系统装配、阴极系统装配、线束装配等，并配套设置原料中转仓库、产品中转仓库、实验室、培训室、工具间、数据间、机房、茶水间、卫生间、更衣间等。目前实验室仅配置三坐标、万工显等简单测量设备。</w:t>
                  </w:r>
                </w:p>
              </w:tc>
              <w:tc>
                <w:tcPr>
                  <w:tcW w:w="920" w:type="dxa"/>
                  <w:vAlign w:val="center"/>
                </w:tcPr>
                <w:p w14:paraId="1BB35421">
                  <w:pPr>
                    <w:pStyle w:val="143"/>
                    <w:spacing w:line="240" w:lineRule="auto"/>
                    <w:rPr>
                      <w:color w:val="auto"/>
                      <w:sz w:val="22"/>
                      <w:szCs w:val="22"/>
                    </w:rPr>
                  </w:pPr>
                  <w:r>
                    <w:rPr>
                      <w:color w:val="auto"/>
                      <w:sz w:val="22"/>
                      <w:szCs w:val="22"/>
                    </w:rPr>
                    <w:t>已建</w:t>
                  </w:r>
                </w:p>
              </w:tc>
            </w:tr>
            <w:tr w14:paraId="600C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blHeader/>
                <w:jc w:val="center"/>
              </w:trPr>
              <w:tc>
                <w:tcPr>
                  <w:tcW w:w="504" w:type="dxa"/>
                  <w:vMerge w:val="continue"/>
                  <w:vAlign w:val="center"/>
                </w:tcPr>
                <w:p w14:paraId="43B9F997">
                  <w:pPr>
                    <w:pStyle w:val="143"/>
                    <w:spacing w:line="240" w:lineRule="auto"/>
                    <w:rPr>
                      <w:color w:val="auto"/>
                      <w:sz w:val="22"/>
                      <w:szCs w:val="22"/>
                    </w:rPr>
                  </w:pPr>
                </w:p>
              </w:tc>
              <w:tc>
                <w:tcPr>
                  <w:tcW w:w="1267" w:type="dxa"/>
                  <w:gridSpan w:val="2"/>
                  <w:vMerge w:val="continue"/>
                  <w:vAlign w:val="center"/>
                </w:tcPr>
                <w:p w14:paraId="5DFA38E4">
                  <w:pPr>
                    <w:pStyle w:val="143"/>
                    <w:spacing w:line="240" w:lineRule="auto"/>
                    <w:rPr>
                      <w:color w:val="auto"/>
                      <w:sz w:val="22"/>
                      <w:szCs w:val="22"/>
                    </w:rPr>
                  </w:pPr>
                </w:p>
              </w:tc>
              <w:tc>
                <w:tcPr>
                  <w:tcW w:w="5700" w:type="dxa"/>
                  <w:vAlign w:val="center"/>
                </w:tcPr>
                <w:p w14:paraId="30BEC454">
                  <w:pPr>
                    <w:pStyle w:val="143"/>
                    <w:spacing w:line="240" w:lineRule="auto"/>
                    <w:rPr>
                      <w:color w:val="auto"/>
                      <w:sz w:val="22"/>
                      <w:szCs w:val="22"/>
                    </w:rPr>
                  </w:pPr>
                  <w:r>
                    <w:rPr>
                      <w:color w:val="auto"/>
                      <w:sz w:val="22"/>
                      <w:szCs w:val="22"/>
                    </w:rPr>
                    <w:t>布置重型电驱桥装配和测试线1条，位于东地块060厂房内，建筑面积约400m</w:t>
                  </w:r>
                  <w:r>
                    <w:rPr>
                      <w:color w:val="auto"/>
                      <w:sz w:val="22"/>
                      <w:szCs w:val="22"/>
                      <w:vertAlign w:val="superscript"/>
                    </w:rPr>
                    <w:t>2</w:t>
                  </w:r>
                  <w:r>
                    <w:rPr>
                      <w:color w:val="auto"/>
                      <w:sz w:val="22"/>
                      <w:szCs w:val="22"/>
                    </w:rPr>
                    <w:t>，含电机装配及泄露测试、变速箱组件及桥腿安装、系统泄露测试及线速装配、下线测试、测试工装拆解等，并配套设置原材料仓库等。</w:t>
                  </w:r>
                </w:p>
              </w:tc>
              <w:tc>
                <w:tcPr>
                  <w:tcW w:w="920" w:type="dxa"/>
                  <w:vAlign w:val="center"/>
                </w:tcPr>
                <w:p w14:paraId="59F0A653">
                  <w:pPr>
                    <w:pStyle w:val="143"/>
                    <w:spacing w:line="240" w:lineRule="auto"/>
                    <w:rPr>
                      <w:color w:val="auto"/>
                      <w:sz w:val="22"/>
                      <w:szCs w:val="22"/>
                    </w:rPr>
                  </w:pPr>
                  <w:r>
                    <w:rPr>
                      <w:color w:val="auto"/>
                      <w:sz w:val="22"/>
                      <w:szCs w:val="22"/>
                    </w:rPr>
                    <w:t>已建</w:t>
                  </w:r>
                </w:p>
              </w:tc>
            </w:tr>
            <w:tr w14:paraId="41F1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blHeader/>
                <w:jc w:val="center"/>
              </w:trPr>
              <w:tc>
                <w:tcPr>
                  <w:tcW w:w="504" w:type="dxa"/>
                  <w:vMerge w:val="continue"/>
                  <w:vAlign w:val="center"/>
                </w:tcPr>
                <w:p w14:paraId="1298AFBB">
                  <w:pPr>
                    <w:pStyle w:val="143"/>
                    <w:spacing w:line="240" w:lineRule="auto"/>
                    <w:rPr>
                      <w:color w:val="auto"/>
                      <w:sz w:val="22"/>
                      <w:szCs w:val="22"/>
                    </w:rPr>
                  </w:pPr>
                </w:p>
              </w:tc>
              <w:tc>
                <w:tcPr>
                  <w:tcW w:w="1267" w:type="dxa"/>
                  <w:gridSpan w:val="2"/>
                  <w:vMerge w:val="continue"/>
                  <w:vAlign w:val="center"/>
                </w:tcPr>
                <w:p w14:paraId="4941B93F">
                  <w:pPr>
                    <w:pStyle w:val="143"/>
                    <w:spacing w:line="240" w:lineRule="auto"/>
                    <w:rPr>
                      <w:color w:val="auto"/>
                      <w:sz w:val="22"/>
                      <w:szCs w:val="22"/>
                    </w:rPr>
                  </w:pPr>
                </w:p>
              </w:tc>
              <w:tc>
                <w:tcPr>
                  <w:tcW w:w="5700" w:type="dxa"/>
                  <w:vAlign w:val="center"/>
                </w:tcPr>
                <w:p w14:paraId="7B934E0D">
                  <w:pPr>
                    <w:pStyle w:val="143"/>
                    <w:spacing w:line="240" w:lineRule="auto"/>
                    <w:rPr>
                      <w:color w:val="auto"/>
                      <w:sz w:val="22"/>
                      <w:szCs w:val="22"/>
                    </w:rPr>
                  </w:pPr>
                  <w:r>
                    <w:rPr>
                      <w:color w:val="auto"/>
                      <w:sz w:val="22"/>
                      <w:szCs w:val="22"/>
                    </w:rPr>
                    <w:t>配置纯水制备设备为零部件清洗环节供水，纯水制备采取多介质过滤+活性炭过滤+RO反渗透工艺，制水能力0.75t/h。其中实验室含金相分析室和理化实验室。</w:t>
                  </w:r>
                </w:p>
              </w:tc>
              <w:tc>
                <w:tcPr>
                  <w:tcW w:w="920" w:type="dxa"/>
                  <w:vAlign w:val="center"/>
                </w:tcPr>
                <w:p w14:paraId="1BE37D03">
                  <w:pPr>
                    <w:pStyle w:val="143"/>
                    <w:spacing w:line="240" w:lineRule="auto"/>
                    <w:rPr>
                      <w:color w:val="auto"/>
                      <w:sz w:val="22"/>
                      <w:szCs w:val="22"/>
                    </w:rPr>
                  </w:pPr>
                  <w:r>
                    <w:rPr>
                      <w:rFonts w:hint="eastAsia"/>
                      <w:color w:val="auto"/>
                      <w:sz w:val="22"/>
                      <w:szCs w:val="22"/>
                    </w:rPr>
                    <w:t>未建设</w:t>
                  </w:r>
                </w:p>
              </w:tc>
            </w:tr>
            <w:tr w14:paraId="1BFD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blHeader/>
                <w:jc w:val="center"/>
              </w:trPr>
              <w:tc>
                <w:tcPr>
                  <w:tcW w:w="504" w:type="dxa"/>
                  <w:vMerge w:val="continue"/>
                  <w:vAlign w:val="center"/>
                </w:tcPr>
                <w:p w14:paraId="452E1F68">
                  <w:pPr>
                    <w:pStyle w:val="143"/>
                    <w:spacing w:line="240" w:lineRule="auto"/>
                    <w:rPr>
                      <w:color w:val="auto"/>
                      <w:sz w:val="22"/>
                      <w:szCs w:val="22"/>
                    </w:rPr>
                  </w:pPr>
                </w:p>
              </w:tc>
              <w:tc>
                <w:tcPr>
                  <w:tcW w:w="1267" w:type="dxa"/>
                  <w:gridSpan w:val="2"/>
                  <w:vAlign w:val="center"/>
                </w:tcPr>
                <w:p w14:paraId="0D34A1B5">
                  <w:pPr>
                    <w:pStyle w:val="143"/>
                    <w:spacing w:line="240" w:lineRule="auto"/>
                    <w:rPr>
                      <w:color w:val="auto"/>
                      <w:sz w:val="22"/>
                      <w:szCs w:val="22"/>
                    </w:rPr>
                  </w:pPr>
                  <w:r>
                    <w:rPr>
                      <w:color w:val="auto"/>
                      <w:sz w:val="22"/>
                      <w:szCs w:val="22"/>
                    </w:rPr>
                    <w:t>发动机检测实验室071</w:t>
                  </w:r>
                </w:p>
              </w:tc>
              <w:tc>
                <w:tcPr>
                  <w:tcW w:w="5700" w:type="dxa"/>
                  <w:vAlign w:val="center"/>
                </w:tcPr>
                <w:p w14:paraId="36639DD3">
                  <w:pPr>
                    <w:pStyle w:val="143"/>
                    <w:spacing w:line="240" w:lineRule="auto"/>
                    <w:rPr>
                      <w:color w:val="auto"/>
                      <w:sz w:val="22"/>
                      <w:szCs w:val="22"/>
                    </w:rPr>
                  </w:pPr>
                  <w:r>
                    <w:rPr>
                      <w:color w:val="auto"/>
                      <w:sz w:val="22"/>
                      <w:szCs w:val="22"/>
                    </w:rPr>
                    <w:t>已建1栋，布设于西地块，1F（局部为2F），建筑面积约12962.2m</w:t>
                  </w:r>
                  <w:r>
                    <w:rPr>
                      <w:color w:val="auto"/>
                      <w:sz w:val="22"/>
                      <w:szCs w:val="22"/>
                      <w:vertAlign w:val="superscript"/>
                    </w:rPr>
                    <w:t>2</w:t>
                  </w:r>
                  <w:r>
                    <w:rPr>
                      <w:color w:val="auto"/>
                      <w:sz w:val="22"/>
                      <w:szCs w:val="22"/>
                    </w:rPr>
                    <w:t>，主要布设氢动力系统测试台架，噪音测试台架，振动测试台架、系统测试台架（含环境舱，有压缩机，采用制冷剂制冷，循环水量250m</w:t>
                  </w:r>
                  <w:r>
                    <w:rPr>
                      <w:color w:val="auto"/>
                      <w:sz w:val="22"/>
                      <w:szCs w:val="22"/>
                      <w:vertAlign w:val="superscript"/>
                    </w:rPr>
                    <w:t>3</w:t>
                  </w:r>
                  <w:r>
                    <w:rPr>
                      <w:color w:val="auto"/>
                      <w:sz w:val="22"/>
                      <w:szCs w:val="22"/>
                    </w:rPr>
                    <w:t>/h）等，用于测试燃料电池系统整机及部件性能，评测控制策略，验证系统可靠性等。实验室和检测室主要进行物理性实验，氢动力系统测试台架使用发动机防冻液，主要成分为乙二醇。</w:t>
                  </w:r>
                </w:p>
              </w:tc>
              <w:tc>
                <w:tcPr>
                  <w:tcW w:w="920" w:type="dxa"/>
                  <w:vAlign w:val="center"/>
                </w:tcPr>
                <w:p w14:paraId="08109131">
                  <w:pPr>
                    <w:pStyle w:val="143"/>
                    <w:spacing w:line="240" w:lineRule="auto"/>
                    <w:rPr>
                      <w:color w:val="auto"/>
                      <w:sz w:val="22"/>
                      <w:szCs w:val="22"/>
                    </w:rPr>
                  </w:pPr>
                  <w:r>
                    <w:rPr>
                      <w:color w:val="auto"/>
                      <w:sz w:val="22"/>
                      <w:szCs w:val="22"/>
                    </w:rPr>
                    <w:t>已建</w:t>
                  </w:r>
                </w:p>
              </w:tc>
            </w:tr>
            <w:tr w14:paraId="418A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504" w:type="dxa"/>
                  <w:vMerge w:val="restart"/>
                  <w:vAlign w:val="center"/>
                </w:tcPr>
                <w:p w14:paraId="4F7B0874">
                  <w:pPr>
                    <w:pStyle w:val="143"/>
                    <w:spacing w:line="240" w:lineRule="auto"/>
                    <w:rPr>
                      <w:color w:val="auto"/>
                      <w:sz w:val="22"/>
                      <w:szCs w:val="22"/>
                    </w:rPr>
                  </w:pPr>
                  <w:r>
                    <w:rPr>
                      <w:color w:val="auto"/>
                      <w:sz w:val="22"/>
                      <w:szCs w:val="22"/>
                    </w:rPr>
                    <w:t>辅助工程</w:t>
                  </w:r>
                </w:p>
              </w:tc>
              <w:tc>
                <w:tcPr>
                  <w:tcW w:w="1267" w:type="dxa"/>
                  <w:gridSpan w:val="2"/>
                  <w:vAlign w:val="center"/>
                </w:tcPr>
                <w:p w14:paraId="3E281821">
                  <w:pPr>
                    <w:pStyle w:val="143"/>
                    <w:spacing w:line="240" w:lineRule="auto"/>
                    <w:rPr>
                      <w:color w:val="auto"/>
                      <w:sz w:val="22"/>
                      <w:szCs w:val="22"/>
                    </w:rPr>
                  </w:pPr>
                  <w:r>
                    <w:rPr>
                      <w:color w:val="auto"/>
                      <w:sz w:val="22"/>
                      <w:szCs w:val="22"/>
                    </w:rPr>
                    <w:t>动力中心064、075</w:t>
                  </w:r>
                </w:p>
              </w:tc>
              <w:tc>
                <w:tcPr>
                  <w:tcW w:w="5700" w:type="dxa"/>
                  <w:vAlign w:val="center"/>
                </w:tcPr>
                <w:p w14:paraId="0E9D8A11">
                  <w:pPr>
                    <w:pStyle w:val="143"/>
                    <w:spacing w:line="240" w:lineRule="auto"/>
                    <w:rPr>
                      <w:color w:val="auto"/>
                      <w:sz w:val="22"/>
                      <w:szCs w:val="22"/>
                    </w:rPr>
                  </w:pPr>
                  <w:r>
                    <w:rPr>
                      <w:color w:val="auto"/>
                      <w:sz w:val="22"/>
                      <w:szCs w:val="22"/>
                    </w:rPr>
                    <w:t>已建2间，1F，东地块和西地块各设置动力中心1间，其中东地块动力中心（编号064）建筑面积2797.77m</w:t>
                  </w:r>
                  <w:r>
                    <w:rPr>
                      <w:color w:val="auto"/>
                      <w:sz w:val="22"/>
                      <w:szCs w:val="22"/>
                      <w:vertAlign w:val="superscript"/>
                    </w:rPr>
                    <w:t>2</w:t>
                  </w:r>
                  <w:r>
                    <w:rPr>
                      <w:color w:val="auto"/>
                      <w:sz w:val="22"/>
                      <w:szCs w:val="22"/>
                    </w:rPr>
                    <w:t>，西地块动力中心（编号075）建筑面积2884.2m</w:t>
                  </w:r>
                  <w:r>
                    <w:rPr>
                      <w:color w:val="auto"/>
                      <w:sz w:val="22"/>
                      <w:szCs w:val="22"/>
                      <w:vertAlign w:val="superscript"/>
                    </w:rPr>
                    <w:t>2</w:t>
                  </w:r>
                  <w:r>
                    <w:rPr>
                      <w:color w:val="auto"/>
                      <w:sz w:val="22"/>
                      <w:szCs w:val="22"/>
                    </w:rPr>
                    <w:t>，两间动力中心内均设置空压机、水冷机，及配电设施等。</w:t>
                  </w:r>
                </w:p>
              </w:tc>
              <w:tc>
                <w:tcPr>
                  <w:tcW w:w="920" w:type="dxa"/>
                  <w:vAlign w:val="center"/>
                </w:tcPr>
                <w:p w14:paraId="015656AC">
                  <w:pPr>
                    <w:pStyle w:val="143"/>
                    <w:spacing w:line="240" w:lineRule="auto"/>
                    <w:rPr>
                      <w:color w:val="auto"/>
                      <w:sz w:val="22"/>
                      <w:szCs w:val="22"/>
                    </w:rPr>
                  </w:pPr>
                  <w:r>
                    <w:rPr>
                      <w:color w:val="auto"/>
                      <w:sz w:val="22"/>
                      <w:szCs w:val="22"/>
                    </w:rPr>
                    <w:t>已建</w:t>
                  </w:r>
                </w:p>
              </w:tc>
            </w:tr>
            <w:tr w14:paraId="31C8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504" w:type="dxa"/>
                  <w:vMerge w:val="continue"/>
                  <w:vAlign w:val="center"/>
                </w:tcPr>
                <w:p w14:paraId="708E8F48">
                  <w:pPr>
                    <w:pStyle w:val="143"/>
                    <w:spacing w:line="240" w:lineRule="auto"/>
                    <w:rPr>
                      <w:color w:val="auto"/>
                      <w:sz w:val="22"/>
                      <w:szCs w:val="22"/>
                    </w:rPr>
                  </w:pPr>
                </w:p>
              </w:tc>
              <w:tc>
                <w:tcPr>
                  <w:tcW w:w="1267" w:type="dxa"/>
                  <w:gridSpan w:val="2"/>
                  <w:vAlign w:val="center"/>
                </w:tcPr>
                <w:p w14:paraId="0B3F2B5B">
                  <w:pPr>
                    <w:pStyle w:val="143"/>
                    <w:spacing w:line="240" w:lineRule="auto"/>
                    <w:rPr>
                      <w:color w:val="auto"/>
                      <w:sz w:val="22"/>
                      <w:szCs w:val="22"/>
                    </w:rPr>
                  </w:pPr>
                  <w:r>
                    <w:rPr>
                      <w:color w:val="auto"/>
                      <w:sz w:val="22"/>
                      <w:szCs w:val="22"/>
                    </w:rPr>
                    <w:t>办公楼070</w:t>
                  </w:r>
                </w:p>
              </w:tc>
              <w:tc>
                <w:tcPr>
                  <w:tcW w:w="5700" w:type="dxa"/>
                  <w:vAlign w:val="center"/>
                </w:tcPr>
                <w:p w14:paraId="03D6BE83">
                  <w:pPr>
                    <w:pStyle w:val="143"/>
                    <w:spacing w:line="240" w:lineRule="auto"/>
                    <w:rPr>
                      <w:color w:val="auto"/>
                      <w:sz w:val="22"/>
                      <w:szCs w:val="22"/>
                    </w:rPr>
                  </w:pPr>
                  <w:r>
                    <w:rPr>
                      <w:color w:val="auto"/>
                      <w:sz w:val="22"/>
                      <w:szCs w:val="22"/>
                    </w:rPr>
                    <w:t>已建1栋，布设于西地块，5F，建筑面积22669.9m</w:t>
                  </w:r>
                  <w:r>
                    <w:rPr>
                      <w:color w:val="auto"/>
                      <w:sz w:val="22"/>
                      <w:szCs w:val="22"/>
                      <w:vertAlign w:val="superscript"/>
                    </w:rPr>
                    <w:t>2</w:t>
                  </w:r>
                  <w:r>
                    <w:rPr>
                      <w:color w:val="auto"/>
                      <w:sz w:val="22"/>
                      <w:szCs w:val="22"/>
                    </w:rPr>
                    <w:t>，内设办公室、会议室、食堂（1#食堂，6个灶台。）等，不设置员工宿舍。</w:t>
                  </w:r>
                </w:p>
              </w:tc>
              <w:tc>
                <w:tcPr>
                  <w:tcW w:w="920" w:type="dxa"/>
                  <w:vAlign w:val="center"/>
                </w:tcPr>
                <w:p w14:paraId="131B0539">
                  <w:pPr>
                    <w:pStyle w:val="143"/>
                    <w:spacing w:line="240" w:lineRule="auto"/>
                    <w:rPr>
                      <w:color w:val="auto"/>
                      <w:sz w:val="22"/>
                      <w:szCs w:val="22"/>
                    </w:rPr>
                  </w:pPr>
                  <w:r>
                    <w:rPr>
                      <w:color w:val="auto"/>
                      <w:sz w:val="22"/>
                      <w:szCs w:val="22"/>
                    </w:rPr>
                    <w:t>已建</w:t>
                  </w:r>
                </w:p>
              </w:tc>
            </w:tr>
            <w:tr w14:paraId="32F6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504" w:type="dxa"/>
                  <w:vMerge w:val="continue"/>
                  <w:vAlign w:val="center"/>
                </w:tcPr>
                <w:p w14:paraId="3C182EEB">
                  <w:pPr>
                    <w:pStyle w:val="143"/>
                    <w:spacing w:line="240" w:lineRule="auto"/>
                    <w:rPr>
                      <w:color w:val="auto"/>
                      <w:sz w:val="22"/>
                      <w:szCs w:val="22"/>
                    </w:rPr>
                  </w:pPr>
                </w:p>
              </w:tc>
              <w:tc>
                <w:tcPr>
                  <w:tcW w:w="1267" w:type="dxa"/>
                  <w:gridSpan w:val="2"/>
                  <w:vAlign w:val="center"/>
                </w:tcPr>
                <w:p w14:paraId="4698B80E">
                  <w:pPr>
                    <w:pStyle w:val="143"/>
                    <w:spacing w:line="240" w:lineRule="auto"/>
                    <w:rPr>
                      <w:color w:val="auto"/>
                      <w:sz w:val="22"/>
                      <w:szCs w:val="22"/>
                    </w:rPr>
                  </w:pPr>
                  <w:r>
                    <w:rPr>
                      <w:color w:val="auto"/>
                      <w:sz w:val="22"/>
                      <w:szCs w:val="22"/>
                    </w:rPr>
                    <w:t>食堂063</w:t>
                  </w:r>
                </w:p>
              </w:tc>
              <w:tc>
                <w:tcPr>
                  <w:tcW w:w="5700" w:type="dxa"/>
                  <w:vAlign w:val="center"/>
                </w:tcPr>
                <w:p w14:paraId="1853545F">
                  <w:pPr>
                    <w:pStyle w:val="143"/>
                    <w:spacing w:line="240" w:lineRule="auto"/>
                    <w:rPr>
                      <w:color w:val="auto"/>
                      <w:sz w:val="22"/>
                      <w:szCs w:val="22"/>
                    </w:rPr>
                  </w:pPr>
                  <w:r>
                    <w:rPr>
                      <w:color w:val="auto"/>
                      <w:sz w:val="22"/>
                      <w:szCs w:val="22"/>
                    </w:rPr>
                    <w:t>已建1栋，布设于东地块，1F（局部地下一层），2#食堂，建筑面积5027.63m</w:t>
                  </w:r>
                  <w:r>
                    <w:rPr>
                      <w:color w:val="auto"/>
                      <w:sz w:val="22"/>
                      <w:szCs w:val="22"/>
                      <w:vertAlign w:val="superscript"/>
                    </w:rPr>
                    <w:t>2</w:t>
                  </w:r>
                  <w:r>
                    <w:rPr>
                      <w:color w:val="auto"/>
                      <w:sz w:val="22"/>
                      <w:szCs w:val="22"/>
                    </w:rPr>
                    <w:t>，食堂灶台9个，不对外开放。</w:t>
                  </w:r>
                </w:p>
              </w:tc>
              <w:tc>
                <w:tcPr>
                  <w:tcW w:w="920" w:type="dxa"/>
                  <w:vAlign w:val="center"/>
                </w:tcPr>
                <w:p w14:paraId="0F952728">
                  <w:pPr>
                    <w:pStyle w:val="143"/>
                    <w:spacing w:line="240" w:lineRule="auto"/>
                    <w:rPr>
                      <w:color w:val="auto"/>
                      <w:sz w:val="22"/>
                      <w:szCs w:val="22"/>
                    </w:rPr>
                  </w:pPr>
                  <w:r>
                    <w:rPr>
                      <w:color w:val="auto"/>
                      <w:sz w:val="22"/>
                      <w:szCs w:val="22"/>
                    </w:rPr>
                    <w:t>已建</w:t>
                  </w:r>
                </w:p>
              </w:tc>
            </w:tr>
            <w:tr w14:paraId="158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504" w:type="dxa"/>
                  <w:vMerge w:val="continue"/>
                  <w:vAlign w:val="center"/>
                </w:tcPr>
                <w:p w14:paraId="66C4A22D">
                  <w:pPr>
                    <w:pStyle w:val="143"/>
                    <w:spacing w:line="240" w:lineRule="auto"/>
                    <w:rPr>
                      <w:color w:val="auto"/>
                      <w:sz w:val="22"/>
                      <w:szCs w:val="22"/>
                    </w:rPr>
                  </w:pPr>
                </w:p>
              </w:tc>
              <w:tc>
                <w:tcPr>
                  <w:tcW w:w="1267" w:type="dxa"/>
                  <w:gridSpan w:val="2"/>
                  <w:vAlign w:val="center"/>
                </w:tcPr>
                <w:p w14:paraId="7B1F8F99">
                  <w:pPr>
                    <w:pStyle w:val="143"/>
                    <w:spacing w:line="240" w:lineRule="auto"/>
                    <w:rPr>
                      <w:color w:val="auto"/>
                      <w:sz w:val="22"/>
                      <w:szCs w:val="22"/>
                    </w:rPr>
                  </w:pPr>
                  <w:r>
                    <w:rPr>
                      <w:color w:val="auto"/>
                      <w:sz w:val="22"/>
                      <w:szCs w:val="22"/>
                    </w:rPr>
                    <w:t>门卫067、068、077</w:t>
                  </w:r>
                </w:p>
              </w:tc>
              <w:tc>
                <w:tcPr>
                  <w:tcW w:w="5700" w:type="dxa"/>
                  <w:vAlign w:val="center"/>
                </w:tcPr>
                <w:p w14:paraId="1AB351C6">
                  <w:pPr>
                    <w:pStyle w:val="143"/>
                    <w:spacing w:line="240" w:lineRule="auto"/>
                    <w:rPr>
                      <w:color w:val="auto"/>
                      <w:sz w:val="22"/>
                      <w:szCs w:val="22"/>
                    </w:rPr>
                  </w:pPr>
                  <w:r>
                    <w:rPr>
                      <w:color w:val="auto"/>
                      <w:sz w:val="22"/>
                      <w:szCs w:val="22"/>
                    </w:rPr>
                    <w:t>共3个，东地块设置主门卫067，建筑面积675.32m</w:t>
                  </w:r>
                  <w:r>
                    <w:rPr>
                      <w:color w:val="auto"/>
                      <w:sz w:val="22"/>
                      <w:szCs w:val="22"/>
                      <w:vertAlign w:val="superscript"/>
                    </w:rPr>
                    <w:t>2</w:t>
                  </w:r>
                  <w:r>
                    <w:rPr>
                      <w:color w:val="auto"/>
                      <w:sz w:val="22"/>
                      <w:szCs w:val="22"/>
                    </w:rPr>
                    <w:t>，次门卫068，建筑面积164.64m</w:t>
                  </w:r>
                  <w:r>
                    <w:rPr>
                      <w:color w:val="auto"/>
                      <w:sz w:val="22"/>
                      <w:szCs w:val="22"/>
                      <w:vertAlign w:val="superscript"/>
                    </w:rPr>
                    <w:t>2</w:t>
                  </w:r>
                  <w:r>
                    <w:rPr>
                      <w:color w:val="auto"/>
                      <w:sz w:val="22"/>
                      <w:szCs w:val="22"/>
                    </w:rPr>
                    <w:t>；西地块设置门卫1个，建筑面积436.69m</w:t>
                  </w:r>
                  <w:r>
                    <w:rPr>
                      <w:color w:val="auto"/>
                      <w:sz w:val="22"/>
                      <w:szCs w:val="22"/>
                      <w:vertAlign w:val="superscript"/>
                    </w:rPr>
                    <w:t>2</w:t>
                  </w:r>
                  <w:r>
                    <w:rPr>
                      <w:color w:val="auto"/>
                      <w:sz w:val="22"/>
                      <w:szCs w:val="22"/>
                    </w:rPr>
                    <w:t>。</w:t>
                  </w:r>
                </w:p>
              </w:tc>
              <w:tc>
                <w:tcPr>
                  <w:tcW w:w="920" w:type="dxa"/>
                  <w:vAlign w:val="center"/>
                </w:tcPr>
                <w:p w14:paraId="0CF8078A">
                  <w:pPr>
                    <w:pStyle w:val="143"/>
                    <w:spacing w:line="240" w:lineRule="auto"/>
                    <w:rPr>
                      <w:color w:val="auto"/>
                      <w:sz w:val="22"/>
                      <w:szCs w:val="22"/>
                    </w:rPr>
                  </w:pPr>
                  <w:r>
                    <w:rPr>
                      <w:color w:val="auto"/>
                      <w:sz w:val="22"/>
                      <w:szCs w:val="22"/>
                    </w:rPr>
                    <w:t>已建</w:t>
                  </w:r>
                </w:p>
              </w:tc>
            </w:tr>
            <w:tr w14:paraId="07FC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Header/>
                <w:jc w:val="center"/>
              </w:trPr>
              <w:tc>
                <w:tcPr>
                  <w:tcW w:w="504" w:type="dxa"/>
                  <w:vMerge w:val="restart"/>
                  <w:vAlign w:val="center"/>
                </w:tcPr>
                <w:p w14:paraId="0B4BCB70">
                  <w:pPr>
                    <w:pStyle w:val="143"/>
                    <w:spacing w:line="240" w:lineRule="auto"/>
                    <w:rPr>
                      <w:color w:val="auto"/>
                      <w:sz w:val="22"/>
                      <w:szCs w:val="22"/>
                    </w:rPr>
                  </w:pPr>
                  <w:r>
                    <w:rPr>
                      <w:color w:val="auto"/>
                      <w:sz w:val="22"/>
                      <w:szCs w:val="22"/>
                    </w:rPr>
                    <w:t>储运工程</w:t>
                  </w:r>
                </w:p>
                <w:p w14:paraId="68B1BB9A">
                  <w:pPr>
                    <w:pStyle w:val="143"/>
                    <w:spacing w:line="240" w:lineRule="auto"/>
                    <w:rPr>
                      <w:color w:val="auto"/>
                      <w:sz w:val="22"/>
                      <w:szCs w:val="22"/>
                    </w:rPr>
                  </w:pPr>
                </w:p>
              </w:tc>
              <w:tc>
                <w:tcPr>
                  <w:tcW w:w="1267" w:type="dxa"/>
                  <w:gridSpan w:val="2"/>
                  <w:vAlign w:val="center"/>
                </w:tcPr>
                <w:p w14:paraId="0384386E">
                  <w:pPr>
                    <w:pStyle w:val="143"/>
                    <w:spacing w:line="240" w:lineRule="auto"/>
                    <w:rPr>
                      <w:color w:val="auto"/>
                      <w:sz w:val="22"/>
                      <w:szCs w:val="22"/>
                    </w:rPr>
                  </w:pPr>
                  <w:r>
                    <w:rPr>
                      <w:color w:val="auto"/>
                      <w:sz w:val="22"/>
                      <w:szCs w:val="22"/>
                    </w:rPr>
                    <w:t>危险品库082</w:t>
                  </w:r>
                </w:p>
              </w:tc>
              <w:tc>
                <w:tcPr>
                  <w:tcW w:w="5700" w:type="dxa"/>
                  <w:vAlign w:val="center"/>
                </w:tcPr>
                <w:p w14:paraId="1A4D0144">
                  <w:pPr>
                    <w:pStyle w:val="143"/>
                    <w:spacing w:line="240" w:lineRule="auto"/>
                    <w:rPr>
                      <w:color w:val="auto"/>
                      <w:sz w:val="22"/>
                      <w:szCs w:val="22"/>
                    </w:rPr>
                  </w:pPr>
                  <w:r>
                    <w:rPr>
                      <w:color w:val="auto"/>
                      <w:sz w:val="22"/>
                      <w:szCs w:val="22"/>
                    </w:rPr>
                    <w:t>已建1间，布设于东地块，1F，建筑面积313.69m</w:t>
                  </w:r>
                  <w:r>
                    <w:rPr>
                      <w:color w:val="auto"/>
                      <w:sz w:val="22"/>
                      <w:szCs w:val="22"/>
                      <w:vertAlign w:val="superscript"/>
                    </w:rPr>
                    <w:t>2</w:t>
                  </w:r>
                  <w:r>
                    <w:rPr>
                      <w:color w:val="auto"/>
                      <w:sz w:val="22"/>
                      <w:szCs w:val="22"/>
                    </w:rPr>
                    <w:t>，主要暂存防冻液、泄漏检测用氦气、氮气等原辅材料，内设</w:t>
                  </w:r>
                  <w:r>
                    <w:rPr>
                      <w:rFonts w:hint="eastAsia"/>
                      <w:color w:val="auto"/>
                      <w:sz w:val="22"/>
                      <w:szCs w:val="22"/>
                      <w:lang w:eastAsia="zh-CN"/>
                    </w:rPr>
                    <w:t>危废贮存库</w:t>
                  </w:r>
                  <w:r>
                    <w:rPr>
                      <w:color w:val="auto"/>
                      <w:sz w:val="22"/>
                      <w:szCs w:val="22"/>
                    </w:rPr>
                    <w:t>1间，约30m</w:t>
                  </w:r>
                  <w:r>
                    <w:rPr>
                      <w:color w:val="auto"/>
                      <w:sz w:val="22"/>
                      <w:szCs w:val="22"/>
                      <w:vertAlign w:val="superscript"/>
                    </w:rPr>
                    <w:t>2</w:t>
                  </w:r>
                  <w:r>
                    <w:rPr>
                      <w:color w:val="auto"/>
                      <w:sz w:val="22"/>
                      <w:szCs w:val="22"/>
                    </w:rPr>
                    <w:t>。</w:t>
                  </w:r>
                </w:p>
              </w:tc>
              <w:tc>
                <w:tcPr>
                  <w:tcW w:w="920" w:type="dxa"/>
                  <w:vAlign w:val="center"/>
                </w:tcPr>
                <w:p w14:paraId="267F0B29">
                  <w:pPr>
                    <w:pStyle w:val="143"/>
                    <w:spacing w:line="240" w:lineRule="auto"/>
                    <w:rPr>
                      <w:color w:val="auto"/>
                      <w:sz w:val="22"/>
                      <w:szCs w:val="22"/>
                    </w:rPr>
                  </w:pPr>
                  <w:r>
                    <w:rPr>
                      <w:color w:val="auto"/>
                      <w:sz w:val="22"/>
                      <w:szCs w:val="22"/>
                    </w:rPr>
                    <w:t>已建</w:t>
                  </w:r>
                </w:p>
              </w:tc>
            </w:tr>
            <w:tr w14:paraId="63EB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504" w:type="dxa"/>
                  <w:vMerge w:val="continue"/>
                  <w:vAlign w:val="center"/>
                </w:tcPr>
                <w:p w14:paraId="382DF7D2">
                  <w:pPr>
                    <w:pStyle w:val="143"/>
                    <w:spacing w:line="240" w:lineRule="auto"/>
                    <w:rPr>
                      <w:color w:val="auto"/>
                      <w:sz w:val="22"/>
                      <w:szCs w:val="22"/>
                    </w:rPr>
                  </w:pPr>
                </w:p>
              </w:tc>
              <w:tc>
                <w:tcPr>
                  <w:tcW w:w="1267" w:type="dxa"/>
                  <w:gridSpan w:val="2"/>
                  <w:vMerge w:val="restart"/>
                  <w:vAlign w:val="center"/>
                </w:tcPr>
                <w:p w14:paraId="78124206">
                  <w:pPr>
                    <w:pStyle w:val="143"/>
                    <w:spacing w:line="240" w:lineRule="auto"/>
                    <w:rPr>
                      <w:color w:val="auto"/>
                      <w:sz w:val="22"/>
                      <w:szCs w:val="22"/>
                    </w:rPr>
                  </w:pPr>
                  <w:r>
                    <w:rPr>
                      <w:color w:val="auto"/>
                      <w:sz w:val="22"/>
                      <w:szCs w:val="22"/>
                    </w:rPr>
                    <w:t>气站074</w:t>
                  </w:r>
                </w:p>
              </w:tc>
              <w:tc>
                <w:tcPr>
                  <w:tcW w:w="5700" w:type="dxa"/>
                  <w:vAlign w:val="center"/>
                </w:tcPr>
                <w:p w14:paraId="3C309E1A">
                  <w:pPr>
                    <w:pStyle w:val="143"/>
                    <w:spacing w:line="240" w:lineRule="auto"/>
                    <w:rPr>
                      <w:color w:val="auto"/>
                      <w:sz w:val="22"/>
                      <w:szCs w:val="22"/>
                    </w:rPr>
                  </w:pPr>
                  <w:r>
                    <w:rPr>
                      <w:color w:val="auto"/>
                      <w:sz w:val="22"/>
                      <w:szCs w:val="22"/>
                    </w:rPr>
                    <w:t>布设于西地块，主要用于储存氢气和氮气，供应071实验室测试用气，其中气站站房约56.25m</w:t>
                  </w:r>
                  <w:r>
                    <w:rPr>
                      <w:color w:val="auto"/>
                      <w:sz w:val="22"/>
                      <w:szCs w:val="22"/>
                      <w:vertAlign w:val="superscript"/>
                    </w:rPr>
                    <w:t>2</w:t>
                  </w:r>
                  <w:r>
                    <w:rPr>
                      <w:color w:val="auto"/>
                      <w:sz w:val="22"/>
                      <w:szCs w:val="22"/>
                    </w:rPr>
                    <w:t>。目前氢气由氢气由管束车供应，一个管束车37.8m</w:t>
                  </w:r>
                  <w:r>
                    <w:rPr>
                      <w:color w:val="auto"/>
                      <w:sz w:val="22"/>
                      <w:szCs w:val="22"/>
                      <w:vertAlign w:val="superscript"/>
                    </w:rPr>
                    <w:t>3</w:t>
                  </w:r>
                  <w:r>
                    <w:rPr>
                      <w:color w:val="auto"/>
                      <w:sz w:val="22"/>
                      <w:szCs w:val="22"/>
                    </w:rPr>
                    <w:t>、18.7MPa，经过减压阀组减压后经管道送至动力系统系统试验室。</w:t>
                  </w:r>
                  <w:r>
                    <w:rPr>
                      <w:rFonts w:hint="eastAsia"/>
                      <w:color w:val="auto"/>
                      <w:sz w:val="22"/>
                      <w:szCs w:val="22"/>
                    </w:rPr>
                    <w:t>配备一个加氢站，面积约为840.9m</w:t>
                  </w:r>
                  <w:r>
                    <w:rPr>
                      <w:rFonts w:hint="eastAsia"/>
                      <w:color w:val="auto"/>
                      <w:sz w:val="22"/>
                      <w:szCs w:val="22"/>
                      <w:vertAlign w:val="superscript"/>
                    </w:rPr>
                    <w:t>2</w:t>
                  </w:r>
                  <w:r>
                    <w:rPr>
                      <w:rFonts w:hint="eastAsia"/>
                      <w:color w:val="auto"/>
                      <w:sz w:val="22"/>
                      <w:szCs w:val="22"/>
                    </w:rPr>
                    <w:t>主要用于给内部燃料电池测试车辆加氢。</w:t>
                  </w:r>
                </w:p>
              </w:tc>
              <w:tc>
                <w:tcPr>
                  <w:tcW w:w="920" w:type="dxa"/>
                  <w:vAlign w:val="center"/>
                </w:tcPr>
                <w:p w14:paraId="2E74B562">
                  <w:pPr>
                    <w:pStyle w:val="143"/>
                    <w:spacing w:line="240" w:lineRule="auto"/>
                    <w:rPr>
                      <w:color w:val="auto"/>
                      <w:sz w:val="22"/>
                      <w:szCs w:val="22"/>
                    </w:rPr>
                  </w:pPr>
                  <w:r>
                    <w:rPr>
                      <w:color w:val="auto"/>
                      <w:sz w:val="22"/>
                      <w:szCs w:val="22"/>
                    </w:rPr>
                    <w:t>已建</w:t>
                  </w:r>
                </w:p>
              </w:tc>
            </w:tr>
            <w:tr w14:paraId="55BF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504" w:type="dxa"/>
                  <w:vMerge w:val="continue"/>
                  <w:vAlign w:val="center"/>
                </w:tcPr>
                <w:p w14:paraId="3FCC1215">
                  <w:pPr>
                    <w:pStyle w:val="143"/>
                    <w:spacing w:line="240" w:lineRule="auto"/>
                    <w:rPr>
                      <w:color w:val="auto"/>
                      <w:sz w:val="22"/>
                      <w:szCs w:val="22"/>
                    </w:rPr>
                  </w:pPr>
                </w:p>
              </w:tc>
              <w:tc>
                <w:tcPr>
                  <w:tcW w:w="1267" w:type="dxa"/>
                  <w:gridSpan w:val="2"/>
                  <w:vMerge w:val="continue"/>
                  <w:vAlign w:val="center"/>
                </w:tcPr>
                <w:p w14:paraId="5A7554B8">
                  <w:pPr>
                    <w:pStyle w:val="143"/>
                    <w:spacing w:line="240" w:lineRule="auto"/>
                    <w:rPr>
                      <w:color w:val="auto"/>
                      <w:sz w:val="22"/>
                      <w:szCs w:val="22"/>
                    </w:rPr>
                  </w:pPr>
                </w:p>
              </w:tc>
              <w:tc>
                <w:tcPr>
                  <w:tcW w:w="5700" w:type="dxa"/>
                  <w:vAlign w:val="center"/>
                </w:tcPr>
                <w:p w14:paraId="2A6B0846">
                  <w:pPr>
                    <w:pStyle w:val="143"/>
                    <w:spacing w:line="240" w:lineRule="auto"/>
                    <w:rPr>
                      <w:color w:val="auto"/>
                      <w:sz w:val="22"/>
                      <w:szCs w:val="22"/>
                    </w:rPr>
                  </w:pPr>
                  <w:r>
                    <w:rPr>
                      <w:rFonts w:hint="eastAsia"/>
                      <w:color w:val="auto"/>
                      <w:sz w:val="22"/>
                      <w:szCs w:val="22"/>
                    </w:rPr>
                    <w:t>在现有气站空地内配备一个加氢站，面积约为840.9m</w:t>
                  </w:r>
                  <w:r>
                    <w:rPr>
                      <w:rFonts w:hint="eastAsia"/>
                      <w:color w:val="auto"/>
                      <w:sz w:val="22"/>
                      <w:szCs w:val="22"/>
                      <w:vertAlign w:val="superscript"/>
                    </w:rPr>
                    <w:t>2</w:t>
                  </w:r>
                  <w:r>
                    <w:rPr>
                      <w:rFonts w:hint="eastAsia"/>
                      <w:color w:val="auto"/>
                      <w:sz w:val="22"/>
                      <w:szCs w:val="22"/>
                    </w:rPr>
                    <w:t>主要用于给内部燃料电池测试车辆加氢。</w:t>
                  </w:r>
                </w:p>
              </w:tc>
              <w:tc>
                <w:tcPr>
                  <w:tcW w:w="920" w:type="dxa"/>
                  <w:vAlign w:val="center"/>
                </w:tcPr>
                <w:p w14:paraId="02F7FA3B">
                  <w:pPr>
                    <w:pStyle w:val="143"/>
                    <w:spacing w:line="240" w:lineRule="auto"/>
                    <w:rPr>
                      <w:color w:val="auto"/>
                      <w:sz w:val="22"/>
                      <w:szCs w:val="22"/>
                    </w:rPr>
                  </w:pPr>
                  <w:r>
                    <w:rPr>
                      <w:color w:val="auto"/>
                      <w:sz w:val="22"/>
                      <w:szCs w:val="22"/>
                    </w:rPr>
                    <w:t>已建</w:t>
                  </w:r>
                </w:p>
              </w:tc>
            </w:tr>
            <w:tr w14:paraId="61A5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504" w:type="dxa"/>
                  <w:vMerge w:val="continue"/>
                  <w:vAlign w:val="center"/>
                </w:tcPr>
                <w:p w14:paraId="39B91909">
                  <w:pPr>
                    <w:pStyle w:val="143"/>
                    <w:spacing w:line="240" w:lineRule="auto"/>
                    <w:rPr>
                      <w:color w:val="auto"/>
                      <w:sz w:val="22"/>
                      <w:szCs w:val="22"/>
                    </w:rPr>
                  </w:pPr>
                </w:p>
              </w:tc>
              <w:tc>
                <w:tcPr>
                  <w:tcW w:w="1267" w:type="dxa"/>
                  <w:gridSpan w:val="2"/>
                  <w:vAlign w:val="center"/>
                </w:tcPr>
                <w:p w14:paraId="48B54EF7">
                  <w:pPr>
                    <w:pStyle w:val="143"/>
                    <w:spacing w:line="240" w:lineRule="auto"/>
                    <w:rPr>
                      <w:color w:val="auto"/>
                      <w:sz w:val="22"/>
                      <w:szCs w:val="22"/>
                    </w:rPr>
                  </w:pPr>
                  <w:r>
                    <w:rPr>
                      <w:color w:val="auto"/>
                      <w:sz w:val="22"/>
                      <w:szCs w:val="22"/>
                    </w:rPr>
                    <w:t>厂内运输</w:t>
                  </w:r>
                </w:p>
              </w:tc>
              <w:tc>
                <w:tcPr>
                  <w:tcW w:w="5700" w:type="dxa"/>
                  <w:vAlign w:val="center"/>
                </w:tcPr>
                <w:p w14:paraId="6F8F7DB7">
                  <w:pPr>
                    <w:pStyle w:val="143"/>
                    <w:spacing w:line="240" w:lineRule="auto"/>
                    <w:rPr>
                      <w:color w:val="auto"/>
                      <w:sz w:val="22"/>
                      <w:szCs w:val="22"/>
                    </w:rPr>
                  </w:pPr>
                  <w:r>
                    <w:rPr>
                      <w:color w:val="auto"/>
                      <w:sz w:val="22"/>
                      <w:szCs w:val="22"/>
                    </w:rPr>
                    <w:t>厂房内设置运输通道，运输主要采用人工及叉车。</w:t>
                  </w:r>
                </w:p>
              </w:tc>
              <w:tc>
                <w:tcPr>
                  <w:tcW w:w="920" w:type="dxa"/>
                  <w:vAlign w:val="center"/>
                </w:tcPr>
                <w:p w14:paraId="2C56C4DE">
                  <w:pPr>
                    <w:pStyle w:val="143"/>
                    <w:spacing w:line="240" w:lineRule="auto"/>
                    <w:rPr>
                      <w:color w:val="auto"/>
                      <w:sz w:val="22"/>
                      <w:szCs w:val="22"/>
                    </w:rPr>
                  </w:pPr>
                  <w:r>
                    <w:rPr>
                      <w:color w:val="auto"/>
                      <w:sz w:val="22"/>
                      <w:szCs w:val="22"/>
                    </w:rPr>
                    <w:t>已建</w:t>
                  </w:r>
                </w:p>
              </w:tc>
            </w:tr>
            <w:tr w14:paraId="15B2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504" w:type="dxa"/>
                  <w:vMerge w:val="restart"/>
                  <w:vAlign w:val="center"/>
                </w:tcPr>
                <w:p w14:paraId="6C82643A">
                  <w:pPr>
                    <w:pStyle w:val="143"/>
                    <w:spacing w:line="240" w:lineRule="auto"/>
                    <w:rPr>
                      <w:color w:val="auto"/>
                      <w:sz w:val="22"/>
                      <w:szCs w:val="22"/>
                    </w:rPr>
                  </w:pPr>
                  <w:r>
                    <w:rPr>
                      <w:color w:val="auto"/>
                      <w:sz w:val="22"/>
                      <w:szCs w:val="22"/>
                    </w:rPr>
                    <w:t>公用工程</w:t>
                  </w:r>
                </w:p>
              </w:tc>
              <w:tc>
                <w:tcPr>
                  <w:tcW w:w="1267" w:type="dxa"/>
                  <w:gridSpan w:val="2"/>
                  <w:vAlign w:val="center"/>
                </w:tcPr>
                <w:p w14:paraId="1576900F">
                  <w:pPr>
                    <w:pStyle w:val="143"/>
                    <w:spacing w:line="240" w:lineRule="auto"/>
                    <w:rPr>
                      <w:color w:val="auto"/>
                      <w:sz w:val="22"/>
                      <w:szCs w:val="22"/>
                    </w:rPr>
                  </w:pPr>
                  <w:r>
                    <w:rPr>
                      <w:color w:val="auto"/>
                      <w:sz w:val="22"/>
                      <w:szCs w:val="22"/>
                    </w:rPr>
                    <w:t>纯水设备</w:t>
                  </w:r>
                </w:p>
              </w:tc>
              <w:tc>
                <w:tcPr>
                  <w:tcW w:w="5700" w:type="dxa"/>
                  <w:vAlign w:val="center"/>
                </w:tcPr>
                <w:p w14:paraId="320C4436">
                  <w:pPr>
                    <w:pStyle w:val="143"/>
                    <w:spacing w:line="240" w:lineRule="auto"/>
                    <w:rPr>
                      <w:color w:val="auto"/>
                      <w:sz w:val="22"/>
                      <w:szCs w:val="22"/>
                    </w:rPr>
                  </w:pPr>
                  <w:r>
                    <w:rPr>
                      <w:color w:val="auto"/>
                      <w:sz w:val="22"/>
                      <w:szCs w:val="22"/>
                    </w:rPr>
                    <w:t>东西地块各配置1套纯水制备设备，用于降温制冷，纯水制备采取多介质过滤+活性炭过滤+RO反渗透工艺，制水能力2t/h。</w:t>
                  </w:r>
                </w:p>
              </w:tc>
              <w:tc>
                <w:tcPr>
                  <w:tcW w:w="920" w:type="dxa"/>
                  <w:vAlign w:val="center"/>
                </w:tcPr>
                <w:p w14:paraId="66603BAB">
                  <w:pPr>
                    <w:pStyle w:val="143"/>
                    <w:spacing w:line="240" w:lineRule="auto"/>
                    <w:rPr>
                      <w:color w:val="auto"/>
                      <w:sz w:val="22"/>
                      <w:szCs w:val="22"/>
                    </w:rPr>
                  </w:pPr>
                  <w:r>
                    <w:rPr>
                      <w:color w:val="auto"/>
                      <w:sz w:val="22"/>
                      <w:szCs w:val="22"/>
                    </w:rPr>
                    <w:t>已建</w:t>
                  </w:r>
                </w:p>
              </w:tc>
            </w:tr>
            <w:tr w14:paraId="7335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504" w:type="dxa"/>
                  <w:vMerge w:val="continue"/>
                  <w:vAlign w:val="center"/>
                </w:tcPr>
                <w:p w14:paraId="3570D05F">
                  <w:pPr>
                    <w:pStyle w:val="143"/>
                    <w:spacing w:line="240" w:lineRule="auto"/>
                    <w:rPr>
                      <w:color w:val="auto"/>
                      <w:sz w:val="22"/>
                      <w:szCs w:val="22"/>
                    </w:rPr>
                  </w:pPr>
                </w:p>
              </w:tc>
              <w:tc>
                <w:tcPr>
                  <w:tcW w:w="1267" w:type="dxa"/>
                  <w:gridSpan w:val="2"/>
                  <w:vAlign w:val="center"/>
                </w:tcPr>
                <w:p w14:paraId="61B6D225">
                  <w:pPr>
                    <w:pStyle w:val="143"/>
                    <w:spacing w:line="240" w:lineRule="auto"/>
                    <w:rPr>
                      <w:color w:val="auto"/>
                      <w:sz w:val="22"/>
                      <w:szCs w:val="22"/>
                    </w:rPr>
                  </w:pPr>
                  <w:r>
                    <w:rPr>
                      <w:color w:val="auto"/>
                      <w:sz w:val="22"/>
                      <w:szCs w:val="22"/>
                    </w:rPr>
                    <w:t>冷冻水循环系统</w:t>
                  </w:r>
                </w:p>
              </w:tc>
              <w:tc>
                <w:tcPr>
                  <w:tcW w:w="5700" w:type="dxa"/>
                  <w:vAlign w:val="center"/>
                </w:tcPr>
                <w:p w14:paraId="7714CDBD">
                  <w:pPr>
                    <w:pStyle w:val="143"/>
                    <w:spacing w:line="240" w:lineRule="auto"/>
                    <w:rPr>
                      <w:color w:val="auto"/>
                      <w:sz w:val="22"/>
                      <w:szCs w:val="22"/>
                    </w:rPr>
                  </w:pPr>
                  <w:r>
                    <w:rPr>
                      <w:color w:val="auto"/>
                      <w:sz w:val="22"/>
                      <w:szCs w:val="22"/>
                      <w:shd w:val="clear" w:color="auto" w:fill="FFFFFF"/>
                    </w:rPr>
                    <w:t>用于工艺冷冻水和空调水，为063</w:t>
                  </w:r>
                  <w:r>
                    <w:rPr>
                      <w:color w:val="auto"/>
                      <w:sz w:val="22"/>
                      <w:szCs w:val="22"/>
                    </w:rPr>
                    <w:t>食堂</w:t>
                  </w:r>
                  <w:r>
                    <w:rPr>
                      <w:color w:val="auto"/>
                      <w:sz w:val="22"/>
                      <w:szCs w:val="22"/>
                      <w:shd w:val="clear" w:color="auto" w:fill="FFFFFF"/>
                    </w:rPr>
                    <w:t>、064</w:t>
                  </w:r>
                  <w:r>
                    <w:rPr>
                      <w:color w:val="auto"/>
                      <w:sz w:val="22"/>
                      <w:szCs w:val="22"/>
                    </w:rPr>
                    <w:t>动力中心提供。</w:t>
                  </w:r>
                  <w:r>
                    <w:rPr>
                      <w:color w:val="auto"/>
                      <w:sz w:val="22"/>
                      <w:szCs w:val="22"/>
                      <w:shd w:val="clear" w:color="auto" w:fill="FFFFFF"/>
                    </w:rPr>
                    <w:t>东地块平均循环水量：580m³/h（运行8小时循环水量为4640m³/d）</w:t>
                  </w:r>
                  <w:r>
                    <w:rPr>
                      <w:color w:val="auto"/>
                      <w:sz w:val="22"/>
                      <w:szCs w:val="22"/>
                    </w:rPr>
                    <w:t>；</w:t>
                  </w:r>
                  <w:r>
                    <w:rPr>
                      <w:color w:val="auto"/>
                      <w:sz w:val="22"/>
                      <w:szCs w:val="22"/>
                      <w:shd w:val="clear" w:color="auto" w:fill="FFFFFF"/>
                    </w:rPr>
                    <w:t>西地块平均循环水量：635m³/h（运行8小时循环水量为5080m³/d）。</w:t>
                  </w:r>
                </w:p>
              </w:tc>
              <w:tc>
                <w:tcPr>
                  <w:tcW w:w="920" w:type="dxa"/>
                  <w:vAlign w:val="center"/>
                </w:tcPr>
                <w:p w14:paraId="5046BAF9">
                  <w:pPr>
                    <w:pStyle w:val="143"/>
                    <w:spacing w:line="240" w:lineRule="auto"/>
                    <w:rPr>
                      <w:color w:val="auto"/>
                      <w:sz w:val="22"/>
                      <w:szCs w:val="22"/>
                    </w:rPr>
                  </w:pPr>
                  <w:r>
                    <w:rPr>
                      <w:color w:val="auto"/>
                      <w:sz w:val="22"/>
                      <w:szCs w:val="22"/>
                    </w:rPr>
                    <w:t>已建</w:t>
                  </w:r>
                </w:p>
              </w:tc>
            </w:tr>
            <w:tr w14:paraId="5A3B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504" w:type="dxa"/>
                  <w:vMerge w:val="continue"/>
                  <w:vAlign w:val="center"/>
                </w:tcPr>
                <w:p w14:paraId="5E8B62D4">
                  <w:pPr>
                    <w:pStyle w:val="143"/>
                    <w:spacing w:line="240" w:lineRule="auto"/>
                    <w:rPr>
                      <w:color w:val="auto"/>
                      <w:sz w:val="22"/>
                      <w:szCs w:val="22"/>
                    </w:rPr>
                  </w:pPr>
                </w:p>
              </w:tc>
              <w:tc>
                <w:tcPr>
                  <w:tcW w:w="1267" w:type="dxa"/>
                  <w:gridSpan w:val="2"/>
                  <w:vAlign w:val="center"/>
                </w:tcPr>
                <w:p w14:paraId="7AC62F3F">
                  <w:pPr>
                    <w:pStyle w:val="143"/>
                    <w:spacing w:line="240" w:lineRule="auto"/>
                    <w:rPr>
                      <w:color w:val="auto"/>
                      <w:sz w:val="22"/>
                      <w:szCs w:val="22"/>
                    </w:rPr>
                  </w:pPr>
                  <w:r>
                    <w:rPr>
                      <w:color w:val="auto"/>
                      <w:sz w:val="22"/>
                      <w:szCs w:val="22"/>
                    </w:rPr>
                    <w:t>冷却水循环系统</w:t>
                  </w:r>
                </w:p>
              </w:tc>
              <w:tc>
                <w:tcPr>
                  <w:tcW w:w="5700" w:type="dxa"/>
                  <w:vAlign w:val="center"/>
                </w:tcPr>
                <w:p w14:paraId="21F86A78">
                  <w:pPr>
                    <w:pStyle w:val="143"/>
                    <w:spacing w:line="240" w:lineRule="auto"/>
                    <w:rPr>
                      <w:color w:val="auto"/>
                      <w:sz w:val="22"/>
                      <w:szCs w:val="22"/>
                    </w:rPr>
                  </w:pPr>
                  <w:r>
                    <w:rPr>
                      <w:color w:val="auto"/>
                      <w:sz w:val="22"/>
                      <w:szCs w:val="22"/>
                      <w:shd w:val="clear" w:color="auto" w:fill="FFFFFF"/>
                    </w:rPr>
                    <w:t>东地块平均循环水量：</w:t>
                  </w:r>
                  <w:r>
                    <w:rPr>
                      <w:rFonts w:hint="eastAsia"/>
                      <w:color w:val="auto"/>
                      <w:sz w:val="22"/>
                      <w:szCs w:val="22"/>
                      <w:shd w:val="clear" w:color="auto" w:fill="FFFFFF"/>
                      <w:lang w:val="en-US" w:eastAsia="zh-CN"/>
                    </w:rPr>
                    <w:t>310</w:t>
                  </w:r>
                  <w:r>
                    <w:rPr>
                      <w:color w:val="auto"/>
                      <w:sz w:val="22"/>
                      <w:szCs w:val="22"/>
                      <w:shd w:val="clear" w:color="auto" w:fill="FFFFFF"/>
                    </w:rPr>
                    <w:t>m³/h（运行8小时循环水量为</w:t>
                  </w:r>
                  <w:r>
                    <w:rPr>
                      <w:rFonts w:hint="eastAsia"/>
                      <w:color w:val="auto"/>
                      <w:sz w:val="22"/>
                      <w:szCs w:val="22"/>
                      <w:shd w:val="clear" w:color="auto" w:fill="FFFFFF"/>
                      <w:lang w:val="en-US" w:eastAsia="zh-CN"/>
                    </w:rPr>
                    <w:t>2480</w:t>
                  </w:r>
                  <w:r>
                    <w:rPr>
                      <w:color w:val="auto"/>
                      <w:sz w:val="22"/>
                      <w:szCs w:val="22"/>
                      <w:shd w:val="clear" w:color="auto" w:fill="FFFFFF"/>
                    </w:rPr>
                    <w:t>m³/d）</w:t>
                  </w:r>
                  <w:r>
                    <w:rPr>
                      <w:color w:val="auto"/>
                      <w:sz w:val="22"/>
                      <w:szCs w:val="22"/>
                    </w:rPr>
                    <w:t>；</w:t>
                  </w:r>
                  <w:r>
                    <w:rPr>
                      <w:color w:val="auto"/>
                      <w:sz w:val="22"/>
                      <w:szCs w:val="22"/>
                      <w:shd w:val="clear" w:color="auto" w:fill="FFFFFF"/>
                    </w:rPr>
                    <w:t>西地块平均循环水量：</w:t>
                  </w:r>
                  <w:r>
                    <w:rPr>
                      <w:rFonts w:hint="eastAsia"/>
                      <w:color w:val="auto"/>
                      <w:sz w:val="22"/>
                      <w:szCs w:val="22"/>
                      <w:shd w:val="clear" w:color="auto" w:fill="FFFFFF"/>
                      <w:lang w:val="en-US" w:eastAsia="zh-CN"/>
                    </w:rPr>
                    <w:t>570</w:t>
                  </w:r>
                  <w:r>
                    <w:rPr>
                      <w:color w:val="auto"/>
                      <w:sz w:val="22"/>
                      <w:szCs w:val="22"/>
                      <w:shd w:val="clear" w:color="auto" w:fill="FFFFFF"/>
                    </w:rPr>
                    <w:t>m³/h（运行8小时循环水量为</w:t>
                  </w:r>
                  <w:r>
                    <w:rPr>
                      <w:rFonts w:hint="eastAsia"/>
                      <w:color w:val="auto"/>
                      <w:sz w:val="22"/>
                      <w:szCs w:val="22"/>
                      <w:shd w:val="clear" w:color="auto" w:fill="FFFFFF"/>
                      <w:lang w:val="en-US" w:eastAsia="zh-CN"/>
                    </w:rPr>
                    <w:t>4560</w:t>
                  </w:r>
                  <w:r>
                    <w:rPr>
                      <w:color w:val="auto"/>
                      <w:sz w:val="22"/>
                      <w:szCs w:val="22"/>
                      <w:shd w:val="clear" w:color="auto" w:fill="FFFFFF"/>
                    </w:rPr>
                    <w:t>m³/d）。</w:t>
                  </w:r>
                </w:p>
              </w:tc>
              <w:tc>
                <w:tcPr>
                  <w:tcW w:w="920" w:type="dxa"/>
                  <w:vAlign w:val="center"/>
                </w:tcPr>
                <w:p w14:paraId="22ACE448">
                  <w:pPr>
                    <w:pStyle w:val="143"/>
                    <w:spacing w:line="240" w:lineRule="auto"/>
                    <w:rPr>
                      <w:color w:val="auto"/>
                      <w:sz w:val="22"/>
                      <w:szCs w:val="22"/>
                    </w:rPr>
                  </w:pPr>
                  <w:r>
                    <w:rPr>
                      <w:color w:val="auto"/>
                      <w:sz w:val="22"/>
                      <w:szCs w:val="22"/>
                    </w:rPr>
                    <w:t>已建</w:t>
                  </w:r>
                </w:p>
              </w:tc>
            </w:tr>
            <w:tr w14:paraId="0094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504" w:type="dxa"/>
                  <w:vMerge w:val="continue"/>
                  <w:vAlign w:val="center"/>
                </w:tcPr>
                <w:p w14:paraId="620D284B">
                  <w:pPr>
                    <w:pStyle w:val="143"/>
                    <w:spacing w:line="240" w:lineRule="auto"/>
                    <w:rPr>
                      <w:color w:val="auto"/>
                      <w:sz w:val="22"/>
                      <w:szCs w:val="22"/>
                    </w:rPr>
                  </w:pPr>
                </w:p>
              </w:tc>
              <w:tc>
                <w:tcPr>
                  <w:tcW w:w="1267" w:type="dxa"/>
                  <w:gridSpan w:val="2"/>
                  <w:vAlign w:val="center"/>
                </w:tcPr>
                <w:p w14:paraId="311F7481">
                  <w:pPr>
                    <w:pStyle w:val="143"/>
                    <w:spacing w:line="240" w:lineRule="auto"/>
                    <w:rPr>
                      <w:color w:val="auto"/>
                      <w:sz w:val="22"/>
                      <w:szCs w:val="22"/>
                    </w:rPr>
                  </w:pPr>
                  <w:r>
                    <w:rPr>
                      <w:color w:val="auto"/>
                      <w:sz w:val="22"/>
                      <w:szCs w:val="22"/>
                    </w:rPr>
                    <w:t>给水</w:t>
                  </w:r>
                </w:p>
              </w:tc>
              <w:tc>
                <w:tcPr>
                  <w:tcW w:w="5700" w:type="dxa"/>
                  <w:vAlign w:val="center"/>
                </w:tcPr>
                <w:p w14:paraId="1D852843">
                  <w:pPr>
                    <w:pStyle w:val="143"/>
                    <w:spacing w:line="240" w:lineRule="auto"/>
                    <w:rPr>
                      <w:color w:val="auto"/>
                      <w:sz w:val="22"/>
                      <w:szCs w:val="22"/>
                    </w:rPr>
                  </w:pPr>
                  <w:r>
                    <w:rPr>
                      <w:color w:val="auto"/>
                      <w:sz w:val="22"/>
                      <w:szCs w:val="22"/>
                    </w:rPr>
                    <w:t>项目给水系统采用市政自来水直接供给，由厂区南侧的市政給水管网上引入。</w:t>
                  </w:r>
                </w:p>
              </w:tc>
              <w:tc>
                <w:tcPr>
                  <w:tcW w:w="920" w:type="dxa"/>
                  <w:vAlign w:val="center"/>
                </w:tcPr>
                <w:p w14:paraId="08D7622A">
                  <w:pPr>
                    <w:pStyle w:val="143"/>
                    <w:spacing w:line="240" w:lineRule="auto"/>
                    <w:rPr>
                      <w:color w:val="auto"/>
                      <w:sz w:val="22"/>
                      <w:szCs w:val="22"/>
                    </w:rPr>
                  </w:pPr>
                  <w:r>
                    <w:rPr>
                      <w:color w:val="auto"/>
                      <w:sz w:val="22"/>
                      <w:szCs w:val="22"/>
                    </w:rPr>
                    <w:t>已建</w:t>
                  </w:r>
                </w:p>
              </w:tc>
            </w:tr>
            <w:tr w14:paraId="3FC7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blHeader/>
                <w:jc w:val="center"/>
              </w:trPr>
              <w:tc>
                <w:tcPr>
                  <w:tcW w:w="504" w:type="dxa"/>
                  <w:vMerge w:val="continue"/>
                  <w:vAlign w:val="center"/>
                </w:tcPr>
                <w:p w14:paraId="6415612D">
                  <w:pPr>
                    <w:pStyle w:val="143"/>
                    <w:spacing w:line="240" w:lineRule="auto"/>
                    <w:rPr>
                      <w:color w:val="auto"/>
                      <w:sz w:val="22"/>
                      <w:szCs w:val="22"/>
                    </w:rPr>
                  </w:pPr>
                </w:p>
              </w:tc>
              <w:tc>
                <w:tcPr>
                  <w:tcW w:w="1267" w:type="dxa"/>
                  <w:gridSpan w:val="2"/>
                  <w:vAlign w:val="center"/>
                </w:tcPr>
                <w:p w14:paraId="673AB18B">
                  <w:pPr>
                    <w:pStyle w:val="143"/>
                    <w:spacing w:line="240" w:lineRule="auto"/>
                    <w:rPr>
                      <w:color w:val="auto"/>
                      <w:sz w:val="22"/>
                      <w:szCs w:val="22"/>
                    </w:rPr>
                  </w:pPr>
                  <w:r>
                    <w:rPr>
                      <w:color w:val="auto"/>
                      <w:sz w:val="22"/>
                      <w:szCs w:val="22"/>
                    </w:rPr>
                    <w:t>排水</w:t>
                  </w:r>
                </w:p>
              </w:tc>
              <w:tc>
                <w:tcPr>
                  <w:tcW w:w="5700" w:type="dxa"/>
                  <w:vAlign w:val="center"/>
                </w:tcPr>
                <w:p w14:paraId="020F8827">
                  <w:pPr>
                    <w:pStyle w:val="143"/>
                    <w:spacing w:line="240" w:lineRule="auto"/>
                    <w:jc w:val="left"/>
                    <w:rPr>
                      <w:color w:val="auto"/>
                      <w:sz w:val="22"/>
                      <w:szCs w:val="22"/>
                    </w:rPr>
                  </w:pPr>
                  <w:r>
                    <w:rPr>
                      <w:color w:val="auto"/>
                      <w:sz w:val="22"/>
                      <w:szCs w:val="22"/>
                    </w:rPr>
                    <w:t>（1）采用雨污分流制；</w:t>
                  </w:r>
                </w:p>
                <w:p w14:paraId="30109719">
                  <w:pPr>
                    <w:pStyle w:val="143"/>
                    <w:spacing w:line="240" w:lineRule="auto"/>
                    <w:jc w:val="left"/>
                    <w:rPr>
                      <w:color w:val="auto"/>
                      <w:sz w:val="22"/>
                      <w:szCs w:val="22"/>
                    </w:rPr>
                  </w:pPr>
                  <w:r>
                    <w:rPr>
                      <w:color w:val="auto"/>
                      <w:sz w:val="22"/>
                      <w:szCs w:val="22"/>
                    </w:rPr>
                    <w:t>（2）食堂废水经隔油池</w:t>
                  </w:r>
                  <w:r>
                    <w:rPr>
                      <w:rFonts w:hint="eastAsia"/>
                      <w:color w:val="auto"/>
                      <w:sz w:val="22"/>
                      <w:szCs w:val="22"/>
                    </w:rPr>
                    <w:t>预处理，同</w:t>
                  </w:r>
                  <w:r>
                    <w:rPr>
                      <w:color w:val="auto"/>
                      <w:sz w:val="22"/>
                      <w:szCs w:val="22"/>
                    </w:rPr>
                    <w:t>生活污水</w:t>
                  </w:r>
                  <w:r>
                    <w:rPr>
                      <w:rFonts w:hint="eastAsia"/>
                      <w:color w:val="auto"/>
                      <w:sz w:val="22"/>
                      <w:szCs w:val="22"/>
                    </w:rPr>
                    <w:t>一并</w:t>
                  </w:r>
                  <w:r>
                    <w:rPr>
                      <w:color w:val="auto"/>
                      <w:sz w:val="22"/>
                      <w:szCs w:val="22"/>
                    </w:rPr>
                    <w:t>经</w:t>
                  </w:r>
                  <w:r>
                    <w:rPr>
                      <w:rFonts w:hint="eastAsia"/>
                      <w:color w:val="auto"/>
                      <w:sz w:val="22"/>
                      <w:szCs w:val="22"/>
                      <w:lang w:eastAsia="zh-CN"/>
                    </w:rPr>
                    <w:t>化粪池</w:t>
                  </w:r>
                  <w:r>
                    <w:rPr>
                      <w:color w:val="auto"/>
                      <w:sz w:val="22"/>
                      <w:szCs w:val="22"/>
                    </w:rPr>
                    <w:t>处理</w:t>
                  </w:r>
                  <w:r>
                    <w:rPr>
                      <w:rFonts w:hint="eastAsia"/>
                      <w:color w:val="auto"/>
                      <w:sz w:val="22"/>
                      <w:szCs w:val="22"/>
                    </w:rPr>
                    <w:t>后</w:t>
                  </w:r>
                  <w:r>
                    <w:rPr>
                      <w:color w:val="auto"/>
                      <w:sz w:val="22"/>
                      <w:szCs w:val="22"/>
                    </w:rPr>
                    <w:t>，满足</w:t>
                  </w:r>
                  <w:r>
                    <w:rPr>
                      <w:rFonts w:hint="eastAsia"/>
                      <w:color w:val="auto"/>
                      <w:sz w:val="22"/>
                      <w:szCs w:val="22"/>
                    </w:rPr>
                    <w:t>陶家工业污水处理厂</w:t>
                  </w:r>
                  <w:r>
                    <w:rPr>
                      <w:color w:val="auto"/>
                      <w:sz w:val="22"/>
                      <w:szCs w:val="22"/>
                    </w:rPr>
                    <w:t>接管水质要求后，接入园区污水管网排入</w:t>
                  </w:r>
                  <w:r>
                    <w:rPr>
                      <w:rFonts w:hint="eastAsia"/>
                      <w:color w:val="auto"/>
                      <w:sz w:val="22"/>
                      <w:szCs w:val="22"/>
                    </w:rPr>
                    <w:t>陶家工业污水处理厂</w:t>
                  </w:r>
                  <w:r>
                    <w:rPr>
                      <w:color w:val="auto"/>
                      <w:sz w:val="22"/>
                      <w:szCs w:val="22"/>
                    </w:rPr>
                    <w:t>进行进一步集中处理后排入大溪河支流杨柳曲河；</w:t>
                  </w:r>
                </w:p>
                <w:p w14:paraId="238F829C">
                  <w:pPr>
                    <w:pStyle w:val="143"/>
                    <w:spacing w:line="240" w:lineRule="auto"/>
                    <w:jc w:val="left"/>
                    <w:rPr>
                      <w:color w:val="auto"/>
                      <w:sz w:val="22"/>
                      <w:szCs w:val="22"/>
                    </w:rPr>
                  </w:pPr>
                  <w:r>
                    <w:rPr>
                      <w:rFonts w:hint="eastAsia"/>
                      <w:color w:val="auto"/>
                      <w:sz w:val="22"/>
                      <w:szCs w:val="22"/>
                    </w:rPr>
                    <w:t>冷却水定期排入厂内污水井中暂存后，同生活污水一并</w:t>
                  </w:r>
                  <w:r>
                    <w:rPr>
                      <w:color w:val="auto"/>
                      <w:sz w:val="22"/>
                      <w:szCs w:val="22"/>
                    </w:rPr>
                    <w:t>经</w:t>
                  </w:r>
                  <w:r>
                    <w:rPr>
                      <w:rFonts w:hint="eastAsia"/>
                      <w:color w:val="auto"/>
                      <w:sz w:val="22"/>
                      <w:szCs w:val="22"/>
                      <w:lang w:eastAsia="zh-CN"/>
                    </w:rPr>
                    <w:t>化粪池</w:t>
                  </w:r>
                  <w:r>
                    <w:rPr>
                      <w:color w:val="auto"/>
                      <w:sz w:val="22"/>
                      <w:szCs w:val="22"/>
                    </w:rPr>
                    <w:t>处理</w:t>
                  </w:r>
                  <w:r>
                    <w:rPr>
                      <w:rFonts w:hint="eastAsia"/>
                      <w:color w:val="auto"/>
                      <w:sz w:val="22"/>
                      <w:szCs w:val="22"/>
                    </w:rPr>
                    <w:t>，其中东地块污水井容量约12m</w:t>
                  </w:r>
                  <w:r>
                    <w:rPr>
                      <w:rFonts w:hint="eastAsia"/>
                      <w:color w:val="auto"/>
                      <w:sz w:val="22"/>
                      <w:szCs w:val="22"/>
                      <w:vertAlign w:val="superscript"/>
                    </w:rPr>
                    <w:t>3</w:t>
                  </w:r>
                  <w:r>
                    <w:rPr>
                      <w:rFonts w:hint="eastAsia"/>
                      <w:color w:val="auto"/>
                      <w:sz w:val="22"/>
                      <w:szCs w:val="22"/>
                    </w:rPr>
                    <w:t>，西地块污水井容量18m</w:t>
                  </w:r>
                  <w:r>
                    <w:rPr>
                      <w:rFonts w:hint="eastAsia"/>
                      <w:color w:val="auto"/>
                      <w:sz w:val="22"/>
                      <w:szCs w:val="22"/>
                      <w:vertAlign w:val="superscript"/>
                    </w:rPr>
                    <w:t>3</w:t>
                  </w:r>
                  <w:r>
                    <w:rPr>
                      <w:rFonts w:hint="eastAsia"/>
                      <w:color w:val="auto"/>
                      <w:sz w:val="22"/>
                      <w:szCs w:val="22"/>
                    </w:rPr>
                    <w:t>。</w:t>
                  </w:r>
                </w:p>
                <w:p w14:paraId="1635C1CE">
                  <w:pPr>
                    <w:pStyle w:val="143"/>
                    <w:spacing w:line="240" w:lineRule="auto"/>
                    <w:jc w:val="left"/>
                    <w:rPr>
                      <w:color w:val="auto"/>
                      <w:sz w:val="22"/>
                      <w:szCs w:val="22"/>
                    </w:rPr>
                  </w:pPr>
                  <w:r>
                    <w:rPr>
                      <w:color w:val="auto"/>
                      <w:sz w:val="22"/>
                      <w:szCs w:val="22"/>
                    </w:rPr>
                    <w:t>（3）雨水则直接经雨水管网外排</w:t>
                  </w:r>
                </w:p>
              </w:tc>
              <w:tc>
                <w:tcPr>
                  <w:tcW w:w="920" w:type="dxa"/>
                  <w:vAlign w:val="center"/>
                </w:tcPr>
                <w:p w14:paraId="4C0099FD">
                  <w:pPr>
                    <w:pStyle w:val="143"/>
                    <w:spacing w:line="240" w:lineRule="auto"/>
                    <w:rPr>
                      <w:color w:val="auto"/>
                      <w:sz w:val="22"/>
                      <w:szCs w:val="22"/>
                    </w:rPr>
                  </w:pPr>
                  <w:r>
                    <w:rPr>
                      <w:color w:val="auto"/>
                      <w:sz w:val="22"/>
                      <w:szCs w:val="22"/>
                    </w:rPr>
                    <w:t>已建</w:t>
                  </w:r>
                </w:p>
              </w:tc>
            </w:tr>
            <w:tr w14:paraId="0072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504" w:type="dxa"/>
                  <w:vMerge w:val="continue"/>
                  <w:vAlign w:val="center"/>
                </w:tcPr>
                <w:p w14:paraId="03CF3321">
                  <w:pPr>
                    <w:pStyle w:val="143"/>
                    <w:spacing w:line="240" w:lineRule="auto"/>
                    <w:rPr>
                      <w:color w:val="auto"/>
                      <w:sz w:val="22"/>
                      <w:szCs w:val="22"/>
                    </w:rPr>
                  </w:pPr>
                </w:p>
              </w:tc>
              <w:tc>
                <w:tcPr>
                  <w:tcW w:w="1267" w:type="dxa"/>
                  <w:gridSpan w:val="2"/>
                  <w:vAlign w:val="center"/>
                </w:tcPr>
                <w:p w14:paraId="41BFDAC8">
                  <w:pPr>
                    <w:pStyle w:val="143"/>
                    <w:spacing w:line="240" w:lineRule="auto"/>
                    <w:rPr>
                      <w:color w:val="auto"/>
                      <w:sz w:val="22"/>
                      <w:szCs w:val="22"/>
                    </w:rPr>
                  </w:pPr>
                  <w:r>
                    <w:rPr>
                      <w:color w:val="auto"/>
                      <w:sz w:val="22"/>
                      <w:szCs w:val="22"/>
                    </w:rPr>
                    <w:t>供电</w:t>
                  </w:r>
                </w:p>
              </w:tc>
              <w:tc>
                <w:tcPr>
                  <w:tcW w:w="5700" w:type="dxa"/>
                  <w:vAlign w:val="center"/>
                </w:tcPr>
                <w:p w14:paraId="76B0E44A">
                  <w:pPr>
                    <w:pStyle w:val="143"/>
                    <w:spacing w:line="240" w:lineRule="auto"/>
                    <w:rPr>
                      <w:color w:val="auto"/>
                      <w:sz w:val="22"/>
                      <w:szCs w:val="22"/>
                    </w:rPr>
                  </w:pPr>
                  <w:r>
                    <w:rPr>
                      <w:color w:val="auto"/>
                      <w:sz w:val="22"/>
                      <w:szCs w:val="22"/>
                    </w:rPr>
                    <w:t>市政供电。厂内设置35kV配电房2间，东地块和西地块的动力中心内分别各自设置配电房1间和柴油发电机1台。</w:t>
                  </w:r>
                </w:p>
              </w:tc>
              <w:tc>
                <w:tcPr>
                  <w:tcW w:w="920" w:type="dxa"/>
                  <w:vAlign w:val="center"/>
                </w:tcPr>
                <w:p w14:paraId="1A01464E">
                  <w:pPr>
                    <w:pStyle w:val="143"/>
                    <w:spacing w:line="240" w:lineRule="auto"/>
                    <w:rPr>
                      <w:color w:val="auto"/>
                      <w:sz w:val="22"/>
                      <w:szCs w:val="22"/>
                    </w:rPr>
                  </w:pPr>
                  <w:r>
                    <w:rPr>
                      <w:color w:val="auto"/>
                      <w:sz w:val="22"/>
                      <w:szCs w:val="22"/>
                    </w:rPr>
                    <w:t>已建</w:t>
                  </w:r>
                </w:p>
              </w:tc>
            </w:tr>
            <w:tr w14:paraId="755B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504" w:type="dxa"/>
                  <w:vMerge w:val="restart"/>
                  <w:vAlign w:val="center"/>
                </w:tcPr>
                <w:p w14:paraId="59A35FB4">
                  <w:pPr>
                    <w:pStyle w:val="143"/>
                    <w:spacing w:line="240" w:lineRule="auto"/>
                    <w:rPr>
                      <w:color w:val="auto"/>
                      <w:sz w:val="22"/>
                      <w:szCs w:val="22"/>
                    </w:rPr>
                  </w:pPr>
                  <w:r>
                    <w:rPr>
                      <w:color w:val="auto"/>
                      <w:sz w:val="22"/>
                      <w:szCs w:val="22"/>
                    </w:rPr>
                    <w:t>环保工程</w:t>
                  </w:r>
                </w:p>
              </w:tc>
              <w:tc>
                <w:tcPr>
                  <w:tcW w:w="542" w:type="dxa"/>
                  <w:vMerge w:val="restart"/>
                  <w:vAlign w:val="center"/>
                </w:tcPr>
                <w:p w14:paraId="4BF60A8B">
                  <w:pPr>
                    <w:pStyle w:val="143"/>
                    <w:spacing w:line="240" w:lineRule="auto"/>
                    <w:rPr>
                      <w:color w:val="auto"/>
                      <w:sz w:val="22"/>
                      <w:szCs w:val="22"/>
                    </w:rPr>
                  </w:pPr>
                  <w:r>
                    <w:rPr>
                      <w:color w:val="auto"/>
                      <w:sz w:val="22"/>
                      <w:szCs w:val="22"/>
                    </w:rPr>
                    <w:t>废水处理</w:t>
                  </w:r>
                </w:p>
              </w:tc>
              <w:tc>
                <w:tcPr>
                  <w:tcW w:w="725" w:type="dxa"/>
                  <w:vAlign w:val="center"/>
                </w:tcPr>
                <w:p w14:paraId="38981EAB">
                  <w:pPr>
                    <w:pStyle w:val="143"/>
                    <w:spacing w:line="240" w:lineRule="auto"/>
                    <w:rPr>
                      <w:color w:val="auto"/>
                      <w:sz w:val="22"/>
                      <w:szCs w:val="22"/>
                    </w:rPr>
                  </w:pPr>
                  <w:r>
                    <w:rPr>
                      <w:color w:val="auto"/>
                      <w:sz w:val="22"/>
                      <w:szCs w:val="22"/>
                    </w:rPr>
                    <w:t>隔油池</w:t>
                  </w:r>
                </w:p>
              </w:tc>
              <w:tc>
                <w:tcPr>
                  <w:tcW w:w="5700" w:type="dxa"/>
                  <w:vAlign w:val="center"/>
                </w:tcPr>
                <w:p w14:paraId="4126943B">
                  <w:pPr>
                    <w:pStyle w:val="143"/>
                    <w:spacing w:line="240" w:lineRule="auto"/>
                    <w:rPr>
                      <w:color w:val="auto"/>
                      <w:sz w:val="22"/>
                      <w:szCs w:val="22"/>
                    </w:rPr>
                  </w:pPr>
                  <w:r>
                    <w:rPr>
                      <w:color w:val="auto"/>
                      <w:sz w:val="22"/>
                      <w:szCs w:val="22"/>
                    </w:rPr>
                    <w:t>2座，西地块和东地块分别各建1座，设计处理能力分别为3L/s、7L/s，处理后的食堂废水进入</w:t>
                  </w:r>
                  <w:r>
                    <w:rPr>
                      <w:rFonts w:hint="eastAsia"/>
                      <w:color w:val="auto"/>
                      <w:sz w:val="22"/>
                      <w:szCs w:val="22"/>
                      <w:lang w:val="en-US" w:eastAsia="zh-CN"/>
                    </w:rPr>
                    <w:t>化粪池</w:t>
                  </w:r>
                  <w:r>
                    <w:rPr>
                      <w:color w:val="auto"/>
                      <w:sz w:val="22"/>
                      <w:szCs w:val="22"/>
                    </w:rPr>
                    <w:t>同生活污水一起进一步处理。</w:t>
                  </w:r>
                </w:p>
              </w:tc>
              <w:tc>
                <w:tcPr>
                  <w:tcW w:w="920" w:type="dxa"/>
                  <w:vAlign w:val="center"/>
                </w:tcPr>
                <w:p w14:paraId="13B216EE">
                  <w:pPr>
                    <w:pStyle w:val="143"/>
                    <w:spacing w:line="240" w:lineRule="auto"/>
                    <w:rPr>
                      <w:color w:val="auto"/>
                      <w:sz w:val="22"/>
                      <w:szCs w:val="22"/>
                    </w:rPr>
                  </w:pPr>
                  <w:r>
                    <w:rPr>
                      <w:color w:val="auto"/>
                      <w:sz w:val="22"/>
                      <w:szCs w:val="22"/>
                    </w:rPr>
                    <w:t>已建</w:t>
                  </w:r>
                </w:p>
              </w:tc>
            </w:tr>
            <w:tr w14:paraId="321E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blHeader/>
                <w:jc w:val="center"/>
              </w:trPr>
              <w:tc>
                <w:tcPr>
                  <w:tcW w:w="504" w:type="dxa"/>
                  <w:vMerge w:val="continue"/>
                  <w:vAlign w:val="center"/>
                </w:tcPr>
                <w:p w14:paraId="7C023A82">
                  <w:pPr>
                    <w:pStyle w:val="143"/>
                    <w:spacing w:line="240" w:lineRule="auto"/>
                    <w:rPr>
                      <w:color w:val="auto"/>
                      <w:sz w:val="22"/>
                      <w:szCs w:val="22"/>
                    </w:rPr>
                  </w:pPr>
                </w:p>
              </w:tc>
              <w:tc>
                <w:tcPr>
                  <w:tcW w:w="542" w:type="dxa"/>
                  <w:vMerge w:val="continue"/>
                  <w:vAlign w:val="center"/>
                </w:tcPr>
                <w:p w14:paraId="43E482EE">
                  <w:pPr>
                    <w:pStyle w:val="143"/>
                    <w:spacing w:line="240" w:lineRule="auto"/>
                    <w:rPr>
                      <w:color w:val="auto"/>
                      <w:sz w:val="22"/>
                      <w:szCs w:val="22"/>
                    </w:rPr>
                  </w:pPr>
                </w:p>
              </w:tc>
              <w:tc>
                <w:tcPr>
                  <w:tcW w:w="725" w:type="dxa"/>
                  <w:vAlign w:val="center"/>
                </w:tcPr>
                <w:p w14:paraId="21D95318">
                  <w:pPr>
                    <w:pStyle w:val="143"/>
                    <w:spacing w:line="240" w:lineRule="auto"/>
                    <w:rPr>
                      <w:rFonts w:hint="eastAsia" w:eastAsia="宋体"/>
                      <w:color w:val="auto"/>
                      <w:sz w:val="22"/>
                      <w:szCs w:val="22"/>
                      <w:lang w:eastAsia="zh-CN"/>
                    </w:rPr>
                  </w:pPr>
                  <w:r>
                    <w:rPr>
                      <w:rFonts w:hint="eastAsia"/>
                      <w:color w:val="auto"/>
                      <w:sz w:val="22"/>
                      <w:szCs w:val="22"/>
                      <w:lang w:val="en-US" w:eastAsia="zh-CN"/>
                    </w:rPr>
                    <w:t>化粪池</w:t>
                  </w:r>
                </w:p>
              </w:tc>
              <w:tc>
                <w:tcPr>
                  <w:tcW w:w="5700" w:type="dxa"/>
                  <w:vAlign w:val="center"/>
                </w:tcPr>
                <w:p w14:paraId="32276C58">
                  <w:pPr>
                    <w:pStyle w:val="143"/>
                    <w:spacing w:line="240" w:lineRule="auto"/>
                    <w:rPr>
                      <w:color w:val="auto"/>
                      <w:sz w:val="22"/>
                      <w:szCs w:val="22"/>
                    </w:rPr>
                  </w:pPr>
                  <w:r>
                    <w:rPr>
                      <w:color w:val="auto"/>
                      <w:sz w:val="22"/>
                      <w:szCs w:val="22"/>
                    </w:rPr>
                    <w:t>2座，西地块和东地块分别各建1座，设计处理能力分别为</w:t>
                  </w:r>
                  <w:r>
                    <w:rPr>
                      <w:rFonts w:hint="eastAsia"/>
                      <w:color w:val="auto"/>
                      <w:sz w:val="22"/>
                      <w:szCs w:val="22"/>
                      <w:lang w:val="en-US" w:eastAsia="zh-CN"/>
                    </w:rPr>
                    <w:t>4</w:t>
                  </w:r>
                  <w:r>
                    <w:rPr>
                      <w:rFonts w:hint="eastAsia"/>
                      <w:color w:val="auto"/>
                      <w:sz w:val="22"/>
                      <w:szCs w:val="22"/>
                    </w:rPr>
                    <w:t>0</w:t>
                  </w:r>
                  <w:r>
                    <w:rPr>
                      <w:color w:val="auto"/>
                      <w:sz w:val="22"/>
                      <w:szCs w:val="22"/>
                    </w:rPr>
                    <w:t>m</w:t>
                  </w:r>
                  <w:r>
                    <w:rPr>
                      <w:color w:val="auto"/>
                      <w:sz w:val="22"/>
                      <w:szCs w:val="22"/>
                      <w:vertAlign w:val="superscript"/>
                    </w:rPr>
                    <w:t>3</w:t>
                  </w:r>
                  <w:r>
                    <w:rPr>
                      <w:color w:val="auto"/>
                      <w:sz w:val="22"/>
                      <w:szCs w:val="22"/>
                    </w:rPr>
                    <w:t>/d和</w:t>
                  </w:r>
                  <w:r>
                    <w:rPr>
                      <w:rFonts w:hint="eastAsia"/>
                      <w:color w:val="auto"/>
                      <w:sz w:val="22"/>
                      <w:szCs w:val="22"/>
                      <w:lang w:val="en-US" w:eastAsia="zh-CN"/>
                    </w:rPr>
                    <w:t>50</w:t>
                  </w:r>
                  <w:r>
                    <w:rPr>
                      <w:color w:val="auto"/>
                      <w:sz w:val="22"/>
                      <w:szCs w:val="22"/>
                    </w:rPr>
                    <w:t>m</w:t>
                  </w:r>
                  <w:r>
                    <w:rPr>
                      <w:color w:val="auto"/>
                      <w:sz w:val="22"/>
                      <w:szCs w:val="22"/>
                      <w:vertAlign w:val="superscript"/>
                    </w:rPr>
                    <w:t>3</w:t>
                  </w:r>
                  <w:r>
                    <w:rPr>
                      <w:color w:val="auto"/>
                      <w:sz w:val="22"/>
                      <w:szCs w:val="22"/>
                    </w:rPr>
                    <w:t>/d，处理后的污水满足《污水综合排放标准》（GB8978-1996）三级排放标准及《污水排入城镇下水道水质标准》（GB/T31962-2015）后，经园区污水管网排入</w:t>
                  </w:r>
                  <w:r>
                    <w:rPr>
                      <w:rFonts w:hint="eastAsia"/>
                      <w:color w:val="auto"/>
                      <w:sz w:val="22"/>
                      <w:szCs w:val="22"/>
                    </w:rPr>
                    <w:t>陶家工业污水处理厂</w:t>
                  </w:r>
                  <w:r>
                    <w:rPr>
                      <w:color w:val="auto"/>
                      <w:sz w:val="22"/>
                      <w:szCs w:val="22"/>
                    </w:rPr>
                    <w:t>进行进一步集中处理，COD、NH</w:t>
                  </w:r>
                  <w:r>
                    <w:rPr>
                      <w:color w:val="auto"/>
                      <w:sz w:val="22"/>
                      <w:szCs w:val="22"/>
                      <w:vertAlign w:val="subscript"/>
                    </w:rPr>
                    <w:t>3</w:t>
                  </w:r>
                  <w:r>
                    <w:rPr>
                      <w:color w:val="auto"/>
                      <w:sz w:val="22"/>
                      <w:szCs w:val="22"/>
                    </w:rPr>
                    <w:t>-N、TP满足《地表水环境质量标准》（GB3838-2002）IV类标准，其余指标满足《城镇污水处理厂污染物排放标准》（GB18918-2002）一级A标准后，排入大溪河支流杨柳曲河。</w:t>
                  </w:r>
                </w:p>
              </w:tc>
              <w:tc>
                <w:tcPr>
                  <w:tcW w:w="920" w:type="dxa"/>
                  <w:vAlign w:val="center"/>
                </w:tcPr>
                <w:p w14:paraId="347D750B">
                  <w:pPr>
                    <w:pStyle w:val="143"/>
                    <w:spacing w:line="240" w:lineRule="auto"/>
                    <w:rPr>
                      <w:color w:val="auto"/>
                      <w:sz w:val="22"/>
                      <w:szCs w:val="22"/>
                    </w:rPr>
                  </w:pPr>
                  <w:r>
                    <w:rPr>
                      <w:color w:val="auto"/>
                      <w:sz w:val="22"/>
                      <w:szCs w:val="22"/>
                    </w:rPr>
                    <w:t>已建</w:t>
                  </w:r>
                </w:p>
              </w:tc>
            </w:tr>
            <w:tr w14:paraId="466B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blHeader/>
                <w:jc w:val="center"/>
              </w:trPr>
              <w:tc>
                <w:tcPr>
                  <w:tcW w:w="504" w:type="dxa"/>
                  <w:vMerge w:val="continue"/>
                  <w:vAlign w:val="center"/>
                </w:tcPr>
                <w:p w14:paraId="501DDD73">
                  <w:pPr>
                    <w:pStyle w:val="143"/>
                    <w:spacing w:line="240" w:lineRule="auto"/>
                    <w:rPr>
                      <w:color w:val="auto"/>
                      <w:sz w:val="22"/>
                      <w:szCs w:val="22"/>
                    </w:rPr>
                  </w:pPr>
                </w:p>
              </w:tc>
              <w:tc>
                <w:tcPr>
                  <w:tcW w:w="542" w:type="dxa"/>
                  <w:vMerge w:val="continue"/>
                  <w:vAlign w:val="center"/>
                </w:tcPr>
                <w:p w14:paraId="29AE06DD">
                  <w:pPr>
                    <w:pStyle w:val="143"/>
                    <w:spacing w:line="240" w:lineRule="auto"/>
                    <w:rPr>
                      <w:color w:val="auto"/>
                      <w:sz w:val="22"/>
                      <w:szCs w:val="22"/>
                    </w:rPr>
                  </w:pPr>
                </w:p>
              </w:tc>
              <w:tc>
                <w:tcPr>
                  <w:tcW w:w="725" w:type="dxa"/>
                  <w:shd w:val="clear" w:color="auto" w:fill="auto"/>
                  <w:vAlign w:val="center"/>
                </w:tcPr>
                <w:p w14:paraId="21A16517">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生产废水废水处理站</w:t>
                  </w:r>
                </w:p>
              </w:tc>
              <w:tc>
                <w:tcPr>
                  <w:tcW w:w="5700" w:type="dxa"/>
                  <w:shd w:val="clear" w:color="auto" w:fill="auto"/>
                  <w:vAlign w:val="center"/>
                </w:tcPr>
                <w:p w14:paraId="6218FD01">
                  <w:pPr>
                    <w:pStyle w:val="65"/>
                    <w:spacing w:before="24" w:after="24"/>
                    <w:jc w:val="both"/>
                    <w:rPr>
                      <w:rFonts w:ascii="Times New Roman" w:hAnsi="Times New Roman" w:eastAsia="宋体" w:cs="Times New Roman"/>
                      <w:color w:val="auto"/>
                      <w:sz w:val="22"/>
                    </w:rPr>
                  </w:pPr>
                  <w:r>
                    <w:rPr>
                      <w:rFonts w:ascii="Times New Roman" w:hAnsi="Times New Roman" w:eastAsia="宋体" w:cs="Times New Roman"/>
                      <w:color w:val="auto"/>
                      <w:sz w:val="22"/>
                    </w:rPr>
                    <w:t>1座，建设于东地块内，设计处理能力7m</w:t>
                  </w:r>
                  <w:r>
                    <w:rPr>
                      <w:rFonts w:ascii="Times New Roman" w:hAnsi="Times New Roman" w:eastAsia="宋体" w:cs="Times New Roman"/>
                      <w:color w:val="auto"/>
                      <w:sz w:val="22"/>
                      <w:vertAlign w:val="superscript"/>
                    </w:rPr>
                    <w:t>3</w:t>
                  </w:r>
                  <w:r>
                    <w:rPr>
                      <w:rFonts w:ascii="Times New Roman" w:hAnsi="Times New Roman" w:eastAsia="宋体" w:cs="Times New Roman"/>
                      <w:color w:val="auto"/>
                      <w:sz w:val="22"/>
                    </w:rPr>
                    <w:t>/d，采用“隔油池/调节池+超滤系统+A</w:t>
                  </w:r>
                  <w:r>
                    <w:rPr>
                      <w:rFonts w:ascii="Times New Roman" w:hAnsi="Times New Roman" w:eastAsia="宋体" w:cs="Times New Roman"/>
                      <w:color w:val="auto"/>
                      <w:sz w:val="22"/>
                      <w:vertAlign w:val="subscript"/>
                    </w:rPr>
                    <w:t>2</w:t>
                  </w:r>
                  <w:r>
                    <w:rPr>
                      <w:rFonts w:ascii="Times New Roman" w:hAnsi="Times New Roman" w:eastAsia="宋体" w:cs="Times New Roman"/>
                      <w:color w:val="auto"/>
                      <w:sz w:val="22"/>
                    </w:rPr>
                    <w:t>O反应池+MBR系统+多介质过滤”处理工艺，处理后的废水满足《污水综合排放标准》（GB8978-1996）三级排放标准后，经园区污水管网排入九龙园区L分区污水处理厂进行进一步集中处理，COD满足《地表水环境质量标准》（GB3838-2002）IV类标准，其余指标满足《城镇污水处理厂污染物排放标准》（GB18918-2002）一级A标准后，排入大溪河支流杨柳曲河。</w:t>
                  </w:r>
                </w:p>
              </w:tc>
              <w:tc>
                <w:tcPr>
                  <w:tcW w:w="920" w:type="dxa"/>
                  <w:shd w:val="clear" w:color="auto" w:fill="auto"/>
                  <w:vAlign w:val="center"/>
                </w:tcPr>
                <w:p w14:paraId="35479EA4">
                  <w:pPr>
                    <w:pStyle w:val="65"/>
                    <w:spacing w:before="24" w:after="24"/>
                    <w:rPr>
                      <w:rFonts w:ascii="Times New Roman" w:hAnsi="Times New Roman" w:eastAsia="宋体" w:cs="Times New Roman"/>
                      <w:color w:val="auto"/>
                      <w:sz w:val="22"/>
                    </w:rPr>
                  </w:pPr>
                  <w:r>
                    <w:rPr>
                      <w:rFonts w:ascii="Times New Roman" w:hAnsi="Times New Roman" w:eastAsia="宋体" w:cs="Times New Roman"/>
                      <w:color w:val="auto"/>
                      <w:sz w:val="22"/>
                    </w:rPr>
                    <w:t>未建</w:t>
                  </w:r>
                  <w:r>
                    <w:rPr>
                      <w:rFonts w:hint="eastAsia" w:ascii="Times New Roman" w:hAnsi="Times New Roman" w:eastAsia="宋体" w:cs="Times New Roman"/>
                      <w:color w:val="auto"/>
                      <w:sz w:val="22"/>
                    </w:rPr>
                    <w:t>设</w:t>
                  </w:r>
                </w:p>
              </w:tc>
            </w:tr>
            <w:tr w14:paraId="001E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504" w:type="dxa"/>
                  <w:vMerge w:val="continue"/>
                  <w:vAlign w:val="center"/>
                </w:tcPr>
                <w:p w14:paraId="10B8685E">
                  <w:pPr>
                    <w:pStyle w:val="143"/>
                    <w:spacing w:line="240" w:lineRule="auto"/>
                    <w:rPr>
                      <w:color w:val="auto"/>
                      <w:sz w:val="22"/>
                      <w:szCs w:val="22"/>
                    </w:rPr>
                  </w:pPr>
                </w:p>
              </w:tc>
              <w:tc>
                <w:tcPr>
                  <w:tcW w:w="542" w:type="dxa"/>
                  <w:vMerge w:val="restart"/>
                  <w:vAlign w:val="center"/>
                </w:tcPr>
                <w:p w14:paraId="2A660812">
                  <w:pPr>
                    <w:pStyle w:val="143"/>
                    <w:spacing w:line="240" w:lineRule="auto"/>
                    <w:rPr>
                      <w:color w:val="auto"/>
                      <w:sz w:val="22"/>
                      <w:szCs w:val="22"/>
                    </w:rPr>
                  </w:pPr>
                  <w:r>
                    <w:rPr>
                      <w:color w:val="auto"/>
                      <w:sz w:val="22"/>
                      <w:szCs w:val="22"/>
                    </w:rPr>
                    <w:t>废气处理设施</w:t>
                  </w:r>
                </w:p>
              </w:tc>
              <w:tc>
                <w:tcPr>
                  <w:tcW w:w="725" w:type="dxa"/>
                  <w:vAlign w:val="center"/>
                </w:tcPr>
                <w:p w14:paraId="7A332474">
                  <w:pPr>
                    <w:pStyle w:val="143"/>
                    <w:spacing w:line="240" w:lineRule="auto"/>
                    <w:rPr>
                      <w:color w:val="auto"/>
                      <w:sz w:val="22"/>
                      <w:szCs w:val="22"/>
                    </w:rPr>
                  </w:pPr>
                  <w:r>
                    <w:rPr>
                      <w:color w:val="auto"/>
                      <w:sz w:val="22"/>
                      <w:szCs w:val="22"/>
                    </w:rPr>
                    <w:t>063食堂油烟</w:t>
                  </w:r>
                </w:p>
              </w:tc>
              <w:tc>
                <w:tcPr>
                  <w:tcW w:w="5700" w:type="dxa"/>
                  <w:vAlign w:val="center"/>
                </w:tcPr>
                <w:p w14:paraId="0B6077CC">
                  <w:pPr>
                    <w:pStyle w:val="143"/>
                    <w:spacing w:line="240" w:lineRule="auto"/>
                    <w:rPr>
                      <w:color w:val="auto"/>
                      <w:sz w:val="22"/>
                      <w:szCs w:val="22"/>
                    </w:rPr>
                  </w:pPr>
                  <w:r>
                    <w:rPr>
                      <w:color w:val="auto"/>
                      <w:sz w:val="22"/>
                      <w:szCs w:val="22"/>
                    </w:rPr>
                    <w:t>1根排气筒，通过排油烟管道上至屋面机房，经过油烟净化器处理后排放</w:t>
                  </w:r>
                </w:p>
              </w:tc>
              <w:tc>
                <w:tcPr>
                  <w:tcW w:w="920" w:type="dxa"/>
                  <w:vAlign w:val="center"/>
                </w:tcPr>
                <w:p w14:paraId="0BF5E2E5">
                  <w:pPr>
                    <w:pStyle w:val="143"/>
                    <w:spacing w:line="240" w:lineRule="auto"/>
                    <w:rPr>
                      <w:color w:val="auto"/>
                      <w:sz w:val="22"/>
                      <w:szCs w:val="22"/>
                    </w:rPr>
                  </w:pPr>
                  <w:r>
                    <w:rPr>
                      <w:color w:val="auto"/>
                      <w:sz w:val="22"/>
                      <w:szCs w:val="22"/>
                    </w:rPr>
                    <w:t>已建</w:t>
                  </w:r>
                </w:p>
              </w:tc>
            </w:tr>
            <w:tr w14:paraId="3197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504" w:type="dxa"/>
                  <w:vMerge w:val="continue"/>
                  <w:vAlign w:val="center"/>
                </w:tcPr>
                <w:p w14:paraId="0DEA26EB">
                  <w:pPr>
                    <w:pStyle w:val="143"/>
                    <w:spacing w:line="240" w:lineRule="auto"/>
                    <w:rPr>
                      <w:color w:val="auto"/>
                      <w:sz w:val="22"/>
                      <w:szCs w:val="22"/>
                    </w:rPr>
                  </w:pPr>
                </w:p>
              </w:tc>
              <w:tc>
                <w:tcPr>
                  <w:tcW w:w="542" w:type="dxa"/>
                  <w:vMerge w:val="continue"/>
                  <w:vAlign w:val="center"/>
                </w:tcPr>
                <w:p w14:paraId="73F97C97">
                  <w:pPr>
                    <w:pStyle w:val="143"/>
                    <w:spacing w:line="240" w:lineRule="auto"/>
                    <w:rPr>
                      <w:color w:val="auto"/>
                      <w:sz w:val="22"/>
                      <w:szCs w:val="22"/>
                    </w:rPr>
                  </w:pPr>
                </w:p>
              </w:tc>
              <w:tc>
                <w:tcPr>
                  <w:tcW w:w="725" w:type="dxa"/>
                  <w:vAlign w:val="center"/>
                </w:tcPr>
                <w:p w14:paraId="0960A088">
                  <w:pPr>
                    <w:pStyle w:val="143"/>
                    <w:spacing w:line="240" w:lineRule="auto"/>
                    <w:rPr>
                      <w:color w:val="auto"/>
                      <w:sz w:val="22"/>
                      <w:szCs w:val="22"/>
                    </w:rPr>
                  </w:pPr>
                  <w:r>
                    <w:rPr>
                      <w:rFonts w:hint="eastAsia"/>
                      <w:color w:val="auto"/>
                      <w:sz w:val="22"/>
                      <w:szCs w:val="22"/>
                    </w:rPr>
                    <w:t>打标机废气</w:t>
                  </w:r>
                </w:p>
              </w:tc>
              <w:tc>
                <w:tcPr>
                  <w:tcW w:w="5700" w:type="dxa"/>
                  <w:vAlign w:val="center"/>
                </w:tcPr>
                <w:p w14:paraId="1F38D8E1">
                  <w:pPr>
                    <w:pStyle w:val="143"/>
                    <w:spacing w:line="240" w:lineRule="auto"/>
                    <w:rPr>
                      <w:color w:val="auto"/>
                      <w:sz w:val="22"/>
                      <w:szCs w:val="22"/>
                    </w:rPr>
                  </w:pPr>
                  <w:r>
                    <w:rPr>
                      <w:color w:val="auto"/>
                      <w:sz w:val="22"/>
                      <w:szCs w:val="22"/>
                    </w:rPr>
                    <w:t>打标机产生废气颗粒物，颗粒物经</w:t>
                  </w:r>
                  <w:r>
                    <w:rPr>
                      <w:rFonts w:hint="eastAsia"/>
                      <w:color w:val="auto"/>
                      <w:sz w:val="22"/>
                      <w:szCs w:val="22"/>
                      <w:lang w:val="en-US" w:eastAsia="zh-CN"/>
                    </w:rPr>
                    <w:t>干式</w:t>
                  </w:r>
                  <w:r>
                    <w:rPr>
                      <w:color w:val="auto"/>
                      <w:sz w:val="22"/>
                      <w:szCs w:val="22"/>
                    </w:rPr>
                    <w:t>过滤器处理后无组织形式排放。</w:t>
                  </w:r>
                </w:p>
              </w:tc>
              <w:tc>
                <w:tcPr>
                  <w:tcW w:w="920" w:type="dxa"/>
                  <w:vAlign w:val="center"/>
                </w:tcPr>
                <w:p w14:paraId="7535E3B4">
                  <w:pPr>
                    <w:pStyle w:val="143"/>
                    <w:spacing w:line="240" w:lineRule="auto"/>
                    <w:rPr>
                      <w:color w:val="auto"/>
                      <w:sz w:val="22"/>
                      <w:szCs w:val="22"/>
                    </w:rPr>
                  </w:pPr>
                  <w:r>
                    <w:rPr>
                      <w:color w:val="auto"/>
                      <w:sz w:val="22"/>
                      <w:szCs w:val="22"/>
                    </w:rPr>
                    <w:t>已建</w:t>
                  </w:r>
                </w:p>
              </w:tc>
            </w:tr>
            <w:tr w14:paraId="6FB4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504" w:type="dxa"/>
                  <w:vMerge w:val="continue"/>
                  <w:vAlign w:val="center"/>
                </w:tcPr>
                <w:p w14:paraId="3F0C45CB">
                  <w:pPr>
                    <w:pStyle w:val="143"/>
                    <w:spacing w:line="240" w:lineRule="auto"/>
                    <w:rPr>
                      <w:color w:val="auto"/>
                      <w:sz w:val="22"/>
                      <w:szCs w:val="22"/>
                    </w:rPr>
                  </w:pPr>
                </w:p>
              </w:tc>
              <w:tc>
                <w:tcPr>
                  <w:tcW w:w="542" w:type="dxa"/>
                  <w:vMerge w:val="continue"/>
                  <w:vAlign w:val="center"/>
                </w:tcPr>
                <w:p w14:paraId="22CE8230">
                  <w:pPr>
                    <w:pStyle w:val="143"/>
                    <w:spacing w:line="240" w:lineRule="auto"/>
                    <w:rPr>
                      <w:color w:val="auto"/>
                      <w:sz w:val="22"/>
                      <w:szCs w:val="22"/>
                    </w:rPr>
                  </w:pPr>
                </w:p>
              </w:tc>
              <w:tc>
                <w:tcPr>
                  <w:tcW w:w="725" w:type="dxa"/>
                  <w:vAlign w:val="center"/>
                </w:tcPr>
                <w:p w14:paraId="544C380B">
                  <w:pPr>
                    <w:pStyle w:val="65"/>
                    <w:spacing w:before="24" w:after="24"/>
                    <w:rPr>
                      <w:rFonts w:cs="Times New Roman"/>
                      <w:color w:val="auto"/>
                      <w:sz w:val="22"/>
                    </w:rPr>
                  </w:pPr>
                  <w:r>
                    <w:rPr>
                      <w:rFonts w:ascii="Times New Roman" w:hAnsi="Times New Roman" w:eastAsia="宋体" w:cs="Times New Roman"/>
                      <w:color w:val="auto"/>
                      <w:sz w:val="22"/>
                    </w:rPr>
                    <w:t>清洗机废气治理系统</w:t>
                  </w:r>
                </w:p>
              </w:tc>
              <w:tc>
                <w:tcPr>
                  <w:tcW w:w="5700" w:type="dxa"/>
                  <w:vAlign w:val="center"/>
                </w:tcPr>
                <w:p w14:paraId="1A6CEC82">
                  <w:pPr>
                    <w:pStyle w:val="65"/>
                    <w:spacing w:before="24" w:after="24"/>
                    <w:jc w:val="both"/>
                    <w:rPr>
                      <w:rFonts w:ascii="Times New Roman" w:hAnsi="Times New Roman" w:eastAsia="宋体" w:cs="Times New Roman"/>
                      <w:color w:val="auto"/>
                      <w:sz w:val="22"/>
                    </w:rPr>
                  </w:pPr>
                  <w:r>
                    <w:rPr>
                      <w:rFonts w:ascii="Times New Roman" w:hAnsi="Times New Roman" w:eastAsia="宋体" w:cs="Times New Roman"/>
                      <w:color w:val="auto"/>
                      <w:sz w:val="22"/>
                    </w:rPr>
                    <w:t>2台清洗机均分别自带废气收集系统（2套），废气经收集系统收集冷凝后分别通过1根15m高排气筒（共2根，DA001、DA002）排放。</w:t>
                  </w:r>
                </w:p>
              </w:tc>
              <w:tc>
                <w:tcPr>
                  <w:tcW w:w="920" w:type="dxa"/>
                  <w:vAlign w:val="center"/>
                </w:tcPr>
                <w:p w14:paraId="0F242BEF">
                  <w:pPr>
                    <w:pStyle w:val="143"/>
                    <w:spacing w:line="240" w:lineRule="auto"/>
                    <w:rPr>
                      <w:color w:val="auto"/>
                      <w:sz w:val="22"/>
                      <w:szCs w:val="22"/>
                    </w:rPr>
                  </w:pPr>
                  <w:r>
                    <w:rPr>
                      <w:rFonts w:hint="eastAsia"/>
                      <w:color w:val="auto"/>
                      <w:sz w:val="22"/>
                      <w:szCs w:val="22"/>
                    </w:rPr>
                    <w:t>未建设</w:t>
                  </w:r>
                </w:p>
              </w:tc>
            </w:tr>
            <w:tr w14:paraId="70E5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504" w:type="dxa"/>
                  <w:vMerge w:val="continue"/>
                  <w:vAlign w:val="center"/>
                </w:tcPr>
                <w:p w14:paraId="5BB78516">
                  <w:pPr>
                    <w:pStyle w:val="143"/>
                    <w:spacing w:line="240" w:lineRule="auto"/>
                    <w:rPr>
                      <w:color w:val="auto"/>
                      <w:sz w:val="22"/>
                      <w:szCs w:val="22"/>
                    </w:rPr>
                  </w:pPr>
                </w:p>
              </w:tc>
              <w:tc>
                <w:tcPr>
                  <w:tcW w:w="542" w:type="dxa"/>
                  <w:vMerge w:val="continue"/>
                  <w:vAlign w:val="center"/>
                </w:tcPr>
                <w:p w14:paraId="23C8BA94">
                  <w:pPr>
                    <w:pStyle w:val="143"/>
                    <w:spacing w:line="240" w:lineRule="auto"/>
                    <w:rPr>
                      <w:color w:val="auto"/>
                      <w:sz w:val="22"/>
                      <w:szCs w:val="22"/>
                    </w:rPr>
                  </w:pPr>
                </w:p>
              </w:tc>
              <w:tc>
                <w:tcPr>
                  <w:tcW w:w="725" w:type="dxa"/>
                  <w:vAlign w:val="center"/>
                </w:tcPr>
                <w:p w14:paraId="63FC58E1">
                  <w:pPr>
                    <w:pStyle w:val="65"/>
                    <w:spacing w:before="24" w:after="24"/>
                    <w:rPr>
                      <w:rFonts w:cs="Times New Roman"/>
                      <w:color w:val="auto"/>
                      <w:sz w:val="22"/>
                    </w:rPr>
                  </w:pPr>
                  <w:r>
                    <w:rPr>
                      <w:rFonts w:ascii="Times New Roman" w:hAnsi="Times New Roman" w:eastAsia="宋体" w:cs="Times New Roman"/>
                      <w:color w:val="auto"/>
                      <w:sz w:val="22"/>
                    </w:rPr>
                    <w:t>实验室废气治理系统</w:t>
                  </w:r>
                </w:p>
              </w:tc>
              <w:tc>
                <w:tcPr>
                  <w:tcW w:w="5700" w:type="dxa"/>
                  <w:vAlign w:val="center"/>
                </w:tcPr>
                <w:p w14:paraId="0917863F">
                  <w:pPr>
                    <w:pStyle w:val="65"/>
                    <w:spacing w:before="24" w:after="24"/>
                    <w:jc w:val="both"/>
                    <w:rPr>
                      <w:rFonts w:ascii="Times New Roman" w:hAnsi="Times New Roman" w:eastAsia="宋体" w:cs="Times New Roman"/>
                      <w:color w:val="auto"/>
                      <w:sz w:val="22"/>
                    </w:rPr>
                  </w:pPr>
                  <w:r>
                    <w:rPr>
                      <w:rFonts w:ascii="Times New Roman" w:hAnsi="Times New Roman" w:eastAsia="宋体" w:cs="Times New Roman"/>
                      <w:color w:val="auto"/>
                      <w:sz w:val="22"/>
                    </w:rPr>
                    <w:t>设置通风橱3台，废气收集后经1套活性炭吸附装置处理后，由1根15m高排气筒（DA003）排放。</w:t>
                  </w:r>
                </w:p>
              </w:tc>
              <w:tc>
                <w:tcPr>
                  <w:tcW w:w="920" w:type="dxa"/>
                  <w:vAlign w:val="center"/>
                </w:tcPr>
                <w:p w14:paraId="75A900BA">
                  <w:pPr>
                    <w:pStyle w:val="143"/>
                    <w:spacing w:line="240" w:lineRule="auto"/>
                    <w:rPr>
                      <w:color w:val="auto"/>
                      <w:sz w:val="22"/>
                      <w:szCs w:val="22"/>
                    </w:rPr>
                  </w:pPr>
                  <w:r>
                    <w:rPr>
                      <w:rFonts w:hint="eastAsia"/>
                      <w:color w:val="auto"/>
                      <w:sz w:val="22"/>
                      <w:szCs w:val="22"/>
                    </w:rPr>
                    <w:t>未建设</w:t>
                  </w:r>
                </w:p>
              </w:tc>
            </w:tr>
            <w:tr w14:paraId="1814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504" w:type="dxa"/>
                  <w:vMerge w:val="continue"/>
                  <w:vAlign w:val="center"/>
                </w:tcPr>
                <w:p w14:paraId="5CDA9388">
                  <w:pPr>
                    <w:pStyle w:val="143"/>
                    <w:spacing w:line="240" w:lineRule="auto"/>
                    <w:rPr>
                      <w:color w:val="auto"/>
                      <w:sz w:val="22"/>
                      <w:szCs w:val="22"/>
                    </w:rPr>
                  </w:pPr>
                </w:p>
              </w:tc>
              <w:tc>
                <w:tcPr>
                  <w:tcW w:w="542" w:type="dxa"/>
                  <w:vMerge w:val="restart"/>
                  <w:vAlign w:val="center"/>
                </w:tcPr>
                <w:p w14:paraId="2850B1CE">
                  <w:pPr>
                    <w:pStyle w:val="143"/>
                    <w:spacing w:line="240" w:lineRule="auto"/>
                    <w:rPr>
                      <w:color w:val="auto"/>
                      <w:sz w:val="22"/>
                      <w:szCs w:val="22"/>
                    </w:rPr>
                  </w:pPr>
                  <w:r>
                    <w:rPr>
                      <w:color w:val="auto"/>
                      <w:sz w:val="22"/>
                      <w:szCs w:val="22"/>
                    </w:rPr>
                    <w:t>固体废物暂存设施</w:t>
                  </w:r>
                </w:p>
                <w:p w14:paraId="26C6B95C">
                  <w:pPr>
                    <w:pStyle w:val="143"/>
                    <w:spacing w:line="240" w:lineRule="auto"/>
                    <w:rPr>
                      <w:color w:val="auto"/>
                      <w:sz w:val="22"/>
                      <w:szCs w:val="22"/>
                    </w:rPr>
                  </w:pPr>
                </w:p>
              </w:tc>
              <w:tc>
                <w:tcPr>
                  <w:tcW w:w="725" w:type="dxa"/>
                  <w:vAlign w:val="center"/>
                </w:tcPr>
                <w:p w14:paraId="719447BA">
                  <w:pPr>
                    <w:pStyle w:val="143"/>
                    <w:spacing w:line="240" w:lineRule="auto"/>
                    <w:rPr>
                      <w:color w:val="auto"/>
                      <w:sz w:val="22"/>
                      <w:szCs w:val="22"/>
                    </w:rPr>
                  </w:pPr>
                  <w:r>
                    <w:rPr>
                      <w:color w:val="auto"/>
                      <w:sz w:val="22"/>
                      <w:szCs w:val="22"/>
                    </w:rPr>
                    <w:t>垃圾站072</w:t>
                  </w:r>
                </w:p>
              </w:tc>
              <w:tc>
                <w:tcPr>
                  <w:tcW w:w="5700" w:type="dxa"/>
                  <w:vAlign w:val="center"/>
                </w:tcPr>
                <w:p w14:paraId="497346BC">
                  <w:pPr>
                    <w:pStyle w:val="143"/>
                    <w:spacing w:line="240" w:lineRule="auto"/>
                    <w:rPr>
                      <w:color w:val="auto"/>
                      <w:sz w:val="22"/>
                      <w:szCs w:val="22"/>
                    </w:rPr>
                  </w:pPr>
                  <w:r>
                    <w:rPr>
                      <w:color w:val="auto"/>
                      <w:sz w:val="22"/>
                      <w:szCs w:val="22"/>
                    </w:rPr>
                    <w:t>1座，布设于西地块，建筑面积108m</w:t>
                  </w:r>
                  <w:r>
                    <w:rPr>
                      <w:color w:val="auto"/>
                      <w:sz w:val="22"/>
                      <w:szCs w:val="22"/>
                      <w:vertAlign w:val="superscript"/>
                    </w:rPr>
                    <w:t>2</w:t>
                  </w:r>
                  <w:r>
                    <w:rPr>
                      <w:color w:val="auto"/>
                      <w:sz w:val="22"/>
                      <w:szCs w:val="22"/>
                    </w:rPr>
                    <w:t>，用于厂内一般工业固体废物和生活垃圾的分区暂存，另建设一间一般固废暂存间位于东地块动力中心064，1F，面积约20m</w:t>
                  </w:r>
                  <w:r>
                    <w:rPr>
                      <w:color w:val="auto"/>
                      <w:sz w:val="22"/>
                      <w:szCs w:val="22"/>
                      <w:vertAlign w:val="superscript"/>
                    </w:rPr>
                    <w:t>2</w:t>
                  </w:r>
                </w:p>
              </w:tc>
              <w:tc>
                <w:tcPr>
                  <w:tcW w:w="920" w:type="dxa"/>
                  <w:vAlign w:val="center"/>
                </w:tcPr>
                <w:p w14:paraId="6793D7E6">
                  <w:pPr>
                    <w:pStyle w:val="143"/>
                    <w:spacing w:line="240" w:lineRule="auto"/>
                    <w:rPr>
                      <w:color w:val="auto"/>
                      <w:sz w:val="22"/>
                      <w:szCs w:val="22"/>
                    </w:rPr>
                  </w:pPr>
                  <w:r>
                    <w:rPr>
                      <w:color w:val="auto"/>
                      <w:sz w:val="22"/>
                      <w:szCs w:val="22"/>
                    </w:rPr>
                    <w:t>已建</w:t>
                  </w:r>
                </w:p>
              </w:tc>
            </w:tr>
            <w:tr w14:paraId="76C7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blHeader/>
                <w:jc w:val="center"/>
              </w:trPr>
              <w:tc>
                <w:tcPr>
                  <w:tcW w:w="504" w:type="dxa"/>
                  <w:vMerge w:val="continue"/>
                  <w:vAlign w:val="center"/>
                </w:tcPr>
                <w:p w14:paraId="356E095C">
                  <w:pPr>
                    <w:pStyle w:val="143"/>
                    <w:spacing w:line="240" w:lineRule="auto"/>
                    <w:rPr>
                      <w:color w:val="auto"/>
                      <w:sz w:val="22"/>
                      <w:szCs w:val="22"/>
                    </w:rPr>
                  </w:pPr>
                </w:p>
              </w:tc>
              <w:tc>
                <w:tcPr>
                  <w:tcW w:w="542" w:type="dxa"/>
                  <w:vMerge w:val="continue"/>
                  <w:vAlign w:val="center"/>
                </w:tcPr>
                <w:p w14:paraId="1E4EEF7B">
                  <w:pPr>
                    <w:pStyle w:val="143"/>
                    <w:spacing w:line="240" w:lineRule="auto"/>
                    <w:rPr>
                      <w:color w:val="auto"/>
                      <w:sz w:val="22"/>
                      <w:szCs w:val="22"/>
                    </w:rPr>
                  </w:pPr>
                </w:p>
              </w:tc>
              <w:tc>
                <w:tcPr>
                  <w:tcW w:w="725" w:type="dxa"/>
                  <w:vAlign w:val="center"/>
                </w:tcPr>
                <w:p w14:paraId="2A3AD927">
                  <w:pPr>
                    <w:pStyle w:val="143"/>
                    <w:spacing w:line="240" w:lineRule="auto"/>
                    <w:rPr>
                      <w:rFonts w:hint="eastAsia" w:eastAsia="宋体"/>
                      <w:color w:val="auto"/>
                      <w:sz w:val="22"/>
                      <w:szCs w:val="22"/>
                      <w:lang w:eastAsia="zh-CN"/>
                    </w:rPr>
                  </w:pPr>
                  <w:r>
                    <w:rPr>
                      <w:rFonts w:hint="eastAsia"/>
                      <w:color w:val="auto"/>
                      <w:sz w:val="22"/>
                      <w:szCs w:val="22"/>
                      <w:lang w:eastAsia="zh-CN"/>
                    </w:rPr>
                    <w:t>危废贮存库</w:t>
                  </w:r>
                </w:p>
              </w:tc>
              <w:tc>
                <w:tcPr>
                  <w:tcW w:w="5700" w:type="dxa"/>
                  <w:vAlign w:val="center"/>
                </w:tcPr>
                <w:p w14:paraId="18CA5EAA">
                  <w:pPr>
                    <w:pStyle w:val="143"/>
                    <w:spacing w:line="240" w:lineRule="auto"/>
                    <w:rPr>
                      <w:color w:val="auto"/>
                      <w:sz w:val="22"/>
                      <w:szCs w:val="22"/>
                    </w:rPr>
                  </w:pPr>
                  <w:r>
                    <w:rPr>
                      <w:color w:val="auto"/>
                      <w:sz w:val="22"/>
                      <w:szCs w:val="22"/>
                    </w:rPr>
                    <w:t>1间布置于东地块危险品库内，约30m</w:t>
                  </w:r>
                  <w:r>
                    <w:rPr>
                      <w:color w:val="auto"/>
                      <w:sz w:val="22"/>
                      <w:szCs w:val="22"/>
                      <w:vertAlign w:val="superscript"/>
                    </w:rPr>
                    <w:t>2</w:t>
                  </w:r>
                  <w:r>
                    <w:rPr>
                      <w:color w:val="auto"/>
                      <w:sz w:val="22"/>
                      <w:szCs w:val="22"/>
                    </w:rPr>
                    <w:t>，采取“三防”措施（重点防渗措施为机械磨光地坪和表面固化剂处理），暂存厂内产生的化学品容器、废机油、含油棉纱手套等危险废物。</w:t>
                  </w:r>
                </w:p>
                <w:p w14:paraId="1AB0AB6E">
                  <w:pPr>
                    <w:pStyle w:val="143"/>
                    <w:spacing w:line="240" w:lineRule="auto"/>
                    <w:rPr>
                      <w:color w:val="auto"/>
                      <w:sz w:val="22"/>
                      <w:szCs w:val="22"/>
                    </w:rPr>
                  </w:pPr>
                  <w:r>
                    <w:rPr>
                      <w:color w:val="auto"/>
                      <w:sz w:val="22"/>
                      <w:szCs w:val="22"/>
                    </w:rPr>
                    <w:t>1间布置于西地块动力中心内，1F，面积约30m</w:t>
                  </w:r>
                  <w:r>
                    <w:rPr>
                      <w:color w:val="auto"/>
                      <w:sz w:val="22"/>
                      <w:szCs w:val="22"/>
                      <w:vertAlign w:val="superscript"/>
                    </w:rPr>
                    <w:t>2</w:t>
                  </w:r>
                  <w:r>
                    <w:rPr>
                      <w:color w:val="auto"/>
                      <w:sz w:val="22"/>
                      <w:szCs w:val="22"/>
                    </w:rPr>
                    <w:t>，采取“三防”措施（重点防渗措施为聚酯砂浆地坪）。</w:t>
                  </w:r>
                </w:p>
              </w:tc>
              <w:tc>
                <w:tcPr>
                  <w:tcW w:w="920" w:type="dxa"/>
                  <w:vAlign w:val="center"/>
                </w:tcPr>
                <w:p w14:paraId="1FAFB351">
                  <w:pPr>
                    <w:pStyle w:val="143"/>
                    <w:spacing w:line="240" w:lineRule="auto"/>
                    <w:rPr>
                      <w:color w:val="auto"/>
                      <w:sz w:val="22"/>
                      <w:szCs w:val="22"/>
                    </w:rPr>
                  </w:pPr>
                  <w:r>
                    <w:rPr>
                      <w:color w:val="auto"/>
                      <w:sz w:val="22"/>
                      <w:szCs w:val="22"/>
                    </w:rPr>
                    <w:t>已建</w:t>
                  </w:r>
                </w:p>
              </w:tc>
            </w:tr>
          </w:tbl>
          <w:p w14:paraId="1257A5E4">
            <w:pPr>
              <w:spacing w:line="460" w:lineRule="exact"/>
              <w:ind w:firstLine="522" w:firstLineChars="200"/>
              <w:rPr>
                <w:b/>
                <w:bCs/>
                <w:color w:val="auto"/>
                <w:sz w:val="26"/>
                <w:szCs w:val="26"/>
              </w:rPr>
            </w:pPr>
            <w:r>
              <w:rPr>
                <w:b/>
                <w:bCs/>
                <w:color w:val="auto"/>
                <w:sz w:val="26"/>
                <w:szCs w:val="26"/>
              </w:rPr>
              <w:t>2.13.4现有项目生产设备</w:t>
            </w:r>
          </w:p>
          <w:p w14:paraId="6FED3988">
            <w:pPr>
              <w:pStyle w:val="142"/>
              <w:spacing w:line="460" w:lineRule="exact"/>
              <w:ind w:firstLine="520" w:firstLineChars="200"/>
              <w:jc w:val="left"/>
              <w:rPr>
                <w:color w:val="auto"/>
                <w:sz w:val="26"/>
                <w:szCs w:val="26"/>
              </w:rPr>
            </w:pPr>
            <w:r>
              <w:rPr>
                <w:rFonts w:eastAsia="宋体"/>
                <w:color w:val="auto"/>
                <w:sz w:val="26"/>
                <w:szCs w:val="26"/>
              </w:rPr>
              <w:t>现有</w:t>
            </w:r>
            <w:r>
              <w:rPr>
                <w:rFonts w:hint="eastAsia" w:eastAsia="宋体"/>
                <w:color w:val="auto"/>
                <w:sz w:val="26"/>
                <w:szCs w:val="26"/>
              </w:rPr>
              <w:t>项目</w:t>
            </w:r>
            <w:r>
              <w:rPr>
                <w:rFonts w:eastAsia="宋体"/>
                <w:color w:val="auto"/>
                <w:sz w:val="26"/>
                <w:szCs w:val="26"/>
              </w:rPr>
              <w:t>生产设备件下表。</w:t>
            </w:r>
          </w:p>
          <w:p w14:paraId="2950EFA1">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-4</w:t>
            </w:r>
            <w:r>
              <w:rPr>
                <w:rFonts w:hint="eastAsia" w:eastAsia="宋体"/>
                <w:color w:val="auto"/>
                <w:sz w:val="26"/>
                <w:szCs w:val="26"/>
                <w:lang w:val="en-US" w:eastAsia="zh-CN"/>
              </w:rPr>
              <w:t xml:space="preserve">  氢燃料电池研发检测生产产线建设项目</w:t>
            </w:r>
            <w:r>
              <w:rPr>
                <w:rFonts w:eastAsia="宋体"/>
                <w:color w:val="auto"/>
                <w:sz w:val="26"/>
                <w:szCs w:val="26"/>
              </w:rPr>
              <w:t>主要生产设备一览表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679"/>
              <w:gridCol w:w="1311"/>
              <w:gridCol w:w="2086"/>
              <w:gridCol w:w="2018"/>
            </w:tblGrid>
            <w:tr w14:paraId="583B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71" w:type="pct"/>
                  <w:shd w:val="clear" w:color="auto" w:fill="auto"/>
                  <w:vAlign w:val="center"/>
                </w:tcPr>
                <w:p w14:paraId="27EEB90B">
                  <w:pPr>
                    <w:pStyle w:val="143"/>
                    <w:spacing w:line="240" w:lineRule="auto"/>
                    <w:rPr>
                      <w:color w:val="auto"/>
                      <w:sz w:val="22"/>
                      <w:szCs w:val="22"/>
                    </w:rPr>
                  </w:pPr>
                  <w:r>
                    <w:rPr>
                      <w:color w:val="auto"/>
                      <w:sz w:val="22"/>
                      <w:szCs w:val="22"/>
                    </w:rPr>
                    <w:t>设备位置</w:t>
                  </w:r>
                </w:p>
              </w:tc>
              <w:tc>
                <w:tcPr>
                  <w:tcW w:w="1781" w:type="pct"/>
                  <w:gridSpan w:val="2"/>
                  <w:shd w:val="clear" w:color="auto" w:fill="auto"/>
                  <w:vAlign w:val="center"/>
                </w:tcPr>
                <w:p w14:paraId="1383A089">
                  <w:pPr>
                    <w:pStyle w:val="143"/>
                    <w:spacing w:line="240" w:lineRule="auto"/>
                    <w:rPr>
                      <w:color w:val="auto"/>
                      <w:sz w:val="22"/>
                      <w:szCs w:val="22"/>
                    </w:rPr>
                  </w:pPr>
                  <w:r>
                    <w:rPr>
                      <w:color w:val="auto"/>
                      <w:sz w:val="22"/>
                      <w:szCs w:val="22"/>
                    </w:rPr>
                    <w:t>生产单元名称及工艺环节</w:t>
                  </w:r>
                </w:p>
              </w:tc>
              <w:tc>
                <w:tcPr>
                  <w:tcW w:w="1243" w:type="pct"/>
                  <w:shd w:val="clear" w:color="auto" w:fill="auto"/>
                  <w:vAlign w:val="center"/>
                </w:tcPr>
                <w:p w14:paraId="6C1F4311">
                  <w:pPr>
                    <w:pStyle w:val="143"/>
                    <w:spacing w:line="240" w:lineRule="auto"/>
                    <w:rPr>
                      <w:color w:val="auto"/>
                      <w:sz w:val="22"/>
                      <w:szCs w:val="22"/>
                    </w:rPr>
                  </w:pPr>
                  <w:r>
                    <w:rPr>
                      <w:color w:val="auto"/>
                      <w:sz w:val="22"/>
                      <w:szCs w:val="22"/>
                    </w:rPr>
                    <w:t>生产设施名称</w:t>
                  </w:r>
                </w:p>
              </w:tc>
              <w:tc>
                <w:tcPr>
                  <w:tcW w:w="1203" w:type="pct"/>
                  <w:shd w:val="clear" w:color="auto" w:fill="auto"/>
                  <w:vAlign w:val="center"/>
                </w:tcPr>
                <w:p w14:paraId="6650EB32">
                  <w:pPr>
                    <w:pStyle w:val="143"/>
                    <w:spacing w:line="240" w:lineRule="auto"/>
                    <w:rPr>
                      <w:color w:val="auto"/>
                      <w:sz w:val="22"/>
                      <w:szCs w:val="22"/>
                    </w:rPr>
                  </w:pPr>
                  <w:r>
                    <w:rPr>
                      <w:color w:val="auto"/>
                      <w:sz w:val="22"/>
                      <w:szCs w:val="22"/>
                    </w:rPr>
                    <w:t>设施数量</w:t>
                  </w:r>
                </w:p>
              </w:tc>
            </w:tr>
            <w:tr w14:paraId="5245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restart"/>
                  <w:shd w:val="clear" w:color="auto" w:fill="auto"/>
                  <w:vAlign w:val="center"/>
                </w:tcPr>
                <w:p w14:paraId="6CC6F6AA">
                  <w:pPr>
                    <w:pStyle w:val="143"/>
                    <w:spacing w:line="240" w:lineRule="auto"/>
                    <w:rPr>
                      <w:color w:val="auto"/>
                      <w:sz w:val="22"/>
                      <w:szCs w:val="22"/>
                    </w:rPr>
                  </w:pPr>
                  <w:r>
                    <w:rPr>
                      <w:color w:val="auto"/>
                      <w:sz w:val="22"/>
                      <w:szCs w:val="22"/>
                    </w:rPr>
                    <w:t>发动机生产车间</w:t>
                  </w:r>
                </w:p>
              </w:tc>
              <w:tc>
                <w:tcPr>
                  <w:tcW w:w="1000" w:type="pct"/>
                  <w:vMerge w:val="restart"/>
                  <w:shd w:val="clear" w:color="auto" w:fill="auto"/>
                  <w:vAlign w:val="center"/>
                </w:tcPr>
                <w:p w14:paraId="103E6B74">
                  <w:pPr>
                    <w:pStyle w:val="143"/>
                    <w:spacing w:line="240" w:lineRule="auto"/>
                    <w:rPr>
                      <w:color w:val="auto"/>
                      <w:sz w:val="22"/>
                      <w:szCs w:val="22"/>
                    </w:rPr>
                  </w:pPr>
                  <w:r>
                    <w:rPr>
                      <w:color w:val="auto"/>
                      <w:sz w:val="22"/>
                      <w:szCs w:val="22"/>
                    </w:rPr>
                    <w:t>阳极系统装配线</w:t>
                  </w:r>
                </w:p>
              </w:tc>
              <w:tc>
                <w:tcPr>
                  <w:tcW w:w="780" w:type="pct"/>
                  <w:shd w:val="clear" w:color="auto" w:fill="auto"/>
                  <w:vAlign w:val="center"/>
                </w:tcPr>
                <w:p w14:paraId="55126D9D">
                  <w:pPr>
                    <w:pStyle w:val="143"/>
                    <w:spacing w:line="240" w:lineRule="auto"/>
                    <w:rPr>
                      <w:color w:val="auto"/>
                      <w:sz w:val="22"/>
                      <w:szCs w:val="22"/>
                    </w:rPr>
                  </w:pPr>
                  <w:r>
                    <w:rPr>
                      <w:color w:val="auto"/>
                      <w:sz w:val="22"/>
                      <w:szCs w:val="22"/>
                    </w:rPr>
                    <w:t>预装</w:t>
                  </w:r>
                </w:p>
              </w:tc>
              <w:tc>
                <w:tcPr>
                  <w:tcW w:w="1243" w:type="pct"/>
                  <w:shd w:val="clear" w:color="auto" w:fill="auto"/>
                  <w:vAlign w:val="center"/>
                </w:tcPr>
                <w:p w14:paraId="329F25EC">
                  <w:pPr>
                    <w:pStyle w:val="143"/>
                    <w:spacing w:line="240" w:lineRule="auto"/>
                    <w:rPr>
                      <w:color w:val="auto"/>
                      <w:sz w:val="22"/>
                      <w:szCs w:val="22"/>
                    </w:rPr>
                  </w:pPr>
                  <w:r>
                    <w:rPr>
                      <w:color w:val="auto"/>
                      <w:sz w:val="22"/>
                      <w:szCs w:val="22"/>
                    </w:rPr>
                    <w:t>预装台</w:t>
                  </w:r>
                </w:p>
              </w:tc>
              <w:tc>
                <w:tcPr>
                  <w:tcW w:w="1203" w:type="pct"/>
                  <w:shd w:val="clear" w:color="auto" w:fill="auto"/>
                  <w:vAlign w:val="center"/>
                </w:tcPr>
                <w:p w14:paraId="55675309">
                  <w:pPr>
                    <w:pStyle w:val="143"/>
                    <w:spacing w:line="240" w:lineRule="auto"/>
                    <w:rPr>
                      <w:color w:val="auto"/>
                      <w:sz w:val="22"/>
                      <w:szCs w:val="22"/>
                    </w:rPr>
                  </w:pPr>
                  <w:r>
                    <w:rPr>
                      <w:color w:val="auto"/>
                      <w:sz w:val="22"/>
                      <w:szCs w:val="22"/>
                    </w:rPr>
                    <w:t>2套</w:t>
                  </w:r>
                </w:p>
              </w:tc>
            </w:tr>
            <w:tr w14:paraId="5055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771" w:type="pct"/>
                  <w:vMerge w:val="continue"/>
                  <w:shd w:val="clear" w:color="auto" w:fill="auto"/>
                  <w:vAlign w:val="center"/>
                </w:tcPr>
                <w:p w14:paraId="02F9C38D">
                  <w:pPr>
                    <w:pStyle w:val="143"/>
                    <w:spacing w:line="240" w:lineRule="auto"/>
                    <w:rPr>
                      <w:color w:val="auto"/>
                      <w:sz w:val="22"/>
                      <w:szCs w:val="22"/>
                    </w:rPr>
                  </w:pPr>
                </w:p>
              </w:tc>
              <w:tc>
                <w:tcPr>
                  <w:tcW w:w="1000" w:type="pct"/>
                  <w:vMerge w:val="continue"/>
                  <w:shd w:val="clear" w:color="auto" w:fill="auto"/>
                  <w:vAlign w:val="center"/>
                </w:tcPr>
                <w:p w14:paraId="749AE187">
                  <w:pPr>
                    <w:pStyle w:val="143"/>
                    <w:spacing w:line="240" w:lineRule="auto"/>
                    <w:rPr>
                      <w:color w:val="auto"/>
                      <w:sz w:val="22"/>
                      <w:szCs w:val="22"/>
                    </w:rPr>
                  </w:pPr>
                </w:p>
              </w:tc>
              <w:tc>
                <w:tcPr>
                  <w:tcW w:w="780" w:type="pct"/>
                  <w:shd w:val="clear" w:color="auto" w:fill="auto"/>
                  <w:vAlign w:val="center"/>
                </w:tcPr>
                <w:p w14:paraId="339F2407">
                  <w:pPr>
                    <w:pStyle w:val="143"/>
                    <w:spacing w:line="240" w:lineRule="auto"/>
                    <w:rPr>
                      <w:color w:val="auto"/>
                      <w:sz w:val="22"/>
                      <w:szCs w:val="22"/>
                    </w:rPr>
                  </w:pPr>
                  <w:r>
                    <w:rPr>
                      <w:color w:val="auto"/>
                      <w:sz w:val="22"/>
                      <w:szCs w:val="22"/>
                    </w:rPr>
                    <w:t>总装</w:t>
                  </w:r>
                </w:p>
              </w:tc>
              <w:tc>
                <w:tcPr>
                  <w:tcW w:w="1243" w:type="pct"/>
                  <w:shd w:val="clear" w:color="auto" w:fill="auto"/>
                  <w:vAlign w:val="center"/>
                </w:tcPr>
                <w:p w14:paraId="78A6FAE0">
                  <w:pPr>
                    <w:pStyle w:val="143"/>
                    <w:spacing w:line="240" w:lineRule="auto"/>
                    <w:rPr>
                      <w:color w:val="auto"/>
                      <w:sz w:val="22"/>
                      <w:szCs w:val="22"/>
                    </w:rPr>
                  </w:pPr>
                  <w:r>
                    <w:rPr>
                      <w:color w:val="auto"/>
                      <w:sz w:val="22"/>
                      <w:szCs w:val="22"/>
                    </w:rPr>
                    <w:t>总装台</w:t>
                  </w:r>
                </w:p>
              </w:tc>
              <w:tc>
                <w:tcPr>
                  <w:tcW w:w="1203" w:type="pct"/>
                  <w:shd w:val="clear" w:color="auto" w:fill="auto"/>
                  <w:vAlign w:val="center"/>
                </w:tcPr>
                <w:p w14:paraId="6C765A8E">
                  <w:pPr>
                    <w:pStyle w:val="143"/>
                    <w:spacing w:line="240" w:lineRule="auto"/>
                    <w:rPr>
                      <w:color w:val="auto"/>
                      <w:sz w:val="22"/>
                      <w:szCs w:val="22"/>
                    </w:rPr>
                  </w:pPr>
                  <w:r>
                    <w:rPr>
                      <w:color w:val="auto"/>
                      <w:sz w:val="22"/>
                      <w:szCs w:val="22"/>
                    </w:rPr>
                    <w:t>2套</w:t>
                  </w:r>
                </w:p>
              </w:tc>
            </w:tr>
            <w:tr w14:paraId="72B9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01C0EF8E">
                  <w:pPr>
                    <w:pStyle w:val="143"/>
                    <w:spacing w:line="240" w:lineRule="auto"/>
                    <w:rPr>
                      <w:color w:val="auto"/>
                      <w:sz w:val="22"/>
                      <w:szCs w:val="22"/>
                    </w:rPr>
                  </w:pPr>
                </w:p>
              </w:tc>
              <w:tc>
                <w:tcPr>
                  <w:tcW w:w="1000" w:type="pct"/>
                  <w:vMerge w:val="restart"/>
                  <w:shd w:val="clear" w:color="auto" w:fill="auto"/>
                  <w:vAlign w:val="center"/>
                </w:tcPr>
                <w:p w14:paraId="56512D0B">
                  <w:pPr>
                    <w:pStyle w:val="143"/>
                    <w:spacing w:line="240" w:lineRule="auto"/>
                    <w:rPr>
                      <w:color w:val="auto"/>
                      <w:sz w:val="22"/>
                      <w:szCs w:val="22"/>
                    </w:rPr>
                  </w:pPr>
                  <w:r>
                    <w:rPr>
                      <w:color w:val="auto"/>
                      <w:sz w:val="22"/>
                      <w:szCs w:val="22"/>
                    </w:rPr>
                    <w:t>冷却系统装配线</w:t>
                  </w:r>
                </w:p>
              </w:tc>
              <w:tc>
                <w:tcPr>
                  <w:tcW w:w="780" w:type="pct"/>
                  <w:shd w:val="clear" w:color="auto" w:fill="auto"/>
                  <w:vAlign w:val="center"/>
                </w:tcPr>
                <w:p w14:paraId="3FBDECD1">
                  <w:pPr>
                    <w:pStyle w:val="143"/>
                    <w:spacing w:line="240" w:lineRule="auto"/>
                    <w:rPr>
                      <w:color w:val="auto"/>
                      <w:sz w:val="22"/>
                      <w:szCs w:val="22"/>
                    </w:rPr>
                  </w:pPr>
                  <w:r>
                    <w:rPr>
                      <w:color w:val="auto"/>
                      <w:sz w:val="22"/>
                      <w:szCs w:val="22"/>
                    </w:rPr>
                    <w:t>预装</w:t>
                  </w:r>
                </w:p>
              </w:tc>
              <w:tc>
                <w:tcPr>
                  <w:tcW w:w="1243" w:type="pct"/>
                  <w:shd w:val="clear" w:color="auto" w:fill="auto"/>
                  <w:vAlign w:val="center"/>
                </w:tcPr>
                <w:p w14:paraId="2A7FB089">
                  <w:pPr>
                    <w:pStyle w:val="143"/>
                    <w:spacing w:line="240" w:lineRule="auto"/>
                    <w:rPr>
                      <w:color w:val="auto"/>
                      <w:sz w:val="22"/>
                      <w:szCs w:val="22"/>
                    </w:rPr>
                  </w:pPr>
                  <w:r>
                    <w:rPr>
                      <w:color w:val="auto"/>
                      <w:sz w:val="22"/>
                      <w:szCs w:val="22"/>
                    </w:rPr>
                    <w:t>预装台</w:t>
                  </w:r>
                </w:p>
              </w:tc>
              <w:tc>
                <w:tcPr>
                  <w:tcW w:w="1203" w:type="pct"/>
                  <w:shd w:val="clear" w:color="auto" w:fill="auto"/>
                  <w:vAlign w:val="center"/>
                </w:tcPr>
                <w:p w14:paraId="1BE9F7B7">
                  <w:pPr>
                    <w:pStyle w:val="143"/>
                    <w:spacing w:line="240" w:lineRule="auto"/>
                    <w:rPr>
                      <w:color w:val="auto"/>
                      <w:sz w:val="22"/>
                      <w:szCs w:val="22"/>
                    </w:rPr>
                  </w:pPr>
                  <w:r>
                    <w:rPr>
                      <w:color w:val="auto"/>
                      <w:sz w:val="22"/>
                      <w:szCs w:val="22"/>
                    </w:rPr>
                    <w:t>2套</w:t>
                  </w:r>
                </w:p>
              </w:tc>
            </w:tr>
            <w:tr w14:paraId="1757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55D961A3">
                  <w:pPr>
                    <w:pStyle w:val="143"/>
                    <w:spacing w:line="240" w:lineRule="auto"/>
                    <w:rPr>
                      <w:color w:val="auto"/>
                      <w:sz w:val="22"/>
                      <w:szCs w:val="22"/>
                    </w:rPr>
                  </w:pPr>
                </w:p>
              </w:tc>
              <w:tc>
                <w:tcPr>
                  <w:tcW w:w="1000" w:type="pct"/>
                  <w:vMerge w:val="continue"/>
                  <w:shd w:val="clear" w:color="auto" w:fill="auto"/>
                  <w:vAlign w:val="center"/>
                </w:tcPr>
                <w:p w14:paraId="07F6C75D">
                  <w:pPr>
                    <w:pStyle w:val="143"/>
                    <w:spacing w:line="240" w:lineRule="auto"/>
                    <w:rPr>
                      <w:color w:val="auto"/>
                      <w:sz w:val="22"/>
                      <w:szCs w:val="22"/>
                    </w:rPr>
                  </w:pPr>
                </w:p>
              </w:tc>
              <w:tc>
                <w:tcPr>
                  <w:tcW w:w="780" w:type="pct"/>
                  <w:shd w:val="clear" w:color="auto" w:fill="auto"/>
                  <w:vAlign w:val="center"/>
                </w:tcPr>
                <w:p w14:paraId="69D27F03">
                  <w:pPr>
                    <w:pStyle w:val="143"/>
                    <w:spacing w:line="240" w:lineRule="auto"/>
                    <w:rPr>
                      <w:color w:val="auto"/>
                      <w:sz w:val="22"/>
                      <w:szCs w:val="22"/>
                    </w:rPr>
                  </w:pPr>
                  <w:r>
                    <w:rPr>
                      <w:color w:val="auto"/>
                      <w:sz w:val="22"/>
                      <w:szCs w:val="22"/>
                    </w:rPr>
                    <w:t>总装</w:t>
                  </w:r>
                </w:p>
              </w:tc>
              <w:tc>
                <w:tcPr>
                  <w:tcW w:w="1243" w:type="pct"/>
                  <w:shd w:val="clear" w:color="auto" w:fill="auto"/>
                  <w:vAlign w:val="center"/>
                </w:tcPr>
                <w:p w14:paraId="5A723FC5">
                  <w:pPr>
                    <w:pStyle w:val="143"/>
                    <w:spacing w:line="240" w:lineRule="auto"/>
                    <w:rPr>
                      <w:color w:val="auto"/>
                      <w:sz w:val="22"/>
                      <w:szCs w:val="22"/>
                    </w:rPr>
                  </w:pPr>
                  <w:r>
                    <w:rPr>
                      <w:color w:val="auto"/>
                      <w:sz w:val="22"/>
                      <w:szCs w:val="22"/>
                    </w:rPr>
                    <w:t>总装台</w:t>
                  </w:r>
                </w:p>
              </w:tc>
              <w:tc>
                <w:tcPr>
                  <w:tcW w:w="1203" w:type="pct"/>
                  <w:shd w:val="clear" w:color="auto" w:fill="auto"/>
                  <w:vAlign w:val="center"/>
                </w:tcPr>
                <w:p w14:paraId="21E1A4AA">
                  <w:pPr>
                    <w:pStyle w:val="143"/>
                    <w:spacing w:line="240" w:lineRule="auto"/>
                    <w:rPr>
                      <w:color w:val="auto"/>
                      <w:sz w:val="22"/>
                      <w:szCs w:val="22"/>
                    </w:rPr>
                  </w:pPr>
                  <w:r>
                    <w:rPr>
                      <w:color w:val="auto"/>
                      <w:sz w:val="22"/>
                      <w:szCs w:val="22"/>
                    </w:rPr>
                    <w:t>2套</w:t>
                  </w:r>
                </w:p>
              </w:tc>
            </w:tr>
            <w:tr w14:paraId="3016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15347306">
                  <w:pPr>
                    <w:pStyle w:val="143"/>
                    <w:spacing w:line="240" w:lineRule="auto"/>
                    <w:rPr>
                      <w:color w:val="auto"/>
                      <w:sz w:val="22"/>
                      <w:szCs w:val="22"/>
                    </w:rPr>
                  </w:pPr>
                </w:p>
              </w:tc>
              <w:tc>
                <w:tcPr>
                  <w:tcW w:w="1000" w:type="pct"/>
                  <w:vMerge w:val="restart"/>
                  <w:shd w:val="clear" w:color="auto" w:fill="auto"/>
                  <w:vAlign w:val="center"/>
                </w:tcPr>
                <w:p w14:paraId="10A7328A">
                  <w:pPr>
                    <w:pStyle w:val="143"/>
                    <w:spacing w:line="240" w:lineRule="auto"/>
                    <w:rPr>
                      <w:color w:val="auto"/>
                      <w:sz w:val="22"/>
                      <w:szCs w:val="22"/>
                    </w:rPr>
                  </w:pPr>
                  <w:r>
                    <w:rPr>
                      <w:color w:val="auto"/>
                      <w:sz w:val="22"/>
                      <w:szCs w:val="22"/>
                    </w:rPr>
                    <w:t>阴极系统装配线</w:t>
                  </w:r>
                </w:p>
              </w:tc>
              <w:tc>
                <w:tcPr>
                  <w:tcW w:w="780" w:type="pct"/>
                  <w:shd w:val="clear" w:color="auto" w:fill="auto"/>
                  <w:vAlign w:val="center"/>
                </w:tcPr>
                <w:p w14:paraId="731CE114">
                  <w:pPr>
                    <w:pStyle w:val="143"/>
                    <w:spacing w:line="240" w:lineRule="auto"/>
                    <w:rPr>
                      <w:color w:val="auto"/>
                      <w:sz w:val="22"/>
                      <w:szCs w:val="22"/>
                    </w:rPr>
                  </w:pPr>
                  <w:r>
                    <w:rPr>
                      <w:color w:val="auto"/>
                      <w:sz w:val="22"/>
                      <w:szCs w:val="22"/>
                    </w:rPr>
                    <w:t>预装</w:t>
                  </w:r>
                </w:p>
              </w:tc>
              <w:tc>
                <w:tcPr>
                  <w:tcW w:w="1243" w:type="pct"/>
                  <w:shd w:val="clear" w:color="auto" w:fill="auto"/>
                  <w:vAlign w:val="center"/>
                </w:tcPr>
                <w:p w14:paraId="4DBAC1E7">
                  <w:pPr>
                    <w:pStyle w:val="143"/>
                    <w:spacing w:line="240" w:lineRule="auto"/>
                    <w:rPr>
                      <w:color w:val="auto"/>
                      <w:sz w:val="22"/>
                      <w:szCs w:val="22"/>
                    </w:rPr>
                  </w:pPr>
                  <w:r>
                    <w:rPr>
                      <w:color w:val="auto"/>
                      <w:sz w:val="22"/>
                      <w:szCs w:val="22"/>
                    </w:rPr>
                    <w:t>预装台</w:t>
                  </w:r>
                </w:p>
              </w:tc>
              <w:tc>
                <w:tcPr>
                  <w:tcW w:w="1203" w:type="pct"/>
                  <w:shd w:val="clear" w:color="auto" w:fill="auto"/>
                  <w:vAlign w:val="center"/>
                </w:tcPr>
                <w:p w14:paraId="19BA2F5B">
                  <w:pPr>
                    <w:pStyle w:val="143"/>
                    <w:spacing w:line="240" w:lineRule="auto"/>
                    <w:rPr>
                      <w:color w:val="auto"/>
                      <w:sz w:val="22"/>
                      <w:szCs w:val="22"/>
                    </w:rPr>
                  </w:pPr>
                  <w:r>
                    <w:rPr>
                      <w:color w:val="auto"/>
                      <w:sz w:val="22"/>
                      <w:szCs w:val="22"/>
                    </w:rPr>
                    <w:t>2套</w:t>
                  </w:r>
                </w:p>
              </w:tc>
            </w:tr>
            <w:tr w14:paraId="7692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54584CBD">
                  <w:pPr>
                    <w:pStyle w:val="143"/>
                    <w:spacing w:line="240" w:lineRule="auto"/>
                    <w:rPr>
                      <w:color w:val="auto"/>
                      <w:sz w:val="22"/>
                      <w:szCs w:val="22"/>
                    </w:rPr>
                  </w:pPr>
                </w:p>
              </w:tc>
              <w:tc>
                <w:tcPr>
                  <w:tcW w:w="1000" w:type="pct"/>
                  <w:vMerge w:val="continue"/>
                  <w:shd w:val="clear" w:color="auto" w:fill="auto"/>
                  <w:vAlign w:val="center"/>
                </w:tcPr>
                <w:p w14:paraId="0203057E">
                  <w:pPr>
                    <w:pStyle w:val="143"/>
                    <w:spacing w:line="240" w:lineRule="auto"/>
                    <w:rPr>
                      <w:color w:val="auto"/>
                      <w:sz w:val="22"/>
                      <w:szCs w:val="22"/>
                    </w:rPr>
                  </w:pPr>
                </w:p>
              </w:tc>
              <w:tc>
                <w:tcPr>
                  <w:tcW w:w="780" w:type="pct"/>
                  <w:shd w:val="clear" w:color="auto" w:fill="auto"/>
                  <w:vAlign w:val="center"/>
                </w:tcPr>
                <w:p w14:paraId="104367C6">
                  <w:pPr>
                    <w:pStyle w:val="143"/>
                    <w:spacing w:line="240" w:lineRule="auto"/>
                    <w:rPr>
                      <w:color w:val="auto"/>
                      <w:sz w:val="22"/>
                      <w:szCs w:val="22"/>
                    </w:rPr>
                  </w:pPr>
                  <w:r>
                    <w:rPr>
                      <w:color w:val="auto"/>
                      <w:sz w:val="22"/>
                      <w:szCs w:val="22"/>
                    </w:rPr>
                    <w:t>总装</w:t>
                  </w:r>
                </w:p>
              </w:tc>
              <w:tc>
                <w:tcPr>
                  <w:tcW w:w="1243" w:type="pct"/>
                  <w:shd w:val="clear" w:color="auto" w:fill="auto"/>
                  <w:vAlign w:val="center"/>
                </w:tcPr>
                <w:p w14:paraId="3C97C5D3">
                  <w:pPr>
                    <w:pStyle w:val="143"/>
                    <w:spacing w:line="240" w:lineRule="auto"/>
                    <w:rPr>
                      <w:color w:val="auto"/>
                      <w:sz w:val="22"/>
                      <w:szCs w:val="22"/>
                    </w:rPr>
                  </w:pPr>
                  <w:r>
                    <w:rPr>
                      <w:color w:val="auto"/>
                      <w:sz w:val="22"/>
                      <w:szCs w:val="22"/>
                    </w:rPr>
                    <w:t>总装台</w:t>
                  </w:r>
                </w:p>
              </w:tc>
              <w:tc>
                <w:tcPr>
                  <w:tcW w:w="1203" w:type="pct"/>
                  <w:shd w:val="clear" w:color="auto" w:fill="auto"/>
                  <w:vAlign w:val="center"/>
                </w:tcPr>
                <w:p w14:paraId="310876D2">
                  <w:pPr>
                    <w:pStyle w:val="143"/>
                    <w:spacing w:line="240" w:lineRule="auto"/>
                    <w:rPr>
                      <w:color w:val="auto"/>
                      <w:sz w:val="22"/>
                      <w:szCs w:val="22"/>
                    </w:rPr>
                  </w:pPr>
                  <w:r>
                    <w:rPr>
                      <w:color w:val="auto"/>
                      <w:sz w:val="22"/>
                      <w:szCs w:val="22"/>
                    </w:rPr>
                    <w:t>2套</w:t>
                  </w:r>
                </w:p>
              </w:tc>
            </w:tr>
            <w:tr w14:paraId="471A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4E8A07FA">
                  <w:pPr>
                    <w:pStyle w:val="143"/>
                    <w:spacing w:line="240" w:lineRule="auto"/>
                    <w:rPr>
                      <w:color w:val="auto"/>
                      <w:sz w:val="22"/>
                      <w:szCs w:val="22"/>
                    </w:rPr>
                  </w:pPr>
                </w:p>
              </w:tc>
              <w:tc>
                <w:tcPr>
                  <w:tcW w:w="1000" w:type="pct"/>
                  <w:shd w:val="clear" w:color="auto" w:fill="auto"/>
                  <w:vAlign w:val="center"/>
                </w:tcPr>
                <w:p w14:paraId="1DB2D80B">
                  <w:pPr>
                    <w:pStyle w:val="143"/>
                    <w:spacing w:line="240" w:lineRule="auto"/>
                    <w:rPr>
                      <w:color w:val="auto"/>
                      <w:sz w:val="22"/>
                      <w:szCs w:val="22"/>
                    </w:rPr>
                  </w:pPr>
                  <w:r>
                    <w:rPr>
                      <w:color w:val="auto"/>
                      <w:sz w:val="22"/>
                      <w:szCs w:val="22"/>
                    </w:rPr>
                    <w:t>线束装配</w:t>
                  </w:r>
                </w:p>
              </w:tc>
              <w:tc>
                <w:tcPr>
                  <w:tcW w:w="780" w:type="pct"/>
                  <w:shd w:val="clear" w:color="auto" w:fill="auto"/>
                  <w:vAlign w:val="center"/>
                </w:tcPr>
                <w:p w14:paraId="6D44C8F7">
                  <w:pPr>
                    <w:pStyle w:val="143"/>
                    <w:spacing w:line="240" w:lineRule="auto"/>
                    <w:rPr>
                      <w:color w:val="auto"/>
                      <w:sz w:val="22"/>
                      <w:szCs w:val="22"/>
                    </w:rPr>
                  </w:pPr>
                  <w:r>
                    <w:rPr>
                      <w:color w:val="auto"/>
                      <w:sz w:val="22"/>
                      <w:szCs w:val="22"/>
                    </w:rPr>
                    <w:t>装配</w:t>
                  </w:r>
                </w:p>
              </w:tc>
              <w:tc>
                <w:tcPr>
                  <w:tcW w:w="1243" w:type="pct"/>
                  <w:shd w:val="clear" w:color="auto" w:fill="auto"/>
                  <w:vAlign w:val="center"/>
                </w:tcPr>
                <w:p w14:paraId="4495AF7B">
                  <w:pPr>
                    <w:pStyle w:val="143"/>
                    <w:spacing w:line="240" w:lineRule="auto"/>
                    <w:rPr>
                      <w:color w:val="auto"/>
                      <w:sz w:val="22"/>
                      <w:szCs w:val="22"/>
                    </w:rPr>
                  </w:pPr>
                  <w:r>
                    <w:rPr>
                      <w:color w:val="auto"/>
                      <w:sz w:val="22"/>
                      <w:szCs w:val="22"/>
                    </w:rPr>
                    <w:t>线束装配台</w:t>
                  </w:r>
                </w:p>
              </w:tc>
              <w:tc>
                <w:tcPr>
                  <w:tcW w:w="1203" w:type="pct"/>
                  <w:shd w:val="clear" w:color="auto" w:fill="auto"/>
                  <w:vAlign w:val="center"/>
                </w:tcPr>
                <w:p w14:paraId="672B74BF">
                  <w:pPr>
                    <w:pStyle w:val="143"/>
                    <w:spacing w:line="240" w:lineRule="auto"/>
                    <w:rPr>
                      <w:color w:val="auto"/>
                      <w:sz w:val="22"/>
                      <w:szCs w:val="22"/>
                    </w:rPr>
                  </w:pPr>
                  <w:r>
                    <w:rPr>
                      <w:color w:val="auto"/>
                      <w:sz w:val="22"/>
                      <w:szCs w:val="22"/>
                    </w:rPr>
                    <w:t>2套</w:t>
                  </w:r>
                </w:p>
              </w:tc>
            </w:tr>
            <w:tr w14:paraId="6BD4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7932E1EA">
                  <w:pPr>
                    <w:pStyle w:val="143"/>
                    <w:spacing w:line="240" w:lineRule="auto"/>
                    <w:rPr>
                      <w:color w:val="auto"/>
                      <w:sz w:val="22"/>
                      <w:szCs w:val="22"/>
                    </w:rPr>
                  </w:pPr>
                </w:p>
              </w:tc>
              <w:tc>
                <w:tcPr>
                  <w:tcW w:w="1000" w:type="pct"/>
                  <w:shd w:val="clear" w:color="auto" w:fill="auto"/>
                  <w:vAlign w:val="center"/>
                </w:tcPr>
                <w:p w14:paraId="36AA0055">
                  <w:pPr>
                    <w:pStyle w:val="143"/>
                    <w:spacing w:line="240" w:lineRule="auto"/>
                    <w:rPr>
                      <w:color w:val="auto"/>
                      <w:sz w:val="22"/>
                      <w:szCs w:val="22"/>
                    </w:rPr>
                  </w:pPr>
                  <w:r>
                    <w:rPr>
                      <w:color w:val="auto"/>
                      <w:sz w:val="22"/>
                      <w:szCs w:val="22"/>
                    </w:rPr>
                    <w:t>泄漏测试</w:t>
                  </w:r>
                </w:p>
              </w:tc>
              <w:tc>
                <w:tcPr>
                  <w:tcW w:w="780" w:type="pct"/>
                  <w:shd w:val="clear" w:color="auto" w:fill="auto"/>
                  <w:vAlign w:val="center"/>
                </w:tcPr>
                <w:p w14:paraId="7D6FA576">
                  <w:pPr>
                    <w:pStyle w:val="143"/>
                    <w:spacing w:line="240" w:lineRule="auto"/>
                    <w:rPr>
                      <w:color w:val="auto"/>
                      <w:sz w:val="22"/>
                      <w:szCs w:val="22"/>
                    </w:rPr>
                  </w:pPr>
                  <w:r>
                    <w:rPr>
                      <w:color w:val="auto"/>
                      <w:sz w:val="22"/>
                      <w:szCs w:val="22"/>
                    </w:rPr>
                    <w:t>测试</w:t>
                  </w:r>
                </w:p>
              </w:tc>
              <w:tc>
                <w:tcPr>
                  <w:tcW w:w="1243" w:type="pct"/>
                  <w:shd w:val="clear" w:color="auto" w:fill="auto"/>
                  <w:vAlign w:val="center"/>
                </w:tcPr>
                <w:p w14:paraId="77D7A01E">
                  <w:pPr>
                    <w:pStyle w:val="143"/>
                    <w:spacing w:line="240" w:lineRule="auto"/>
                    <w:rPr>
                      <w:color w:val="auto"/>
                      <w:sz w:val="22"/>
                      <w:szCs w:val="22"/>
                    </w:rPr>
                  </w:pPr>
                  <w:r>
                    <w:rPr>
                      <w:color w:val="auto"/>
                      <w:sz w:val="22"/>
                      <w:szCs w:val="22"/>
                    </w:rPr>
                    <w:t>泄漏测试台</w:t>
                  </w:r>
                </w:p>
              </w:tc>
              <w:tc>
                <w:tcPr>
                  <w:tcW w:w="1203" w:type="pct"/>
                  <w:shd w:val="clear" w:color="auto" w:fill="auto"/>
                  <w:vAlign w:val="center"/>
                </w:tcPr>
                <w:p w14:paraId="69D2A1F6">
                  <w:pPr>
                    <w:pStyle w:val="143"/>
                    <w:spacing w:line="240" w:lineRule="auto"/>
                    <w:rPr>
                      <w:color w:val="auto"/>
                      <w:sz w:val="22"/>
                      <w:szCs w:val="22"/>
                    </w:rPr>
                  </w:pPr>
                  <w:r>
                    <w:rPr>
                      <w:color w:val="auto"/>
                      <w:sz w:val="22"/>
                      <w:szCs w:val="22"/>
                    </w:rPr>
                    <w:t>5台</w:t>
                  </w:r>
                </w:p>
              </w:tc>
            </w:tr>
            <w:tr w14:paraId="2CD3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00B9C748">
                  <w:pPr>
                    <w:pStyle w:val="143"/>
                    <w:spacing w:line="240" w:lineRule="auto"/>
                    <w:rPr>
                      <w:color w:val="auto"/>
                      <w:sz w:val="22"/>
                      <w:szCs w:val="22"/>
                    </w:rPr>
                  </w:pPr>
                </w:p>
              </w:tc>
              <w:tc>
                <w:tcPr>
                  <w:tcW w:w="1000" w:type="pct"/>
                  <w:shd w:val="clear" w:color="auto" w:fill="auto"/>
                  <w:vAlign w:val="center"/>
                </w:tcPr>
                <w:p w14:paraId="15770337">
                  <w:pPr>
                    <w:pStyle w:val="143"/>
                    <w:spacing w:line="240" w:lineRule="auto"/>
                    <w:rPr>
                      <w:color w:val="auto"/>
                      <w:sz w:val="22"/>
                      <w:szCs w:val="22"/>
                    </w:rPr>
                  </w:pPr>
                  <w:r>
                    <w:rPr>
                      <w:color w:val="auto"/>
                      <w:sz w:val="22"/>
                      <w:szCs w:val="22"/>
                    </w:rPr>
                    <w:t>功能测试</w:t>
                  </w:r>
                </w:p>
              </w:tc>
              <w:tc>
                <w:tcPr>
                  <w:tcW w:w="780" w:type="pct"/>
                  <w:shd w:val="clear" w:color="auto" w:fill="auto"/>
                  <w:vAlign w:val="center"/>
                </w:tcPr>
                <w:p w14:paraId="15830C72">
                  <w:pPr>
                    <w:pStyle w:val="143"/>
                    <w:spacing w:line="240" w:lineRule="auto"/>
                    <w:rPr>
                      <w:color w:val="auto"/>
                      <w:sz w:val="22"/>
                      <w:szCs w:val="22"/>
                    </w:rPr>
                  </w:pPr>
                  <w:r>
                    <w:rPr>
                      <w:color w:val="auto"/>
                      <w:sz w:val="22"/>
                      <w:szCs w:val="22"/>
                    </w:rPr>
                    <w:t>测试</w:t>
                  </w:r>
                </w:p>
              </w:tc>
              <w:tc>
                <w:tcPr>
                  <w:tcW w:w="1243" w:type="pct"/>
                  <w:shd w:val="clear" w:color="auto" w:fill="auto"/>
                  <w:vAlign w:val="center"/>
                </w:tcPr>
                <w:p w14:paraId="676E0CFF">
                  <w:pPr>
                    <w:pStyle w:val="143"/>
                    <w:spacing w:line="240" w:lineRule="auto"/>
                    <w:rPr>
                      <w:color w:val="auto"/>
                      <w:sz w:val="22"/>
                      <w:szCs w:val="22"/>
                    </w:rPr>
                  </w:pPr>
                  <w:r>
                    <w:rPr>
                      <w:color w:val="auto"/>
                      <w:sz w:val="22"/>
                      <w:szCs w:val="22"/>
                    </w:rPr>
                    <w:t>功能测试台</w:t>
                  </w:r>
                </w:p>
              </w:tc>
              <w:tc>
                <w:tcPr>
                  <w:tcW w:w="1203" w:type="pct"/>
                  <w:shd w:val="clear" w:color="auto" w:fill="auto"/>
                  <w:vAlign w:val="center"/>
                </w:tcPr>
                <w:p w14:paraId="2EF4AB6D">
                  <w:pPr>
                    <w:pStyle w:val="143"/>
                    <w:spacing w:line="240" w:lineRule="auto"/>
                    <w:rPr>
                      <w:color w:val="auto"/>
                      <w:sz w:val="22"/>
                      <w:szCs w:val="22"/>
                    </w:rPr>
                  </w:pPr>
                  <w:r>
                    <w:rPr>
                      <w:color w:val="auto"/>
                      <w:sz w:val="22"/>
                      <w:szCs w:val="22"/>
                    </w:rPr>
                    <w:t>1台</w:t>
                  </w:r>
                </w:p>
              </w:tc>
            </w:tr>
            <w:tr w14:paraId="7ADC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4B89CC41">
                  <w:pPr>
                    <w:pStyle w:val="143"/>
                    <w:spacing w:line="240" w:lineRule="auto"/>
                    <w:rPr>
                      <w:color w:val="auto"/>
                      <w:sz w:val="22"/>
                      <w:szCs w:val="22"/>
                    </w:rPr>
                  </w:pPr>
                </w:p>
              </w:tc>
              <w:tc>
                <w:tcPr>
                  <w:tcW w:w="1000" w:type="pct"/>
                  <w:shd w:val="clear" w:color="auto" w:fill="auto"/>
                  <w:vAlign w:val="center"/>
                </w:tcPr>
                <w:p w14:paraId="01400FDD">
                  <w:pPr>
                    <w:pStyle w:val="143"/>
                    <w:spacing w:line="240" w:lineRule="auto"/>
                    <w:rPr>
                      <w:color w:val="auto"/>
                      <w:sz w:val="22"/>
                      <w:szCs w:val="22"/>
                    </w:rPr>
                  </w:pPr>
                  <w:r>
                    <w:rPr>
                      <w:color w:val="auto"/>
                      <w:sz w:val="22"/>
                      <w:szCs w:val="22"/>
                    </w:rPr>
                    <w:t>目检包装</w:t>
                  </w:r>
                </w:p>
              </w:tc>
              <w:tc>
                <w:tcPr>
                  <w:tcW w:w="780" w:type="pct"/>
                  <w:shd w:val="clear" w:color="auto" w:fill="auto"/>
                  <w:vAlign w:val="center"/>
                </w:tcPr>
                <w:p w14:paraId="340C0040">
                  <w:pPr>
                    <w:pStyle w:val="143"/>
                    <w:spacing w:line="240" w:lineRule="auto"/>
                    <w:rPr>
                      <w:color w:val="auto"/>
                      <w:sz w:val="22"/>
                      <w:szCs w:val="22"/>
                    </w:rPr>
                  </w:pPr>
                  <w:r>
                    <w:rPr>
                      <w:color w:val="auto"/>
                      <w:sz w:val="22"/>
                      <w:szCs w:val="22"/>
                    </w:rPr>
                    <w:t>目检包装</w:t>
                  </w:r>
                </w:p>
              </w:tc>
              <w:tc>
                <w:tcPr>
                  <w:tcW w:w="1243" w:type="pct"/>
                  <w:shd w:val="clear" w:color="auto" w:fill="auto"/>
                  <w:vAlign w:val="center"/>
                </w:tcPr>
                <w:p w14:paraId="1BE06B33">
                  <w:pPr>
                    <w:pStyle w:val="143"/>
                    <w:spacing w:line="240" w:lineRule="auto"/>
                    <w:rPr>
                      <w:color w:val="auto"/>
                      <w:sz w:val="22"/>
                      <w:szCs w:val="22"/>
                    </w:rPr>
                  </w:pPr>
                  <w:r>
                    <w:rPr>
                      <w:color w:val="auto"/>
                      <w:sz w:val="22"/>
                      <w:szCs w:val="22"/>
                    </w:rPr>
                    <w:t>目检包装台</w:t>
                  </w:r>
                </w:p>
              </w:tc>
              <w:tc>
                <w:tcPr>
                  <w:tcW w:w="1203" w:type="pct"/>
                  <w:shd w:val="clear" w:color="auto" w:fill="auto"/>
                  <w:vAlign w:val="center"/>
                </w:tcPr>
                <w:p w14:paraId="41A06F7D">
                  <w:pPr>
                    <w:pStyle w:val="143"/>
                    <w:spacing w:line="240" w:lineRule="auto"/>
                    <w:rPr>
                      <w:color w:val="auto"/>
                      <w:sz w:val="22"/>
                      <w:szCs w:val="22"/>
                    </w:rPr>
                  </w:pPr>
                  <w:r>
                    <w:rPr>
                      <w:color w:val="auto"/>
                      <w:sz w:val="22"/>
                      <w:szCs w:val="22"/>
                    </w:rPr>
                    <w:t>2套</w:t>
                  </w:r>
                </w:p>
              </w:tc>
            </w:tr>
            <w:tr w14:paraId="261E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71" w:type="pct"/>
                  <w:vMerge w:val="continue"/>
                  <w:shd w:val="clear" w:color="auto" w:fill="auto"/>
                  <w:vAlign w:val="center"/>
                </w:tcPr>
                <w:p w14:paraId="4A328777">
                  <w:pPr>
                    <w:pStyle w:val="143"/>
                    <w:spacing w:line="240" w:lineRule="auto"/>
                    <w:rPr>
                      <w:color w:val="auto"/>
                      <w:sz w:val="22"/>
                      <w:szCs w:val="22"/>
                    </w:rPr>
                  </w:pPr>
                </w:p>
              </w:tc>
              <w:tc>
                <w:tcPr>
                  <w:tcW w:w="1000" w:type="pct"/>
                  <w:vMerge w:val="restart"/>
                  <w:shd w:val="clear" w:color="auto" w:fill="auto"/>
                  <w:vAlign w:val="center"/>
                </w:tcPr>
                <w:p w14:paraId="666B14A3">
                  <w:pPr>
                    <w:pStyle w:val="143"/>
                    <w:spacing w:line="240" w:lineRule="auto"/>
                    <w:rPr>
                      <w:color w:val="auto"/>
                      <w:sz w:val="22"/>
                      <w:szCs w:val="22"/>
                    </w:rPr>
                  </w:pPr>
                  <w:r>
                    <w:rPr>
                      <w:color w:val="auto"/>
                      <w:sz w:val="22"/>
                      <w:szCs w:val="22"/>
                    </w:rPr>
                    <w:t>清洗线</w:t>
                  </w:r>
                </w:p>
              </w:tc>
              <w:tc>
                <w:tcPr>
                  <w:tcW w:w="780" w:type="pct"/>
                  <w:vMerge w:val="restart"/>
                  <w:shd w:val="clear" w:color="auto" w:fill="auto"/>
                  <w:vAlign w:val="center"/>
                </w:tcPr>
                <w:p w14:paraId="11506E7B">
                  <w:pPr>
                    <w:pStyle w:val="143"/>
                    <w:spacing w:line="240" w:lineRule="auto"/>
                    <w:rPr>
                      <w:color w:val="auto"/>
                      <w:sz w:val="22"/>
                      <w:szCs w:val="22"/>
                    </w:rPr>
                  </w:pPr>
                  <w:r>
                    <w:rPr>
                      <w:color w:val="auto"/>
                      <w:sz w:val="22"/>
                      <w:szCs w:val="22"/>
                    </w:rPr>
                    <w:t>清洗</w:t>
                  </w:r>
                </w:p>
              </w:tc>
              <w:tc>
                <w:tcPr>
                  <w:tcW w:w="1243" w:type="pct"/>
                  <w:shd w:val="clear" w:color="auto" w:fill="auto"/>
                  <w:vAlign w:val="center"/>
                </w:tcPr>
                <w:p w14:paraId="30AF9F46">
                  <w:pPr>
                    <w:pStyle w:val="143"/>
                    <w:spacing w:line="240" w:lineRule="auto"/>
                    <w:rPr>
                      <w:color w:val="auto"/>
                      <w:sz w:val="22"/>
                      <w:szCs w:val="22"/>
                    </w:rPr>
                  </w:pPr>
                  <w:r>
                    <w:rPr>
                      <w:color w:val="auto"/>
                      <w:sz w:val="22"/>
                      <w:szCs w:val="22"/>
                    </w:rPr>
                    <w:t>清洗机</w:t>
                  </w:r>
                </w:p>
              </w:tc>
              <w:tc>
                <w:tcPr>
                  <w:tcW w:w="1203" w:type="pct"/>
                  <w:shd w:val="clear" w:color="auto" w:fill="auto"/>
                  <w:vAlign w:val="center"/>
                </w:tcPr>
                <w:p w14:paraId="3C75042C">
                  <w:pPr>
                    <w:pStyle w:val="143"/>
                    <w:spacing w:line="240" w:lineRule="auto"/>
                    <w:rPr>
                      <w:color w:val="auto"/>
                      <w:sz w:val="22"/>
                      <w:szCs w:val="22"/>
                    </w:rPr>
                  </w:pPr>
                  <w:r>
                    <w:rPr>
                      <w:color w:val="auto"/>
                      <w:sz w:val="22"/>
                      <w:szCs w:val="22"/>
                    </w:rPr>
                    <w:t>0</w:t>
                  </w:r>
                </w:p>
              </w:tc>
            </w:tr>
            <w:tr w14:paraId="5370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71" w:type="pct"/>
                  <w:vMerge w:val="continue"/>
                  <w:shd w:val="clear" w:color="auto" w:fill="auto"/>
                  <w:vAlign w:val="center"/>
                </w:tcPr>
                <w:p w14:paraId="55191068">
                  <w:pPr>
                    <w:pStyle w:val="143"/>
                    <w:spacing w:line="240" w:lineRule="auto"/>
                    <w:rPr>
                      <w:color w:val="auto"/>
                      <w:sz w:val="22"/>
                      <w:szCs w:val="22"/>
                    </w:rPr>
                  </w:pPr>
                </w:p>
              </w:tc>
              <w:tc>
                <w:tcPr>
                  <w:tcW w:w="1000" w:type="pct"/>
                  <w:vMerge w:val="continue"/>
                  <w:shd w:val="clear" w:color="auto" w:fill="auto"/>
                  <w:vAlign w:val="center"/>
                </w:tcPr>
                <w:p w14:paraId="2B3D9118">
                  <w:pPr>
                    <w:pStyle w:val="143"/>
                    <w:spacing w:line="240" w:lineRule="auto"/>
                    <w:rPr>
                      <w:color w:val="auto"/>
                      <w:sz w:val="22"/>
                      <w:szCs w:val="22"/>
                    </w:rPr>
                  </w:pPr>
                </w:p>
              </w:tc>
              <w:tc>
                <w:tcPr>
                  <w:tcW w:w="780" w:type="pct"/>
                  <w:vMerge w:val="continue"/>
                  <w:shd w:val="clear" w:color="auto" w:fill="auto"/>
                  <w:vAlign w:val="center"/>
                </w:tcPr>
                <w:p w14:paraId="4962E021">
                  <w:pPr>
                    <w:pStyle w:val="143"/>
                    <w:spacing w:line="240" w:lineRule="auto"/>
                    <w:rPr>
                      <w:color w:val="auto"/>
                      <w:sz w:val="22"/>
                      <w:szCs w:val="22"/>
                    </w:rPr>
                  </w:pPr>
                </w:p>
              </w:tc>
              <w:tc>
                <w:tcPr>
                  <w:tcW w:w="1243" w:type="pct"/>
                  <w:shd w:val="clear" w:color="auto" w:fill="auto"/>
                  <w:vAlign w:val="center"/>
                </w:tcPr>
                <w:p w14:paraId="166C528C">
                  <w:pPr>
                    <w:pStyle w:val="143"/>
                    <w:spacing w:line="240" w:lineRule="auto"/>
                    <w:rPr>
                      <w:color w:val="auto"/>
                      <w:sz w:val="22"/>
                      <w:szCs w:val="22"/>
                    </w:rPr>
                  </w:pPr>
                  <w:r>
                    <w:rPr>
                      <w:color w:val="auto"/>
                      <w:sz w:val="22"/>
                      <w:szCs w:val="22"/>
                    </w:rPr>
                    <w:t>纯水制备系统</w:t>
                  </w:r>
                </w:p>
              </w:tc>
              <w:tc>
                <w:tcPr>
                  <w:tcW w:w="1203" w:type="pct"/>
                  <w:shd w:val="clear" w:color="auto" w:fill="auto"/>
                  <w:vAlign w:val="center"/>
                </w:tcPr>
                <w:p w14:paraId="55D93C90">
                  <w:pPr>
                    <w:pStyle w:val="143"/>
                    <w:spacing w:line="240" w:lineRule="auto"/>
                    <w:rPr>
                      <w:color w:val="auto"/>
                      <w:sz w:val="22"/>
                      <w:szCs w:val="22"/>
                    </w:rPr>
                  </w:pPr>
                  <w:r>
                    <w:rPr>
                      <w:color w:val="auto"/>
                      <w:sz w:val="22"/>
                      <w:szCs w:val="22"/>
                    </w:rPr>
                    <w:t>0</w:t>
                  </w:r>
                </w:p>
              </w:tc>
            </w:tr>
            <w:tr w14:paraId="7382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446C96CE">
                  <w:pPr>
                    <w:pStyle w:val="143"/>
                    <w:spacing w:line="240" w:lineRule="auto"/>
                    <w:rPr>
                      <w:color w:val="auto"/>
                      <w:sz w:val="22"/>
                      <w:szCs w:val="22"/>
                    </w:rPr>
                  </w:pPr>
                </w:p>
              </w:tc>
              <w:tc>
                <w:tcPr>
                  <w:tcW w:w="1000" w:type="pct"/>
                  <w:vMerge w:val="restart"/>
                  <w:shd w:val="clear" w:color="auto" w:fill="auto"/>
                  <w:vAlign w:val="center"/>
                </w:tcPr>
                <w:p w14:paraId="5C82C35A">
                  <w:pPr>
                    <w:pStyle w:val="143"/>
                    <w:spacing w:line="240" w:lineRule="auto"/>
                    <w:rPr>
                      <w:color w:val="auto"/>
                      <w:sz w:val="22"/>
                      <w:szCs w:val="22"/>
                    </w:rPr>
                  </w:pPr>
                  <w:r>
                    <w:rPr>
                      <w:color w:val="auto"/>
                      <w:sz w:val="22"/>
                      <w:szCs w:val="22"/>
                    </w:rPr>
                    <w:t>实验室</w:t>
                  </w:r>
                </w:p>
              </w:tc>
              <w:tc>
                <w:tcPr>
                  <w:tcW w:w="780" w:type="pct"/>
                  <w:vMerge w:val="restart"/>
                  <w:shd w:val="clear" w:color="auto" w:fill="auto"/>
                  <w:vAlign w:val="center"/>
                </w:tcPr>
                <w:p w14:paraId="063E4E59">
                  <w:pPr>
                    <w:pStyle w:val="143"/>
                    <w:spacing w:line="240" w:lineRule="auto"/>
                    <w:rPr>
                      <w:color w:val="auto"/>
                      <w:sz w:val="22"/>
                      <w:szCs w:val="22"/>
                    </w:rPr>
                  </w:pPr>
                  <w:r>
                    <w:rPr>
                      <w:color w:val="auto"/>
                      <w:sz w:val="22"/>
                      <w:szCs w:val="22"/>
                    </w:rPr>
                    <w:t>检测</w:t>
                  </w:r>
                </w:p>
              </w:tc>
              <w:tc>
                <w:tcPr>
                  <w:tcW w:w="1243" w:type="pct"/>
                  <w:shd w:val="clear" w:color="auto" w:fill="auto"/>
                  <w:vAlign w:val="center"/>
                </w:tcPr>
                <w:p w14:paraId="3B61D095">
                  <w:pPr>
                    <w:pStyle w:val="143"/>
                    <w:spacing w:line="240" w:lineRule="auto"/>
                    <w:rPr>
                      <w:color w:val="auto"/>
                      <w:sz w:val="22"/>
                      <w:szCs w:val="22"/>
                    </w:rPr>
                  </w:pPr>
                  <w:r>
                    <w:rPr>
                      <w:color w:val="auto"/>
                      <w:sz w:val="22"/>
                      <w:szCs w:val="22"/>
                    </w:rPr>
                    <w:t>密度计</w:t>
                  </w:r>
                </w:p>
              </w:tc>
              <w:tc>
                <w:tcPr>
                  <w:tcW w:w="1203" w:type="pct"/>
                  <w:shd w:val="clear" w:color="auto" w:fill="auto"/>
                  <w:vAlign w:val="center"/>
                </w:tcPr>
                <w:p w14:paraId="6133C84A">
                  <w:pPr>
                    <w:pStyle w:val="143"/>
                    <w:spacing w:line="240" w:lineRule="auto"/>
                    <w:rPr>
                      <w:color w:val="auto"/>
                      <w:sz w:val="22"/>
                      <w:szCs w:val="22"/>
                    </w:rPr>
                  </w:pPr>
                  <w:r>
                    <w:rPr>
                      <w:color w:val="auto"/>
                      <w:sz w:val="22"/>
                      <w:szCs w:val="22"/>
                    </w:rPr>
                    <w:t>0</w:t>
                  </w:r>
                </w:p>
              </w:tc>
            </w:tr>
            <w:tr w14:paraId="2872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6AAB4589">
                  <w:pPr>
                    <w:pStyle w:val="143"/>
                    <w:spacing w:line="240" w:lineRule="auto"/>
                    <w:rPr>
                      <w:color w:val="auto"/>
                      <w:sz w:val="22"/>
                      <w:szCs w:val="22"/>
                    </w:rPr>
                  </w:pPr>
                </w:p>
              </w:tc>
              <w:tc>
                <w:tcPr>
                  <w:tcW w:w="1000" w:type="pct"/>
                  <w:vMerge w:val="continue"/>
                  <w:shd w:val="clear" w:color="auto" w:fill="auto"/>
                  <w:vAlign w:val="center"/>
                </w:tcPr>
                <w:p w14:paraId="2FB02A63">
                  <w:pPr>
                    <w:pStyle w:val="143"/>
                    <w:spacing w:line="240" w:lineRule="auto"/>
                    <w:rPr>
                      <w:color w:val="auto"/>
                      <w:sz w:val="22"/>
                      <w:szCs w:val="22"/>
                    </w:rPr>
                  </w:pPr>
                </w:p>
              </w:tc>
              <w:tc>
                <w:tcPr>
                  <w:tcW w:w="780" w:type="pct"/>
                  <w:vMerge w:val="continue"/>
                  <w:shd w:val="clear" w:color="auto" w:fill="auto"/>
                  <w:vAlign w:val="center"/>
                </w:tcPr>
                <w:p w14:paraId="7BB9CCE8">
                  <w:pPr>
                    <w:pStyle w:val="143"/>
                    <w:spacing w:line="240" w:lineRule="auto"/>
                    <w:rPr>
                      <w:color w:val="auto"/>
                      <w:sz w:val="22"/>
                      <w:szCs w:val="22"/>
                    </w:rPr>
                  </w:pPr>
                </w:p>
              </w:tc>
              <w:tc>
                <w:tcPr>
                  <w:tcW w:w="1243" w:type="pct"/>
                  <w:shd w:val="clear" w:color="auto" w:fill="auto"/>
                  <w:vAlign w:val="center"/>
                </w:tcPr>
                <w:p w14:paraId="14B6345B">
                  <w:pPr>
                    <w:pStyle w:val="143"/>
                    <w:spacing w:line="240" w:lineRule="auto"/>
                    <w:rPr>
                      <w:color w:val="auto"/>
                      <w:sz w:val="22"/>
                      <w:szCs w:val="22"/>
                    </w:rPr>
                  </w:pPr>
                  <w:r>
                    <w:rPr>
                      <w:color w:val="auto"/>
                      <w:sz w:val="22"/>
                      <w:szCs w:val="22"/>
                    </w:rPr>
                    <w:t>黏度计</w:t>
                  </w:r>
                </w:p>
              </w:tc>
              <w:tc>
                <w:tcPr>
                  <w:tcW w:w="1203" w:type="pct"/>
                  <w:shd w:val="clear" w:color="auto" w:fill="auto"/>
                  <w:vAlign w:val="center"/>
                </w:tcPr>
                <w:p w14:paraId="23FF0741">
                  <w:pPr>
                    <w:pStyle w:val="143"/>
                    <w:spacing w:line="240" w:lineRule="auto"/>
                    <w:rPr>
                      <w:color w:val="auto"/>
                      <w:sz w:val="22"/>
                      <w:szCs w:val="22"/>
                    </w:rPr>
                  </w:pPr>
                  <w:r>
                    <w:rPr>
                      <w:color w:val="auto"/>
                      <w:sz w:val="22"/>
                      <w:szCs w:val="22"/>
                    </w:rPr>
                    <w:t>0</w:t>
                  </w:r>
                </w:p>
              </w:tc>
            </w:tr>
            <w:tr w14:paraId="4F49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6D3D942A">
                  <w:pPr>
                    <w:pStyle w:val="143"/>
                    <w:spacing w:line="240" w:lineRule="auto"/>
                    <w:rPr>
                      <w:color w:val="auto"/>
                      <w:sz w:val="22"/>
                      <w:szCs w:val="22"/>
                    </w:rPr>
                  </w:pPr>
                </w:p>
              </w:tc>
              <w:tc>
                <w:tcPr>
                  <w:tcW w:w="1000" w:type="pct"/>
                  <w:vMerge w:val="continue"/>
                  <w:shd w:val="clear" w:color="auto" w:fill="auto"/>
                  <w:vAlign w:val="center"/>
                </w:tcPr>
                <w:p w14:paraId="3DD2A0F4">
                  <w:pPr>
                    <w:pStyle w:val="143"/>
                    <w:spacing w:line="240" w:lineRule="auto"/>
                    <w:rPr>
                      <w:color w:val="auto"/>
                      <w:sz w:val="22"/>
                      <w:szCs w:val="22"/>
                    </w:rPr>
                  </w:pPr>
                </w:p>
              </w:tc>
              <w:tc>
                <w:tcPr>
                  <w:tcW w:w="780" w:type="pct"/>
                  <w:vMerge w:val="continue"/>
                  <w:shd w:val="clear" w:color="auto" w:fill="auto"/>
                  <w:vAlign w:val="center"/>
                </w:tcPr>
                <w:p w14:paraId="3B6DD65D">
                  <w:pPr>
                    <w:pStyle w:val="143"/>
                    <w:spacing w:line="240" w:lineRule="auto"/>
                    <w:rPr>
                      <w:color w:val="auto"/>
                      <w:sz w:val="22"/>
                      <w:szCs w:val="22"/>
                    </w:rPr>
                  </w:pPr>
                </w:p>
              </w:tc>
              <w:tc>
                <w:tcPr>
                  <w:tcW w:w="1243" w:type="pct"/>
                  <w:shd w:val="clear" w:color="auto" w:fill="auto"/>
                  <w:vAlign w:val="center"/>
                </w:tcPr>
                <w:p w14:paraId="07E23EAF">
                  <w:pPr>
                    <w:pStyle w:val="143"/>
                    <w:spacing w:line="240" w:lineRule="auto"/>
                    <w:rPr>
                      <w:color w:val="auto"/>
                      <w:sz w:val="22"/>
                      <w:szCs w:val="22"/>
                    </w:rPr>
                  </w:pPr>
                  <w:r>
                    <w:rPr>
                      <w:color w:val="auto"/>
                      <w:sz w:val="22"/>
                      <w:szCs w:val="22"/>
                    </w:rPr>
                    <w:t>电导/PH计</w:t>
                  </w:r>
                </w:p>
              </w:tc>
              <w:tc>
                <w:tcPr>
                  <w:tcW w:w="1203" w:type="pct"/>
                  <w:shd w:val="clear" w:color="auto" w:fill="auto"/>
                  <w:vAlign w:val="center"/>
                </w:tcPr>
                <w:p w14:paraId="1F265449">
                  <w:pPr>
                    <w:pStyle w:val="143"/>
                    <w:spacing w:line="240" w:lineRule="auto"/>
                    <w:rPr>
                      <w:color w:val="auto"/>
                      <w:sz w:val="22"/>
                      <w:szCs w:val="22"/>
                    </w:rPr>
                  </w:pPr>
                  <w:r>
                    <w:rPr>
                      <w:color w:val="auto"/>
                      <w:sz w:val="22"/>
                      <w:szCs w:val="22"/>
                    </w:rPr>
                    <w:t>0</w:t>
                  </w:r>
                </w:p>
              </w:tc>
            </w:tr>
            <w:tr w14:paraId="32C2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117CDF11">
                  <w:pPr>
                    <w:pStyle w:val="143"/>
                    <w:spacing w:line="240" w:lineRule="auto"/>
                    <w:rPr>
                      <w:color w:val="auto"/>
                      <w:sz w:val="22"/>
                      <w:szCs w:val="22"/>
                    </w:rPr>
                  </w:pPr>
                </w:p>
              </w:tc>
              <w:tc>
                <w:tcPr>
                  <w:tcW w:w="1000" w:type="pct"/>
                  <w:vMerge w:val="continue"/>
                  <w:shd w:val="clear" w:color="auto" w:fill="auto"/>
                  <w:vAlign w:val="center"/>
                </w:tcPr>
                <w:p w14:paraId="02206964">
                  <w:pPr>
                    <w:pStyle w:val="143"/>
                    <w:spacing w:line="240" w:lineRule="auto"/>
                    <w:rPr>
                      <w:color w:val="auto"/>
                      <w:sz w:val="22"/>
                      <w:szCs w:val="22"/>
                    </w:rPr>
                  </w:pPr>
                </w:p>
              </w:tc>
              <w:tc>
                <w:tcPr>
                  <w:tcW w:w="780" w:type="pct"/>
                  <w:vMerge w:val="continue"/>
                  <w:shd w:val="clear" w:color="auto" w:fill="auto"/>
                  <w:vAlign w:val="center"/>
                </w:tcPr>
                <w:p w14:paraId="399A083E">
                  <w:pPr>
                    <w:pStyle w:val="143"/>
                    <w:spacing w:line="240" w:lineRule="auto"/>
                    <w:rPr>
                      <w:color w:val="auto"/>
                      <w:sz w:val="22"/>
                      <w:szCs w:val="22"/>
                    </w:rPr>
                  </w:pPr>
                </w:p>
              </w:tc>
              <w:tc>
                <w:tcPr>
                  <w:tcW w:w="1243" w:type="pct"/>
                  <w:shd w:val="clear" w:color="auto" w:fill="auto"/>
                  <w:vAlign w:val="center"/>
                </w:tcPr>
                <w:p w14:paraId="30463FE5">
                  <w:pPr>
                    <w:pStyle w:val="143"/>
                    <w:spacing w:line="240" w:lineRule="auto"/>
                    <w:rPr>
                      <w:color w:val="auto"/>
                      <w:sz w:val="22"/>
                      <w:szCs w:val="22"/>
                    </w:rPr>
                  </w:pPr>
                  <w:r>
                    <w:rPr>
                      <w:color w:val="auto"/>
                      <w:sz w:val="22"/>
                      <w:szCs w:val="22"/>
                    </w:rPr>
                    <w:t>加热器</w:t>
                  </w:r>
                </w:p>
              </w:tc>
              <w:tc>
                <w:tcPr>
                  <w:tcW w:w="1203" w:type="pct"/>
                  <w:shd w:val="clear" w:color="auto" w:fill="auto"/>
                  <w:vAlign w:val="center"/>
                </w:tcPr>
                <w:p w14:paraId="118E0B94">
                  <w:pPr>
                    <w:pStyle w:val="143"/>
                    <w:spacing w:line="240" w:lineRule="auto"/>
                    <w:rPr>
                      <w:color w:val="auto"/>
                      <w:sz w:val="22"/>
                      <w:szCs w:val="22"/>
                    </w:rPr>
                  </w:pPr>
                  <w:r>
                    <w:rPr>
                      <w:color w:val="auto"/>
                      <w:sz w:val="22"/>
                      <w:szCs w:val="22"/>
                    </w:rPr>
                    <w:t>0</w:t>
                  </w:r>
                </w:p>
              </w:tc>
            </w:tr>
            <w:tr w14:paraId="146E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66CFBA70">
                  <w:pPr>
                    <w:pStyle w:val="143"/>
                    <w:spacing w:line="240" w:lineRule="auto"/>
                    <w:rPr>
                      <w:color w:val="auto"/>
                      <w:sz w:val="22"/>
                      <w:szCs w:val="22"/>
                    </w:rPr>
                  </w:pPr>
                </w:p>
              </w:tc>
              <w:tc>
                <w:tcPr>
                  <w:tcW w:w="1000" w:type="pct"/>
                  <w:vMerge w:val="continue"/>
                  <w:shd w:val="clear" w:color="auto" w:fill="auto"/>
                  <w:vAlign w:val="center"/>
                </w:tcPr>
                <w:p w14:paraId="460662C5">
                  <w:pPr>
                    <w:pStyle w:val="143"/>
                    <w:spacing w:line="240" w:lineRule="auto"/>
                    <w:rPr>
                      <w:color w:val="auto"/>
                      <w:sz w:val="22"/>
                      <w:szCs w:val="22"/>
                    </w:rPr>
                  </w:pPr>
                </w:p>
              </w:tc>
              <w:tc>
                <w:tcPr>
                  <w:tcW w:w="780" w:type="pct"/>
                  <w:vMerge w:val="continue"/>
                  <w:shd w:val="clear" w:color="auto" w:fill="auto"/>
                  <w:vAlign w:val="center"/>
                </w:tcPr>
                <w:p w14:paraId="4CABE868">
                  <w:pPr>
                    <w:pStyle w:val="143"/>
                    <w:spacing w:line="240" w:lineRule="auto"/>
                    <w:rPr>
                      <w:color w:val="auto"/>
                      <w:sz w:val="22"/>
                      <w:szCs w:val="22"/>
                    </w:rPr>
                  </w:pPr>
                </w:p>
              </w:tc>
              <w:tc>
                <w:tcPr>
                  <w:tcW w:w="1243" w:type="pct"/>
                  <w:shd w:val="clear" w:color="auto" w:fill="auto"/>
                  <w:vAlign w:val="center"/>
                </w:tcPr>
                <w:p w14:paraId="10551F20">
                  <w:pPr>
                    <w:pStyle w:val="143"/>
                    <w:spacing w:line="240" w:lineRule="auto"/>
                    <w:rPr>
                      <w:color w:val="auto"/>
                      <w:sz w:val="22"/>
                      <w:szCs w:val="22"/>
                    </w:rPr>
                  </w:pPr>
                  <w:r>
                    <w:rPr>
                      <w:color w:val="auto"/>
                      <w:sz w:val="22"/>
                      <w:szCs w:val="22"/>
                    </w:rPr>
                    <w:t>分光光度计</w:t>
                  </w:r>
                </w:p>
              </w:tc>
              <w:tc>
                <w:tcPr>
                  <w:tcW w:w="1203" w:type="pct"/>
                  <w:shd w:val="clear" w:color="auto" w:fill="auto"/>
                  <w:vAlign w:val="center"/>
                </w:tcPr>
                <w:p w14:paraId="61D27825">
                  <w:pPr>
                    <w:pStyle w:val="143"/>
                    <w:spacing w:line="240" w:lineRule="auto"/>
                    <w:rPr>
                      <w:color w:val="auto"/>
                      <w:sz w:val="22"/>
                      <w:szCs w:val="22"/>
                    </w:rPr>
                  </w:pPr>
                  <w:r>
                    <w:rPr>
                      <w:color w:val="auto"/>
                      <w:sz w:val="22"/>
                      <w:szCs w:val="22"/>
                    </w:rPr>
                    <w:t>0</w:t>
                  </w:r>
                </w:p>
              </w:tc>
            </w:tr>
            <w:tr w14:paraId="3942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5C92F48B">
                  <w:pPr>
                    <w:pStyle w:val="143"/>
                    <w:spacing w:line="240" w:lineRule="auto"/>
                    <w:rPr>
                      <w:color w:val="auto"/>
                      <w:sz w:val="22"/>
                      <w:szCs w:val="22"/>
                    </w:rPr>
                  </w:pPr>
                </w:p>
              </w:tc>
              <w:tc>
                <w:tcPr>
                  <w:tcW w:w="1000" w:type="pct"/>
                  <w:vMerge w:val="continue"/>
                  <w:shd w:val="clear" w:color="auto" w:fill="auto"/>
                  <w:vAlign w:val="center"/>
                </w:tcPr>
                <w:p w14:paraId="5C93BE32">
                  <w:pPr>
                    <w:pStyle w:val="143"/>
                    <w:spacing w:line="240" w:lineRule="auto"/>
                    <w:rPr>
                      <w:color w:val="auto"/>
                      <w:sz w:val="22"/>
                      <w:szCs w:val="22"/>
                    </w:rPr>
                  </w:pPr>
                </w:p>
              </w:tc>
              <w:tc>
                <w:tcPr>
                  <w:tcW w:w="780" w:type="pct"/>
                  <w:vMerge w:val="continue"/>
                  <w:shd w:val="clear" w:color="auto" w:fill="auto"/>
                  <w:vAlign w:val="center"/>
                </w:tcPr>
                <w:p w14:paraId="1085FCE0">
                  <w:pPr>
                    <w:pStyle w:val="143"/>
                    <w:spacing w:line="240" w:lineRule="auto"/>
                    <w:rPr>
                      <w:color w:val="auto"/>
                      <w:sz w:val="22"/>
                      <w:szCs w:val="22"/>
                    </w:rPr>
                  </w:pPr>
                </w:p>
              </w:tc>
              <w:tc>
                <w:tcPr>
                  <w:tcW w:w="1243" w:type="pct"/>
                  <w:shd w:val="clear" w:color="auto" w:fill="auto"/>
                  <w:vAlign w:val="center"/>
                </w:tcPr>
                <w:p w14:paraId="7F7A7FB9">
                  <w:pPr>
                    <w:pStyle w:val="143"/>
                    <w:spacing w:line="240" w:lineRule="auto"/>
                    <w:rPr>
                      <w:color w:val="auto"/>
                      <w:sz w:val="22"/>
                      <w:szCs w:val="22"/>
                    </w:rPr>
                  </w:pPr>
                  <w:r>
                    <w:rPr>
                      <w:color w:val="auto"/>
                      <w:sz w:val="22"/>
                      <w:szCs w:val="22"/>
                    </w:rPr>
                    <w:t>盐雾机</w:t>
                  </w:r>
                </w:p>
              </w:tc>
              <w:tc>
                <w:tcPr>
                  <w:tcW w:w="1203" w:type="pct"/>
                  <w:shd w:val="clear" w:color="auto" w:fill="auto"/>
                  <w:vAlign w:val="center"/>
                </w:tcPr>
                <w:p w14:paraId="2ECEBCB3">
                  <w:pPr>
                    <w:pStyle w:val="143"/>
                    <w:spacing w:line="240" w:lineRule="auto"/>
                    <w:rPr>
                      <w:color w:val="auto"/>
                      <w:sz w:val="22"/>
                      <w:szCs w:val="22"/>
                    </w:rPr>
                  </w:pPr>
                  <w:r>
                    <w:rPr>
                      <w:color w:val="auto"/>
                      <w:sz w:val="22"/>
                      <w:szCs w:val="22"/>
                    </w:rPr>
                    <w:t>0</w:t>
                  </w:r>
                </w:p>
              </w:tc>
            </w:tr>
            <w:tr w14:paraId="3EB1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710BC5A2">
                  <w:pPr>
                    <w:pStyle w:val="143"/>
                    <w:spacing w:line="240" w:lineRule="auto"/>
                    <w:rPr>
                      <w:color w:val="auto"/>
                      <w:sz w:val="22"/>
                      <w:szCs w:val="22"/>
                    </w:rPr>
                  </w:pPr>
                </w:p>
              </w:tc>
              <w:tc>
                <w:tcPr>
                  <w:tcW w:w="1000" w:type="pct"/>
                  <w:vMerge w:val="continue"/>
                  <w:shd w:val="clear" w:color="auto" w:fill="auto"/>
                  <w:vAlign w:val="center"/>
                </w:tcPr>
                <w:p w14:paraId="1DD6DABD">
                  <w:pPr>
                    <w:pStyle w:val="143"/>
                    <w:spacing w:line="240" w:lineRule="auto"/>
                    <w:rPr>
                      <w:color w:val="auto"/>
                      <w:sz w:val="22"/>
                      <w:szCs w:val="22"/>
                    </w:rPr>
                  </w:pPr>
                </w:p>
              </w:tc>
              <w:tc>
                <w:tcPr>
                  <w:tcW w:w="780" w:type="pct"/>
                  <w:vMerge w:val="continue"/>
                  <w:shd w:val="clear" w:color="auto" w:fill="auto"/>
                  <w:vAlign w:val="center"/>
                </w:tcPr>
                <w:p w14:paraId="6E908FB7">
                  <w:pPr>
                    <w:pStyle w:val="143"/>
                    <w:spacing w:line="240" w:lineRule="auto"/>
                    <w:rPr>
                      <w:color w:val="auto"/>
                      <w:sz w:val="22"/>
                      <w:szCs w:val="22"/>
                    </w:rPr>
                  </w:pPr>
                </w:p>
              </w:tc>
              <w:tc>
                <w:tcPr>
                  <w:tcW w:w="1243" w:type="pct"/>
                  <w:shd w:val="clear" w:color="auto" w:fill="auto"/>
                  <w:vAlign w:val="center"/>
                </w:tcPr>
                <w:p w14:paraId="665343A6">
                  <w:pPr>
                    <w:pStyle w:val="143"/>
                    <w:spacing w:line="240" w:lineRule="auto"/>
                    <w:rPr>
                      <w:color w:val="auto"/>
                      <w:sz w:val="22"/>
                      <w:szCs w:val="22"/>
                    </w:rPr>
                  </w:pPr>
                  <w:r>
                    <w:rPr>
                      <w:color w:val="auto"/>
                      <w:sz w:val="22"/>
                      <w:szCs w:val="22"/>
                    </w:rPr>
                    <w:t>烘箱</w:t>
                  </w:r>
                </w:p>
              </w:tc>
              <w:tc>
                <w:tcPr>
                  <w:tcW w:w="1203" w:type="pct"/>
                  <w:shd w:val="clear" w:color="auto" w:fill="auto"/>
                  <w:vAlign w:val="center"/>
                </w:tcPr>
                <w:p w14:paraId="7186ACEB">
                  <w:pPr>
                    <w:pStyle w:val="143"/>
                    <w:spacing w:line="240" w:lineRule="auto"/>
                    <w:rPr>
                      <w:color w:val="auto"/>
                      <w:sz w:val="22"/>
                      <w:szCs w:val="22"/>
                    </w:rPr>
                  </w:pPr>
                  <w:r>
                    <w:rPr>
                      <w:color w:val="auto"/>
                      <w:sz w:val="22"/>
                      <w:szCs w:val="22"/>
                    </w:rPr>
                    <w:t>0</w:t>
                  </w:r>
                </w:p>
              </w:tc>
            </w:tr>
            <w:tr w14:paraId="152D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65A29A88">
                  <w:pPr>
                    <w:pStyle w:val="143"/>
                    <w:spacing w:line="240" w:lineRule="auto"/>
                    <w:rPr>
                      <w:color w:val="auto"/>
                      <w:sz w:val="22"/>
                      <w:szCs w:val="22"/>
                    </w:rPr>
                  </w:pPr>
                </w:p>
              </w:tc>
              <w:tc>
                <w:tcPr>
                  <w:tcW w:w="1000" w:type="pct"/>
                  <w:vMerge w:val="continue"/>
                  <w:shd w:val="clear" w:color="auto" w:fill="auto"/>
                  <w:vAlign w:val="center"/>
                </w:tcPr>
                <w:p w14:paraId="087A6C1A">
                  <w:pPr>
                    <w:pStyle w:val="143"/>
                    <w:spacing w:line="240" w:lineRule="auto"/>
                    <w:rPr>
                      <w:color w:val="auto"/>
                      <w:sz w:val="22"/>
                      <w:szCs w:val="22"/>
                    </w:rPr>
                  </w:pPr>
                </w:p>
              </w:tc>
              <w:tc>
                <w:tcPr>
                  <w:tcW w:w="780" w:type="pct"/>
                  <w:vMerge w:val="continue"/>
                  <w:shd w:val="clear" w:color="auto" w:fill="auto"/>
                  <w:vAlign w:val="center"/>
                </w:tcPr>
                <w:p w14:paraId="7AA79D19">
                  <w:pPr>
                    <w:pStyle w:val="143"/>
                    <w:spacing w:line="240" w:lineRule="auto"/>
                    <w:rPr>
                      <w:color w:val="auto"/>
                      <w:sz w:val="22"/>
                      <w:szCs w:val="22"/>
                    </w:rPr>
                  </w:pPr>
                </w:p>
              </w:tc>
              <w:tc>
                <w:tcPr>
                  <w:tcW w:w="1243" w:type="pct"/>
                  <w:shd w:val="clear" w:color="auto" w:fill="auto"/>
                  <w:vAlign w:val="center"/>
                </w:tcPr>
                <w:p w14:paraId="727C746E">
                  <w:pPr>
                    <w:pStyle w:val="143"/>
                    <w:spacing w:line="240" w:lineRule="auto"/>
                    <w:rPr>
                      <w:color w:val="auto"/>
                      <w:sz w:val="22"/>
                      <w:szCs w:val="22"/>
                    </w:rPr>
                  </w:pPr>
                  <w:r>
                    <w:rPr>
                      <w:color w:val="auto"/>
                      <w:sz w:val="22"/>
                      <w:szCs w:val="22"/>
                    </w:rPr>
                    <w:t>过滤器</w:t>
                  </w:r>
                </w:p>
              </w:tc>
              <w:tc>
                <w:tcPr>
                  <w:tcW w:w="1203" w:type="pct"/>
                  <w:shd w:val="clear" w:color="auto" w:fill="auto"/>
                  <w:vAlign w:val="center"/>
                </w:tcPr>
                <w:p w14:paraId="7F425C34">
                  <w:pPr>
                    <w:pStyle w:val="143"/>
                    <w:spacing w:line="240" w:lineRule="auto"/>
                    <w:rPr>
                      <w:color w:val="auto"/>
                      <w:sz w:val="22"/>
                      <w:szCs w:val="22"/>
                    </w:rPr>
                  </w:pPr>
                  <w:r>
                    <w:rPr>
                      <w:color w:val="auto"/>
                      <w:sz w:val="22"/>
                      <w:szCs w:val="22"/>
                    </w:rPr>
                    <w:t>0</w:t>
                  </w:r>
                </w:p>
              </w:tc>
            </w:tr>
            <w:tr w14:paraId="4FE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4557C89A">
                  <w:pPr>
                    <w:pStyle w:val="143"/>
                    <w:spacing w:line="240" w:lineRule="auto"/>
                    <w:rPr>
                      <w:color w:val="auto"/>
                      <w:sz w:val="22"/>
                      <w:szCs w:val="22"/>
                    </w:rPr>
                  </w:pPr>
                </w:p>
              </w:tc>
              <w:tc>
                <w:tcPr>
                  <w:tcW w:w="1000" w:type="pct"/>
                  <w:vMerge w:val="continue"/>
                  <w:shd w:val="clear" w:color="auto" w:fill="auto"/>
                  <w:vAlign w:val="center"/>
                </w:tcPr>
                <w:p w14:paraId="16AF8137">
                  <w:pPr>
                    <w:pStyle w:val="143"/>
                    <w:spacing w:line="240" w:lineRule="auto"/>
                    <w:rPr>
                      <w:color w:val="auto"/>
                      <w:sz w:val="22"/>
                      <w:szCs w:val="22"/>
                    </w:rPr>
                  </w:pPr>
                </w:p>
              </w:tc>
              <w:tc>
                <w:tcPr>
                  <w:tcW w:w="780" w:type="pct"/>
                  <w:vMerge w:val="continue"/>
                  <w:shd w:val="clear" w:color="auto" w:fill="auto"/>
                  <w:vAlign w:val="center"/>
                </w:tcPr>
                <w:p w14:paraId="2503FB49">
                  <w:pPr>
                    <w:pStyle w:val="143"/>
                    <w:spacing w:line="240" w:lineRule="auto"/>
                    <w:rPr>
                      <w:color w:val="auto"/>
                      <w:sz w:val="22"/>
                      <w:szCs w:val="22"/>
                    </w:rPr>
                  </w:pPr>
                </w:p>
              </w:tc>
              <w:tc>
                <w:tcPr>
                  <w:tcW w:w="1243" w:type="pct"/>
                  <w:shd w:val="clear" w:color="auto" w:fill="auto"/>
                  <w:vAlign w:val="center"/>
                </w:tcPr>
                <w:p w14:paraId="6041E328">
                  <w:pPr>
                    <w:pStyle w:val="143"/>
                    <w:spacing w:line="240" w:lineRule="auto"/>
                    <w:rPr>
                      <w:color w:val="auto"/>
                      <w:sz w:val="22"/>
                      <w:szCs w:val="22"/>
                    </w:rPr>
                  </w:pPr>
                  <w:r>
                    <w:rPr>
                      <w:color w:val="auto"/>
                      <w:sz w:val="22"/>
                      <w:szCs w:val="22"/>
                    </w:rPr>
                    <w:t>红外光谱仪</w:t>
                  </w:r>
                </w:p>
              </w:tc>
              <w:tc>
                <w:tcPr>
                  <w:tcW w:w="1203" w:type="pct"/>
                  <w:shd w:val="clear" w:color="auto" w:fill="auto"/>
                  <w:vAlign w:val="center"/>
                </w:tcPr>
                <w:p w14:paraId="29A8902C">
                  <w:pPr>
                    <w:pStyle w:val="143"/>
                    <w:spacing w:line="240" w:lineRule="auto"/>
                    <w:rPr>
                      <w:color w:val="auto"/>
                      <w:sz w:val="22"/>
                      <w:szCs w:val="22"/>
                    </w:rPr>
                  </w:pPr>
                  <w:r>
                    <w:rPr>
                      <w:color w:val="auto"/>
                      <w:sz w:val="22"/>
                      <w:szCs w:val="22"/>
                    </w:rPr>
                    <w:t>0</w:t>
                  </w:r>
                </w:p>
              </w:tc>
            </w:tr>
            <w:tr w14:paraId="5D22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27D7D4A8">
                  <w:pPr>
                    <w:pStyle w:val="143"/>
                    <w:spacing w:line="240" w:lineRule="auto"/>
                    <w:rPr>
                      <w:color w:val="auto"/>
                      <w:sz w:val="22"/>
                      <w:szCs w:val="22"/>
                    </w:rPr>
                  </w:pPr>
                </w:p>
              </w:tc>
              <w:tc>
                <w:tcPr>
                  <w:tcW w:w="1000" w:type="pct"/>
                  <w:vMerge w:val="continue"/>
                  <w:shd w:val="clear" w:color="auto" w:fill="auto"/>
                  <w:vAlign w:val="center"/>
                </w:tcPr>
                <w:p w14:paraId="1E79FA3A">
                  <w:pPr>
                    <w:pStyle w:val="143"/>
                    <w:spacing w:line="240" w:lineRule="auto"/>
                    <w:rPr>
                      <w:color w:val="auto"/>
                      <w:sz w:val="22"/>
                      <w:szCs w:val="22"/>
                    </w:rPr>
                  </w:pPr>
                </w:p>
              </w:tc>
              <w:tc>
                <w:tcPr>
                  <w:tcW w:w="780" w:type="pct"/>
                  <w:vMerge w:val="continue"/>
                  <w:shd w:val="clear" w:color="auto" w:fill="auto"/>
                  <w:vAlign w:val="center"/>
                </w:tcPr>
                <w:p w14:paraId="05316A75">
                  <w:pPr>
                    <w:pStyle w:val="143"/>
                    <w:spacing w:line="240" w:lineRule="auto"/>
                    <w:rPr>
                      <w:color w:val="auto"/>
                      <w:sz w:val="22"/>
                      <w:szCs w:val="22"/>
                    </w:rPr>
                  </w:pPr>
                </w:p>
              </w:tc>
              <w:tc>
                <w:tcPr>
                  <w:tcW w:w="1243" w:type="pct"/>
                  <w:shd w:val="clear" w:color="auto" w:fill="auto"/>
                  <w:vAlign w:val="center"/>
                </w:tcPr>
                <w:p w14:paraId="033FE0B4">
                  <w:pPr>
                    <w:pStyle w:val="143"/>
                    <w:spacing w:line="240" w:lineRule="auto"/>
                    <w:rPr>
                      <w:color w:val="auto"/>
                      <w:sz w:val="22"/>
                      <w:szCs w:val="22"/>
                    </w:rPr>
                  </w:pPr>
                  <w:r>
                    <w:rPr>
                      <w:color w:val="auto"/>
                      <w:sz w:val="22"/>
                      <w:szCs w:val="22"/>
                    </w:rPr>
                    <w:t>切割机</w:t>
                  </w:r>
                </w:p>
              </w:tc>
              <w:tc>
                <w:tcPr>
                  <w:tcW w:w="1203" w:type="pct"/>
                  <w:shd w:val="clear" w:color="auto" w:fill="auto"/>
                  <w:vAlign w:val="center"/>
                </w:tcPr>
                <w:p w14:paraId="4AAD4691">
                  <w:pPr>
                    <w:pStyle w:val="143"/>
                    <w:spacing w:line="240" w:lineRule="auto"/>
                    <w:rPr>
                      <w:color w:val="auto"/>
                      <w:sz w:val="22"/>
                      <w:szCs w:val="22"/>
                    </w:rPr>
                  </w:pPr>
                  <w:r>
                    <w:rPr>
                      <w:color w:val="auto"/>
                      <w:sz w:val="22"/>
                      <w:szCs w:val="22"/>
                    </w:rPr>
                    <w:t>0</w:t>
                  </w:r>
                </w:p>
              </w:tc>
            </w:tr>
            <w:tr w14:paraId="5A00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74D76F6F">
                  <w:pPr>
                    <w:pStyle w:val="143"/>
                    <w:spacing w:line="240" w:lineRule="auto"/>
                    <w:rPr>
                      <w:color w:val="auto"/>
                      <w:sz w:val="22"/>
                      <w:szCs w:val="22"/>
                    </w:rPr>
                  </w:pPr>
                </w:p>
              </w:tc>
              <w:tc>
                <w:tcPr>
                  <w:tcW w:w="1000" w:type="pct"/>
                  <w:vMerge w:val="continue"/>
                  <w:shd w:val="clear" w:color="auto" w:fill="auto"/>
                  <w:vAlign w:val="center"/>
                </w:tcPr>
                <w:p w14:paraId="10506D74">
                  <w:pPr>
                    <w:pStyle w:val="143"/>
                    <w:spacing w:line="240" w:lineRule="auto"/>
                    <w:rPr>
                      <w:color w:val="auto"/>
                      <w:sz w:val="22"/>
                      <w:szCs w:val="22"/>
                    </w:rPr>
                  </w:pPr>
                </w:p>
              </w:tc>
              <w:tc>
                <w:tcPr>
                  <w:tcW w:w="780" w:type="pct"/>
                  <w:vMerge w:val="continue"/>
                  <w:shd w:val="clear" w:color="auto" w:fill="auto"/>
                  <w:vAlign w:val="center"/>
                </w:tcPr>
                <w:p w14:paraId="6167AC11">
                  <w:pPr>
                    <w:pStyle w:val="143"/>
                    <w:spacing w:line="240" w:lineRule="auto"/>
                    <w:rPr>
                      <w:color w:val="auto"/>
                      <w:sz w:val="22"/>
                      <w:szCs w:val="22"/>
                    </w:rPr>
                  </w:pPr>
                </w:p>
              </w:tc>
              <w:tc>
                <w:tcPr>
                  <w:tcW w:w="1243" w:type="pct"/>
                  <w:shd w:val="clear" w:color="auto" w:fill="auto"/>
                  <w:vAlign w:val="center"/>
                </w:tcPr>
                <w:p w14:paraId="1363F6DA">
                  <w:pPr>
                    <w:pStyle w:val="143"/>
                    <w:spacing w:line="240" w:lineRule="auto"/>
                    <w:rPr>
                      <w:color w:val="auto"/>
                      <w:sz w:val="22"/>
                      <w:szCs w:val="22"/>
                    </w:rPr>
                  </w:pPr>
                  <w:r>
                    <w:rPr>
                      <w:color w:val="auto"/>
                      <w:sz w:val="22"/>
                      <w:szCs w:val="22"/>
                    </w:rPr>
                    <w:t>磨抛机</w:t>
                  </w:r>
                </w:p>
              </w:tc>
              <w:tc>
                <w:tcPr>
                  <w:tcW w:w="1203" w:type="pct"/>
                  <w:shd w:val="clear" w:color="auto" w:fill="auto"/>
                  <w:vAlign w:val="center"/>
                </w:tcPr>
                <w:p w14:paraId="095116FD">
                  <w:pPr>
                    <w:pStyle w:val="143"/>
                    <w:spacing w:line="240" w:lineRule="auto"/>
                    <w:rPr>
                      <w:color w:val="auto"/>
                      <w:sz w:val="22"/>
                      <w:szCs w:val="22"/>
                    </w:rPr>
                  </w:pPr>
                  <w:r>
                    <w:rPr>
                      <w:color w:val="auto"/>
                      <w:sz w:val="22"/>
                      <w:szCs w:val="22"/>
                    </w:rPr>
                    <w:t>0</w:t>
                  </w:r>
                </w:p>
              </w:tc>
            </w:tr>
            <w:tr w14:paraId="5E5D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220C8FEF">
                  <w:pPr>
                    <w:pStyle w:val="143"/>
                    <w:spacing w:line="240" w:lineRule="auto"/>
                    <w:rPr>
                      <w:color w:val="auto"/>
                      <w:sz w:val="22"/>
                      <w:szCs w:val="22"/>
                    </w:rPr>
                  </w:pPr>
                </w:p>
              </w:tc>
              <w:tc>
                <w:tcPr>
                  <w:tcW w:w="1000" w:type="pct"/>
                  <w:vMerge w:val="continue"/>
                  <w:shd w:val="clear" w:color="auto" w:fill="auto"/>
                  <w:vAlign w:val="center"/>
                </w:tcPr>
                <w:p w14:paraId="31C85E38">
                  <w:pPr>
                    <w:pStyle w:val="143"/>
                    <w:spacing w:line="240" w:lineRule="auto"/>
                    <w:rPr>
                      <w:color w:val="auto"/>
                      <w:sz w:val="22"/>
                      <w:szCs w:val="22"/>
                    </w:rPr>
                  </w:pPr>
                </w:p>
              </w:tc>
              <w:tc>
                <w:tcPr>
                  <w:tcW w:w="780" w:type="pct"/>
                  <w:vMerge w:val="continue"/>
                  <w:shd w:val="clear" w:color="auto" w:fill="auto"/>
                  <w:vAlign w:val="center"/>
                </w:tcPr>
                <w:p w14:paraId="6A93AEA8">
                  <w:pPr>
                    <w:pStyle w:val="143"/>
                    <w:spacing w:line="240" w:lineRule="auto"/>
                    <w:rPr>
                      <w:color w:val="auto"/>
                      <w:sz w:val="22"/>
                      <w:szCs w:val="22"/>
                    </w:rPr>
                  </w:pPr>
                </w:p>
              </w:tc>
              <w:tc>
                <w:tcPr>
                  <w:tcW w:w="1243" w:type="pct"/>
                  <w:shd w:val="clear" w:color="auto" w:fill="auto"/>
                  <w:vAlign w:val="center"/>
                </w:tcPr>
                <w:p w14:paraId="4E2F62A3">
                  <w:pPr>
                    <w:pStyle w:val="143"/>
                    <w:spacing w:line="240" w:lineRule="auto"/>
                    <w:rPr>
                      <w:color w:val="auto"/>
                      <w:sz w:val="22"/>
                      <w:szCs w:val="22"/>
                    </w:rPr>
                  </w:pPr>
                  <w:r>
                    <w:rPr>
                      <w:color w:val="auto"/>
                      <w:sz w:val="22"/>
                      <w:szCs w:val="22"/>
                    </w:rPr>
                    <w:t>镶嵌机</w:t>
                  </w:r>
                </w:p>
              </w:tc>
              <w:tc>
                <w:tcPr>
                  <w:tcW w:w="1203" w:type="pct"/>
                  <w:shd w:val="clear" w:color="auto" w:fill="auto"/>
                  <w:vAlign w:val="center"/>
                </w:tcPr>
                <w:p w14:paraId="3BE890D6">
                  <w:pPr>
                    <w:pStyle w:val="143"/>
                    <w:spacing w:line="240" w:lineRule="auto"/>
                    <w:rPr>
                      <w:color w:val="auto"/>
                      <w:sz w:val="22"/>
                      <w:szCs w:val="22"/>
                    </w:rPr>
                  </w:pPr>
                  <w:r>
                    <w:rPr>
                      <w:color w:val="auto"/>
                      <w:sz w:val="22"/>
                      <w:szCs w:val="22"/>
                    </w:rPr>
                    <w:t>0</w:t>
                  </w:r>
                </w:p>
              </w:tc>
            </w:tr>
            <w:tr w14:paraId="5DCC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24900EB7">
                  <w:pPr>
                    <w:pStyle w:val="143"/>
                    <w:spacing w:line="240" w:lineRule="auto"/>
                    <w:rPr>
                      <w:color w:val="auto"/>
                      <w:sz w:val="22"/>
                      <w:szCs w:val="22"/>
                    </w:rPr>
                  </w:pPr>
                </w:p>
              </w:tc>
              <w:tc>
                <w:tcPr>
                  <w:tcW w:w="1000" w:type="pct"/>
                  <w:vMerge w:val="continue"/>
                  <w:shd w:val="clear" w:color="auto" w:fill="auto"/>
                  <w:vAlign w:val="center"/>
                </w:tcPr>
                <w:p w14:paraId="395FD1F3">
                  <w:pPr>
                    <w:pStyle w:val="143"/>
                    <w:spacing w:line="240" w:lineRule="auto"/>
                    <w:rPr>
                      <w:color w:val="auto"/>
                      <w:sz w:val="22"/>
                      <w:szCs w:val="22"/>
                    </w:rPr>
                  </w:pPr>
                </w:p>
              </w:tc>
              <w:tc>
                <w:tcPr>
                  <w:tcW w:w="780" w:type="pct"/>
                  <w:vMerge w:val="continue"/>
                  <w:shd w:val="clear" w:color="auto" w:fill="auto"/>
                  <w:vAlign w:val="center"/>
                </w:tcPr>
                <w:p w14:paraId="0FE8A8D4">
                  <w:pPr>
                    <w:pStyle w:val="143"/>
                    <w:spacing w:line="240" w:lineRule="auto"/>
                    <w:rPr>
                      <w:color w:val="auto"/>
                      <w:sz w:val="22"/>
                      <w:szCs w:val="22"/>
                    </w:rPr>
                  </w:pPr>
                </w:p>
              </w:tc>
              <w:tc>
                <w:tcPr>
                  <w:tcW w:w="1243" w:type="pct"/>
                  <w:shd w:val="clear" w:color="auto" w:fill="auto"/>
                  <w:vAlign w:val="center"/>
                </w:tcPr>
                <w:p w14:paraId="27388AE9">
                  <w:pPr>
                    <w:pStyle w:val="143"/>
                    <w:spacing w:line="240" w:lineRule="auto"/>
                    <w:rPr>
                      <w:color w:val="auto"/>
                      <w:sz w:val="22"/>
                      <w:szCs w:val="22"/>
                    </w:rPr>
                  </w:pPr>
                  <w:r>
                    <w:rPr>
                      <w:color w:val="auto"/>
                      <w:sz w:val="22"/>
                      <w:szCs w:val="22"/>
                    </w:rPr>
                    <w:t>硬度机</w:t>
                  </w:r>
                </w:p>
              </w:tc>
              <w:tc>
                <w:tcPr>
                  <w:tcW w:w="1203" w:type="pct"/>
                  <w:shd w:val="clear" w:color="auto" w:fill="auto"/>
                  <w:vAlign w:val="center"/>
                </w:tcPr>
                <w:p w14:paraId="22B3C72F">
                  <w:pPr>
                    <w:pStyle w:val="143"/>
                    <w:spacing w:line="240" w:lineRule="auto"/>
                    <w:rPr>
                      <w:color w:val="auto"/>
                      <w:sz w:val="22"/>
                      <w:szCs w:val="22"/>
                    </w:rPr>
                  </w:pPr>
                  <w:r>
                    <w:rPr>
                      <w:color w:val="auto"/>
                      <w:sz w:val="22"/>
                      <w:szCs w:val="22"/>
                    </w:rPr>
                    <w:t>0</w:t>
                  </w:r>
                </w:p>
              </w:tc>
            </w:tr>
            <w:tr w14:paraId="59F0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41B5C736">
                  <w:pPr>
                    <w:pStyle w:val="143"/>
                    <w:spacing w:line="240" w:lineRule="auto"/>
                    <w:rPr>
                      <w:color w:val="auto"/>
                      <w:sz w:val="22"/>
                      <w:szCs w:val="22"/>
                    </w:rPr>
                  </w:pPr>
                </w:p>
              </w:tc>
              <w:tc>
                <w:tcPr>
                  <w:tcW w:w="1000" w:type="pct"/>
                  <w:vMerge w:val="continue"/>
                  <w:shd w:val="clear" w:color="auto" w:fill="auto"/>
                  <w:vAlign w:val="center"/>
                </w:tcPr>
                <w:p w14:paraId="5F01AE22">
                  <w:pPr>
                    <w:pStyle w:val="143"/>
                    <w:spacing w:line="240" w:lineRule="auto"/>
                    <w:rPr>
                      <w:color w:val="auto"/>
                      <w:sz w:val="22"/>
                      <w:szCs w:val="22"/>
                    </w:rPr>
                  </w:pPr>
                </w:p>
              </w:tc>
              <w:tc>
                <w:tcPr>
                  <w:tcW w:w="780" w:type="pct"/>
                  <w:vMerge w:val="continue"/>
                  <w:shd w:val="clear" w:color="auto" w:fill="auto"/>
                  <w:vAlign w:val="center"/>
                </w:tcPr>
                <w:p w14:paraId="632DC913">
                  <w:pPr>
                    <w:pStyle w:val="143"/>
                    <w:spacing w:line="240" w:lineRule="auto"/>
                    <w:rPr>
                      <w:color w:val="auto"/>
                      <w:sz w:val="22"/>
                      <w:szCs w:val="22"/>
                    </w:rPr>
                  </w:pPr>
                </w:p>
              </w:tc>
              <w:tc>
                <w:tcPr>
                  <w:tcW w:w="1243" w:type="pct"/>
                  <w:shd w:val="clear" w:color="auto" w:fill="auto"/>
                  <w:vAlign w:val="center"/>
                </w:tcPr>
                <w:p w14:paraId="470425E7">
                  <w:pPr>
                    <w:pStyle w:val="143"/>
                    <w:spacing w:line="240" w:lineRule="auto"/>
                    <w:rPr>
                      <w:color w:val="auto"/>
                      <w:sz w:val="22"/>
                      <w:szCs w:val="22"/>
                    </w:rPr>
                  </w:pPr>
                  <w:r>
                    <w:rPr>
                      <w:color w:val="auto"/>
                      <w:sz w:val="22"/>
                      <w:szCs w:val="22"/>
                    </w:rPr>
                    <w:t>电镜</w:t>
                  </w:r>
                </w:p>
              </w:tc>
              <w:tc>
                <w:tcPr>
                  <w:tcW w:w="1203" w:type="pct"/>
                  <w:shd w:val="clear" w:color="auto" w:fill="auto"/>
                  <w:vAlign w:val="center"/>
                </w:tcPr>
                <w:p w14:paraId="6A424A70">
                  <w:pPr>
                    <w:pStyle w:val="143"/>
                    <w:spacing w:line="240" w:lineRule="auto"/>
                    <w:rPr>
                      <w:color w:val="auto"/>
                      <w:sz w:val="22"/>
                      <w:szCs w:val="22"/>
                    </w:rPr>
                  </w:pPr>
                  <w:r>
                    <w:rPr>
                      <w:color w:val="auto"/>
                      <w:sz w:val="22"/>
                      <w:szCs w:val="22"/>
                    </w:rPr>
                    <w:t>0</w:t>
                  </w:r>
                </w:p>
              </w:tc>
            </w:tr>
            <w:tr w14:paraId="42E2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335FCA4F">
                  <w:pPr>
                    <w:pStyle w:val="143"/>
                    <w:spacing w:line="240" w:lineRule="auto"/>
                    <w:rPr>
                      <w:color w:val="auto"/>
                      <w:sz w:val="22"/>
                      <w:szCs w:val="22"/>
                    </w:rPr>
                  </w:pPr>
                </w:p>
              </w:tc>
              <w:tc>
                <w:tcPr>
                  <w:tcW w:w="1000" w:type="pct"/>
                  <w:vMerge w:val="continue"/>
                  <w:shd w:val="clear" w:color="auto" w:fill="auto"/>
                  <w:vAlign w:val="center"/>
                </w:tcPr>
                <w:p w14:paraId="20C8EB50">
                  <w:pPr>
                    <w:pStyle w:val="143"/>
                    <w:spacing w:line="240" w:lineRule="auto"/>
                    <w:rPr>
                      <w:color w:val="auto"/>
                      <w:sz w:val="22"/>
                      <w:szCs w:val="22"/>
                    </w:rPr>
                  </w:pPr>
                </w:p>
              </w:tc>
              <w:tc>
                <w:tcPr>
                  <w:tcW w:w="780" w:type="pct"/>
                  <w:vMerge w:val="continue"/>
                  <w:shd w:val="clear" w:color="auto" w:fill="auto"/>
                  <w:vAlign w:val="center"/>
                </w:tcPr>
                <w:p w14:paraId="3E4788FA">
                  <w:pPr>
                    <w:pStyle w:val="143"/>
                    <w:spacing w:line="240" w:lineRule="auto"/>
                    <w:rPr>
                      <w:color w:val="auto"/>
                      <w:sz w:val="22"/>
                      <w:szCs w:val="22"/>
                    </w:rPr>
                  </w:pPr>
                </w:p>
              </w:tc>
              <w:tc>
                <w:tcPr>
                  <w:tcW w:w="1243" w:type="pct"/>
                  <w:shd w:val="clear" w:color="auto" w:fill="auto"/>
                  <w:vAlign w:val="center"/>
                </w:tcPr>
                <w:p w14:paraId="2EDDCB01">
                  <w:pPr>
                    <w:pStyle w:val="143"/>
                    <w:spacing w:line="240" w:lineRule="auto"/>
                    <w:rPr>
                      <w:color w:val="auto"/>
                      <w:sz w:val="22"/>
                      <w:szCs w:val="22"/>
                    </w:rPr>
                  </w:pPr>
                  <w:r>
                    <w:rPr>
                      <w:color w:val="auto"/>
                      <w:sz w:val="22"/>
                      <w:szCs w:val="22"/>
                    </w:rPr>
                    <w:t>显微镜</w:t>
                  </w:r>
                </w:p>
              </w:tc>
              <w:tc>
                <w:tcPr>
                  <w:tcW w:w="1203" w:type="pct"/>
                  <w:shd w:val="clear" w:color="auto" w:fill="auto"/>
                  <w:vAlign w:val="center"/>
                </w:tcPr>
                <w:p w14:paraId="0B70CE94">
                  <w:pPr>
                    <w:pStyle w:val="143"/>
                    <w:spacing w:line="240" w:lineRule="auto"/>
                    <w:rPr>
                      <w:color w:val="auto"/>
                      <w:sz w:val="22"/>
                      <w:szCs w:val="22"/>
                    </w:rPr>
                  </w:pPr>
                  <w:r>
                    <w:rPr>
                      <w:color w:val="auto"/>
                      <w:sz w:val="22"/>
                      <w:szCs w:val="22"/>
                    </w:rPr>
                    <w:t>2台</w:t>
                  </w:r>
                </w:p>
              </w:tc>
            </w:tr>
            <w:tr w14:paraId="59C2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313EB936">
                  <w:pPr>
                    <w:pStyle w:val="143"/>
                    <w:spacing w:line="240" w:lineRule="auto"/>
                    <w:rPr>
                      <w:color w:val="auto"/>
                      <w:sz w:val="22"/>
                      <w:szCs w:val="22"/>
                    </w:rPr>
                  </w:pPr>
                </w:p>
              </w:tc>
              <w:tc>
                <w:tcPr>
                  <w:tcW w:w="1000" w:type="pct"/>
                  <w:vMerge w:val="continue"/>
                  <w:shd w:val="clear" w:color="auto" w:fill="auto"/>
                  <w:vAlign w:val="center"/>
                </w:tcPr>
                <w:p w14:paraId="3098D1B3">
                  <w:pPr>
                    <w:pStyle w:val="143"/>
                    <w:spacing w:line="240" w:lineRule="auto"/>
                    <w:rPr>
                      <w:color w:val="auto"/>
                      <w:sz w:val="22"/>
                      <w:szCs w:val="22"/>
                    </w:rPr>
                  </w:pPr>
                </w:p>
              </w:tc>
              <w:tc>
                <w:tcPr>
                  <w:tcW w:w="780" w:type="pct"/>
                  <w:vMerge w:val="continue"/>
                  <w:shd w:val="clear" w:color="auto" w:fill="auto"/>
                  <w:vAlign w:val="center"/>
                </w:tcPr>
                <w:p w14:paraId="7C91C2BF">
                  <w:pPr>
                    <w:pStyle w:val="143"/>
                    <w:spacing w:line="240" w:lineRule="auto"/>
                    <w:rPr>
                      <w:color w:val="auto"/>
                      <w:sz w:val="22"/>
                      <w:szCs w:val="22"/>
                    </w:rPr>
                  </w:pPr>
                </w:p>
              </w:tc>
              <w:tc>
                <w:tcPr>
                  <w:tcW w:w="1243" w:type="pct"/>
                  <w:shd w:val="clear" w:color="auto" w:fill="auto"/>
                  <w:vAlign w:val="center"/>
                </w:tcPr>
                <w:p w14:paraId="2B106CA8">
                  <w:pPr>
                    <w:pStyle w:val="143"/>
                    <w:spacing w:line="240" w:lineRule="auto"/>
                    <w:rPr>
                      <w:color w:val="auto"/>
                      <w:sz w:val="22"/>
                      <w:szCs w:val="22"/>
                    </w:rPr>
                  </w:pPr>
                  <w:r>
                    <w:rPr>
                      <w:color w:val="auto"/>
                      <w:sz w:val="22"/>
                      <w:szCs w:val="22"/>
                    </w:rPr>
                    <w:t>机械性能</w:t>
                  </w:r>
                </w:p>
              </w:tc>
              <w:tc>
                <w:tcPr>
                  <w:tcW w:w="1203" w:type="pct"/>
                  <w:shd w:val="clear" w:color="auto" w:fill="auto"/>
                  <w:vAlign w:val="center"/>
                </w:tcPr>
                <w:p w14:paraId="4BCA38C3">
                  <w:pPr>
                    <w:pStyle w:val="143"/>
                    <w:spacing w:line="240" w:lineRule="auto"/>
                    <w:rPr>
                      <w:color w:val="auto"/>
                      <w:sz w:val="22"/>
                      <w:szCs w:val="22"/>
                    </w:rPr>
                  </w:pPr>
                  <w:r>
                    <w:rPr>
                      <w:color w:val="auto"/>
                      <w:sz w:val="22"/>
                      <w:szCs w:val="22"/>
                    </w:rPr>
                    <w:t>0</w:t>
                  </w:r>
                </w:p>
              </w:tc>
            </w:tr>
            <w:tr w14:paraId="765F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0357FC9C">
                  <w:pPr>
                    <w:pStyle w:val="143"/>
                    <w:spacing w:line="240" w:lineRule="auto"/>
                    <w:rPr>
                      <w:color w:val="auto"/>
                      <w:sz w:val="22"/>
                      <w:szCs w:val="22"/>
                    </w:rPr>
                  </w:pPr>
                </w:p>
              </w:tc>
              <w:tc>
                <w:tcPr>
                  <w:tcW w:w="1000" w:type="pct"/>
                  <w:vMerge w:val="continue"/>
                  <w:shd w:val="clear" w:color="auto" w:fill="auto"/>
                  <w:vAlign w:val="center"/>
                </w:tcPr>
                <w:p w14:paraId="32FBD625">
                  <w:pPr>
                    <w:pStyle w:val="143"/>
                    <w:spacing w:line="240" w:lineRule="auto"/>
                    <w:rPr>
                      <w:color w:val="auto"/>
                      <w:sz w:val="22"/>
                      <w:szCs w:val="22"/>
                    </w:rPr>
                  </w:pPr>
                </w:p>
              </w:tc>
              <w:tc>
                <w:tcPr>
                  <w:tcW w:w="780" w:type="pct"/>
                  <w:vMerge w:val="continue"/>
                  <w:shd w:val="clear" w:color="auto" w:fill="auto"/>
                  <w:vAlign w:val="center"/>
                </w:tcPr>
                <w:p w14:paraId="02151161">
                  <w:pPr>
                    <w:pStyle w:val="143"/>
                    <w:spacing w:line="240" w:lineRule="auto"/>
                    <w:rPr>
                      <w:color w:val="auto"/>
                      <w:sz w:val="22"/>
                      <w:szCs w:val="22"/>
                    </w:rPr>
                  </w:pPr>
                </w:p>
              </w:tc>
              <w:tc>
                <w:tcPr>
                  <w:tcW w:w="1243" w:type="pct"/>
                  <w:shd w:val="clear" w:color="auto" w:fill="auto"/>
                  <w:vAlign w:val="center"/>
                </w:tcPr>
                <w:p w14:paraId="1CA425F2">
                  <w:pPr>
                    <w:pStyle w:val="143"/>
                    <w:spacing w:line="240" w:lineRule="auto"/>
                    <w:rPr>
                      <w:color w:val="auto"/>
                      <w:sz w:val="22"/>
                      <w:szCs w:val="22"/>
                    </w:rPr>
                  </w:pPr>
                  <w:r>
                    <w:rPr>
                      <w:color w:val="auto"/>
                      <w:sz w:val="22"/>
                      <w:szCs w:val="22"/>
                    </w:rPr>
                    <w:t>通风橱</w:t>
                  </w:r>
                </w:p>
              </w:tc>
              <w:tc>
                <w:tcPr>
                  <w:tcW w:w="1203" w:type="pct"/>
                  <w:shd w:val="clear" w:color="auto" w:fill="auto"/>
                  <w:vAlign w:val="center"/>
                </w:tcPr>
                <w:p w14:paraId="2DEA6272">
                  <w:pPr>
                    <w:pStyle w:val="143"/>
                    <w:spacing w:line="240" w:lineRule="auto"/>
                    <w:rPr>
                      <w:color w:val="auto"/>
                      <w:sz w:val="22"/>
                      <w:szCs w:val="22"/>
                    </w:rPr>
                  </w:pPr>
                  <w:r>
                    <w:rPr>
                      <w:color w:val="auto"/>
                      <w:sz w:val="22"/>
                      <w:szCs w:val="22"/>
                    </w:rPr>
                    <w:t>0</w:t>
                  </w:r>
                </w:p>
              </w:tc>
            </w:tr>
            <w:tr w14:paraId="5338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restart"/>
                  <w:shd w:val="clear" w:color="auto" w:fill="auto"/>
                  <w:vAlign w:val="center"/>
                </w:tcPr>
                <w:p w14:paraId="5D758303">
                  <w:pPr>
                    <w:pStyle w:val="143"/>
                    <w:spacing w:line="240" w:lineRule="auto"/>
                    <w:rPr>
                      <w:color w:val="auto"/>
                      <w:sz w:val="22"/>
                      <w:szCs w:val="22"/>
                    </w:rPr>
                  </w:pPr>
                  <w:r>
                    <w:rPr>
                      <w:color w:val="auto"/>
                      <w:sz w:val="22"/>
                      <w:szCs w:val="22"/>
                    </w:rPr>
                    <w:t>发动机检测实验室</w:t>
                  </w:r>
                </w:p>
              </w:tc>
              <w:tc>
                <w:tcPr>
                  <w:tcW w:w="1000" w:type="pct"/>
                  <w:vMerge w:val="restart"/>
                  <w:shd w:val="clear" w:color="auto" w:fill="auto"/>
                  <w:vAlign w:val="center"/>
                </w:tcPr>
                <w:p w14:paraId="6D480170">
                  <w:pPr>
                    <w:pStyle w:val="143"/>
                    <w:spacing w:line="240" w:lineRule="auto"/>
                    <w:rPr>
                      <w:color w:val="auto"/>
                      <w:sz w:val="22"/>
                      <w:szCs w:val="22"/>
                    </w:rPr>
                  </w:pPr>
                  <w:r>
                    <w:rPr>
                      <w:color w:val="auto"/>
                      <w:sz w:val="22"/>
                      <w:szCs w:val="22"/>
                    </w:rPr>
                    <w:t>功能测试</w:t>
                  </w:r>
                </w:p>
              </w:tc>
              <w:tc>
                <w:tcPr>
                  <w:tcW w:w="780" w:type="pct"/>
                  <w:vMerge w:val="restart"/>
                  <w:shd w:val="clear" w:color="auto" w:fill="auto"/>
                  <w:vAlign w:val="center"/>
                </w:tcPr>
                <w:p w14:paraId="673266B6">
                  <w:pPr>
                    <w:pStyle w:val="143"/>
                    <w:spacing w:line="240" w:lineRule="auto"/>
                    <w:rPr>
                      <w:color w:val="auto"/>
                      <w:sz w:val="22"/>
                      <w:szCs w:val="22"/>
                    </w:rPr>
                  </w:pPr>
                  <w:r>
                    <w:rPr>
                      <w:color w:val="auto"/>
                      <w:sz w:val="22"/>
                      <w:szCs w:val="22"/>
                    </w:rPr>
                    <w:t>测试</w:t>
                  </w:r>
                </w:p>
              </w:tc>
              <w:tc>
                <w:tcPr>
                  <w:tcW w:w="1243" w:type="pct"/>
                  <w:shd w:val="clear" w:color="auto" w:fill="auto"/>
                  <w:vAlign w:val="center"/>
                </w:tcPr>
                <w:p w14:paraId="41245EFE">
                  <w:pPr>
                    <w:pStyle w:val="143"/>
                    <w:spacing w:line="240" w:lineRule="auto"/>
                    <w:rPr>
                      <w:color w:val="auto"/>
                      <w:sz w:val="22"/>
                      <w:szCs w:val="22"/>
                    </w:rPr>
                  </w:pPr>
                  <w:r>
                    <w:rPr>
                      <w:color w:val="auto"/>
                      <w:sz w:val="22"/>
                      <w:szCs w:val="22"/>
                    </w:rPr>
                    <w:t>系统功能测试台架</w:t>
                  </w:r>
                </w:p>
              </w:tc>
              <w:tc>
                <w:tcPr>
                  <w:tcW w:w="1203" w:type="pct"/>
                  <w:shd w:val="clear" w:color="auto" w:fill="auto"/>
                  <w:vAlign w:val="center"/>
                </w:tcPr>
                <w:p w14:paraId="7C3FF06F">
                  <w:pPr>
                    <w:pStyle w:val="143"/>
                    <w:spacing w:line="240" w:lineRule="auto"/>
                    <w:rPr>
                      <w:color w:val="auto"/>
                      <w:sz w:val="22"/>
                      <w:szCs w:val="22"/>
                    </w:rPr>
                  </w:pPr>
                  <w:r>
                    <w:rPr>
                      <w:color w:val="auto"/>
                      <w:sz w:val="22"/>
                      <w:szCs w:val="22"/>
                    </w:rPr>
                    <w:t>10台</w:t>
                  </w:r>
                </w:p>
              </w:tc>
            </w:tr>
            <w:tr w14:paraId="68C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1DB7211F">
                  <w:pPr>
                    <w:pStyle w:val="143"/>
                    <w:spacing w:line="240" w:lineRule="auto"/>
                    <w:rPr>
                      <w:color w:val="auto"/>
                      <w:sz w:val="22"/>
                      <w:szCs w:val="22"/>
                    </w:rPr>
                  </w:pPr>
                </w:p>
              </w:tc>
              <w:tc>
                <w:tcPr>
                  <w:tcW w:w="1000" w:type="pct"/>
                  <w:vMerge w:val="continue"/>
                  <w:shd w:val="clear" w:color="auto" w:fill="auto"/>
                  <w:vAlign w:val="center"/>
                </w:tcPr>
                <w:p w14:paraId="3D3DE4DE">
                  <w:pPr>
                    <w:pStyle w:val="143"/>
                    <w:spacing w:line="240" w:lineRule="auto"/>
                    <w:rPr>
                      <w:color w:val="auto"/>
                      <w:sz w:val="22"/>
                      <w:szCs w:val="22"/>
                    </w:rPr>
                  </w:pPr>
                </w:p>
              </w:tc>
              <w:tc>
                <w:tcPr>
                  <w:tcW w:w="780" w:type="pct"/>
                  <w:vMerge w:val="continue"/>
                  <w:shd w:val="clear" w:color="auto" w:fill="auto"/>
                  <w:vAlign w:val="center"/>
                </w:tcPr>
                <w:p w14:paraId="4780AFC4">
                  <w:pPr>
                    <w:pStyle w:val="143"/>
                    <w:spacing w:line="240" w:lineRule="auto"/>
                    <w:rPr>
                      <w:color w:val="auto"/>
                      <w:sz w:val="22"/>
                      <w:szCs w:val="22"/>
                    </w:rPr>
                  </w:pPr>
                </w:p>
              </w:tc>
              <w:tc>
                <w:tcPr>
                  <w:tcW w:w="1243" w:type="pct"/>
                  <w:shd w:val="clear" w:color="auto" w:fill="auto"/>
                  <w:vAlign w:val="center"/>
                </w:tcPr>
                <w:p w14:paraId="2C1C824B">
                  <w:pPr>
                    <w:pStyle w:val="143"/>
                    <w:spacing w:line="240" w:lineRule="auto"/>
                    <w:rPr>
                      <w:color w:val="auto"/>
                      <w:sz w:val="22"/>
                      <w:szCs w:val="22"/>
                    </w:rPr>
                  </w:pPr>
                  <w:r>
                    <w:rPr>
                      <w:color w:val="auto"/>
                      <w:sz w:val="22"/>
                      <w:szCs w:val="22"/>
                    </w:rPr>
                    <w:t>子系统功能测试台架</w:t>
                  </w:r>
                </w:p>
              </w:tc>
              <w:tc>
                <w:tcPr>
                  <w:tcW w:w="1203" w:type="pct"/>
                  <w:shd w:val="clear" w:color="auto" w:fill="auto"/>
                  <w:vAlign w:val="center"/>
                </w:tcPr>
                <w:p w14:paraId="240A5BE8">
                  <w:pPr>
                    <w:pStyle w:val="143"/>
                    <w:spacing w:line="240" w:lineRule="auto"/>
                    <w:rPr>
                      <w:color w:val="auto"/>
                      <w:sz w:val="22"/>
                      <w:szCs w:val="22"/>
                    </w:rPr>
                  </w:pPr>
                  <w:r>
                    <w:rPr>
                      <w:color w:val="auto"/>
                      <w:sz w:val="22"/>
                      <w:szCs w:val="22"/>
                    </w:rPr>
                    <w:t>3台</w:t>
                  </w:r>
                </w:p>
              </w:tc>
            </w:tr>
            <w:tr w14:paraId="6DF3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119E619A">
                  <w:pPr>
                    <w:pStyle w:val="143"/>
                    <w:spacing w:line="240" w:lineRule="auto"/>
                    <w:rPr>
                      <w:color w:val="auto"/>
                      <w:sz w:val="22"/>
                      <w:szCs w:val="22"/>
                    </w:rPr>
                  </w:pPr>
                </w:p>
              </w:tc>
              <w:tc>
                <w:tcPr>
                  <w:tcW w:w="1000" w:type="pct"/>
                  <w:vMerge w:val="continue"/>
                  <w:shd w:val="clear" w:color="auto" w:fill="auto"/>
                  <w:vAlign w:val="center"/>
                </w:tcPr>
                <w:p w14:paraId="0E2CE3F0">
                  <w:pPr>
                    <w:pStyle w:val="143"/>
                    <w:spacing w:line="240" w:lineRule="auto"/>
                    <w:rPr>
                      <w:color w:val="auto"/>
                      <w:sz w:val="22"/>
                      <w:szCs w:val="22"/>
                    </w:rPr>
                  </w:pPr>
                </w:p>
              </w:tc>
              <w:tc>
                <w:tcPr>
                  <w:tcW w:w="780" w:type="pct"/>
                  <w:vMerge w:val="continue"/>
                  <w:shd w:val="clear" w:color="auto" w:fill="auto"/>
                  <w:vAlign w:val="center"/>
                </w:tcPr>
                <w:p w14:paraId="1A7645CF">
                  <w:pPr>
                    <w:pStyle w:val="143"/>
                    <w:spacing w:line="240" w:lineRule="auto"/>
                    <w:rPr>
                      <w:color w:val="auto"/>
                      <w:sz w:val="22"/>
                      <w:szCs w:val="22"/>
                    </w:rPr>
                  </w:pPr>
                </w:p>
              </w:tc>
              <w:tc>
                <w:tcPr>
                  <w:tcW w:w="1243" w:type="pct"/>
                  <w:shd w:val="clear" w:color="auto" w:fill="auto"/>
                  <w:vAlign w:val="center"/>
                </w:tcPr>
                <w:p w14:paraId="78061940">
                  <w:pPr>
                    <w:pStyle w:val="143"/>
                    <w:spacing w:line="240" w:lineRule="auto"/>
                    <w:rPr>
                      <w:color w:val="auto"/>
                      <w:sz w:val="22"/>
                      <w:szCs w:val="22"/>
                    </w:rPr>
                  </w:pPr>
                  <w:r>
                    <w:rPr>
                      <w:color w:val="auto"/>
                      <w:sz w:val="22"/>
                      <w:szCs w:val="22"/>
                    </w:rPr>
                    <w:t>噪声测试台</w:t>
                  </w:r>
                </w:p>
              </w:tc>
              <w:tc>
                <w:tcPr>
                  <w:tcW w:w="1203" w:type="pct"/>
                  <w:shd w:val="clear" w:color="auto" w:fill="auto"/>
                  <w:vAlign w:val="center"/>
                </w:tcPr>
                <w:p w14:paraId="59A052C5">
                  <w:pPr>
                    <w:pStyle w:val="143"/>
                    <w:spacing w:line="240" w:lineRule="auto"/>
                    <w:rPr>
                      <w:color w:val="auto"/>
                      <w:sz w:val="22"/>
                      <w:szCs w:val="22"/>
                    </w:rPr>
                  </w:pPr>
                  <w:r>
                    <w:rPr>
                      <w:color w:val="auto"/>
                      <w:sz w:val="22"/>
                      <w:szCs w:val="22"/>
                    </w:rPr>
                    <w:t>1台</w:t>
                  </w:r>
                </w:p>
              </w:tc>
            </w:tr>
            <w:tr w14:paraId="65E5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2C304DA0">
                  <w:pPr>
                    <w:pStyle w:val="143"/>
                    <w:spacing w:line="240" w:lineRule="auto"/>
                    <w:rPr>
                      <w:color w:val="auto"/>
                      <w:sz w:val="22"/>
                      <w:szCs w:val="22"/>
                    </w:rPr>
                  </w:pPr>
                </w:p>
              </w:tc>
              <w:tc>
                <w:tcPr>
                  <w:tcW w:w="1000" w:type="pct"/>
                  <w:vMerge w:val="continue"/>
                  <w:shd w:val="clear" w:color="auto" w:fill="auto"/>
                  <w:vAlign w:val="center"/>
                </w:tcPr>
                <w:p w14:paraId="44E210E6">
                  <w:pPr>
                    <w:pStyle w:val="143"/>
                    <w:spacing w:line="240" w:lineRule="auto"/>
                    <w:rPr>
                      <w:color w:val="auto"/>
                      <w:sz w:val="22"/>
                      <w:szCs w:val="22"/>
                    </w:rPr>
                  </w:pPr>
                </w:p>
              </w:tc>
              <w:tc>
                <w:tcPr>
                  <w:tcW w:w="780" w:type="pct"/>
                  <w:vMerge w:val="continue"/>
                  <w:shd w:val="clear" w:color="auto" w:fill="auto"/>
                  <w:vAlign w:val="center"/>
                </w:tcPr>
                <w:p w14:paraId="668E35BE">
                  <w:pPr>
                    <w:pStyle w:val="143"/>
                    <w:spacing w:line="240" w:lineRule="auto"/>
                    <w:rPr>
                      <w:color w:val="auto"/>
                      <w:sz w:val="22"/>
                      <w:szCs w:val="22"/>
                    </w:rPr>
                  </w:pPr>
                </w:p>
              </w:tc>
              <w:tc>
                <w:tcPr>
                  <w:tcW w:w="1243" w:type="pct"/>
                  <w:shd w:val="clear" w:color="auto" w:fill="auto"/>
                  <w:vAlign w:val="center"/>
                </w:tcPr>
                <w:p w14:paraId="22B01CF9">
                  <w:pPr>
                    <w:pStyle w:val="143"/>
                    <w:spacing w:line="240" w:lineRule="auto"/>
                    <w:rPr>
                      <w:color w:val="auto"/>
                      <w:sz w:val="22"/>
                      <w:szCs w:val="22"/>
                    </w:rPr>
                  </w:pPr>
                  <w:r>
                    <w:rPr>
                      <w:color w:val="auto"/>
                      <w:sz w:val="22"/>
                      <w:szCs w:val="22"/>
                    </w:rPr>
                    <w:t>振动测试台</w:t>
                  </w:r>
                </w:p>
              </w:tc>
              <w:tc>
                <w:tcPr>
                  <w:tcW w:w="1203" w:type="pct"/>
                  <w:shd w:val="clear" w:color="auto" w:fill="auto"/>
                  <w:vAlign w:val="center"/>
                </w:tcPr>
                <w:p w14:paraId="022B9B09">
                  <w:pPr>
                    <w:pStyle w:val="143"/>
                    <w:spacing w:line="240" w:lineRule="auto"/>
                    <w:rPr>
                      <w:color w:val="auto"/>
                      <w:sz w:val="22"/>
                      <w:szCs w:val="22"/>
                    </w:rPr>
                  </w:pPr>
                  <w:r>
                    <w:rPr>
                      <w:color w:val="auto"/>
                      <w:sz w:val="22"/>
                      <w:szCs w:val="22"/>
                    </w:rPr>
                    <w:t>1台</w:t>
                  </w:r>
                </w:p>
              </w:tc>
            </w:tr>
            <w:tr w14:paraId="2D9A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5B8F6B8D">
                  <w:pPr>
                    <w:pStyle w:val="143"/>
                    <w:spacing w:line="240" w:lineRule="auto"/>
                    <w:rPr>
                      <w:color w:val="auto"/>
                      <w:sz w:val="22"/>
                      <w:szCs w:val="22"/>
                    </w:rPr>
                  </w:pPr>
                </w:p>
              </w:tc>
              <w:tc>
                <w:tcPr>
                  <w:tcW w:w="1000" w:type="pct"/>
                  <w:vMerge w:val="continue"/>
                  <w:shd w:val="clear" w:color="auto" w:fill="auto"/>
                  <w:vAlign w:val="center"/>
                </w:tcPr>
                <w:p w14:paraId="2B73C178">
                  <w:pPr>
                    <w:pStyle w:val="143"/>
                    <w:spacing w:line="240" w:lineRule="auto"/>
                    <w:rPr>
                      <w:color w:val="auto"/>
                      <w:sz w:val="22"/>
                      <w:szCs w:val="22"/>
                    </w:rPr>
                  </w:pPr>
                </w:p>
              </w:tc>
              <w:tc>
                <w:tcPr>
                  <w:tcW w:w="780" w:type="pct"/>
                  <w:vMerge w:val="continue"/>
                  <w:shd w:val="clear" w:color="auto" w:fill="auto"/>
                  <w:vAlign w:val="center"/>
                </w:tcPr>
                <w:p w14:paraId="0DED3A52">
                  <w:pPr>
                    <w:pStyle w:val="143"/>
                    <w:spacing w:line="240" w:lineRule="auto"/>
                    <w:rPr>
                      <w:color w:val="auto"/>
                      <w:sz w:val="22"/>
                      <w:szCs w:val="22"/>
                    </w:rPr>
                  </w:pPr>
                </w:p>
              </w:tc>
              <w:tc>
                <w:tcPr>
                  <w:tcW w:w="1243" w:type="pct"/>
                  <w:shd w:val="clear" w:color="auto" w:fill="auto"/>
                  <w:vAlign w:val="center"/>
                </w:tcPr>
                <w:p w14:paraId="6AA44F33">
                  <w:pPr>
                    <w:pStyle w:val="143"/>
                    <w:spacing w:line="240" w:lineRule="auto"/>
                    <w:rPr>
                      <w:color w:val="auto"/>
                      <w:sz w:val="22"/>
                      <w:szCs w:val="22"/>
                    </w:rPr>
                  </w:pPr>
                  <w:r>
                    <w:rPr>
                      <w:color w:val="auto"/>
                      <w:sz w:val="22"/>
                      <w:szCs w:val="22"/>
                    </w:rPr>
                    <w:t>系统仿真台</w:t>
                  </w:r>
                </w:p>
              </w:tc>
              <w:tc>
                <w:tcPr>
                  <w:tcW w:w="1203" w:type="pct"/>
                  <w:shd w:val="clear" w:color="auto" w:fill="auto"/>
                  <w:vAlign w:val="center"/>
                </w:tcPr>
                <w:p w14:paraId="7A8F9A23">
                  <w:pPr>
                    <w:pStyle w:val="143"/>
                    <w:spacing w:line="240" w:lineRule="auto"/>
                    <w:rPr>
                      <w:color w:val="auto"/>
                      <w:sz w:val="22"/>
                      <w:szCs w:val="22"/>
                    </w:rPr>
                  </w:pPr>
                  <w:r>
                    <w:rPr>
                      <w:color w:val="auto"/>
                      <w:sz w:val="22"/>
                      <w:szCs w:val="22"/>
                    </w:rPr>
                    <w:t>0台</w:t>
                  </w:r>
                </w:p>
              </w:tc>
            </w:tr>
            <w:tr w14:paraId="5FA9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704FFC3B">
                  <w:pPr>
                    <w:pStyle w:val="143"/>
                    <w:spacing w:line="240" w:lineRule="auto"/>
                    <w:rPr>
                      <w:color w:val="auto"/>
                      <w:sz w:val="22"/>
                      <w:szCs w:val="22"/>
                    </w:rPr>
                  </w:pPr>
                </w:p>
              </w:tc>
              <w:tc>
                <w:tcPr>
                  <w:tcW w:w="1000" w:type="pct"/>
                  <w:vMerge w:val="continue"/>
                  <w:shd w:val="clear" w:color="auto" w:fill="auto"/>
                  <w:vAlign w:val="center"/>
                </w:tcPr>
                <w:p w14:paraId="2219A001">
                  <w:pPr>
                    <w:pStyle w:val="143"/>
                    <w:spacing w:line="240" w:lineRule="auto"/>
                    <w:rPr>
                      <w:color w:val="auto"/>
                      <w:sz w:val="22"/>
                      <w:szCs w:val="22"/>
                    </w:rPr>
                  </w:pPr>
                </w:p>
              </w:tc>
              <w:tc>
                <w:tcPr>
                  <w:tcW w:w="780" w:type="pct"/>
                  <w:vMerge w:val="continue"/>
                  <w:shd w:val="clear" w:color="auto" w:fill="auto"/>
                  <w:vAlign w:val="center"/>
                </w:tcPr>
                <w:p w14:paraId="2D24E50F">
                  <w:pPr>
                    <w:pStyle w:val="143"/>
                    <w:spacing w:line="240" w:lineRule="auto"/>
                    <w:rPr>
                      <w:color w:val="auto"/>
                      <w:sz w:val="22"/>
                      <w:szCs w:val="22"/>
                    </w:rPr>
                  </w:pPr>
                </w:p>
              </w:tc>
              <w:tc>
                <w:tcPr>
                  <w:tcW w:w="1243" w:type="pct"/>
                  <w:shd w:val="clear" w:color="auto" w:fill="auto"/>
                  <w:vAlign w:val="center"/>
                </w:tcPr>
                <w:p w14:paraId="04BFBB0B">
                  <w:pPr>
                    <w:pStyle w:val="143"/>
                    <w:spacing w:line="240" w:lineRule="auto"/>
                    <w:rPr>
                      <w:color w:val="auto"/>
                      <w:sz w:val="22"/>
                      <w:szCs w:val="22"/>
                    </w:rPr>
                  </w:pPr>
                  <w:r>
                    <w:rPr>
                      <w:color w:val="auto"/>
                      <w:sz w:val="22"/>
                      <w:szCs w:val="22"/>
                    </w:rPr>
                    <w:t>温箱</w:t>
                  </w:r>
                </w:p>
              </w:tc>
              <w:tc>
                <w:tcPr>
                  <w:tcW w:w="1203" w:type="pct"/>
                  <w:shd w:val="clear" w:color="auto" w:fill="auto"/>
                  <w:vAlign w:val="center"/>
                </w:tcPr>
                <w:p w14:paraId="7AC418C6">
                  <w:pPr>
                    <w:pStyle w:val="143"/>
                    <w:spacing w:line="240" w:lineRule="auto"/>
                    <w:rPr>
                      <w:color w:val="auto"/>
                      <w:sz w:val="22"/>
                      <w:szCs w:val="22"/>
                    </w:rPr>
                  </w:pPr>
                  <w:r>
                    <w:rPr>
                      <w:color w:val="auto"/>
                      <w:sz w:val="22"/>
                      <w:szCs w:val="22"/>
                    </w:rPr>
                    <w:t>0台</w:t>
                  </w:r>
                </w:p>
              </w:tc>
            </w:tr>
            <w:tr w14:paraId="11AA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1344DE04">
                  <w:pPr>
                    <w:pStyle w:val="143"/>
                    <w:spacing w:line="240" w:lineRule="auto"/>
                    <w:rPr>
                      <w:color w:val="auto"/>
                      <w:sz w:val="22"/>
                      <w:szCs w:val="22"/>
                    </w:rPr>
                  </w:pPr>
                </w:p>
              </w:tc>
              <w:tc>
                <w:tcPr>
                  <w:tcW w:w="1000" w:type="pct"/>
                  <w:vMerge w:val="continue"/>
                  <w:shd w:val="clear" w:color="auto" w:fill="auto"/>
                  <w:vAlign w:val="center"/>
                </w:tcPr>
                <w:p w14:paraId="548441F7">
                  <w:pPr>
                    <w:pStyle w:val="143"/>
                    <w:spacing w:line="240" w:lineRule="auto"/>
                    <w:rPr>
                      <w:color w:val="auto"/>
                      <w:sz w:val="22"/>
                      <w:szCs w:val="22"/>
                    </w:rPr>
                  </w:pPr>
                </w:p>
              </w:tc>
              <w:tc>
                <w:tcPr>
                  <w:tcW w:w="780" w:type="pct"/>
                  <w:vMerge w:val="continue"/>
                  <w:shd w:val="clear" w:color="auto" w:fill="auto"/>
                  <w:vAlign w:val="center"/>
                </w:tcPr>
                <w:p w14:paraId="11265697">
                  <w:pPr>
                    <w:pStyle w:val="143"/>
                    <w:spacing w:line="240" w:lineRule="auto"/>
                    <w:rPr>
                      <w:color w:val="auto"/>
                      <w:sz w:val="22"/>
                      <w:szCs w:val="22"/>
                    </w:rPr>
                  </w:pPr>
                </w:p>
              </w:tc>
              <w:tc>
                <w:tcPr>
                  <w:tcW w:w="1243" w:type="pct"/>
                  <w:shd w:val="clear" w:color="auto" w:fill="auto"/>
                  <w:vAlign w:val="center"/>
                </w:tcPr>
                <w:p w14:paraId="42FCC053">
                  <w:pPr>
                    <w:pStyle w:val="143"/>
                    <w:spacing w:line="240" w:lineRule="auto"/>
                    <w:rPr>
                      <w:color w:val="auto"/>
                      <w:sz w:val="22"/>
                      <w:szCs w:val="22"/>
                    </w:rPr>
                  </w:pPr>
                  <w:r>
                    <w:rPr>
                      <w:color w:val="auto"/>
                      <w:sz w:val="22"/>
                      <w:szCs w:val="22"/>
                    </w:rPr>
                    <w:t>转毂测试台带环境仓</w:t>
                  </w:r>
                </w:p>
              </w:tc>
              <w:tc>
                <w:tcPr>
                  <w:tcW w:w="1203" w:type="pct"/>
                  <w:shd w:val="clear" w:color="auto" w:fill="auto"/>
                  <w:vAlign w:val="center"/>
                </w:tcPr>
                <w:p w14:paraId="5522EF1D">
                  <w:pPr>
                    <w:pStyle w:val="143"/>
                    <w:spacing w:line="240" w:lineRule="auto"/>
                    <w:rPr>
                      <w:color w:val="auto"/>
                      <w:sz w:val="22"/>
                      <w:szCs w:val="22"/>
                    </w:rPr>
                  </w:pPr>
                  <w:r>
                    <w:rPr>
                      <w:color w:val="auto"/>
                      <w:sz w:val="22"/>
                      <w:szCs w:val="22"/>
                    </w:rPr>
                    <w:t>0套</w:t>
                  </w:r>
                </w:p>
              </w:tc>
            </w:tr>
            <w:tr w14:paraId="11FA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4C68D35B">
                  <w:pPr>
                    <w:pStyle w:val="143"/>
                    <w:spacing w:line="240" w:lineRule="auto"/>
                    <w:rPr>
                      <w:color w:val="auto"/>
                      <w:sz w:val="22"/>
                      <w:szCs w:val="22"/>
                    </w:rPr>
                  </w:pPr>
                </w:p>
              </w:tc>
              <w:tc>
                <w:tcPr>
                  <w:tcW w:w="1000" w:type="pct"/>
                  <w:vMerge w:val="continue"/>
                  <w:shd w:val="clear" w:color="auto" w:fill="auto"/>
                  <w:vAlign w:val="center"/>
                </w:tcPr>
                <w:p w14:paraId="10D92772">
                  <w:pPr>
                    <w:pStyle w:val="143"/>
                    <w:spacing w:line="240" w:lineRule="auto"/>
                    <w:rPr>
                      <w:color w:val="auto"/>
                      <w:sz w:val="22"/>
                      <w:szCs w:val="22"/>
                    </w:rPr>
                  </w:pPr>
                </w:p>
              </w:tc>
              <w:tc>
                <w:tcPr>
                  <w:tcW w:w="780" w:type="pct"/>
                  <w:vMerge w:val="continue"/>
                  <w:shd w:val="clear" w:color="auto" w:fill="auto"/>
                  <w:vAlign w:val="center"/>
                </w:tcPr>
                <w:p w14:paraId="69259D2F">
                  <w:pPr>
                    <w:pStyle w:val="143"/>
                    <w:spacing w:line="240" w:lineRule="auto"/>
                    <w:rPr>
                      <w:color w:val="auto"/>
                      <w:sz w:val="22"/>
                      <w:szCs w:val="22"/>
                    </w:rPr>
                  </w:pPr>
                </w:p>
              </w:tc>
              <w:tc>
                <w:tcPr>
                  <w:tcW w:w="1243" w:type="pct"/>
                  <w:shd w:val="clear" w:color="auto" w:fill="auto"/>
                  <w:vAlign w:val="center"/>
                </w:tcPr>
                <w:p w14:paraId="561D3C79">
                  <w:pPr>
                    <w:pStyle w:val="143"/>
                    <w:spacing w:line="240" w:lineRule="auto"/>
                    <w:rPr>
                      <w:color w:val="auto"/>
                      <w:sz w:val="22"/>
                      <w:szCs w:val="22"/>
                    </w:rPr>
                  </w:pPr>
                  <w:r>
                    <w:rPr>
                      <w:color w:val="auto"/>
                      <w:sz w:val="22"/>
                      <w:szCs w:val="22"/>
                    </w:rPr>
                    <w:t>制冷机组（压缩机）</w:t>
                  </w:r>
                </w:p>
              </w:tc>
              <w:tc>
                <w:tcPr>
                  <w:tcW w:w="1203" w:type="pct"/>
                  <w:shd w:val="clear" w:color="auto" w:fill="auto"/>
                  <w:vAlign w:val="center"/>
                </w:tcPr>
                <w:p w14:paraId="3191AE43">
                  <w:pPr>
                    <w:pStyle w:val="143"/>
                    <w:spacing w:line="240" w:lineRule="auto"/>
                    <w:rPr>
                      <w:color w:val="auto"/>
                      <w:sz w:val="22"/>
                      <w:szCs w:val="22"/>
                    </w:rPr>
                  </w:pPr>
                  <w:r>
                    <w:rPr>
                      <w:color w:val="auto"/>
                      <w:sz w:val="22"/>
                      <w:szCs w:val="22"/>
                    </w:rPr>
                    <w:t>1套</w:t>
                  </w:r>
                </w:p>
              </w:tc>
            </w:tr>
            <w:tr w14:paraId="15C3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restart"/>
                  <w:shd w:val="clear" w:color="auto" w:fill="auto"/>
                  <w:vAlign w:val="center"/>
                </w:tcPr>
                <w:p w14:paraId="5762B0DF">
                  <w:pPr>
                    <w:pStyle w:val="143"/>
                    <w:spacing w:line="240" w:lineRule="auto"/>
                    <w:rPr>
                      <w:color w:val="auto"/>
                      <w:sz w:val="22"/>
                      <w:szCs w:val="22"/>
                    </w:rPr>
                  </w:pPr>
                  <w:r>
                    <w:rPr>
                      <w:color w:val="auto"/>
                      <w:sz w:val="22"/>
                      <w:szCs w:val="22"/>
                    </w:rPr>
                    <w:t>气站</w:t>
                  </w:r>
                </w:p>
              </w:tc>
              <w:tc>
                <w:tcPr>
                  <w:tcW w:w="1000" w:type="pct"/>
                  <w:vMerge w:val="restart"/>
                  <w:shd w:val="clear" w:color="auto" w:fill="auto"/>
                  <w:vAlign w:val="center"/>
                </w:tcPr>
                <w:p w14:paraId="23E0B8F9">
                  <w:pPr>
                    <w:pStyle w:val="143"/>
                    <w:spacing w:line="240" w:lineRule="auto"/>
                    <w:rPr>
                      <w:color w:val="auto"/>
                      <w:sz w:val="22"/>
                      <w:szCs w:val="22"/>
                    </w:rPr>
                  </w:pPr>
                  <w:r>
                    <w:rPr>
                      <w:color w:val="auto"/>
                      <w:sz w:val="22"/>
                      <w:szCs w:val="22"/>
                    </w:rPr>
                    <w:t>辅助工程</w:t>
                  </w:r>
                </w:p>
              </w:tc>
              <w:tc>
                <w:tcPr>
                  <w:tcW w:w="780" w:type="pct"/>
                  <w:vMerge w:val="restart"/>
                  <w:shd w:val="clear" w:color="auto" w:fill="auto"/>
                  <w:vAlign w:val="center"/>
                </w:tcPr>
                <w:p w14:paraId="4FB34609">
                  <w:pPr>
                    <w:pStyle w:val="143"/>
                    <w:spacing w:line="240" w:lineRule="auto"/>
                    <w:rPr>
                      <w:color w:val="auto"/>
                      <w:sz w:val="22"/>
                      <w:szCs w:val="22"/>
                    </w:rPr>
                  </w:pPr>
                  <w:r>
                    <w:rPr>
                      <w:color w:val="auto"/>
                      <w:sz w:val="22"/>
                      <w:szCs w:val="22"/>
                    </w:rPr>
                    <w:t>原料暂存</w:t>
                  </w:r>
                </w:p>
              </w:tc>
              <w:tc>
                <w:tcPr>
                  <w:tcW w:w="1243" w:type="pct"/>
                  <w:shd w:val="clear" w:color="auto" w:fill="auto"/>
                  <w:vAlign w:val="center"/>
                </w:tcPr>
                <w:p w14:paraId="7DB47D82">
                  <w:pPr>
                    <w:pStyle w:val="143"/>
                    <w:spacing w:line="240" w:lineRule="auto"/>
                    <w:rPr>
                      <w:color w:val="auto"/>
                      <w:sz w:val="22"/>
                      <w:szCs w:val="22"/>
                    </w:rPr>
                  </w:pPr>
                  <w:r>
                    <w:rPr>
                      <w:color w:val="auto"/>
                      <w:sz w:val="22"/>
                      <w:szCs w:val="22"/>
                    </w:rPr>
                    <w:t>液氮储罐</w:t>
                  </w:r>
                </w:p>
              </w:tc>
              <w:tc>
                <w:tcPr>
                  <w:tcW w:w="1203" w:type="pct"/>
                  <w:shd w:val="clear" w:color="auto" w:fill="auto"/>
                  <w:vAlign w:val="center"/>
                </w:tcPr>
                <w:p w14:paraId="55FB6D2C">
                  <w:pPr>
                    <w:pStyle w:val="143"/>
                    <w:spacing w:line="240" w:lineRule="auto"/>
                    <w:rPr>
                      <w:color w:val="auto"/>
                      <w:sz w:val="22"/>
                      <w:szCs w:val="22"/>
                    </w:rPr>
                  </w:pPr>
                  <w:r>
                    <w:rPr>
                      <w:color w:val="auto"/>
                      <w:sz w:val="22"/>
                      <w:szCs w:val="22"/>
                    </w:rPr>
                    <w:t>1个（5m</w:t>
                  </w:r>
                  <w:r>
                    <w:rPr>
                      <w:color w:val="auto"/>
                      <w:sz w:val="22"/>
                      <w:szCs w:val="22"/>
                      <w:vertAlign w:val="superscript"/>
                    </w:rPr>
                    <w:t>3</w:t>
                  </w:r>
                  <w:r>
                    <w:rPr>
                      <w:color w:val="auto"/>
                      <w:sz w:val="22"/>
                      <w:szCs w:val="22"/>
                    </w:rPr>
                    <w:t>）</w:t>
                  </w:r>
                </w:p>
              </w:tc>
            </w:tr>
            <w:tr w14:paraId="3009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52D3B4C9">
                  <w:pPr>
                    <w:pStyle w:val="143"/>
                    <w:spacing w:line="240" w:lineRule="auto"/>
                    <w:rPr>
                      <w:color w:val="auto"/>
                      <w:sz w:val="22"/>
                      <w:szCs w:val="22"/>
                    </w:rPr>
                  </w:pPr>
                </w:p>
              </w:tc>
              <w:tc>
                <w:tcPr>
                  <w:tcW w:w="1000" w:type="pct"/>
                  <w:vMerge w:val="continue"/>
                  <w:shd w:val="clear" w:color="auto" w:fill="auto"/>
                  <w:vAlign w:val="center"/>
                </w:tcPr>
                <w:p w14:paraId="79BB15BF">
                  <w:pPr>
                    <w:pStyle w:val="143"/>
                    <w:spacing w:line="240" w:lineRule="auto"/>
                    <w:rPr>
                      <w:color w:val="auto"/>
                      <w:sz w:val="22"/>
                      <w:szCs w:val="22"/>
                    </w:rPr>
                  </w:pPr>
                </w:p>
              </w:tc>
              <w:tc>
                <w:tcPr>
                  <w:tcW w:w="780" w:type="pct"/>
                  <w:vMerge w:val="continue"/>
                  <w:shd w:val="clear" w:color="auto" w:fill="auto"/>
                  <w:vAlign w:val="center"/>
                </w:tcPr>
                <w:p w14:paraId="4B0707C0">
                  <w:pPr>
                    <w:pStyle w:val="143"/>
                    <w:spacing w:line="240" w:lineRule="auto"/>
                    <w:rPr>
                      <w:color w:val="auto"/>
                      <w:sz w:val="22"/>
                      <w:szCs w:val="22"/>
                    </w:rPr>
                  </w:pPr>
                </w:p>
              </w:tc>
              <w:tc>
                <w:tcPr>
                  <w:tcW w:w="1243" w:type="pct"/>
                  <w:shd w:val="clear" w:color="auto" w:fill="auto"/>
                  <w:vAlign w:val="center"/>
                </w:tcPr>
                <w:p w14:paraId="09E7585F">
                  <w:pPr>
                    <w:pStyle w:val="143"/>
                    <w:spacing w:line="240" w:lineRule="auto"/>
                    <w:rPr>
                      <w:color w:val="auto"/>
                      <w:sz w:val="22"/>
                      <w:szCs w:val="22"/>
                    </w:rPr>
                  </w:pPr>
                  <w:r>
                    <w:rPr>
                      <w:color w:val="auto"/>
                      <w:sz w:val="22"/>
                      <w:szCs w:val="22"/>
                      <w:lang w:eastAsia="zh-Hans"/>
                    </w:rPr>
                    <w:t>汽化器</w:t>
                  </w:r>
                </w:p>
              </w:tc>
              <w:tc>
                <w:tcPr>
                  <w:tcW w:w="1203" w:type="pct"/>
                  <w:shd w:val="clear" w:color="auto" w:fill="auto"/>
                  <w:vAlign w:val="center"/>
                </w:tcPr>
                <w:p w14:paraId="2357A048">
                  <w:pPr>
                    <w:pStyle w:val="143"/>
                    <w:spacing w:line="240" w:lineRule="auto"/>
                    <w:rPr>
                      <w:color w:val="auto"/>
                      <w:sz w:val="22"/>
                      <w:szCs w:val="22"/>
                    </w:rPr>
                  </w:pPr>
                  <w:r>
                    <w:rPr>
                      <w:color w:val="auto"/>
                      <w:sz w:val="22"/>
                      <w:szCs w:val="22"/>
                    </w:rPr>
                    <w:t>2台</w:t>
                  </w:r>
                </w:p>
              </w:tc>
            </w:tr>
            <w:tr w14:paraId="6B0E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continue"/>
                  <w:shd w:val="clear" w:color="auto" w:fill="auto"/>
                  <w:vAlign w:val="center"/>
                </w:tcPr>
                <w:p w14:paraId="145C7704">
                  <w:pPr>
                    <w:pStyle w:val="143"/>
                    <w:spacing w:line="240" w:lineRule="auto"/>
                    <w:rPr>
                      <w:color w:val="auto"/>
                      <w:sz w:val="22"/>
                      <w:szCs w:val="22"/>
                    </w:rPr>
                  </w:pPr>
                </w:p>
              </w:tc>
              <w:tc>
                <w:tcPr>
                  <w:tcW w:w="1000" w:type="pct"/>
                  <w:vMerge w:val="continue"/>
                  <w:shd w:val="clear" w:color="auto" w:fill="auto"/>
                  <w:vAlign w:val="center"/>
                </w:tcPr>
                <w:p w14:paraId="0CCAD0D3">
                  <w:pPr>
                    <w:pStyle w:val="143"/>
                    <w:spacing w:line="240" w:lineRule="auto"/>
                    <w:rPr>
                      <w:color w:val="auto"/>
                      <w:sz w:val="22"/>
                      <w:szCs w:val="22"/>
                    </w:rPr>
                  </w:pPr>
                </w:p>
              </w:tc>
              <w:tc>
                <w:tcPr>
                  <w:tcW w:w="780" w:type="pct"/>
                  <w:vMerge w:val="continue"/>
                  <w:shd w:val="clear" w:color="auto" w:fill="auto"/>
                  <w:vAlign w:val="center"/>
                </w:tcPr>
                <w:p w14:paraId="606F19E1">
                  <w:pPr>
                    <w:pStyle w:val="143"/>
                    <w:spacing w:line="240" w:lineRule="auto"/>
                    <w:rPr>
                      <w:color w:val="auto"/>
                      <w:sz w:val="22"/>
                      <w:szCs w:val="22"/>
                    </w:rPr>
                  </w:pPr>
                </w:p>
              </w:tc>
              <w:tc>
                <w:tcPr>
                  <w:tcW w:w="1243" w:type="pct"/>
                  <w:shd w:val="clear" w:color="auto" w:fill="auto"/>
                  <w:vAlign w:val="center"/>
                </w:tcPr>
                <w:p w14:paraId="4A535D88">
                  <w:pPr>
                    <w:pStyle w:val="143"/>
                    <w:spacing w:line="240" w:lineRule="auto"/>
                    <w:rPr>
                      <w:color w:val="auto"/>
                      <w:sz w:val="22"/>
                      <w:szCs w:val="22"/>
                    </w:rPr>
                  </w:pPr>
                  <w:r>
                    <w:rPr>
                      <w:color w:val="auto"/>
                      <w:sz w:val="22"/>
                      <w:szCs w:val="22"/>
                    </w:rPr>
                    <w:t>液氢储罐</w:t>
                  </w:r>
                </w:p>
              </w:tc>
              <w:tc>
                <w:tcPr>
                  <w:tcW w:w="1203" w:type="pct"/>
                  <w:shd w:val="clear" w:color="auto" w:fill="auto"/>
                  <w:vAlign w:val="center"/>
                </w:tcPr>
                <w:p w14:paraId="381BA4E6">
                  <w:pPr>
                    <w:pStyle w:val="143"/>
                    <w:spacing w:line="240" w:lineRule="auto"/>
                    <w:rPr>
                      <w:color w:val="auto"/>
                      <w:sz w:val="22"/>
                      <w:szCs w:val="22"/>
                    </w:rPr>
                  </w:pPr>
                  <w:r>
                    <w:rPr>
                      <w:color w:val="auto"/>
                      <w:sz w:val="22"/>
                      <w:szCs w:val="22"/>
                    </w:rPr>
                    <w:t>0个</w:t>
                  </w:r>
                </w:p>
              </w:tc>
            </w:tr>
            <w:tr w14:paraId="7C15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71" w:type="pct"/>
                  <w:vMerge w:val="continue"/>
                  <w:shd w:val="clear" w:color="auto" w:fill="auto"/>
                  <w:vAlign w:val="center"/>
                </w:tcPr>
                <w:p w14:paraId="008A454B">
                  <w:pPr>
                    <w:pStyle w:val="143"/>
                    <w:spacing w:line="240" w:lineRule="auto"/>
                    <w:rPr>
                      <w:color w:val="auto"/>
                      <w:sz w:val="22"/>
                      <w:szCs w:val="22"/>
                    </w:rPr>
                  </w:pPr>
                </w:p>
              </w:tc>
              <w:tc>
                <w:tcPr>
                  <w:tcW w:w="1000" w:type="pct"/>
                  <w:vMerge w:val="continue"/>
                  <w:shd w:val="clear" w:color="auto" w:fill="auto"/>
                  <w:vAlign w:val="center"/>
                </w:tcPr>
                <w:p w14:paraId="5F1DD20A">
                  <w:pPr>
                    <w:pStyle w:val="143"/>
                    <w:spacing w:line="240" w:lineRule="auto"/>
                    <w:rPr>
                      <w:color w:val="auto"/>
                      <w:sz w:val="22"/>
                      <w:szCs w:val="22"/>
                    </w:rPr>
                  </w:pPr>
                </w:p>
              </w:tc>
              <w:tc>
                <w:tcPr>
                  <w:tcW w:w="780" w:type="pct"/>
                  <w:vMerge w:val="continue"/>
                  <w:shd w:val="clear" w:color="auto" w:fill="auto"/>
                  <w:vAlign w:val="center"/>
                </w:tcPr>
                <w:p w14:paraId="2B95BC16">
                  <w:pPr>
                    <w:pStyle w:val="143"/>
                    <w:spacing w:line="240" w:lineRule="auto"/>
                    <w:rPr>
                      <w:color w:val="auto"/>
                      <w:sz w:val="22"/>
                      <w:szCs w:val="22"/>
                    </w:rPr>
                  </w:pPr>
                </w:p>
              </w:tc>
              <w:tc>
                <w:tcPr>
                  <w:tcW w:w="1243" w:type="pct"/>
                  <w:shd w:val="clear" w:color="auto" w:fill="auto"/>
                  <w:vAlign w:val="center"/>
                </w:tcPr>
                <w:p w14:paraId="425C0DF6">
                  <w:pPr>
                    <w:pStyle w:val="143"/>
                    <w:spacing w:line="240" w:lineRule="auto"/>
                    <w:rPr>
                      <w:color w:val="auto"/>
                      <w:sz w:val="22"/>
                      <w:szCs w:val="22"/>
                    </w:rPr>
                  </w:pPr>
                  <w:r>
                    <w:rPr>
                      <w:color w:val="auto"/>
                      <w:sz w:val="22"/>
                      <w:szCs w:val="22"/>
                    </w:rPr>
                    <w:t>氢气储罐</w:t>
                  </w:r>
                </w:p>
              </w:tc>
              <w:tc>
                <w:tcPr>
                  <w:tcW w:w="1203" w:type="pct"/>
                  <w:shd w:val="clear" w:color="auto" w:fill="auto"/>
                  <w:vAlign w:val="center"/>
                </w:tcPr>
                <w:p w14:paraId="508132BC">
                  <w:pPr>
                    <w:pStyle w:val="143"/>
                    <w:spacing w:line="240" w:lineRule="auto"/>
                    <w:rPr>
                      <w:color w:val="auto"/>
                      <w:sz w:val="22"/>
                      <w:szCs w:val="22"/>
                    </w:rPr>
                  </w:pPr>
                  <w:r>
                    <w:rPr>
                      <w:color w:val="auto"/>
                      <w:sz w:val="22"/>
                      <w:szCs w:val="22"/>
                    </w:rPr>
                    <w:t>1个（管束车形式、37.8m</w:t>
                  </w:r>
                  <w:r>
                    <w:rPr>
                      <w:color w:val="auto"/>
                      <w:sz w:val="22"/>
                      <w:szCs w:val="22"/>
                      <w:vertAlign w:val="superscript"/>
                    </w:rPr>
                    <w:t>3</w:t>
                  </w:r>
                  <w:r>
                    <w:rPr>
                      <w:color w:val="auto"/>
                      <w:sz w:val="22"/>
                      <w:szCs w:val="22"/>
                    </w:rPr>
                    <w:t>/车，压力约18.7MPa）</w:t>
                  </w:r>
                </w:p>
              </w:tc>
            </w:tr>
            <w:tr w14:paraId="6642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71" w:type="pct"/>
                  <w:shd w:val="clear" w:color="auto" w:fill="auto"/>
                  <w:vAlign w:val="center"/>
                </w:tcPr>
                <w:p w14:paraId="0FAEECC1">
                  <w:pPr>
                    <w:pStyle w:val="143"/>
                    <w:spacing w:line="240" w:lineRule="auto"/>
                    <w:rPr>
                      <w:color w:val="auto"/>
                      <w:sz w:val="22"/>
                      <w:szCs w:val="22"/>
                    </w:rPr>
                  </w:pPr>
                  <w:r>
                    <w:rPr>
                      <w:color w:val="auto"/>
                      <w:sz w:val="22"/>
                      <w:szCs w:val="22"/>
                    </w:rPr>
                    <w:t>东地块动力中心</w:t>
                  </w:r>
                </w:p>
              </w:tc>
              <w:tc>
                <w:tcPr>
                  <w:tcW w:w="1000" w:type="pct"/>
                  <w:shd w:val="clear" w:color="auto" w:fill="auto"/>
                  <w:vAlign w:val="center"/>
                </w:tcPr>
                <w:p w14:paraId="4BB43862">
                  <w:pPr>
                    <w:pStyle w:val="143"/>
                    <w:spacing w:line="240" w:lineRule="auto"/>
                    <w:rPr>
                      <w:color w:val="auto"/>
                      <w:sz w:val="22"/>
                      <w:szCs w:val="22"/>
                    </w:rPr>
                  </w:pPr>
                  <w:r>
                    <w:rPr>
                      <w:color w:val="auto"/>
                      <w:sz w:val="22"/>
                      <w:szCs w:val="22"/>
                    </w:rPr>
                    <w:t>辅助工程</w:t>
                  </w:r>
                </w:p>
              </w:tc>
              <w:tc>
                <w:tcPr>
                  <w:tcW w:w="780" w:type="pct"/>
                  <w:shd w:val="clear" w:color="auto" w:fill="auto"/>
                  <w:vAlign w:val="center"/>
                </w:tcPr>
                <w:p w14:paraId="306040AE">
                  <w:pPr>
                    <w:pStyle w:val="143"/>
                    <w:spacing w:line="240" w:lineRule="auto"/>
                    <w:rPr>
                      <w:color w:val="auto"/>
                      <w:sz w:val="22"/>
                      <w:szCs w:val="22"/>
                    </w:rPr>
                  </w:pPr>
                  <w:r>
                    <w:rPr>
                      <w:color w:val="auto"/>
                      <w:sz w:val="22"/>
                      <w:szCs w:val="22"/>
                    </w:rPr>
                    <w:t>供气单元</w:t>
                  </w:r>
                </w:p>
              </w:tc>
              <w:tc>
                <w:tcPr>
                  <w:tcW w:w="1243" w:type="pct"/>
                  <w:shd w:val="clear" w:color="auto" w:fill="auto"/>
                  <w:vAlign w:val="center"/>
                </w:tcPr>
                <w:p w14:paraId="0128A5D3">
                  <w:pPr>
                    <w:pStyle w:val="143"/>
                    <w:spacing w:line="240" w:lineRule="auto"/>
                    <w:rPr>
                      <w:color w:val="auto"/>
                      <w:sz w:val="22"/>
                      <w:szCs w:val="22"/>
                    </w:rPr>
                  </w:pPr>
                  <w:r>
                    <w:rPr>
                      <w:color w:val="auto"/>
                      <w:sz w:val="22"/>
                      <w:szCs w:val="22"/>
                    </w:rPr>
                    <w:t>空压机</w:t>
                  </w:r>
                </w:p>
              </w:tc>
              <w:tc>
                <w:tcPr>
                  <w:tcW w:w="1203" w:type="pct"/>
                  <w:shd w:val="clear" w:color="auto" w:fill="auto"/>
                  <w:vAlign w:val="center"/>
                </w:tcPr>
                <w:p w14:paraId="30F5C6DE">
                  <w:pPr>
                    <w:pStyle w:val="143"/>
                    <w:spacing w:line="240" w:lineRule="auto"/>
                    <w:rPr>
                      <w:color w:val="auto"/>
                      <w:sz w:val="22"/>
                      <w:szCs w:val="22"/>
                    </w:rPr>
                  </w:pPr>
                  <w:r>
                    <w:rPr>
                      <w:color w:val="auto"/>
                      <w:sz w:val="22"/>
                      <w:szCs w:val="22"/>
                    </w:rPr>
                    <w:t>2台</w:t>
                  </w:r>
                  <w:r>
                    <w:rPr>
                      <w:rFonts w:hint="eastAsia"/>
                      <w:color w:val="auto"/>
                      <w:sz w:val="22"/>
                      <w:szCs w:val="22"/>
                    </w:rPr>
                    <w:t>（含油）</w:t>
                  </w:r>
                </w:p>
              </w:tc>
            </w:tr>
            <w:tr w14:paraId="3765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71" w:type="pct"/>
                  <w:vMerge w:val="restart"/>
                  <w:shd w:val="clear" w:color="auto" w:fill="auto"/>
                  <w:vAlign w:val="center"/>
                </w:tcPr>
                <w:p w14:paraId="29A62104">
                  <w:pPr>
                    <w:pStyle w:val="143"/>
                    <w:spacing w:line="240" w:lineRule="auto"/>
                    <w:rPr>
                      <w:color w:val="auto"/>
                      <w:sz w:val="22"/>
                      <w:szCs w:val="22"/>
                    </w:rPr>
                  </w:pPr>
                  <w:r>
                    <w:rPr>
                      <w:color w:val="auto"/>
                      <w:sz w:val="22"/>
                      <w:szCs w:val="22"/>
                    </w:rPr>
                    <w:t>西地块动力中心</w:t>
                  </w:r>
                </w:p>
              </w:tc>
              <w:tc>
                <w:tcPr>
                  <w:tcW w:w="1000" w:type="pct"/>
                  <w:vMerge w:val="restart"/>
                  <w:shd w:val="clear" w:color="auto" w:fill="auto"/>
                  <w:vAlign w:val="center"/>
                </w:tcPr>
                <w:p w14:paraId="5D5B00FB">
                  <w:pPr>
                    <w:pStyle w:val="143"/>
                    <w:spacing w:line="240" w:lineRule="auto"/>
                    <w:rPr>
                      <w:color w:val="auto"/>
                      <w:sz w:val="22"/>
                      <w:szCs w:val="22"/>
                    </w:rPr>
                  </w:pPr>
                  <w:r>
                    <w:rPr>
                      <w:color w:val="auto"/>
                      <w:sz w:val="22"/>
                      <w:szCs w:val="22"/>
                    </w:rPr>
                    <w:t>辅助工程</w:t>
                  </w:r>
                </w:p>
              </w:tc>
              <w:tc>
                <w:tcPr>
                  <w:tcW w:w="780" w:type="pct"/>
                  <w:vMerge w:val="restart"/>
                  <w:shd w:val="clear" w:color="auto" w:fill="auto"/>
                  <w:vAlign w:val="center"/>
                </w:tcPr>
                <w:p w14:paraId="204B5BE0">
                  <w:pPr>
                    <w:pStyle w:val="143"/>
                    <w:spacing w:line="240" w:lineRule="auto"/>
                    <w:rPr>
                      <w:color w:val="auto"/>
                      <w:sz w:val="22"/>
                      <w:szCs w:val="22"/>
                    </w:rPr>
                  </w:pPr>
                  <w:r>
                    <w:rPr>
                      <w:color w:val="auto"/>
                      <w:sz w:val="22"/>
                      <w:szCs w:val="22"/>
                    </w:rPr>
                    <w:t>供气单元</w:t>
                  </w:r>
                </w:p>
              </w:tc>
              <w:tc>
                <w:tcPr>
                  <w:tcW w:w="1243" w:type="pct"/>
                  <w:vMerge w:val="restart"/>
                  <w:shd w:val="clear" w:color="auto" w:fill="auto"/>
                  <w:vAlign w:val="center"/>
                </w:tcPr>
                <w:p w14:paraId="620F94FC">
                  <w:pPr>
                    <w:pStyle w:val="143"/>
                    <w:spacing w:line="240" w:lineRule="auto"/>
                    <w:rPr>
                      <w:color w:val="auto"/>
                      <w:sz w:val="22"/>
                      <w:szCs w:val="22"/>
                    </w:rPr>
                  </w:pPr>
                  <w:r>
                    <w:rPr>
                      <w:color w:val="auto"/>
                      <w:sz w:val="22"/>
                      <w:szCs w:val="22"/>
                    </w:rPr>
                    <w:t>空压机</w:t>
                  </w:r>
                </w:p>
              </w:tc>
              <w:tc>
                <w:tcPr>
                  <w:tcW w:w="1203" w:type="pct"/>
                  <w:shd w:val="clear" w:color="auto" w:fill="auto"/>
                  <w:vAlign w:val="center"/>
                </w:tcPr>
                <w:p w14:paraId="23638C85">
                  <w:pPr>
                    <w:pStyle w:val="143"/>
                    <w:spacing w:line="240" w:lineRule="auto"/>
                    <w:rPr>
                      <w:color w:val="auto"/>
                      <w:sz w:val="22"/>
                      <w:szCs w:val="22"/>
                    </w:rPr>
                  </w:pPr>
                  <w:r>
                    <w:rPr>
                      <w:color w:val="auto"/>
                      <w:sz w:val="22"/>
                      <w:szCs w:val="22"/>
                    </w:rPr>
                    <w:t>2台</w:t>
                  </w:r>
                  <w:r>
                    <w:rPr>
                      <w:rFonts w:hint="eastAsia"/>
                      <w:color w:val="auto"/>
                      <w:sz w:val="22"/>
                      <w:szCs w:val="22"/>
                    </w:rPr>
                    <w:t>（含油）</w:t>
                  </w:r>
                </w:p>
              </w:tc>
            </w:tr>
            <w:tr w14:paraId="6879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71" w:type="pct"/>
                  <w:vMerge w:val="continue"/>
                  <w:shd w:val="clear" w:color="auto" w:fill="auto"/>
                  <w:vAlign w:val="center"/>
                </w:tcPr>
                <w:p w14:paraId="405EBB71">
                  <w:pPr>
                    <w:pStyle w:val="143"/>
                    <w:spacing w:line="240" w:lineRule="auto"/>
                    <w:rPr>
                      <w:color w:val="auto"/>
                      <w:sz w:val="22"/>
                      <w:szCs w:val="22"/>
                    </w:rPr>
                  </w:pPr>
                </w:p>
              </w:tc>
              <w:tc>
                <w:tcPr>
                  <w:tcW w:w="1000" w:type="pct"/>
                  <w:vMerge w:val="continue"/>
                  <w:shd w:val="clear" w:color="auto" w:fill="auto"/>
                  <w:vAlign w:val="center"/>
                </w:tcPr>
                <w:p w14:paraId="3ABC0742">
                  <w:pPr>
                    <w:pStyle w:val="143"/>
                    <w:spacing w:line="240" w:lineRule="auto"/>
                    <w:rPr>
                      <w:color w:val="auto"/>
                      <w:sz w:val="22"/>
                      <w:szCs w:val="22"/>
                    </w:rPr>
                  </w:pPr>
                </w:p>
              </w:tc>
              <w:tc>
                <w:tcPr>
                  <w:tcW w:w="780" w:type="pct"/>
                  <w:vMerge w:val="continue"/>
                  <w:shd w:val="clear" w:color="auto" w:fill="auto"/>
                  <w:vAlign w:val="center"/>
                </w:tcPr>
                <w:p w14:paraId="755770CD">
                  <w:pPr>
                    <w:pStyle w:val="143"/>
                    <w:spacing w:line="240" w:lineRule="auto"/>
                    <w:rPr>
                      <w:color w:val="auto"/>
                      <w:sz w:val="22"/>
                      <w:szCs w:val="22"/>
                    </w:rPr>
                  </w:pPr>
                </w:p>
              </w:tc>
              <w:tc>
                <w:tcPr>
                  <w:tcW w:w="1243" w:type="pct"/>
                  <w:vMerge w:val="continue"/>
                  <w:shd w:val="clear" w:color="auto" w:fill="auto"/>
                  <w:vAlign w:val="center"/>
                </w:tcPr>
                <w:p w14:paraId="5AF317F1">
                  <w:pPr>
                    <w:pStyle w:val="143"/>
                    <w:spacing w:line="240" w:lineRule="auto"/>
                    <w:rPr>
                      <w:color w:val="auto"/>
                      <w:sz w:val="22"/>
                      <w:szCs w:val="22"/>
                    </w:rPr>
                  </w:pPr>
                </w:p>
              </w:tc>
              <w:tc>
                <w:tcPr>
                  <w:tcW w:w="1203" w:type="pct"/>
                  <w:shd w:val="clear" w:color="auto" w:fill="auto"/>
                  <w:vAlign w:val="center"/>
                </w:tcPr>
                <w:p w14:paraId="1CF4E5CF">
                  <w:pPr>
                    <w:pStyle w:val="143"/>
                    <w:spacing w:line="240" w:lineRule="auto"/>
                    <w:rPr>
                      <w:color w:val="auto"/>
                      <w:sz w:val="22"/>
                      <w:szCs w:val="22"/>
                    </w:rPr>
                  </w:pPr>
                  <w:r>
                    <w:rPr>
                      <w:color w:val="auto"/>
                      <w:sz w:val="22"/>
                      <w:szCs w:val="22"/>
                    </w:rPr>
                    <w:t>2台</w:t>
                  </w:r>
                  <w:r>
                    <w:rPr>
                      <w:rFonts w:hint="eastAsia"/>
                      <w:color w:val="auto"/>
                      <w:sz w:val="22"/>
                      <w:szCs w:val="22"/>
                    </w:rPr>
                    <w:t>（含水）</w:t>
                  </w:r>
                </w:p>
              </w:tc>
            </w:tr>
          </w:tbl>
          <w:p w14:paraId="38ACFB4D">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rPr>
              <w:t>5</w:t>
            </w:r>
            <w:r>
              <w:rPr>
                <w:rFonts w:hint="eastAsia" w:eastAsia="宋体"/>
                <w:color w:val="auto"/>
                <w:sz w:val="26"/>
                <w:szCs w:val="26"/>
                <w:lang w:val="en-US" w:eastAsia="zh-CN"/>
              </w:rPr>
              <w:t xml:space="preserve">  重型电驱桥</w:t>
            </w:r>
            <w:r>
              <w:rPr>
                <w:rFonts w:eastAsia="宋体"/>
                <w:color w:val="auto"/>
                <w:sz w:val="26"/>
                <w:szCs w:val="26"/>
              </w:rPr>
              <w:t>项目主要生产设备一览表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98"/>
              <w:gridCol w:w="916"/>
              <w:gridCol w:w="706"/>
              <w:gridCol w:w="1020"/>
              <w:gridCol w:w="1244"/>
              <w:gridCol w:w="1228"/>
              <w:gridCol w:w="1312"/>
            </w:tblGrid>
            <w:tr w14:paraId="2C4D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9" w:hRule="atLeast"/>
              </w:trPr>
              <w:tc>
                <w:tcPr>
                  <w:tcW w:w="397" w:type="pct"/>
                  <w:vMerge w:val="restart"/>
                  <w:shd w:val="clear" w:color="auto" w:fill="auto"/>
                  <w:vAlign w:val="center"/>
                </w:tcPr>
                <w:p w14:paraId="05EEDBFB">
                  <w:pPr>
                    <w:pStyle w:val="143"/>
                    <w:spacing w:line="240" w:lineRule="auto"/>
                    <w:rPr>
                      <w:color w:val="auto"/>
                      <w:sz w:val="22"/>
                      <w:szCs w:val="22"/>
                    </w:rPr>
                  </w:pPr>
                  <w:r>
                    <w:rPr>
                      <w:color w:val="auto"/>
                      <w:sz w:val="22"/>
                      <w:szCs w:val="22"/>
                    </w:rPr>
                    <w:t>设备位置</w:t>
                  </w:r>
                </w:p>
              </w:tc>
              <w:tc>
                <w:tcPr>
                  <w:tcW w:w="773" w:type="pct"/>
                  <w:vMerge w:val="restart"/>
                  <w:shd w:val="clear" w:color="auto" w:fill="auto"/>
                  <w:vAlign w:val="center"/>
                </w:tcPr>
                <w:p w14:paraId="15B766AF">
                  <w:pPr>
                    <w:pStyle w:val="143"/>
                    <w:spacing w:line="240" w:lineRule="auto"/>
                    <w:rPr>
                      <w:color w:val="auto"/>
                      <w:sz w:val="22"/>
                      <w:szCs w:val="22"/>
                    </w:rPr>
                  </w:pPr>
                  <w:r>
                    <w:rPr>
                      <w:color w:val="auto"/>
                      <w:sz w:val="22"/>
                      <w:szCs w:val="22"/>
                    </w:rPr>
                    <w:t>生产单元名称及工艺环节</w:t>
                  </w:r>
                </w:p>
              </w:tc>
              <w:tc>
                <w:tcPr>
                  <w:tcW w:w="545" w:type="pct"/>
                  <w:vMerge w:val="restart"/>
                  <w:shd w:val="clear" w:color="auto" w:fill="auto"/>
                  <w:vAlign w:val="center"/>
                </w:tcPr>
                <w:p w14:paraId="0ADCC78B">
                  <w:pPr>
                    <w:pStyle w:val="143"/>
                    <w:spacing w:line="240" w:lineRule="auto"/>
                    <w:rPr>
                      <w:color w:val="auto"/>
                      <w:sz w:val="22"/>
                      <w:szCs w:val="22"/>
                    </w:rPr>
                  </w:pPr>
                  <w:r>
                    <w:rPr>
                      <w:color w:val="auto"/>
                      <w:sz w:val="22"/>
                      <w:szCs w:val="22"/>
                    </w:rPr>
                    <w:t>生产设施名称</w:t>
                  </w:r>
                </w:p>
              </w:tc>
              <w:tc>
                <w:tcPr>
                  <w:tcW w:w="420" w:type="pct"/>
                  <w:vMerge w:val="restart"/>
                  <w:shd w:val="clear" w:color="auto" w:fill="auto"/>
                  <w:vAlign w:val="center"/>
                </w:tcPr>
                <w:p w14:paraId="37F3CE22">
                  <w:pPr>
                    <w:pStyle w:val="143"/>
                    <w:spacing w:line="240" w:lineRule="auto"/>
                    <w:rPr>
                      <w:color w:val="auto"/>
                      <w:sz w:val="22"/>
                      <w:szCs w:val="22"/>
                    </w:rPr>
                  </w:pPr>
                  <w:r>
                    <w:rPr>
                      <w:color w:val="auto"/>
                      <w:sz w:val="22"/>
                      <w:szCs w:val="22"/>
                    </w:rPr>
                    <w:t>设施数量</w:t>
                  </w:r>
                </w:p>
              </w:tc>
              <w:tc>
                <w:tcPr>
                  <w:tcW w:w="607" w:type="pct"/>
                  <w:vMerge w:val="restart"/>
                  <w:shd w:val="clear" w:color="auto" w:fill="auto"/>
                  <w:vAlign w:val="center"/>
                </w:tcPr>
                <w:p w14:paraId="01CD5697">
                  <w:pPr>
                    <w:pStyle w:val="143"/>
                    <w:spacing w:line="240" w:lineRule="auto"/>
                    <w:rPr>
                      <w:color w:val="auto"/>
                      <w:sz w:val="22"/>
                      <w:szCs w:val="22"/>
                    </w:rPr>
                  </w:pPr>
                  <w:r>
                    <w:rPr>
                      <w:color w:val="auto"/>
                      <w:sz w:val="22"/>
                      <w:szCs w:val="22"/>
                    </w:rPr>
                    <w:t>设备参数</w:t>
                  </w:r>
                </w:p>
              </w:tc>
              <w:tc>
                <w:tcPr>
                  <w:tcW w:w="741" w:type="pct"/>
                  <w:vMerge w:val="restart"/>
                  <w:shd w:val="clear" w:color="auto" w:fill="auto"/>
                  <w:vAlign w:val="center"/>
                </w:tcPr>
                <w:p w14:paraId="614B6F5D">
                  <w:pPr>
                    <w:pStyle w:val="143"/>
                    <w:spacing w:line="240" w:lineRule="auto"/>
                    <w:rPr>
                      <w:color w:val="auto"/>
                      <w:sz w:val="22"/>
                      <w:szCs w:val="22"/>
                    </w:rPr>
                  </w:pPr>
                  <w:r>
                    <w:rPr>
                      <w:color w:val="auto"/>
                      <w:sz w:val="22"/>
                      <w:szCs w:val="22"/>
                    </w:rPr>
                    <w:t>设备能力</w:t>
                  </w:r>
                </w:p>
              </w:tc>
              <w:tc>
                <w:tcPr>
                  <w:tcW w:w="1514" w:type="pct"/>
                  <w:gridSpan w:val="2"/>
                  <w:shd w:val="clear" w:color="auto" w:fill="auto"/>
                  <w:vAlign w:val="center"/>
                </w:tcPr>
                <w:p w14:paraId="71BD9E56">
                  <w:pPr>
                    <w:pStyle w:val="143"/>
                    <w:spacing w:line="240" w:lineRule="auto"/>
                    <w:rPr>
                      <w:color w:val="auto"/>
                      <w:sz w:val="22"/>
                      <w:szCs w:val="22"/>
                    </w:rPr>
                  </w:pPr>
                  <w:r>
                    <w:rPr>
                      <w:color w:val="auto"/>
                      <w:sz w:val="22"/>
                      <w:szCs w:val="22"/>
                    </w:rPr>
                    <w:t>对应产品信息</w:t>
                  </w:r>
                </w:p>
              </w:tc>
            </w:tr>
            <w:tr w14:paraId="0640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7B2C8393">
                  <w:pPr>
                    <w:pStyle w:val="143"/>
                    <w:spacing w:line="240" w:lineRule="auto"/>
                    <w:rPr>
                      <w:color w:val="auto"/>
                      <w:sz w:val="22"/>
                      <w:szCs w:val="22"/>
                    </w:rPr>
                  </w:pPr>
                </w:p>
              </w:tc>
              <w:tc>
                <w:tcPr>
                  <w:tcW w:w="773" w:type="pct"/>
                  <w:vMerge w:val="continue"/>
                  <w:shd w:val="clear" w:color="auto" w:fill="auto"/>
                  <w:vAlign w:val="center"/>
                </w:tcPr>
                <w:p w14:paraId="65600646">
                  <w:pPr>
                    <w:pStyle w:val="143"/>
                    <w:spacing w:line="240" w:lineRule="auto"/>
                    <w:rPr>
                      <w:color w:val="auto"/>
                      <w:sz w:val="22"/>
                      <w:szCs w:val="22"/>
                    </w:rPr>
                  </w:pPr>
                </w:p>
              </w:tc>
              <w:tc>
                <w:tcPr>
                  <w:tcW w:w="545" w:type="pct"/>
                  <w:vMerge w:val="continue"/>
                  <w:shd w:val="clear" w:color="auto" w:fill="auto"/>
                  <w:vAlign w:val="center"/>
                </w:tcPr>
                <w:p w14:paraId="519CA03E">
                  <w:pPr>
                    <w:pStyle w:val="143"/>
                    <w:spacing w:line="240" w:lineRule="auto"/>
                    <w:rPr>
                      <w:color w:val="auto"/>
                      <w:sz w:val="22"/>
                      <w:szCs w:val="22"/>
                    </w:rPr>
                  </w:pPr>
                </w:p>
              </w:tc>
              <w:tc>
                <w:tcPr>
                  <w:tcW w:w="420" w:type="pct"/>
                  <w:vMerge w:val="continue"/>
                  <w:shd w:val="clear" w:color="auto" w:fill="auto"/>
                  <w:vAlign w:val="center"/>
                </w:tcPr>
                <w:p w14:paraId="64B4AEED">
                  <w:pPr>
                    <w:pStyle w:val="143"/>
                    <w:spacing w:line="240" w:lineRule="auto"/>
                    <w:rPr>
                      <w:color w:val="auto"/>
                      <w:sz w:val="22"/>
                      <w:szCs w:val="22"/>
                    </w:rPr>
                  </w:pPr>
                </w:p>
              </w:tc>
              <w:tc>
                <w:tcPr>
                  <w:tcW w:w="607" w:type="pct"/>
                  <w:vMerge w:val="continue"/>
                  <w:shd w:val="clear" w:color="auto" w:fill="auto"/>
                  <w:vAlign w:val="center"/>
                </w:tcPr>
                <w:p w14:paraId="1FEC970F">
                  <w:pPr>
                    <w:pStyle w:val="143"/>
                    <w:spacing w:line="240" w:lineRule="auto"/>
                    <w:rPr>
                      <w:color w:val="auto"/>
                      <w:sz w:val="22"/>
                      <w:szCs w:val="22"/>
                    </w:rPr>
                  </w:pPr>
                </w:p>
              </w:tc>
              <w:tc>
                <w:tcPr>
                  <w:tcW w:w="741" w:type="pct"/>
                  <w:vMerge w:val="continue"/>
                  <w:shd w:val="clear" w:color="auto" w:fill="auto"/>
                  <w:vAlign w:val="center"/>
                </w:tcPr>
                <w:p w14:paraId="387C78B3">
                  <w:pPr>
                    <w:pStyle w:val="143"/>
                    <w:spacing w:line="240" w:lineRule="auto"/>
                    <w:rPr>
                      <w:color w:val="auto"/>
                      <w:sz w:val="22"/>
                      <w:szCs w:val="22"/>
                    </w:rPr>
                  </w:pPr>
                </w:p>
              </w:tc>
              <w:tc>
                <w:tcPr>
                  <w:tcW w:w="732" w:type="pct"/>
                  <w:shd w:val="clear" w:color="auto" w:fill="auto"/>
                  <w:vAlign w:val="center"/>
                </w:tcPr>
                <w:p w14:paraId="4D9F1EB3">
                  <w:pPr>
                    <w:pStyle w:val="143"/>
                    <w:spacing w:line="240" w:lineRule="auto"/>
                    <w:rPr>
                      <w:color w:val="auto"/>
                      <w:sz w:val="22"/>
                      <w:szCs w:val="22"/>
                    </w:rPr>
                  </w:pPr>
                  <w:r>
                    <w:rPr>
                      <w:color w:val="auto"/>
                      <w:sz w:val="22"/>
                      <w:szCs w:val="22"/>
                    </w:rPr>
                    <w:t>产品名称</w:t>
                  </w:r>
                </w:p>
              </w:tc>
              <w:tc>
                <w:tcPr>
                  <w:tcW w:w="781" w:type="pct"/>
                  <w:shd w:val="clear" w:color="auto" w:fill="auto"/>
                  <w:vAlign w:val="center"/>
                </w:tcPr>
                <w:p w14:paraId="40F1B63D">
                  <w:pPr>
                    <w:pStyle w:val="143"/>
                    <w:spacing w:line="240" w:lineRule="auto"/>
                    <w:rPr>
                      <w:color w:val="auto"/>
                      <w:sz w:val="22"/>
                      <w:szCs w:val="22"/>
                    </w:rPr>
                  </w:pPr>
                  <w:r>
                    <w:rPr>
                      <w:color w:val="auto"/>
                      <w:sz w:val="22"/>
                      <w:szCs w:val="22"/>
                    </w:rPr>
                    <w:t>设计产能</w:t>
                  </w:r>
                </w:p>
              </w:tc>
            </w:tr>
            <w:tr w14:paraId="1E1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restart"/>
                  <w:shd w:val="clear" w:color="auto" w:fill="auto"/>
                  <w:vAlign w:val="center"/>
                </w:tcPr>
                <w:p w14:paraId="3BD2CBF5">
                  <w:pPr>
                    <w:pStyle w:val="143"/>
                    <w:spacing w:line="240" w:lineRule="auto"/>
                    <w:rPr>
                      <w:color w:val="auto"/>
                      <w:sz w:val="22"/>
                      <w:szCs w:val="22"/>
                    </w:rPr>
                  </w:pPr>
                  <w:r>
                    <w:rPr>
                      <w:color w:val="auto"/>
                      <w:sz w:val="22"/>
                      <w:szCs w:val="22"/>
                    </w:rPr>
                    <w:t>060生产车间</w:t>
                  </w:r>
                </w:p>
              </w:tc>
              <w:tc>
                <w:tcPr>
                  <w:tcW w:w="773" w:type="pct"/>
                  <w:shd w:val="clear" w:color="auto" w:fill="auto"/>
                  <w:vAlign w:val="center"/>
                </w:tcPr>
                <w:p w14:paraId="15B89038">
                  <w:pPr>
                    <w:pStyle w:val="143"/>
                    <w:spacing w:line="240" w:lineRule="auto"/>
                    <w:rPr>
                      <w:color w:val="auto"/>
                      <w:sz w:val="22"/>
                      <w:szCs w:val="22"/>
                    </w:rPr>
                  </w:pPr>
                  <w:r>
                    <w:rPr>
                      <w:color w:val="auto"/>
                      <w:sz w:val="22"/>
                      <w:szCs w:val="22"/>
                    </w:rPr>
                    <w:t>电机装配及泄漏测试</w:t>
                  </w:r>
                </w:p>
              </w:tc>
              <w:tc>
                <w:tcPr>
                  <w:tcW w:w="545" w:type="pct"/>
                  <w:shd w:val="clear" w:color="auto" w:fill="auto"/>
                  <w:vAlign w:val="center"/>
                </w:tcPr>
                <w:p w14:paraId="39D35B29">
                  <w:pPr>
                    <w:pStyle w:val="143"/>
                    <w:spacing w:line="240" w:lineRule="auto"/>
                    <w:rPr>
                      <w:color w:val="auto"/>
                      <w:sz w:val="22"/>
                      <w:szCs w:val="22"/>
                    </w:rPr>
                  </w:pPr>
                  <w:r>
                    <w:rPr>
                      <w:color w:val="auto"/>
                      <w:sz w:val="22"/>
                      <w:szCs w:val="22"/>
                    </w:rPr>
                    <w:t>电机装配台</w:t>
                  </w:r>
                </w:p>
              </w:tc>
              <w:tc>
                <w:tcPr>
                  <w:tcW w:w="420" w:type="pct"/>
                  <w:shd w:val="clear" w:color="auto" w:fill="auto"/>
                  <w:vAlign w:val="center"/>
                </w:tcPr>
                <w:p w14:paraId="6A8DFD63">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342BD344">
                  <w:pPr>
                    <w:pStyle w:val="143"/>
                    <w:spacing w:line="240" w:lineRule="auto"/>
                    <w:rPr>
                      <w:color w:val="auto"/>
                      <w:sz w:val="22"/>
                      <w:szCs w:val="22"/>
                    </w:rPr>
                  </w:pPr>
                  <w:r>
                    <w:rPr>
                      <w:color w:val="auto"/>
                      <w:sz w:val="22"/>
                      <w:szCs w:val="22"/>
                    </w:rPr>
                    <w:t>非标</w:t>
                  </w:r>
                </w:p>
              </w:tc>
              <w:tc>
                <w:tcPr>
                  <w:tcW w:w="741" w:type="pct"/>
                  <w:shd w:val="clear" w:color="auto" w:fill="auto"/>
                  <w:vAlign w:val="center"/>
                </w:tcPr>
                <w:p w14:paraId="1278738A">
                  <w:pPr>
                    <w:pStyle w:val="143"/>
                    <w:spacing w:line="240" w:lineRule="auto"/>
                    <w:rPr>
                      <w:color w:val="auto"/>
                      <w:sz w:val="22"/>
                      <w:szCs w:val="22"/>
                    </w:rPr>
                  </w:pPr>
                  <w:r>
                    <w:rPr>
                      <w:color w:val="auto"/>
                      <w:sz w:val="22"/>
                      <w:szCs w:val="22"/>
                    </w:rPr>
                    <w:t>1套/35min</w:t>
                  </w:r>
                </w:p>
              </w:tc>
              <w:tc>
                <w:tcPr>
                  <w:tcW w:w="732" w:type="pct"/>
                  <w:shd w:val="clear" w:color="auto" w:fill="auto"/>
                  <w:vAlign w:val="center"/>
                </w:tcPr>
                <w:p w14:paraId="4BB5DC6D">
                  <w:pPr>
                    <w:pStyle w:val="143"/>
                    <w:spacing w:line="240" w:lineRule="auto"/>
                    <w:rPr>
                      <w:color w:val="auto"/>
                      <w:sz w:val="22"/>
                      <w:szCs w:val="22"/>
                    </w:rPr>
                  </w:pPr>
                  <w:r>
                    <w:rPr>
                      <w:color w:val="auto"/>
                      <w:sz w:val="22"/>
                      <w:szCs w:val="22"/>
                    </w:rPr>
                    <w:t>减速箱总成</w:t>
                  </w:r>
                </w:p>
              </w:tc>
              <w:tc>
                <w:tcPr>
                  <w:tcW w:w="781" w:type="pct"/>
                  <w:shd w:val="clear" w:color="auto" w:fill="auto"/>
                  <w:vAlign w:val="center"/>
                </w:tcPr>
                <w:p w14:paraId="5864EE3E">
                  <w:pPr>
                    <w:pStyle w:val="143"/>
                    <w:spacing w:line="240" w:lineRule="auto"/>
                    <w:rPr>
                      <w:color w:val="auto"/>
                      <w:sz w:val="22"/>
                      <w:szCs w:val="22"/>
                    </w:rPr>
                  </w:pPr>
                  <w:r>
                    <w:rPr>
                      <w:color w:val="auto"/>
                      <w:sz w:val="22"/>
                      <w:szCs w:val="22"/>
                    </w:rPr>
                    <w:t>10000套/a</w:t>
                  </w:r>
                </w:p>
              </w:tc>
            </w:tr>
            <w:tr w14:paraId="0287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64E94A28">
                  <w:pPr>
                    <w:pStyle w:val="143"/>
                    <w:spacing w:line="240" w:lineRule="auto"/>
                    <w:rPr>
                      <w:color w:val="auto"/>
                      <w:sz w:val="22"/>
                      <w:szCs w:val="22"/>
                    </w:rPr>
                  </w:pPr>
                </w:p>
              </w:tc>
              <w:tc>
                <w:tcPr>
                  <w:tcW w:w="773" w:type="pct"/>
                  <w:shd w:val="clear" w:color="auto" w:fill="auto"/>
                  <w:vAlign w:val="center"/>
                </w:tcPr>
                <w:p w14:paraId="60F15527">
                  <w:pPr>
                    <w:pStyle w:val="143"/>
                    <w:spacing w:line="240" w:lineRule="auto"/>
                    <w:rPr>
                      <w:color w:val="auto"/>
                      <w:sz w:val="22"/>
                      <w:szCs w:val="22"/>
                    </w:rPr>
                  </w:pPr>
                  <w:r>
                    <w:rPr>
                      <w:color w:val="auto"/>
                      <w:sz w:val="22"/>
                      <w:szCs w:val="22"/>
                    </w:rPr>
                    <w:t>变速箱组件及桥腿安装</w:t>
                  </w:r>
                </w:p>
              </w:tc>
              <w:tc>
                <w:tcPr>
                  <w:tcW w:w="545" w:type="pct"/>
                  <w:shd w:val="clear" w:color="auto" w:fill="auto"/>
                  <w:vAlign w:val="center"/>
                </w:tcPr>
                <w:p w14:paraId="368D61DF">
                  <w:pPr>
                    <w:pStyle w:val="143"/>
                    <w:spacing w:line="240" w:lineRule="auto"/>
                    <w:rPr>
                      <w:color w:val="auto"/>
                      <w:sz w:val="22"/>
                      <w:szCs w:val="22"/>
                    </w:rPr>
                  </w:pPr>
                  <w:r>
                    <w:rPr>
                      <w:color w:val="auto"/>
                      <w:sz w:val="22"/>
                      <w:szCs w:val="22"/>
                    </w:rPr>
                    <w:t>桥腿装配台</w:t>
                  </w:r>
                </w:p>
              </w:tc>
              <w:tc>
                <w:tcPr>
                  <w:tcW w:w="420" w:type="pct"/>
                  <w:shd w:val="clear" w:color="auto" w:fill="auto"/>
                  <w:vAlign w:val="center"/>
                </w:tcPr>
                <w:p w14:paraId="569B7D0B">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00D43ED3">
                  <w:pPr>
                    <w:pStyle w:val="143"/>
                    <w:spacing w:line="240" w:lineRule="auto"/>
                    <w:rPr>
                      <w:color w:val="auto"/>
                      <w:sz w:val="22"/>
                      <w:szCs w:val="22"/>
                    </w:rPr>
                  </w:pPr>
                  <w:r>
                    <w:rPr>
                      <w:color w:val="auto"/>
                      <w:sz w:val="22"/>
                      <w:szCs w:val="22"/>
                    </w:rPr>
                    <w:t>非标</w:t>
                  </w:r>
                </w:p>
              </w:tc>
              <w:tc>
                <w:tcPr>
                  <w:tcW w:w="741" w:type="pct"/>
                  <w:shd w:val="clear" w:color="auto" w:fill="auto"/>
                  <w:vAlign w:val="center"/>
                </w:tcPr>
                <w:p w14:paraId="42E57670">
                  <w:pPr>
                    <w:pStyle w:val="143"/>
                    <w:spacing w:line="240" w:lineRule="auto"/>
                    <w:rPr>
                      <w:color w:val="auto"/>
                      <w:sz w:val="22"/>
                      <w:szCs w:val="22"/>
                    </w:rPr>
                  </w:pPr>
                  <w:r>
                    <w:rPr>
                      <w:color w:val="auto"/>
                      <w:sz w:val="22"/>
                      <w:szCs w:val="22"/>
                    </w:rPr>
                    <w:t>1套/35min</w:t>
                  </w:r>
                </w:p>
              </w:tc>
              <w:tc>
                <w:tcPr>
                  <w:tcW w:w="732" w:type="pct"/>
                  <w:shd w:val="clear" w:color="auto" w:fill="auto"/>
                  <w:vAlign w:val="center"/>
                </w:tcPr>
                <w:p w14:paraId="549AF4F8">
                  <w:pPr>
                    <w:pStyle w:val="143"/>
                    <w:spacing w:line="240" w:lineRule="auto"/>
                    <w:rPr>
                      <w:color w:val="auto"/>
                      <w:sz w:val="22"/>
                      <w:szCs w:val="22"/>
                    </w:rPr>
                  </w:pPr>
                  <w:r>
                    <w:rPr>
                      <w:color w:val="auto"/>
                      <w:sz w:val="22"/>
                      <w:szCs w:val="22"/>
                    </w:rPr>
                    <w:t>桥半总成</w:t>
                  </w:r>
                </w:p>
              </w:tc>
              <w:tc>
                <w:tcPr>
                  <w:tcW w:w="781" w:type="pct"/>
                  <w:shd w:val="clear" w:color="auto" w:fill="auto"/>
                  <w:vAlign w:val="center"/>
                </w:tcPr>
                <w:p w14:paraId="2E11964E">
                  <w:pPr>
                    <w:pStyle w:val="143"/>
                    <w:spacing w:line="240" w:lineRule="auto"/>
                    <w:rPr>
                      <w:color w:val="auto"/>
                      <w:sz w:val="22"/>
                      <w:szCs w:val="22"/>
                    </w:rPr>
                  </w:pPr>
                  <w:r>
                    <w:rPr>
                      <w:color w:val="auto"/>
                      <w:sz w:val="22"/>
                      <w:szCs w:val="22"/>
                    </w:rPr>
                    <w:t>10000套/a</w:t>
                  </w:r>
                </w:p>
              </w:tc>
            </w:tr>
            <w:tr w14:paraId="160F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397" w:type="pct"/>
                  <w:vMerge w:val="continue"/>
                  <w:shd w:val="clear" w:color="auto" w:fill="auto"/>
                  <w:vAlign w:val="center"/>
                </w:tcPr>
                <w:p w14:paraId="3CB1198F">
                  <w:pPr>
                    <w:pStyle w:val="143"/>
                    <w:spacing w:line="240" w:lineRule="auto"/>
                    <w:rPr>
                      <w:color w:val="auto"/>
                      <w:sz w:val="22"/>
                      <w:szCs w:val="22"/>
                    </w:rPr>
                  </w:pPr>
                </w:p>
              </w:tc>
              <w:tc>
                <w:tcPr>
                  <w:tcW w:w="773" w:type="pct"/>
                  <w:shd w:val="clear" w:color="auto" w:fill="auto"/>
                  <w:vAlign w:val="center"/>
                </w:tcPr>
                <w:p w14:paraId="6A17F3CB">
                  <w:pPr>
                    <w:pStyle w:val="143"/>
                    <w:spacing w:line="240" w:lineRule="auto"/>
                    <w:rPr>
                      <w:color w:val="auto"/>
                      <w:sz w:val="22"/>
                      <w:szCs w:val="22"/>
                    </w:rPr>
                  </w:pPr>
                  <w:r>
                    <w:rPr>
                      <w:color w:val="auto"/>
                      <w:sz w:val="22"/>
                      <w:szCs w:val="22"/>
                    </w:rPr>
                    <w:t>系统泄漏测试及线束装配</w:t>
                  </w:r>
                </w:p>
              </w:tc>
              <w:tc>
                <w:tcPr>
                  <w:tcW w:w="545" w:type="pct"/>
                  <w:shd w:val="clear" w:color="auto" w:fill="auto"/>
                  <w:vAlign w:val="center"/>
                </w:tcPr>
                <w:p w14:paraId="70F0FC18">
                  <w:pPr>
                    <w:pStyle w:val="143"/>
                    <w:spacing w:line="240" w:lineRule="auto"/>
                    <w:rPr>
                      <w:color w:val="auto"/>
                      <w:sz w:val="22"/>
                      <w:szCs w:val="22"/>
                    </w:rPr>
                  </w:pPr>
                  <w:r>
                    <w:rPr>
                      <w:color w:val="auto"/>
                      <w:sz w:val="22"/>
                      <w:szCs w:val="22"/>
                    </w:rPr>
                    <w:t>泄露测试台</w:t>
                  </w:r>
                </w:p>
              </w:tc>
              <w:tc>
                <w:tcPr>
                  <w:tcW w:w="420" w:type="pct"/>
                  <w:shd w:val="clear" w:color="auto" w:fill="auto"/>
                  <w:vAlign w:val="center"/>
                </w:tcPr>
                <w:p w14:paraId="26CCD00A">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5B298565">
                  <w:pPr>
                    <w:pStyle w:val="143"/>
                    <w:spacing w:line="240" w:lineRule="auto"/>
                    <w:rPr>
                      <w:color w:val="auto"/>
                      <w:sz w:val="22"/>
                      <w:szCs w:val="22"/>
                    </w:rPr>
                  </w:pPr>
                  <w:r>
                    <w:rPr>
                      <w:color w:val="auto"/>
                      <w:sz w:val="22"/>
                      <w:szCs w:val="22"/>
                    </w:rPr>
                    <w:t>非标</w:t>
                  </w:r>
                </w:p>
              </w:tc>
              <w:tc>
                <w:tcPr>
                  <w:tcW w:w="741" w:type="pct"/>
                  <w:shd w:val="clear" w:color="auto" w:fill="auto"/>
                  <w:vAlign w:val="center"/>
                </w:tcPr>
                <w:p w14:paraId="4470AF0D">
                  <w:pPr>
                    <w:pStyle w:val="143"/>
                    <w:spacing w:line="240" w:lineRule="auto"/>
                    <w:rPr>
                      <w:color w:val="auto"/>
                      <w:sz w:val="22"/>
                      <w:szCs w:val="22"/>
                    </w:rPr>
                  </w:pPr>
                  <w:r>
                    <w:rPr>
                      <w:color w:val="auto"/>
                      <w:sz w:val="22"/>
                      <w:szCs w:val="22"/>
                    </w:rPr>
                    <w:t>1套/35min</w:t>
                  </w:r>
                </w:p>
              </w:tc>
              <w:tc>
                <w:tcPr>
                  <w:tcW w:w="732" w:type="pct"/>
                  <w:shd w:val="clear" w:color="auto" w:fill="auto"/>
                  <w:vAlign w:val="center"/>
                </w:tcPr>
                <w:p w14:paraId="18023279">
                  <w:pPr>
                    <w:pStyle w:val="143"/>
                    <w:spacing w:line="240" w:lineRule="auto"/>
                    <w:rPr>
                      <w:color w:val="auto"/>
                      <w:sz w:val="22"/>
                      <w:szCs w:val="22"/>
                    </w:rPr>
                  </w:pPr>
                  <w:r>
                    <w:rPr>
                      <w:color w:val="auto"/>
                      <w:sz w:val="22"/>
                      <w:szCs w:val="22"/>
                    </w:rPr>
                    <w:t>桥总成</w:t>
                  </w:r>
                </w:p>
              </w:tc>
              <w:tc>
                <w:tcPr>
                  <w:tcW w:w="781" w:type="pct"/>
                  <w:shd w:val="clear" w:color="auto" w:fill="auto"/>
                  <w:vAlign w:val="center"/>
                </w:tcPr>
                <w:p w14:paraId="3F72A161">
                  <w:pPr>
                    <w:pStyle w:val="143"/>
                    <w:spacing w:line="240" w:lineRule="auto"/>
                    <w:rPr>
                      <w:color w:val="auto"/>
                      <w:sz w:val="22"/>
                      <w:szCs w:val="22"/>
                    </w:rPr>
                  </w:pPr>
                  <w:r>
                    <w:rPr>
                      <w:color w:val="auto"/>
                      <w:sz w:val="22"/>
                      <w:szCs w:val="22"/>
                    </w:rPr>
                    <w:t>10000套/a</w:t>
                  </w:r>
                </w:p>
              </w:tc>
            </w:tr>
            <w:tr w14:paraId="3177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16CD8F1F">
                  <w:pPr>
                    <w:pStyle w:val="143"/>
                    <w:spacing w:line="240" w:lineRule="auto"/>
                    <w:rPr>
                      <w:color w:val="auto"/>
                      <w:sz w:val="22"/>
                      <w:szCs w:val="22"/>
                    </w:rPr>
                  </w:pPr>
                </w:p>
              </w:tc>
              <w:tc>
                <w:tcPr>
                  <w:tcW w:w="773" w:type="pct"/>
                  <w:shd w:val="clear" w:color="auto" w:fill="auto"/>
                  <w:vAlign w:val="center"/>
                </w:tcPr>
                <w:p w14:paraId="20114AE0">
                  <w:pPr>
                    <w:pStyle w:val="143"/>
                    <w:spacing w:line="240" w:lineRule="auto"/>
                    <w:rPr>
                      <w:color w:val="auto"/>
                      <w:sz w:val="22"/>
                      <w:szCs w:val="22"/>
                    </w:rPr>
                  </w:pPr>
                  <w:r>
                    <w:rPr>
                      <w:color w:val="auto"/>
                      <w:sz w:val="22"/>
                      <w:szCs w:val="22"/>
                    </w:rPr>
                    <w:t>下线测试</w:t>
                  </w:r>
                </w:p>
              </w:tc>
              <w:tc>
                <w:tcPr>
                  <w:tcW w:w="545" w:type="pct"/>
                  <w:shd w:val="clear" w:color="auto" w:fill="auto"/>
                  <w:vAlign w:val="center"/>
                </w:tcPr>
                <w:p w14:paraId="360554A4">
                  <w:pPr>
                    <w:pStyle w:val="143"/>
                    <w:spacing w:line="240" w:lineRule="auto"/>
                    <w:rPr>
                      <w:color w:val="auto"/>
                      <w:sz w:val="22"/>
                      <w:szCs w:val="22"/>
                    </w:rPr>
                  </w:pPr>
                  <w:r>
                    <w:rPr>
                      <w:color w:val="auto"/>
                      <w:sz w:val="22"/>
                      <w:szCs w:val="22"/>
                    </w:rPr>
                    <w:t>下线测试台</w:t>
                  </w:r>
                </w:p>
              </w:tc>
              <w:tc>
                <w:tcPr>
                  <w:tcW w:w="420" w:type="pct"/>
                  <w:shd w:val="clear" w:color="auto" w:fill="auto"/>
                  <w:vAlign w:val="center"/>
                </w:tcPr>
                <w:p w14:paraId="3C01BC54">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7D672CEB">
                  <w:pPr>
                    <w:pStyle w:val="143"/>
                    <w:spacing w:line="240" w:lineRule="auto"/>
                    <w:rPr>
                      <w:color w:val="auto"/>
                      <w:sz w:val="22"/>
                      <w:szCs w:val="22"/>
                    </w:rPr>
                  </w:pPr>
                  <w:r>
                    <w:rPr>
                      <w:color w:val="auto"/>
                      <w:sz w:val="22"/>
                      <w:szCs w:val="22"/>
                    </w:rPr>
                    <w:t>非标</w:t>
                  </w:r>
                </w:p>
              </w:tc>
              <w:tc>
                <w:tcPr>
                  <w:tcW w:w="741" w:type="pct"/>
                  <w:shd w:val="clear" w:color="auto" w:fill="auto"/>
                  <w:vAlign w:val="center"/>
                </w:tcPr>
                <w:p w14:paraId="28965D25">
                  <w:pPr>
                    <w:pStyle w:val="143"/>
                    <w:spacing w:line="240" w:lineRule="auto"/>
                    <w:rPr>
                      <w:color w:val="auto"/>
                      <w:sz w:val="22"/>
                      <w:szCs w:val="22"/>
                    </w:rPr>
                  </w:pPr>
                  <w:r>
                    <w:rPr>
                      <w:color w:val="auto"/>
                      <w:sz w:val="22"/>
                      <w:szCs w:val="22"/>
                    </w:rPr>
                    <w:t>1套/35min</w:t>
                  </w:r>
                </w:p>
              </w:tc>
              <w:tc>
                <w:tcPr>
                  <w:tcW w:w="732" w:type="pct"/>
                  <w:shd w:val="clear" w:color="auto" w:fill="auto"/>
                  <w:vAlign w:val="center"/>
                </w:tcPr>
                <w:p w14:paraId="602BF14A">
                  <w:pPr>
                    <w:pStyle w:val="143"/>
                    <w:spacing w:line="240" w:lineRule="auto"/>
                    <w:rPr>
                      <w:color w:val="auto"/>
                      <w:sz w:val="22"/>
                      <w:szCs w:val="22"/>
                    </w:rPr>
                  </w:pPr>
                  <w:r>
                    <w:rPr>
                      <w:color w:val="auto"/>
                      <w:sz w:val="22"/>
                      <w:szCs w:val="22"/>
                    </w:rPr>
                    <w:t>桥总成</w:t>
                  </w:r>
                </w:p>
              </w:tc>
              <w:tc>
                <w:tcPr>
                  <w:tcW w:w="781" w:type="pct"/>
                  <w:shd w:val="clear" w:color="auto" w:fill="auto"/>
                  <w:vAlign w:val="center"/>
                </w:tcPr>
                <w:p w14:paraId="3AEE3A4D">
                  <w:pPr>
                    <w:pStyle w:val="143"/>
                    <w:spacing w:line="240" w:lineRule="auto"/>
                    <w:rPr>
                      <w:color w:val="auto"/>
                      <w:sz w:val="22"/>
                      <w:szCs w:val="22"/>
                    </w:rPr>
                  </w:pPr>
                  <w:r>
                    <w:rPr>
                      <w:color w:val="auto"/>
                      <w:sz w:val="22"/>
                      <w:szCs w:val="22"/>
                    </w:rPr>
                    <w:t>10000套/a</w:t>
                  </w:r>
                </w:p>
              </w:tc>
            </w:tr>
            <w:tr w14:paraId="663C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2FC1582A">
                  <w:pPr>
                    <w:pStyle w:val="143"/>
                    <w:spacing w:line="240" w:lineRule="auto"/>
                    <w:rPr>
                      <w:color w:val="auto"/>
                      <w:sz w:val="22"/>
                      <w:szCs w:val="22"/>
                    </w:rPr>
                  </w:pPr>
                </w:p>
              </w:tc>
              <w:tc>
                <w:tcPr>
                  <w:tcW w:w="773" w:type="pct"/>
                  <w:shd w:val="clear" w:color="auto" w:fill="auto"/>
                  <w:vAlign w:val="center"/>
                </w:tcPr>
                <w:p w14:paraId="79F6564E">
                  <w:pPr>
                    <w:pStyle w:val="143"/>
                    <w:spacing w:line="240" w:lineRule="auto"/>
                    <w:rPr>
                      <w:color w:val="auto"/>
                      <w:sz w:val="22"/>
                      <w:szCs w:val="22"/>
                    </w:rPr>
                  </w:pPr>
                  <w:r>
                    <w:rPr>
                      <w:color w:val="auto"/>
                      <w:sz w:val="22"/>
                      <w:szCs w:val="22"/>
                    </w:rPr>
                    <w:t>测试工装拆解</w:t>
                  </w:r>
                </w:p>
              </w:tc>
              <w:tc>
                <w:tcPr>
                  <w:tcW w:w="545" w:type="pct"/>
                  <w:shd w:val="clear" w:color="auto" w:fill="auto"/>
                  <w:vAlign w:val="center"/>
                </w:tcPr>
                <w:p w14:paraId="6A0CE979">
                  <w:pPr>
                    <w:pStyle w:val="143"/>
                    <w:spacing w:line="240" w:lineRule="auto"/>
                    <w:rPr>
                      <w:color w:val="auto"/>
                      <w:sz w:val="22"/>
                      <w:szCs w:val="22"/>
                    </w:rPr>
                  </w:pPr>
                  <w:r>
                    <w:rPr>
                      <w:color w:val="auto"/>
                      <w:sz w:val="22"/>
                      <w:szCs w:val="22"/>
                    </w:rPr>
                    <w:t>工装拆解台</w:t>
                  </w:r>
                </w:p>
              </w:tc>
              <w:tc>
                <w:tcPr>
                  <w:tcW w:w="420" w:type="pct"/>
                  <w:shd w:val="clear" w:color="auto" w:fill="auto"/>
                  <w:vAlign w:val="center"/>
                </w:tcPr>
                <w:p w14:paraId="77042189">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60B9FE94">
                  <w:pPr>
                    <w:pStyle w:val="143"/>
                    <w:spacing w:line="240" w:lineRule="auto"/>
                    <w:rPr>
                      <w:color w:val="auto"/>
                      <w:sz w:val="22"/>
                      <w:szCs w:val="22"/>
                    </w:rPr>
                  </w:pPr>
                  <w:r>
                    <w:rPr>
                      <w:color w:val="auto"/>
                      <w:sz w:val="22"/>
                      <w:szCs w:val="22"/>
                    </w:rPr>
                    <w:t>非标</w:t>
                  </w:r>
                </w:p>
              </w:tc>
              <w:tc>
                <w:tcPr>
                  <w:tcW w:w="741" w:type="pct"/>
                  <w:shd w:val="clear" w:color="auto" w:fill="auto"/>
                  <w:vAlign w:val="center"/>
                </w:tcPr>
                <w:p w14:paraId="1408D172">
                  <w:pPr>
                    <w:pStyle w:val="143"/>
                    <w:spacing w:line="240" w:lineRule="auto"/>
                    <w:rPr>
                      <w:color w:val="auto"/>
                      <w:sz w:val="22"/>
                      <w:szCs w:val="22"/>
                    </w:rPr>
                  </w:pPr>
                  <w:r>
                    <w:rPr>
                      <w:color w:val="auto"/>
                      <w:sz w:val="22"/>
                      <w:szCs w:val="22"/>
                    </w:rPr>
                    <w:t>1套/35min</w:t>
                  </w:r>
                </w:p>
              </w:tc>
              <w:tc>
                <w:tcPr>
                  <w:tcW w:w="732" w:type="pct"/>
                  <w:shd w:val="clear" w:color="auto" w:fill="auto"/>
                  <w:vAlign w:val="center"/>
                </w:tcPr>
                <w:p w14:paraId="56B0402A">
                  <w:pPr>
                    <w:pStyle w:val="143"/>
                    <w:spacing w:line="240" w:lineRule="auto"/>
                    <w:rPr>
                      <w:color w:val="auto"/>
                      <w:sz w:val="22"/>
                      <w:szCs w:val="22"/>
                    </w:rPr>
                  </w:pPr>
                  <w:r>
                    <w:rPr>
                      <w:color w:val="auto"/>
                      <w:sz w:val="22"/>
                      <w:szCs w:val="22"/>
                    </w:rPr>
                    <w:t>桥总成</w:t>
                  </w:r>
                </w:p>
              </w:tc>
              <w:tc>
                <w:tcPr>
                  <w:tcW w:w="781" w:type="pct"/>
                  <w:shd w:val="clear" w:color="auto" w:fill="auto"/>
                  <w:vAlign w:val="center"/>
                </w:tcPr>
                <w:p w14:paraId="73B700AB">
                  <w:pPr>
                    <w:pStyle w:val="143"/>
                    <w:spacing w:line="240" w:lineRule="auto"/>
                    <w:rPr>
                      <w:color w:val="auto"/>
                      <w:sz w:val="22"/>
                      <w:szCs w:val="22"/>
                    </w:rPr>
                  </w:pPr>
                  <w:r>
                    <w:rPr>
                      <w:color w:val="auto"/>
                      <w:sz w:val="22"/>
                      <w:szCs w:val="22"/>
                    </w:rPr>
                    <w:t>10000套/a</w:t>
                  </w:r>
                </w:p>
              </w:tc>
            </w:tr>
            <w:tr w14:paraId="00F9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25267BAE">
                  <w:pPr>
                    <w:pStyle w:val="143"/>
                    <w:spacing w:line="240" w:lineRule="auto"/>
                    <w:rPr>
                      <w:color w:val="auto"/>
                      <w:sz w:val="22"/>
                      <w:szCs w:val="22"/>
                    </w:rPr>
                  </w:pPr>
                </w:p>
              </w:tc>
              <w:tc>
                <w:tcPr>
                  <w:tcW w:w="773" w:type="pct"/>
                  <w:shd w:val="clear" w:color="auto" w:fill="auto"/>
                  <w:vAlign w:val="center"/>
                </w:tcPr>
                <w:p w14:paraId="0537394A">
                  <w:pPr>
                    <w:pStyle w:val="143"/>
                    <w:spacing w:line="240" w:lineRule="auto"/>
                    <w:rPr>
                      <w:color w:val="auto"/>
                      <w:sz w:val="22"/>
                      <w:szCs w:val="22"/>
                    </w:rPr>
                  </w:pPr>
                  <w:r>
                    <w:rPr>
                      <w:color w:val="auto"/>
                      <w:sz w:val="22"/>
                      <w:szCs w:val="22"/>
                    </w:rPr>
                    <w:t>包装及目视检查</w:t>
                  </w:r>
                </w:p>
              </w:tc>
              <w:tc>
                <w:tcPr>
                  <w:tcW w:w="545" w:type="pct"/>
                  <w:shd w:val="clear" w:color="auto" w:fill="auto"/>
                  <w:vAlign w:val="center"/>
                </w:tcPr>
                <w:p w14:paraId="7656BD3E">
                  <w:pPr>
                    <w:pStyle w:val="143"/>
                    <w:spacing w:line="240" w:lineRule="auto"/>
                    <w:rPr>
                      <w:color w:val="auto"/>
                      <w:sz w:val="22"/>
                      <w:szCs w:val="22"/>
                    </w:rPr>
                  </w:pPr>
                  <w:r>
                    <w:rPr>
                      <w:color w:val="auto"/>
                      <w:sz w:val="22"/>
                      <w:szCs w:val="22"/>
                    </w:rPr>
                    <w:t>包装台</w:t>
                  </w:r>
                </w:p>
              </w:tc>
              <w:tc>
                <w:tcPr>
                  <w:tcW w:w="420" w:type="pct"/>
                  <w:shd w:val="clear" w:color="auto" w:fill="auto"/>
                  <w:vAlign w:val="center"/>
                </w:tcPr>
                <w:p w14:paraId="2068A58E">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7658087F">
                  <w:pPr>
                    <w:pStyle w:val="143"/>
                    <w:spacing w:line="240" w:lineRule="auto"/>
                    <w:rPr>
                      <w:color w:val="auto"/>
                      <w:sz w:val="22"/>
                      <w:szCs w:val="22"/>
                    </w:rPr>
                  </w:pPr>
                  <w:r>
                    <w:rPr>
                      <w:color w:val="auto"/>
                      <w:sz w:val="22"/>
                      <w:szCs w:val="22"/>
                    </w:rPr>
                    <w:t>非标</w:t>
                  </w:r>
                </w:p>
              </w:tc>
              <w:tc>
                <w:tcPr>
                  <w:tcW w:w="741" w:type="pct"/>
                  <w:shd w:val="clear" w:color="auto" w:fill="auto"/>
                  <w:vAlign w:val="center"/>
                </w:tcPr>
                <w:p w14:paraId="452E9838">
                  <w:pPr>
                    <w:pStyle w:val="143"/>
                    <w:spacing w:line="240" w:lineRule="auto"/>
                    <w:rPr>
                      <w:color w:val="auto"/>
                      <w:sz w:val="22"/>
                      <w:szCs w:val="22"/>
                    </w:rPr>
                  </w:pPr>
                  <w:r>
                    <w:rPr>
                      <w:color w:val="auto"/>
                      <w:sz w:val="22"/>
                      <w:szCs w:val="22"/>
                    </w:rPr>
                    <w:t>1套/35min</w:t>
                  </w:r>
                </w:p>
              </w:tc>
              <w:tc>
                <w:tcPr>
                  <w:tcW w:w="732" w:type="pct"/>
                  <w:shd w:val="clear" w:color="auto" w:fill="auto"/>
                  <w:vAlign w:val="center"/>
                </w:tcPr>
                <w:p w14:paraId="1A1D77C1">
                  <w:pPr>
                    <w:pStyle w:val="143"/>
                    <w:spacing w:line="240" w:lineRule="auto"/>
                    <w:rPr>
                      <w:color w:val="auto"/>
                      <w:sz w:val="22"/>
                      <w:szCs w:val="22"/>
                    </w:rPr>
                  </w:pPr>
                  <w:r>
                    <w:rPr>
                      <w:color w:val="auto"/>
                      <w:sz w:val="22"/>
                      <w:szCs w:val="22"/>
                    </w:rPr>
                    <w:t>桥总成</w:t>
                  </w:r>
                </w:p>
              </w:tc>
              <w:tc>
                <w:tcPr>
                  <w:tcW w:w="781" w:type="pct"/>
                  <w:shd w:val="clear" w:color="auto" w:fill="auto"/>
                  <w:vAlign w:val="center"/>
                </w:tcPr>
                <w:p w14:paraId="19C6F855">
                  <w:pPr>
                    <w:pStyle w:val="143"/>
                    <w:spacing w:line="240" w:lineRule="auto"/>
                    <w:rPr>
                      <w:color w:val="auto"/>
                      <w:sz w:val="22"/>
                      <w:szCs w:val="22"/>
                    </w:rPr>
                  </w:pPr>
                  <w:r>
                    <w:rPr>
                      <w:color w:val="auto"/>
                      <w:sz w:val="22"/>
                      <w:szCs w:val="22"/>
                    </w:rPr>
                    <w:t>10000套/a</w:t>
                  </w:r>
                </w:p>
              </w:tc>
            </w:tr>
            <w:tr w14:paraId="5380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52ED791D">
                  <w:pPr>
                    <w:pStyle w:val="143"/>
                    <w:spacing w:line="240" w:lineRule="auto"/>
                    <w:rPr>
                      <w:color w:val="auto"/>
                      <w:sz w:val="22"/>
                      <w:szCs w:val="22"/>
                    </w:rPr>
                  </w:pPr>
                </w:p>
              </w:tc>
              <w:tc>
                <w:tcPr>
                  <w:tcW w:w="773" w:type="pct"/>
                  <w:shd w:val="clear" w:color="auto" w:fill="auto"/>
                  <w:vAlign w:val="center"/>
                </w:tcPr>
                <w:p w14:paraId="33619406">
                  <w:pPr>
                    <w:pStyle w:val="143"/>
                    <w:spacing w:line="240" w:lineRule="auto"/>
                    <w:rPr>
                      <w:color w:val="auto"/>
                      <w:sz w:val="22"/>
                      <w:szCs w:val="22"/>
                    </w:rPr>
                  </w:pPr>
                  <w:r>
                    <w:rPr>
                      <w:color w:val="auto"/>
                      <w:sz w:val="22"/>
                      <w:szCs w:val="22"/>
                    </w:rPr>
                    <w:t>激光打标</w:t>
                  </w:r>
                </w:p>
              </w:tc>
              <w:tc>
                <w:tcPr>
                  <w:tcW w:w="545" w:type="pct"/>
                  <w:shd w:val="clear" w:color="auto" w:fill="auto"/>
                  <w:vAlign w:val="center"/>
                </w:tcPr>
                <w:p w14:paraId="26B8C6B8">
                  <w:pPr>
                    <w:pStyle w:val="143"/>
                    <w:spacing w:line="240" w:lineRule="auto"/>
                    <w:rPr>
                      <w:color w:val="auto"/>
                      <w:sz w:val="22"/>
                      <w:szCs w:val="22"/>
                    </w:rPr>
                  </w:pPr>
                  <w:r>
                    <w:rPr>
                      <w:color w:val="auto"/>
                      <w:sz w:val="22"/>
                      <w:szCs w:val="22"/>
                    </w:rPr>
                    <w:t>打标机</w:t>
                  </w:r>
                </w:p>
              </w:tc>
              <w:tc>
                <w:tcPr>
                  <w:tcW w:w="420" w:type="pct"/>
                  <w:shd w:val="clear" w:color="auto" w:fill="auto"/>
                  <w:vAlign w:val="center"/>
                </w:tcPr>
                <w:p w14:paraId="503903DB">
                  <w:pPr>
                    <w:pStyle w:val="143"/>
                    <w:spacing w:line="240" w:lineRule="auto"/>
                    <w:rPr>
                      <w:color w:val="auto"/>
                      <w:sz w:val="22"/>
                      <w:szCs w:val="22"/>
                    </w:rPr>
                  </w:pPr>
                  <w:r>
                    <w:rPr>
                      <w:color w:val="auto"/>
                      <w:sz w:val="22"/>
                      <w:szCs w:val="22"/>
                    </w:rPr>
                    <w:t>2</w:t>
                  </w:r>
                </w:p>
              </w:tc>
              <w:tc>
                <w:tcPr>
                  <w:tcW w:w="607" w:type="pct"/>
                  <w:shd w:val="clear" w:color="auto" w:fill="auto"/>
                  <w:vAlign w:val="center"/>
                </w:tcPr>
                <w:p w14:paraId="248B597D">
                  <w:pPr>
                    <w:pStyle w:val="143"/>
                    <w:spacing w:line="240" w:lineRule="auto"/>
                    <w:rPr>
                      <w:color w:val="auto"/>
                      <w:sz w:val="22"/>
                      <w:szCs w:val="22"/>
                    </w:rPr>
                  </w:pPr>
                  <w:r>
                    <w:rPr>
                      <w:color w:val="auto"/>
                      <w:sz w:val="22"/>
                      <w:szCs w:val="22"/>
                    </w:rPr>
                    <w:t>非标</w:t>
                  </w:r>
                </w:p>
              </w:tc>
              <w:tc>
                <w:tcPr>
                  <w:tcW w:w="741" w:type="pct"/>
                  <w:shd w:val="clear" w:color="auto" w:fill="auto"/>
                  <w:vAlign w:val="center"/>
                </w:tcPr>
                <w:p w14:paraId="6510E70C">
                  <w:pPr>
                    <w:pStyle w:val="143"/>
                    <w:spacing w:line="240" w:lineRule="auto"/>
                    <w:rPr>
                      <w:color w:val="auto"/>
                      <w:sz w:val="22"/>
                      <w:szCs w:val="22"/>
                    </w:rPr>
                  </w:pPr>
                  <w:r>
                    <w:rPr>
                      <w:color w:val="auto"/>
                      <w:sz w:val="22"/>
                      <w:szCs w:val="22"/>
                    </w:rPr>
                    <w:t>1套/35min</w:t>
                  </w:r>
                </w:p>
              </w:tc>
              <w:tc>
                <w:tcPr>
                  <w:tcW w:w="732" w:type="pct"/>
                  <w:shd w:val="clear" w:color="auto" w:fill="auto"/>
                  <w:vAlign w:val="center"/>
                </w:tcPr>
                <w:p w14:paraId="64883CDA">
                  <w:pPr>
                    <w:pStyle w:val="143"/>
                    <w:spacing w:line="240" w:lineRule="auto"/>
                    <w:rPr>
                      <w:color w:val="auto"/>
                      <w:sz w:val="22"/>
                      <w:szCs w:val="22"/>
                    </w:rPr>
                  </w:pPr>
                  <w:r>
                    <w:rPr>
                      <w:color w:val="auto"/>
                      <w:sz w:val="22"/>
                      <w:szCs w:val="22"/>
                    </w:rPr>
                    <w:t>桥总成</w:t>
                  </w:r>
                </w:p>
              </w:tc>
              <w:tc>
                <w:tcPr>
                  <w:tcW w:w="781" w:type="pct"/>
                  <w:shd w:val="clear" w:color="auto" w:fill="auto"/>
                  <w:vAlign w:val="center"/>
                </w:tcPr>
                <w:p w14:paraId="2E484B79">
                  <w:pPr>
                    <w:pStyle w:val="143"/>
                    <w:spacing w:line="240" w:lineRule="auto"/>
                    <w:rPr>
                      <w:color w:val="auto"/>
                      <w:sz w:val="22"/>
                      <w:szCs w:val="22"/>
                    </w:rPr>
                  </w:pPr>
                  <w:r>
                    <w:rPr>
                      <w:color w:val="auto"/>
                      <w:sz w:val="22"/>
                      <w:szCs w:val="22"/>
                    </w:rPr>
                    <w:t>10000套/a</w:t>
                  </w:r>
                </w:p>
              </w:tc>
            </w:tr>
            <w:tr w14:paraId="4C96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7" w:type="pct"/>
                  <w:vMerge w:val="continue"/>
                  <w:shd w:val="clear" w:color="auto" w:fill="auto"/>
                  <w:vAlign w:val="center"/>
                </w:tcPr>
                <w:p w14:paraId="2BC549BD">
                  <w:pPr>
                    <w:pStyle w:val="143"/>
                    <w:spacing w:line="240" w:lineRule="auto"/>
                    <w:rPr>
                      <w:color w:val="auto"/>
                      <w:sz w:val="22"/>
                      <w:szCs w:val="22"/>
                    </w:rPr>
                  </w:pPr>
                </w:p>
              </w:tc>
              <w:tc>
                <w:tcPr>
                  <w:tcW w:w="773" w:type="pct"/>
                  <w:shd w:val="clear" w:color="auto" w:fill="auto"/>
                  <w:vAlign w:val="center"/>
                </w:tcPr>
                <w:p w14:paraId="0FBE2124">
                  <w:pPr>
                    <w:pStyle w:val="143"/>
                    <w:spacing w:line="240" w:lineRule="auto"/>
                    <w:rPr>
                      <w:color w:val="auto"/>
                      <w:sz w:val="22"/>
                      <w:szCs w:val="22"/>
                    </w:rPr>
                  </w:pPr>
                  <w:r>
                    <w:rPr>
                      <w:color w:val="auto"/>
                      <w:sz w:val="22"/>
                      <w:szCs w:val="22"/>
                    </w:rPr>
                    <w:t>返修台</w:t>
                  </w:r>
                </w:p>
              </w:tc>
              <w:tc>
                <w:tcPr>
                  <w:tcW w:w="545" w:type="pct"/>
                  <w:shd w:val="clear" w:color="auto" w:fill="auto"/>
                  <w:vAlign w:val="center"/>
                </w:tcPr>
                <w:p w14:paraId="62A061EE">
                  <w:pPr>
                    <w:pStyle w:val="143"/>
                    <w:spacing w:line="240" w:lineRule="auto"/>
                    <w:rPr>
                      <w:color w:val="auto"/>
                      <w:sz w:val="22"/>
                      <w:szCs w:val="22"/>
                    </w:rPr>
                  </w:pPr>
                  <w:r>
                    <w:rPr>
                      <w:rFonts w:hint="eastAsia"/>
                      <w:color w:val="auto"/>
                      <w:sz w:val="22"/>
                      <w:szCs w:val="22"/>
                    </w:rPr>
                    <w:t>/</w:t>
                  </w:r>
                </w:p>
              </w:tc>
              <w:tc>
                <w:tcPr>
                  <w:tcW w:w="420" w:type="pct"/>
                  <w:shd w:val="clear" w:color="auto" w:fill="auto"/>
                  <w:vAlign w:val="center"/>
                </w:tcPr>
                <w:p w14:paraId="515F1C7F">
                  <w:pPr>
                    <w:pStyle w:val="143"/>
                    <w:spacing w:line="240" w:lineRule="auto"/>
                    <w:rPr>
                      <w:color w:val="auto"/>
                      <w:sz w:val="22"/>
                      <w:szCs w:val="22"/>
                    </w:rPr>
                  </w:pPr>
                  <w:r>
                    <w:rPr>
                      <w:rFonts w:hint="eastAsia"/>
                      <w:color w:val="auto"/>
                      <w:sz w:val="22"/>
                      <w:szCs w:val="22"/>
                    </w:rPr>
                    <w:t>6</w:t>
                  </w:r>
                </w:p>
              </w:tc>
              <w:tc>
                <w:tcPr>
                  <w:tcW w:w="607" w:type="pct"/>
                  <w:shd w:val="clear" w:color="auto" w:fill="auto"/>
                  <w:vAlign w:val="center"/>
                </w:tcPr>
                <w:p w14:paraId="2BE9B77F">
                  <w:pPr>
                    <w:pStyle w:val="143"/>
                    <w:spacing w:line="240" w:lineRule="auto"/>
                    <w:rPr>
                      <w:color w:val="auto"/>
                      <w:sz w:val="22"/>
                      <w:szCs w:val="22"/>
                    </w:rPr>
                  </w:pPr>
                  <w:r>
                    <w:rPr>
                      <w:color w:val="auto"/>
                      <w:sz w:val="22"/>
                      <w:szCs w:val="22"/>
                    </w:rPr>
                    <w:t>非标</w:t>
                  </w:r>
                </w:p>
              </w:tc>
              <w:tc>
                <w:tcPr>
                  <w:tcW w:w="1245" w:type="dxa"/>
                  <w:shd w:val="clear" w:color="auto" w:fill="auto"/>
                  <w:vAlign w:val="center"/>
                </w:tcPr>
                <w:p w14:paraId="093505D4">
                  <w:pPr>
                    <w:pStyle w:val="143"/>
                    <w:spacing w:line="240" w:lineRule="auto"/>
                    <w:rPr>
                      <w:color w:val="auto"/>
                      <w:sz w:val="22"/>
                      <w:szCs w:val="22"/>
                    </w:rPr>
                  </w:pPr>
                  <w:r>
                    <w:rPr>
                      <w:color w:val="auto"/>
                      <w:sz w:val="22"/>
                      <w:szCs w:val="22"/>
                    </w:rPr>
                    <w:t>/</w:t>
                  </w:r>
                </w:p>
              </w:tc>
              <w:tc>
                <w:tcPr>
                  <w:tcW w:w="1230" w:type="dxa"/>
                  <w:shd w:val="clear" w:color="auto" w:fill="auto"/>
                  <w:vAlign w:val="center"/>
                </w:tcPr>
                <w:p w14:paraId="62E7F93F">
                  <w:pPr>
                    <w:pStyle w:val="143"/>
                    <w:spacing w:line="240" w:lineRule="auto"/>
                    <w:rPr>
                      <w:color w:val="auto"/>
                      <w:sz w:val="22"/>
                      <w:szCs w:val="22"/>
                    </w:rPr>
                  </w:pPr>
                </w:p>
                <w:p w14:paraId="3922B812">
                  <w:pPr>
                    <w:pStyle w:val="143"/>
                    <w:spacing w:line="240" w:lineRule="auto"/>
                    <w:rPr>
                      <w:color w:val="auto"/>
                      <w:sz w:val="22"/>
                      <w:szCs w:val="22"/>
                    </w:rPr>
                  </w:pPr>
                  <w:r>
                    <w:rPr>
                      <w:color w:val="auto"/>
                      <w:sz w:val="22"/>
                      <w:szCs w:val="22"/>
                    </w:rPr>
                    <w:t>/</w:t>
                  </w:r>
                </w:p>
                <w:p w14:paraId="34EA1039">
                  <w:pPr>
                    <w:pStyle w:val="143"/>
                    <w:spacing w:line="240" w:lineRule="auto"/>
                    <w:rPr>
                      <w:color w:val="auto"/>
                      <w:sz w:val="22"/>
                      <w:szCs w:val="22"/>
                    </w:rPr>
                  </w:pPr>
                </w:p>
              </w:tc>
              <w:tc>
                <w:tcPr>
                  <w:tcW w:w="1311" w:type="dxa"/>
                  <w:shd w:val="clear" w:color="auto" w:fill="auto"/>
                  <w:vAlign w:val="center"/>
                </w:tcPr>
                <w:p w14:paraId="7736729D">
                  <w:pPr>
                    <w:pStyle w:val="143"/>
                    <w:spacing w:line="240" w:lineRule="auto"/>
                    <w:rPr>
                      <w:color w:val="auto"/>
                      <w:sz w:val="22"/>
                      <w:szCs w:val="22"/>
                    </w:rPr>
                  </w:pPr>
                  <w:r>
                    <w:rPr>
                      <w:color w:val="auto"/>
                      <w:sz w:val="22"/>
                      <w:szCs w:val="22"/>
                    </w:rPr>
                    <w:t>/</w:t>
                  </w:r>
                </w:p>
              </w:tc>
            </w:tr>
            <w:tr w14:paraId="322D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6CEFF2FC">
                  <w:pPr>
                    <w:pStyle w:val="143"/>
                    <w:spacing w:line="240" w:lineRule="auto"/>
                    <w:rPr>
                      <w:color w:val="auto"/>
                      <w:sz w:val="22"/>
                      <w:szCs w:val="22"/>
                    </w:rPr>
                  </w:pPr>
                </w:p>
              </w:tc>
              <w:tc>
                <w:tcPr>
                  <w:tcW w:w="773" w:type="pct"/>
                  <w:shd w:val="clear" w:color="auto" w:fill="auto"/>
                  <w:vAlign w:val="center"/>
                </w:tcPr>
                <w:p w14:paraId="176862EA">
                  <w:pPr>
                    <w:pStyle w:val="143"/>
                    <w:spacing w:line="240" w:lineRule="auto"/>
                    <w:rPr>
                      <w:color w:val="auto"/>
                      <w:sz w:val="22"/>
                      <w:szCs w:val="22"/>
                    </w:rPr>
                  </w:pPr>
                  <w:r>
                    <w:rPr>
                      <w:color w:val="auto"/>
                      <w:sz w:val="22"/>
                      <w:szCs w:val="22"/>
                    </w:rPr>
                    <w:t>焊接和拆解</w:t>
                  </w:r>
                </w:p>
              </w:tc>
              <w:tc>
                <w:tcPr>
                  <w:tcW w:w="545" w:type="pct"/>
                  <w:shd w:val="clear" w:color="auto" w:fill="auto"/>
                  <w:vAlign w:val="center"/>
                </w:tcPr>
                <w:p w14:paraId="69122B9E">
                  <w:pPr>
                    <w:pStyle w:val="143"/>
                    <w:spacing w:line="240" w:lineRule="auto"/>
                    <w:rPr>
                      <w:color w:val="auto"/>
                      <w:sz w:val="22"/>
                      <w:szCs w:val="22"/>
                    </w:rPr>
                  </w:pPr>
                  <w:r>
                    <w:rPr>
                      <w:color w:val="auto"/>
                      <w:sz w:val="22"/>
                      <w:szCs w:val="22"/>
                    </w:rPr>
                    <w:t>高效恒温拆焊台（电烙铁）</w:t>
                  </w:r>
                </w:p>
              </w:tc>
              <w:tc>
                <w:tcPr>
                  <w:tcW w:w="420" w:type="pct"/>
                  <w:shd w:val="clear" w:color="auto" w:fill="auto"/>
                  <w:vAlign w:val="center"/>
                </w:tcPr>
                <w:p w14:paraId="7FEF1842">
                  <w:pPr>
                    <w:pStyle w:val="143"/>
                    <w:spacing w:line="240" w:lineRule="auto"/>
                    <w:rPr>
                      <w:color w:val="auto"/>
                      <w:sz w:val="22"/>
                      <w:szCs w:val="22"/>
                    </w:rPr>
                  </w:pPr>
                  <w:r>
                    <w:rPr>
                      <w:color w:val="auto"/>
                      <w:sz w:val="22"/>
                      <w:szCs w:val="22"/>
                    </w:rPr>
                    <w:t>5</w:t>
                  </w:r>
                </w:p>
              </w:tc>
              <w:tc>
                <w:tcPr>
                  <w:tcW w:w="607" w:type="pct"/>
                  <w:shd w:val="clear" w:color="auto" w:fill="auto"/>
                  <w:vAlign w:val="center"/>
                </w:tcPr>
                <w:p w14:paraId="417F9C4B">
                  <w:pPr>
                    <w:pStyle w:val="143"/>
                    <w:spacing w:line="240" w:lineRule="auto"/>
                    <w:rPr>
                      <w:color w:val="auto"/>
                      <w:sz w:val="22"/>
                      <w:szCs w:val="22"/>
                    </w:rPr>
                  </w:pPr>
                  <w:r>
                    <w:rPr>
                      <w:color w:val="auto"/>
                      <w:sz w:val="22"/>
                      <w:szCs w:val="22"/>
                    </w:rPr>
                    <w:t>非标</w:t>
                  </w:r>
                </w:p>
              </w:tc>
              <w:tc>
                <w:tcPr>
                  <w:tcW w:w="741" w:type="pct"/>
                  <w:shd w:val="clear" w:color="auto" w:fill="auto"/>
                  <w:vAlign w:val="center"/>
                </w:tcPr>
                <w:p w14:paraId="4C7913AD">
                  <w:pPr>
                    <w:pStyle w:val="143"/>
                    <w:spacing w:line="240" w:lineRule="auto"/>
                    <w:rPr>
                      <w:color w:val="auto"/>
                      <w:sz w:val="22"/>
                      <w:szCs w:val="22"/>
                    </w:rPr>
                  </w:pPr>
                  <w:r>
                    <w:rPr>
                      <w:color w:val="auto"/>
                      <w:sz w:val="22"/>
                      <w:szCs w:val="22"/>
                    </w:rPr>
                    <w:t>/</w:t>
                  </w:r>
                </w:p>
              </w:tc>
              <w:tc>
                <w:tcPr>
                  <w:tcW w:w="732" w:type="pct"/>
                  <w:shd w:val="clear" w:color="auto" w:fill="auto"/>
                  <w:vAlign w:val="center"/>
                </w:tcPr>
                <w:p w14:paraId="2154A87B">
                  <w:pPr>
                    <w:pStyle w:val="143"/>
                    <w:spacing w:line="240" w:lineRule="auto"/>
                    <w:rPr>
                      <w:color w:val="auto"/>
                      <w:sz w:val="22"/>
                      <w:szCs w:val="22"/>
                    </w:rPr>
                  </w:pPr>
                </w:p>
                <w:p w14:paraId="11BF9185">
                  <w:pPr>
                    <w:pStyle w:val="143"/>
                    <w:spacing w:line="240" w:lineRule="auto"/>
                    <w:rPr>
                      <w:color w:val="auto"/>
                      <w:sz w:val="22"/>
                      <w:szCs w:val="22"/>
                    </w:rPr>
                  </w:pPr>
                  <w:r>
                    <w:rPr>
                      <w:color w:val="auto"/>
                      <w:sz w:val="22"/>
                      <w:szCs w:val="22"/>
                    </w:rPr>
                    <w:t>/</w:t>
                  </w:r>
                </w:p>
                <w:p w14:paraId="5F0D8106">
                  <w:pPr>
                    <w:pStyle w:val="143"/>
                    <w:spacing w:line="240" w:lineRule="auto"/>
                    <w:rPr>
                      <w:color w:val="auto"/>
                      <w:sz w:val="22"/>
                      <w:szCs w:val="22"/>
                    </w:rPr>
                  </w:pPr>
                </w:p>
              </w:tc>
              <w:tc>
                <w:tcPr>
                  <w:tcW w:w="781" w:type="pct"/>
                  <w:shd w:val="clear" w:color="auto" w:fill="auto"/>
                  <w:vAlign w:val="center"/>
                </w:tcPr>
                <w:p w14:paraId="63A97338">
                  <w:pPr>
                    <w:pStyle w:val="143"/>
                    <w:spacing w:line="240" w:lineRule="auto"/>
                    <w:rPr>
                      <w:color w:val="auto"/>
                      <w:sz w:val="22"/>
                      <w:szCs w:val="22"/>
                    </w:rPr>
                  </w:pPr>
                  <w:r>
                    <w:rPr>
                      <w:color w:val="auto"/>
                      <w:sz w:val="22"/>
                      <w:szCs w:val="22"/>
                    </w:rPr>
                    <w:t>/</w:t>
                  </w:r>
                </w:p>
              </w:tc>
            </w:tr>
            <w:tr w14:paraId="28EB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restart"/>
                  <w:shd w:val="clear" w:color="auto" w:fill="auto"/>
                  <w:vAlign w:val="center"/>
                </w:tcPr>
                <w:p w14:paraId="481AD371">
                  <w:pPr>
                    <w:pStyle w:val="143"/>
                    <w:spacing w:line="240" w:lineRule="auto"/>
                    <w:rPr>
                      <w:color w:val="auto"/>
                      <w:sz w:val="22"/>
                      <w:szCs w:val="22"/>
                    </w:rPr>
                  </w:pPr>
                  <w:r>
                    <w:rPr>
                      <w:color w:val="auto"/>
                      <w:sz w:val="22"/>
                      <w:szCs w:val="22"/>
                    </w:rPr>
                    <w:t>加氢站</w:t>
                  </w:r>
                </w:p>
              </w:tc>
              <w:tc>
                <w:tcPr>
                  <w:tcW w:w="773" w:type="pct"/>
                  <w:shd w:val="clear" w:color="auto" w:fill="auto"/>
                  <w:vAlign w:val="center"/>
                </w:tcPr>
                <w:p w14:paraId="1503DC52">
                  <w:pPr>
                    <w:pStyle w:val="143"/>
                    <w:spacing w:line="240" w:lineRule="auto"/>
                    <w:rPr>
                      <w:color w:val="auto"/>
                      <w:sz w:val="22"/>
                      <w:szCs w:val="22"/>
                    </w:rPr>
                  </w:pPr>
                  <w:r>
                    <w:rPr>
                      <w:color w:val="auto"/>
                      <w:sz w:val="22"/>
                      <w:szCs w:val="22"/>
                    </w:rPr>
                    <w:t>氢气压缩</w:t>
                  </w:r>
                </w:p>
              </w:tc>
              <w:tc>
                <w:tcPr>
                  <w:tcW w:w="545" w:type="pct"/>
                  <w:shd w:val="clear" w:color="auto" w:fill="auto"/>
                  <w:vAlign w:val="center"/>
                </w:tcPr>
                <w:p w14:paraId="2A74F31E">
                  <w:pPr>
                    <w:pStyle w:val="143"/>
                    <w:spacing w:line="240" w:lineRule="auto"/>
                    <w:rPr>
                      <w:color w:val="auto"/>
                      <w:sz w:val="22"/>
                      <w:szCs w:val="22"/>
                    </w:rPr>
                  </w:pPr>
                  <w:r>
                    <w:rPr>
                      <w:color w:val="auto"/>
                      <w:sz w:val="22"/>
                      <w:szCs w:val="22"/>
                    </w:rPr>
                    <w:t>压缩机</w:t>
                  </w:r>
                </w:p>
              </w:tc>
              <w:tc>
                <w:tcPr>
                  <w:tcW w:w="420" w:type="pct"/>
                  <w:shd w:val="clear" w:color="auto" w:fill="auto"/>
                  <w:vAlign w:val="center"/>
                </w:tcPr>
                <w:p w14:paraId="13033D3C">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7F36BC81">
                  <w:pPr>
                    <w:pStyle w:val="143"/>
                    <w:spacing w:line="240" w:lineRule="auto"/>
                    <w:rPr>
                      <w:color w:val="auto"/>
                      <w:sz w:val="22"/>
                      <w:szCs w:val="22"/>
                    </w:rPr>
                  </w:pPr>
                  <w:r>
                    <w:rPr>
                      <w:color w:val="auto"/>
                      <w:sz w:val="22"/>
                      <w:szCs w:val="22"/>
                    </w:rPr>
                    <w:t>45Mpa</w:t>
                  </w:r>
                </w:p>
              </w:tc>
              <w:tc>
                <w:tcPr>
                  <w:tcW w:w="741" w:type="pct"/>
                  <w:shd w:val="clear" w:color="auto" w:fill="auto"/>
                  <w:vAlign w:val="center"/>
                </w:tcPr>
                <w:p w14:paraId="0D242009">
                  <w:pPr>
                    <w:pStyle w:val="143"/>
                    <w:spacing w:line="240" w:lineRule="auto"/>
                    <w:rPr>
                      <w:color w:val="auto"/>
                      <w:sz w:val="22"/>
                      <w:szCs w:val="22"/>
                    </w:rPr>
                  </w:pPr>
                  <w:r>
                    <w:rPr>
                      <w:color w:val="auto"/>
                      <w:sz w:val="22"/>
                      <w:szCs w:val="22"/>
                    </w:rPr>
                    <w:t>500kg/12h</w:t>
                  </w:r>
                </w:p>
              </w:tc>
              <w:tc>
                <w:tcPr>
                  <w:tcW w:w="732" w:type="pct"/>
                  <w:shd w:val="clear" w:color="auto" w:fill="auto"/>
                  <w:vAlign w:val="center"/>
                </w:tcPr>
                <w:p w14:paraId="3D829790">
                  <w:pPr>
                    <w:pStyle w:val="143"/>
                    <w:spacing w:line="240" w:lineRule="auto"/>
                    <w:rPr>
                      <w:color w:val="auto"/>
                      <w:sz w:val="22"/>
                      <w:szCs w:val="22"/>
                    </w:rPr>
                  </w:pPr>
                  <w:r>
                    <w:rPr>
                      <w:color w:val="auto"/>
                      <w:sz w:val="22"/>
                      <w:szCs w:val="22"/>
                    </w:rPr>
                    <w:t>/</w:t>
                  </w:r>
                </w:p>
              </w:tc>
              <w:tc>
                <w:tcPr>
                  <w:tcW w:w="781" w:type="pct"/>
                  <w:shd w:val="clear" w:color="auto" w:fill="auto"/>
                  <w:vAlign w:val="center"/>
                </w:tcPr>
                <w:p w14:paraId="0497074C">
                  <w:pPr>
                    <w:pStyle w:val="143"/>
                    <w:spacing w:line="240" w:lineRule="auto"/>
                    <w:rPr>
                      <w:color w:val="auto"/>
                      <w:sz w:val="22"/>
                      <w:szCs w:val="22"/>
                    </w:rPr>
                  </w:pPr>
                  <w:r>
                    <w:rPr>
                      <w:color w:val="auto"/>
                      <w:sz w:val="22"/>
                      <w:szCs w:val="22"/>
                    </w:rPr>
                    <w:t>/</w:t>
                  </w:r>
                </w:p>
              </w:tc>
            </w:tr>
            <w:tr w14:paraId="2D7B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768CBEA9">
                  <w:pPr>
                    <w:pStyle w:val="143"/>
                    <w:spacing w:line="240" w:lineRule="auto"/>
                    <w:rPr>
                      <w:color w:val="auto"/>
                      <w:sz w:val="22"/>
                      <w:szCs w:val="22"/>
                    </w:rPr>
                  </w:pPr>
                </w:p>
              </w:tc>
              <w:tc>
                <w:tcPr>
                  <w:tcW w:w="773" w:type="pct"/>
                  <w:shd w:val="clear" w:color="auto" w:fill="auto"/>
                  <w:vAlign w:val="center"/>
                </w:tcPr>
                <w:p w14:paraId="7CB68604">
                  <w:pPr>
                    <w:pStyle w:val="143"/>
                    <w:spacing w:line="240" w:lineRule="auto"/>
                    <w:rPr>
                      <w:color w:val="auto"/>
                      <w:sz w:val="22"/>
                      <w:szCs w:val="22"/>
                    </w:rPr>
                  </w:pPr>
                  <w:r>
                    <w:rPr>
                      <w:color w:val="auto"/>
                      <w:sz w:val="22"/>
                      <w:szCs w:val="22"/>
                    </w:rPr>
                    <w:t>加氢顺序控制</w:t>
                  </w:r>
                </w:p>
              </w:tc>
              <w:tc>
                <w:tcPr>
                  <w:tcW w:w="545" w:type="pct"/>
                  <w:shd w:val="clear" w:color="auto" w:fill="auto"/>
                  <w:vAlign w:val="center"/>
                </w:tcPr>
                <w:p w14:paraId="461A8A3A">
                  <w:pPr>
                    <w:pStyle w:val="143"/>
                    <w:spacing w:line="240" w:lineRule="auto"/>
                    <w:rPr>
                      <w:color w:val="auto"/>
                      <w:sz w:val="22"/>
                      <w:szCs w:val="22"/>
                    </w:rPr>
                  </w:pPr>
                  <w:r>
                    <w:rPr>
                      <w:color w:val="auto"/>
                      <w:sz w:val="22"/>
                      <w:szCs w:val="22"/>
                    </w:rPr>
                    <w:t>顺序控制盘</w:t>
                  </w:r>
                </w:p>
              </w:tc>
              <w:tc>
                <w:tcPr>
                  <w:tcW w:w="420" w:type="pct"/>
                  <w:shd w:val="clear" w:color="auto" w:fill="auto"/>
                  <w:vAlign w:val="center"/>
                </w:tcPr>
                <w:p w14:paraId="1F1505C8">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14296155">
                  <w:pPr>
                    <w:pStyle w:val="143"/>
                    <w:spacing w:line="240" w:lineRule="auto"/>
                    <w:rPr>
                      <w:color w:val="auto"/>
                      <w:sz w:val="22"/>
                      <w:szCs w:val="22"/>
                    </w:rPr>
                  </w:pPr>
                  <w:r>
                    <w:rPr>
                      <w:color w:val="auto"/>
                      <w:sz w:val="22"/>
                      <w:szCs w:val="22"/>
                    </w:rPr>
                    <w:t>/</w:t>
                  </w:r>
                </w:p>
              </w:tc>
              <w:tc>
                <w:tcPr>
                  <w:tcW w:w="741" w:type="pct"/>
                  <w:shd w:val="clear" w:color="auto" w:fill="auto"/>
                  <w:vAlign w:val="center"/>
                </w:tcPr>
                <w:p w14:paraId="547A0BE1">
                  <w:pPr>
                    <w:pStyle w:val="143"/>
                    <w:spacing w:line="240" w:lineRule="auto"/>
                    <w:rPr>
                      <w:color w:val="auto"/>
                      <w:sz w:val="22"/>
                      <w:szCs w:val="22"/>
                    </w:rPr>
                  </w:pPr>
                  <w:r>
                    <w:rPr>
                      <w:color w:val="auto"/>
                      <w:sz w:val="22"/>
                      <w:szCs w:val="22"/>
                    </w:rPr>
                    <w:t>/</w:t>
                  </w:r>
                </w:p>
              </w:tc>
              <w:tc>
                <w:tcPr>
                  <w:tcW w:w="732" w:type="pct"/>
                  <w:shd w:val="clear" w:color="auto" w:fill="auto"/>
                  <w:vAlign w:val="center"/>
                </w:tcPr>
                <w:p w14:paraId="3288721A">
                  <w:pPr>
                    <w:pStyle w:val="143"/>
                    <w:spacing w:line="240" w:lineRule="auto"/>
                    <w:rPr>
                      <w:color w:val="auto"/>
                      <w:sz w:val="22"/>
                      <w:szCs w:val="22"/>
                    </w:rPr>
                  </w:pPr>
                  <w:r>
                    <w:rPr>
                      <w:color w:val="auto"/>
                      <w:sz w:val="22"/>
                      <w:szCs w:val="22"/>
                    </w:rPr>
                    <w:t>/</w:t>
                  </w:r>
                </w:p>
              </w:tc>
              <w:tc>
                <w:tcPr>
                  <w:tcW w:w="781" w:type="pct"/>
                  <w:shd w:val="clear" w:color="auto" w:fill="auto"/>
                  <w:vAlign w:val="center"/>
                </w:tcPr>
                <w:p w14:paraId="1FDCF32B">
                  <w:pPr>
                    <w:pStyle w:val="143"/>
                    <w:spacing w:line="240" w:lineRule="auto"/>
                    <w:rPr>
                      <w:color w:val="auto"/>
                      <w:sz w:val="22"/>
                      <w:szCs w:val="22"/>
                    </w:rPr>
                  </w:pPr>
                  <w:r>
                    <w:rPr>
                      <w:color w:val="auto"/>
                      <w:sz w:val="22"/>
                      <w:szCs w:val="22"/>
                    </w:rPr>
                    <w:t>/</w:t>
                  </w:r>
                </w:p>
              </w:tc>
            </w:tr>
            <w:tr w14:paraId="5C0B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39316FC9">
                  <w:pPr>
                    <w:pStyle w:val="143"/>
                    <w:spacing w:line="240" w:lineRule="auto"/>
                    <w:rPr>
                      <w:color w:val="auto"/>
                      <w:sz w:val="22"/>
                      <w:szCs w:val="22"/>
                    </w:rPr>
                  </w:pPr>
                </w:p>
              </w:tc>
              <w:tc>
                <w:tcPr>
                  <w:tcW w:w="773" w:type="pct"/>
                  <w:shd w:val="clear" w:color="auto" w:fill="auto"/>
                  <w:vAlign w:val="center"/>
                </w:tcPr>
                <w:p w14:paraId="30AEB848">
                  <w:pPr>
                    <w:pStyle w:val="143"/>
                    <w:spacing w:line="240" w:lineRule="auto"/>
                    <w:rPr>
                      <w:color w:val="auto"/>
                      <w:sz w:val="22"/>
                      <w:szCs w:val="22"/>
                    </w:rPr>
                  </w:pPr>
                  <w:r>
                    <w:rPr>
                      <w:color w:val="auto"/>
                      <w:sz w:val="22"/>
                      <w:szCs w:val="22"/>
                    </w:rPr>
                    <w:t>氢气压缩后储存</w:t>
                  </w:r>
                </w:p>
              </w:tc>
              <w:tc>
                <w:tcPr>
                  <w:tcW w:w="545" w:type="pct"/>
                  <w:shd w:val="clear" w:color="auto" w:fill="auto"/>
                  <w:vAlign w:val="center"/>
                </w:tcPr>
                <w:p w14:paraId="25B7E50B">
                  <w:pPr>
                    <w:pStyle w:val="143"/>
                    <w:spacing w:line="240" w:lineRule="auto"/>
                    <w:rPr>
                      <w:color w:val="auto"/>
                      <w:sz w:val="22"/>
                      <w:szCs w:val="22"/>
                    </w:rPr>
                  </w:pPr>
                  <w:r>
                    <w:rPr>
                      <w:color w:val="auto"/>
                      <w:sz w:val="22"/>
                      <w:szCs w:val="22"/>
                    </w:rPr>
                    <w:t>储氢瓶组</w:t>
                  </w:r>
                </w:p>
              </w:tc>
              <w:tc>
                <w:tcPr>
                  <w:tcW w:w="420" w:type="pct"/>
                  <w:shd w:val="clear" w:color="auto" w:fill="auto"/>
                  <w:vAlign w:val="center"/>
                </w:tcPr>
                <w:p w14:paraId="477B4973">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496D64A5">
                  <w:pPr>
                    <w:pStyle w:val="143"/>
                    <w:spacing w:line="240" w:lineRule="auto"/>
                    <w:rPr>
                      <w:color w:val="auto"/>
                      <w:sz w:val="22"/>
                      <w:szCs w:val="22"/>
                    </w:rPr>
                  </w:pPr>
                  <w:r>
                    <w:rPr>
                      <w:color w:val="auto"/>
                      <w:sz w:val="22"/>
                      <w:szCs w:val="22"/>
                    </w:rPr>
                    <w:t>6m3</w:t>
                  </w:r>
                </w:p>
              </w:tc>
              <w:tc>
                <w:tcPr>
                  <w:tcW w:w="1244" w:type="dxa"/>
                  <w:shd w:val="clear" w:color="auto" w:fill="auto"/>
                  <w:vAlign w:val="center"/>
                </w:tcPr>
                <w:p w14:paraId="5D7ED6B4">
                  <w:pPr>
                    <w:pStyle w:val="143"/>
                    <w:spacing w:line="240" w:lineRule="auto"/>
                    <w:rPr>
                      <w:color w:val="auto"/>
                      <w:sz w:val="22"/>
                      <w:szCs w:val="22"/>
                    </w:rPr>
                  </w:pPr>
                  <w:r>
                    <w:rPr>
                      <w:color w:val="auto"/>
                      <w:sz w:val="22"/>
                      <w:szCs w:val="22"/>
                    </w:rPr>
                    <w:t>/</w:t>
                  </w:r>
                </w:p>
              </w:tc>
              <w:tc>
                <w:tcPr>
                  <w:tcW w:w="732" w:type="pct"/>
                  <w:shd w:val="clear" w:color="auto" w:fill="auto"/>
                  <w:vAlign w:val="center"/>
                </w:tcPr>
                <w:p w14:paraId="19B95FBA">
                  <w:pPr>
                    <w:pStyle w:val="143"/>
                    <w:spacing w:line="240" w:lineRule="auto"/>
                    <w:rPr>
                      <w:color w:val="auto"/>
                      <w:sz w:val="22"/>
                      <w:szCs w:val="22"/>
                    </w:rPr>
                  </w:pPr>
                  <w:r>
                    <w:rPr>
                      <w:color w:val="auto"/>
                      <w:sz w:val="22"/>
                      <w:szCs w:val="22"/>
                    </w:rPr>
                    <w:t>/</w:t>
                  </w:r>
                </w:p>
              </w:tc>
              <w:tc>
                <w:tcPr>
                  <w:tcW w:w="781" w:type="pct"/>
                  <w:shd w:val="clear" w:color="auto" w:fill="auto"/>
                  <w:vAlign w:val="center"/>
                </w:tcPr>
                <w:p w14:paraId="3787B063">
                  <w:pPr>
                    <w:pStyle w:val="143"/>
                    <w:spacing w:line="240" w:lineRule="auto"/>
                    <w:rPr>
                      <w:color w:val="auto"/>
                      <w:sz w:val="22"/>
                      <w:szCs w:val="22"/>
                    </w:rPr>
                  </w:pPr>
                  <w:r>
                    <w:rPr>
                      <w:color w:val="auto"/>
                      <w:sz w:val="22"/>
                      <w:szCs w:val="22"/>
                    </w:rPr>
                    <w:t>/</w:t>
                  </w:r>
                </w:p>
              </w:tc>
            </w:tr>
            <w:tr w14:paraId="446C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7" w:type="pct"/>
                  <w:vMerge w:val="continue"/>
                  <w:shd w:val="clear" w:color="auto" w:fill="auto"/>
                  <w:vAlign w:val="center"/>
                </w:tcPr>
                <w:p w14:paraId="17B95F22">
                  <w:pPr>
                    <w:pStyle w:val="143"/>
                    <w:spacing w:line="240" w:lineRule="auto"/>
                    <w:rPr>
                      <w:color w:val="auto"/>
                      <w:sz w:val="22"/>
                      <w:szCs w:val="22"/>
                    </w:rPr>
                  </w:pPr>
                </w:p>
              </w:tc>
              <w:tc>
                <w:tcPr>
                  <w:tcW w:w="773" w:type="pct"/>
                  <w:shd w:val="clear" w:color="auto" w:fill="auto"/>
                  <w:vAlign w:val="center"/>
                </w:tcPr>
                <w:p w14:paraId="070C1836">
                  <w:pPr>
                    <w:pStyle w:val="143"/>
                    <w:spacing w:line="240" w:lineRule="auto"/>
                    <w:rPr>
                      <w:color w:val="auto"/>
                      <w:sz w:val="22"/>
                      <w:szCs w:val="22"/>
                    </w:rPr>
                  </w:pPr>
                  <w:r>
                    <w:rPr>
                      <w:color w:val="auto"/>
                      <w:sz w:val="22"/>
                      <w:szCs w:val="22"/>
                    </w:rPr>
                    <w:t>车辆加氢</w:t>
                  </w:r>
                </w:p>
              </w:tc>
              <w:tc>
                <w:tcPr>
                  <w:tcW w:w="545" w:type="pct"/>
                  <w:shd w:val="clear" w:color="auto" w:fill="auto"/>
                  <w:vAlign w:val="center"/>
                </w:tcPr>
                <w:p w14:paraId="3468D510">
                  <w:pPr>
                    <w:pStyle w:val="143"/>
                    <w:spacing w:line="240" w:lineRule="auto"/>
                    <w:rPr>
                      <w:color w:val="auto"/>
                      <w:sz w:val="22"/>
                      <w:szCs w:val="22"/>
                    </w:rPr>
                  </w:pPr>
                  <w:r>
                    <w:rPr>
                      <w:color w:val="auto"/>
                      <w:sz w:val="22"/>
                      <w:szCs w:val="22"/>
                    </w:rPr>
                    <w:t>加氢机</w:t>
                  </w:r>
                </w:p>
              </w:tc>
              <w:tc>
                <w:tcPr>
                  <w:tcW w:w="420" w:type="pct"/>
                  <w:shd w:val="clear" w:color="auto" w:fill="auto"/>
                  <w:vAlign w:val="center"/>
                </w:tcPr>
                <w:p w14:paraId="2B966231">
                  <w:pPr>
                    <w:pStyle w:val="143"/>
                    <w:spacing w:line="240" w:lineRule="auto"/>
                    <w:rPr>
                      <w:color w:val="auto"/>
                      <w:sz w:val="22"/>
                      <w:szCs w:val="22"/>
                    </w:rPr>
                  </w:pPr>
                  <w:r>
                    <w:rPr>
                      <w:color w:val="auto"/>
                      <w:sz w:val="22"/>
                      <w:szCs w:val="22"/>
                    </w:rPr>
                    <w:t>1</w:t>
                  </w:r>
                </w:p>
              </w:tc>
              <w:tc>
                <w:tcPr>
                  <w:tcW w:w="607" w:type="pct"/>
                  <w:shd w:val="clear" w:color="auto" w:fill="auto"/>
                  <w:vAlign w:val="center"/>
                </w:tcPr>
                <w:p w14:paraId="36D03462">
                  <w:pPr>
                    <w:pStyle w:val="143"/>
                    <w:spacing w:line="240" w:lineRule="auto"/>
                    <w:rPr>
                      <w:color w:val="auto"/>
                      <w:sz w:val="22"/>
                      <w:szCs w:val="22"/>
                    </w:rPr>
                  </w:pPr>
                  <w:r>
                    <w:rPr>
                      <w:color w:val="auto"/>
                      <w:sz w:val="22"/>
                      <w:szCs w:val="22"/>
                    </w:rPr>
                    <w:t>35Mpa</w:t>
                  </w:r>
                </w:p>
              </w:tc>
              <w:tc>
                <w:tcPr>
                  <w:tcW w:w="1244" w:type="dxa"/>
                  <w:shd w:val="clear" w:color="auto" w:fill="auto"/>
                  <w:vAlign w:val="center"/>
                </w:tcPr>
                <w:p w14:paraId="533B89F6">
                  <w:pPr>
                    <w:pStyle w:val="143"/>
                    <w:spacing w:line="240" w:lineRule="auto"/>
                    <w:rPr>
                      <w:color w:val="auto"/>
                      <w:sz w:val="22"/>
                      <w:szCs w:val="22"/>
                    </w:rPr>
                  </w:pPr>
                  <w:r>
                    <w:rPr>
                      <w:color w:val="auto"/>
                      <w:sz w:val="22"/>
                      <w:szCs w:val="22"/>
                    </w:rPr>
                    <w:t>/</w:t>
                  </w:r>
                </w:p>
              </w:tc>
              <w:tc>
                <w:tcPr>
                  <w:tcW w:w="732" w:type="pct"/>
                  <w:shd w:val="clear" w:color="auto" w:fill="auto"/>
                  <w:vAlign w:val="center"/>
                </w:tcPr>
                <w:p w14:paraId="7648036F">
                  <w:pPr>
                    <w:pStyle w:val="143"/>
                    <w:spacing w:line="240" w:lineRule="auto"/>
                    <w:rPr>
                      <w:color w:val="auto"/>
                      <w:sz w:val="22"/>
                      <w:szCs w:val="22"/>
                    </w:rPr>
                  </w:pPr>
                  <w:r>
                    <w:rPr>
                      <w:color w:val="auto"/>
                      <w:sz w:val="22"/>
                      <w:szCs w:val="22"/>
                    </w:rPr>
                    <w:t>/</w:t>
                  </w:r>
                </w:p>
              </w:tc>
              <w:tc>
                <w:tcPr>
                  <w:tcW w:w="781" w:type="pct"/>
                  <w:shd w:val="clear" w:color="auto" w:fill="auto"/>
                  <w:vAlign w:val="center"/>
                </w:tcPr>
                <w:p w14:paraId="2C2685F8">
                  <w:pPr>
                    <w:pStyle w:val="143"/>
                    <w:spacing w:line="240" w:lineRule="auto"/>
                    <w:rPr>
                      <w:color w:val="auto"/>
                      <w:sz w:val="22"/>
                      <w:szCs w:val="22"/>
                    </w:rPr>
                  </w:pPr>
                  <w:r>
                    <w:rPr>
                      <w:color w:val="auto"/>
                      <w:sz w:val="22"/>
                      <w:szCs w:val="22"/>
                    </w:rPr>
                    <w:t>/</w:t>
                  </w:r>
                </w:p>
              </w:tc>
            </w:tr>
          </w:tbl>
          <w:p w14:paraId="6A3C26D1">
            <w:pPr>
              <w:spacing w:line="460" w:lineRule="exact"/>
              <w:ind w:firstLine="522" w:firstLineChars="200"/>
              <w:rPr>
                <w:b/>
                <w:bCs/>
                <w:color w:val="auto"/>
                <w:sz w:val="26"/>
                <w:szCs w:val="26"/>
              </w:rPr>
            </w:pPr>
            <w:r>
              <w:rPr>
                <w:b/>
                <w:bCs/>
                <w:color w:val="auto"/>
                <w:sz w:val="26"/>
                <w:szCs w:val="26"/>
              </w:rPr>
              <w:t>2.13.</w:t>
            </w:r>
            <w:r>
              <w:rPr>
                <w:rFonts w:hint="eastAsia"/>
                <w:b/>
                <w:bCs/>
                <w:color w:val="auto"/>
                <w:sz w:val="26"/>
                <w:szCs w:val="26"/>
              </w:rPr>
              <w:t>5</w:t>
            </w:r>
            <w:r>
              <w:rPr>
                <w:b/>
                <w:bCs/>
                <w:color w:val="auto"/>
                <w:sz w:val="26"/>
                <w:szCs w:val="26"/>
              </w:rPr>
              <w:t>现有工程生产工艺及产污环节</w:t>
            </w:r>
          </w:p>
          <w:p w14:paraId="4376D3F3">
            <w:pPr>
              <w:pStyle w:val="136"/>
              <w:spacing w:line="460" w:lineRule="exact"/>
              <w:ind w:firstLine="520"/>
              <w:rPr>
                <w:color w:val="auto"/>
                <w:sz w:val="26"/>
                <w:szCs w:val="26"/>
              </w:rPr>
            </w:pPr>
            <w:r>
              <w:rPr>
                <w:color w:val="auto"/>
                <w:sz w:val="26"/>
                <w:szCs w:val="26"/>
              </w:rPr>
              <w:t>现有项目产品主要为氢动力系统</w:t>
            </w:r>
            <w:r>
              <w:rPr>
                <w:rFonts w:hint="eastAsia"/>
                <w:color w:val="auto"/>
                <w:sz w:val="26"/>
                <w:szCs w:val="26"/>
              </w:rPr>
              <w:t>；重型电驱桥、车辆加氢</w:t>
            </w:r>
            <w:r>
              <w:rPr>
                <w:color w:val="auto"/>
                <w:sz w:val="26"/>
                <w:szCs w:val="26"/>
              </w:rPr>
              <w:t>，具体工艺流程及产排污环节如下：</w:t>
            </w:r>
          </w:p>
          <w:p w14:paraId="07CEA4F8">
            <w:pPr>
              <w:pStyle w:val="82"/>
              <w:spacing w:line="480" w:lineRule="exact"/>
              <w:ind w:firstLine="520"/>
              <w:rPr>
                <w:color w:val="auto"/>
                <w:szCs w:val="26"/>
              </w:rPr>
            </w:pPr>
            <w:r>
              <w:rPr>
                <w:color w:val="auto"/>
                <w:szCs w:val="26"/>
              </w:rPr>
              <w:t>2.1</w:t>
            </w:r>
            <w:r>
              <w:rPr>
                <w:rFonts w:hint="eastAsia"/>
                <w:color w:val="auto"/>
                <w:szCs w:val="26"/>
              </w:rPr>
              <w:t>3.5</w:t>
            </w:r>
            <w:r>
              <w:rPr>
                <w:color w:val="auto"/>
                <w:szCs w:val="26"/>
              </w:rPr>
              <w:t>.1氢动力系统生产工艺</w:t>
            </w:r>
          </w:p>
          <w:p w14:paraId="0A8ED944">
            <w:pPr>
              <w:pStyle w:val="82"/>
              <w:spacing w:line="480" w:lineRule="exact"/>
              <w:ind w:firstLine="520"/>
              <w:rPr>
                <w:color w:val="auto"/>
                <w:szCs w:val="26"/>
              </w:rPr>
            </w:pPr>
            <w:r>
              <w:rPr>
                <w:color w:val="auto"/>
                <w:szCs w:val="26"/>
              </w:rPr>
              <w:t>（1）氢动力系统装配工艺</w:t>
            </w:r>
          </w:p>
          <w:p w14:paraId="46F1D0B0">
            <w:pPr>
              <w:pStyle w:val="82"/>
              <w:spacing w:line="480" w:lineRule="exact"/>
              <w:ind w:firstLine="520"/>
              <w:rPr>
                <w:color w:val="auto"/>
                <w:szCs w:val="26"/>
              </w:rPr>
            </w:pPr>
            <w:r>
              <w:rPr>
                <w:color w:val="auto"/>
                <w:szCs w:val="26"/>
              </w:rPr>
              <w:t>1）外购阳极系统零部件在预装工位通过机械/人工进行预装。</w:t>
            </w:r>
          </w:p>
          <w:p w14:paraId="22C775F0">
            <w:pPr>
              <w:pStyle w:val="82"/>
              <w:spacing w:line="480" w:lineRule="exact"/>
              <w:ind w:firstLine="520"/>
              <w:rPr>
                <w:color w:val="auto"/>
                <w:szCs w:val="26"/>
              </w:rPr>
            </w:pPr>
            <w:r>
              <w:rPr>
                <w:color w:val="auto"/>
                <w:szCs w:val="26"/>
              </w:rPr>
              <w:t>2）经预装完成的阳极系统与外购其他零部件一并在阳极系统装配工位进行机械/人工装配。</w:t>
            </w:r>
          </w:p>
          <w:p w14:paraId="17171B9B">
            <w:pPr>
              <w:pStyle w:val="82"/>
              <w:spacing w:line="480" w:lineRule="exact"/>
              <w:ind w:firstLine="520"/>
              <w:rPr>
                <w:color w:val="auto"/>
                <w:szCs w:val="26"/>
              </w:rPr>
            </w:pPr>
            <w:r>
              <w:rPr>
                <w:color w:val="auto"/>
                <w:szCs w:val="26"/>
              </w:rPr>
              <w:t>3）阳极系统装配完成后，进入测试工位，采用氦气进行泄漏测试，测试合格进入下一工序，测试不合格的进入装配工位返工。</w:t>
            </w:r>
          </w:p>
          <w:p w14:paraId="295F060B">
            <w:pPr>
              <w:pStyle w:val="82"/>
              <w:spacing w:line="480" w:lineRule="exact"/>
              <w:ind w:firstLine="520"/>
              <w:rPr>
                <w:color w:val="auto"/>
                <w:szCs w:val="26"/>
              </w:rPr>
            </w:pPr>
            <w:r>
              <w:rPr>
                <w:color w:val="auto"/>
                <w:szCs w:val="26"/>
              </w:rPr>
              <w:t>4）外购冷却系统零部件在预装工位通过机械/人工进行预装。</w:t>
            </w:r>
          </w:p>
          <w:p w14:paraId="5FF7EC44">
            <w:pPr>
              <w:pStyle w:val="82"/>
              <w:spacing w:line="480" w:lineRule="exact"/>
              <w:ind w:firstLine="520"/>
              <w:rPr>
                <w:color w:val="auto"/>
                <w:szCs w:val="26"/>
              </w:rPr>
            </w:pPr>
            <w:r>
              <w:rPr>
                <w:color w:val="auto"/>
                <w:szCs w:val="26"/>
              </w:rPr>
              <w:t>5）经预装完成的冷却系统与外购其他零部件一并在冷却系统装配工位进行机械/人工装配。</w:t>
            </w:r>
          </w:p>
          <w:p w14:paraId="385742CF">
            <w:pPr>
              <w:pStyle w:val="82"/>
              <w:spacing w:line="480" w:lineRule="exact"/>
              <w:ind w:firstLine="520"/>
              <w:rPr>
                <w:color w:val="auto"/>
                <w:szCs w:val="26"/>
              </w:rPr>
            </w:pPr>
            <w:r>
              <w:rPr>
                <w:color w:val="auto"/>
                <w:szCs w:val="26"/>
              </w:rPr>
              <w:t>6）冷却系统装配完成后，进入测试工位，采用氦气进行泄漏测试，测试合格进入下一工序，测试不合格的进入装配工位返工。</w:t>
            </w:r>
          </w:p>
          <w:p w14:paraId="19249E96">
            <w:pPr>
              <w:pStyle w:val="82"/>
              <w:spacing w:line="480" w:lineRule="exact"/>
              <w:ind w:firstLine="520"/>
              <w:rPr>
                <w:color w:val="auto"/>
                <w:szCs w:val="26"/>
              </w:rPr>
            </w:pPr>
            <w:r>
              <w:rPr>
                <w:color w:val="auto"/>
                <w:szCs w:val="26"/>
              </w:rPr>
              <w:t>7）外购阴极系统零部件在预装工位通过机械/人工进行预装。</w:t>
            </w:r>
          </w:p>
          <w:p w14:paraId="087CF65B">
            <w:pPr>
              <w:pStyle w:val="82"/>
              <w:spacing w:line="480" w:lineRule="exact"/>
              <w:ind w:firstLine="520"/>
              <w:rPr>
                <w:color w:val="auto"/>
                <w:szCs w:val="26"/>
              </w:rPr>
            </w:pPr>
            <w:r>
              <w:rPr>
                <w:color w:val="auto"/>
                <w:szCs w:val="26"/>
              </w:rPr>
              <w:t>8）经预装完成的冷却系统与外购其他零部件一并在阴极系统装配工位进行机械/人工装配。</w:t>
            </w:r>
          </w:p>
          <w:p w14:paraId="20988508">
            <w:pPr>
              <w:pStyle w:val="82"/>
              <w:spacing w:line="480" w:lineRule="exact"/>
              <w:ind w:firstLine="520"/>
              <w:rPr>
                <w:color w:val="auto"/>
                <w:szCs w:val="26"/>
              </w:rPr>
            </w:pPr>
            <w:r>
              <w:rPr>
                <w:color w:val="auto"/>
                <w:szCs w:val="26"/>
              </w:rPr>
              <w:t>9）冷却系统装配完成后，进入测试工位，采用氦气进行泄漏测试，测试合格进入下一工序，测试不合格的进入装配工位返工。</w:t>
            </w:r>
          </w:p>
          <w:p w14:paraId="29F3C553">
            <w:pPr>
              <w:pStyle w:val="82"/>
              <w:spacing w:line="480" w:lineRule="exact"/>
              <w:ind w:firstLine="520"/>
              <w:rPr>
                <w:color w:val="auto"/>
                <w:szCs w:val="26"/>
              </w:rPr>
            </w:pPr>
            <w:r>
              <w:rPr>
                <w:color w:val="auto"/>
                <w:szCs w:val="26"/>
              </w:rPr>
              <w:t>10）阳极系统、冷却系统及阴极系统装配完成泄漏测试均合格后，进入线束装配工位，进行线束装配，线束安装指将整个氢动力系统的线束采用机械加人工的方式进行固定和安装。</w:t>
            </w:r>
          </w:p>
          <w:p w14:paraId="2892EEAF">
            <w:pPr>
              <w:pStyle w:val="82"/>
              <w:spacing w:line="480" w:lineRule="exact"/>
              <w:ind w:firstLine="520"/>
              <w:rPr>
                <w:color w:val="auto"/>
                <w:szCs w:val="26"/>
              </w:rPr>
            </w:pPr>
            <w:r>
              <w:rPr>
                <w:color w:val="auto"/>
                <w:szCs w:val="26"/>
              </w:rPr>
              <w:t>（2）发动机检测实验</w:t>
            </w:r>
          </w:p>
          <w:p w14:paraId="1E48AF16">
            <w:pPr>
              <w:pStyle w:val="82"/>
              <w:spacing w:line="480" w:lineRule="exact"/>
              <w:ind w:firstLine="520"/>
              <w:rPr>
                <w:color w:val="auto"/>
                <w:szCs w:val="26"/>
              </w:rPr>
            </w:pPr>
            <w:r>
              <w:rPr>
                <w:color w:val="auto"/>
                <w:szCs w:val="26"/>
              </w:rPr>
              <w:t>1）功能测试</w:t>
            </w:r>
          </w:p>
          <w:p w14:paraId="643B3068">
            <w:pPr>
              <w:pStyle w:val="82"/>
              <w:spacing w:line="480" w:lineRule="exact"/>
              <w:ind w:firstLine="520"/>
              <w:rPr>
                <w:color w:val="auto"/>
                <w:szCs w:val="26"/>
              </w:rPr>
            </w:pPr>
            <w:r>
              <w:rPr>
                <w:color w:val="auto"/>
                <w:szCs w:val="26"/>
              </w:rPr>
              <w:t>线束装配完成的动力系统需置于系统台架上，测试燃料电池系统整机性能，评测控制策略。测试过程中只生成水，排量不超过4.2L/min，排放到污水管网。阳极排氢阀会定期开启并排出少量氢气，引至阴极排气管与未反应的空气混合后排至室外，阴极排气管内氢气体积浓度低于4%。2个燃料电池系统台架满载工作一天（8h），参与反应氢气总量最大约4919Nm</w:t>
            </w:r>
            <w:r>
              <w:rPr>
                <w:color w:val="auto"/>
                <w:szCs w:val="26"/>
                <w:vertAlign w:val="superscript"/>
              </w:rPr>
              <w:t>3</w:t>
            </w:r>
            <w:r>
              <w:rPr>
                <w:color w:val="auto"/>
                <w:szCs w:val="26"/>
              </w:rPr>
              <w:t>。阴极排出口的管道采用</w:t>
            </w:r>
            <w:r>
              <w:rPr>
                <w:rFonts w:hint="eastAsia"/>
                <w:color w:val="auto"/>
                <w:szCs w:val="26"/>
                <w:lang w:eastAsia="zh-CN"/>
              </w:rPr>
              <w:t>“</w:t>
            </w:r>
            <w:r>
              <w:rPr>
                <w:color w:val="auto"/>
                <w:szCs w:val="26"/>
              </w:rPr>
              <w:t>步步高</w:t>
            </w:r>
            <w:r>
              <w:rPr>
                <w:rFonts w:hint="eastAsia"/>
                <w:color w:val="auto"/>
                <w:szCs w:val="26"/>
                <w:lang w:eastAsia="zh-CN"/>
              </w:rPr>
              <w:t>”</w:t>
            </w:r>
            <w:r>
              <w:rPr>
                <w:color w:val="auto"/>
                <w:szCs w:val="26"/>
              </w:rPr>
              <w:t>的方式直接排放至室外，管道出口处设阻火器。</w:t>
            </w:r>
          </w:p>
          <w:p w14:paraId="4648EE8A">
            <w:pPr>
              <w:pStyle w:val="82"/>
              <w:spacing w:line="480" w:lineRule="exact"/>
              <w:ind w:firstLine="520"/>
              <w:rPr>
                <w:color w:val="auto"/>
                <w:szCs w:val="26"/>
              </w:rPr>
            </w:pPr>
            <w:r>
              <w:rPr>
                <w:color w:val="auto"/>
                <w:szCs w:val="26"/>
              </w:rPr>
              <w:t>气站布置于发动机检测实验室东北侧，氢气前期由氢气管束车供应，后期由外部管道供氢（取消液氢供气系统）。氮气站储存液氮，经过气化器气化调压至10bar，经管道送至燃料电池系统试验室。</w:t>
            </w:r>
          </w:p>
          <w:p w14:paraId="5566AC46">
            <w:pPr>
              <w:pStyle w:val="82"/>
              <w:spacing w:line="480" w:lineRule="exact"/>
              <w:ind w:firstLine="520"/>
              <w:rPr>
                <w:color w:val="auto"/>
                <w:szCs w:val="26"/>
              </w:rPr>
            </w:pPr>
            <w:r>
              <w:rPr>
                <w:color w:val="auto"/>
                <w:szCs w:val="26"/>
              </w:rPr>
              <w:t>目前测试台架最大功率为400kW。反应方程式如下：</w:t>
            </w:r>
          </w:p>
          <w:p w14:paraId="3063931E">
            <w:pPr>
              <w:pStyle w:val="82"/>
              <w:spacing w:line="480" w:lineRule="exact"/>
              <w:ind w:firstLine="520"/>
              <w:rPr>
                <w:rFonts w:hint="default" w:eastAsia="宋体"/>
                <w:color w:val="auto"/>
                <w:szCs w:val="26"/>
                <w:lang w:val="en-US" w:eastAsia="zh-CN"/>
              </w:rPr>
            </w:pPr>
            <w:r>
              <w:rPr>
                <w:color w:val="auto"/>
                <w:szCs w:val="26"/>
              </w:rPr>
              <w:t>阳极：</w:t>
            </w:r>
            <w:r>
              <w:rPr>
                <w:rFonts w:hint="eastAsia"/>
                <w:color w:val="auto"/>
                <w:szCs w:val="26"/>
                <w:lang w:val="en-US" w:eastAsia="zh-CN"/>
              </w:rPr>
              <w:t>2H</w:t>
            </w:r>
            <w:r>
              <w:rPr>
                <w:rFonts w:hint="eastAsia"/>
                <w:color w:val="auto"/>
                <w:szCs w:val="26"/>
                <w:vertAlign w:val="subscript"/>
                <w:lang w:val="en-US" w:eastAsia="zh-CN"/>
              </w:rPr>
              <w:t>2</w:t>
            </w:r>
            <w:r>
              <w:rPr>
                <w:rFonts w:hint="eastAsia"/>
                <w:color w:val="auto"/>
                <w:szCs w:val="26"/>
                <w:lang w:val="en-US" w:eastAsia="zh-CN"/>
              </w:rPr>
              <w:t>→4H</w:t>
            </w:r>
            <w:r>
              <w:rPr>
                <w:rFonts w:hint="eastAsia"/>
                <w:color w:val="auto"/>
                <w:szCs w:val="26"/>
                <w:vertAlign w:val="superscript"/>
                <w:lang w:val="en-US" w:eastAsia="zh-CN"/>
              </w:rPr>
              <w:t>+</w:t>
            </w:r>
            <w:r>
              <w:rPr>
                <w:rFonts w:hint="eastAsia"/>
                <w:color w:val="auto"/>
                <w:szCs w:val="26"/>
                <w:lang w:val="en-US" w:eastAsia="zh-CN"/>
              </w:rPr>
              <w:t>+4e</w:t>
            </w:r>
            <w:r>
              <w:rPr>
                <w:rFonts w:hint="eastAsia"/>
                <w:color w:val="auto"/>
                <w:szCs w:val="26"/>
                <w:vertAlign w:val="superscript"/>
                <w:lang w:val="en-US" w:eastAsia="zh-CN"/>
              </w:rPr>
              <w:t>-</w:t>
            </w:r>
          </w:p>
          <w:p w14:paraId="5AEFE8E2">
            <w:pPr>
              <w:pStyle w:val="82"/>
              <w:spacing w:line="480" w:lineRule="exact"/>
              <w:ind w:firstLine="520"/>
              <w:rPr>
                <w:rFonts w:hint="default" w:eastAsia="宋体"/>
                <w:color w:val="auto"/>
                <w:szCs w:val="26"/>
                <w:lang w:val="en-US" w:eastAsia="zh-CN"/>
              </w:rPr>
            </w:pPr>
            <w:r>
              <w:rPr>
                <w:color w:val="auto"/>
                <w:szCs w:val="26"/>
              </w:rPr>
              <w:t>阴极：</w:t>
            </w:r>
            <w:r>
              <w:rPr>
                <w:rFonts w:hint="eastAsia"/>
                <w:color w:val="auto"/>
                <w:szCs w:val="26"/>
                <w:lang w:val="en-US" w:eastAsia="zh-CN"/>
              </w:rPr>
              <w:t>O</w:t>
            </w:r>
            <w:r>
              <w:rPr>
                <w:rFonts w:hint="eastAsia"/>
                <w:color w:val="auto"/>
                <w:szCs w:val="26"/>
                <w:vertAlign w:val="subscript"/>
                <w:lang w:val="en-US" w:eastAsia="zh-CN"/>
              </w:rPr>
              <w:t>2</w:t>
            </w:r>
            <w:r>
              <w:rPr>
                <w:rFonts w:hint="eastAsia"/>
                <w:color w:val="auto"/>
                <w:szCs w:val="26"/>
                <w:lang w:val="en-US" w:eastAsia="zh-CN"/>
              </w:rPr>
              <w:t>+4H</w:t>
            </w:r>
            <w:r>
              <w:rPr>
                <w:rFonts w:hint="eastAsia"/>
                <w:color w:val="auto"/>
                <w:szCs w:val="26"/>
                <w:vertAlign w:val="superscript"/>
                <w:lang w:val="en-US" w:eastAsia="zh-CN"/>
              </w:rPr>
              <w:t>+</w:t>
            </w:r>
            <w:r>
              <w:rPr>
                <w:rFonts w:hint="eastAsia"/>
                <w:color w:val="auto"/>
                <w:szCs w:val="26"/>
                <w:lang w:val="en-US" w:eastAsia="zh-CN"/>
              </w:rPr>
              <w:t>+4e</w:t>
            </w:r>
            <w:r>
              <w:rPr>
                <w:rFonts w:hint="eastAsia"/>
                <w:color w:val="auto"/>
                <w:szCs w:val="26"/>
                <w:vertAlign w:val="superscript"/>
                <w:lang w:val="en-US" w:eastAsia="zh-CN"/>
              </w:rPr>
              <w:t>-</w:t>
            </w:r>
            <w:r>
              <w:rPr>
                <w:rFonts w:hint="eastAsia"/>
                <w:color w:val="auto"/>
                <w:szCs w:val="26"/>
                <w:lang w:val="en-US" w:eastAsia="zh-CN"/>
              </w:rPr>
              <w:t>→2H</w:t>
            </w:r>
            <w:r>
              <w:rPr>
                <w:rFonts w:hint="eastAsia"/>
                <w:color w:val="auto"/>
                <w:szCs w:val="26"/>
                <w:vertAlign w:val="subscript"/>
                <w:lang w:val="en-US" w:eastAsia="zh-CN"/>
              </w:rPr>
              <w:t>2</w:t>
            </w:r>
            <w:r>
              <w:rPr>
                <w:rFonts w:hint="eastAsia"/>
                <w:color w:val="auto"/>
                <w:szCs w:val="26"/>
                <w:lang w:val="en-US" w:eastAsia="zh-CN"/>
              </w:rPr>
              <w:t>O</w:t>
            </w:r>
          </w:p>
          <w:p w14:paraId="63901D90">
            <w:pPr>
              <w:pStyle w:val="82"/>
              <w:spacing w:line="480" w:lineRule="exact"/>
              <w:ind w:firstLine="520"/>
              <w:rPr>
                <w:color w:val="auto"/>
                <w:szCs w:val="26"/>
              </w:rPr>
            </w:pPr>
            <w:r>
              <w:rPr>
                <w:color w:val="auto"/>
                <w:szCs w:val="26"/>
              </w:rPr>
              <w:t>2）振动测试：</w:t>
            </w:r>
          </w:p>
          <w:p w14:paraId="5E0460CE">
            <w:pPr>
              <w:pStyle w:val="82"/>
              <w:spacing w:line="480" w:lineRule="exact"/>
              <w:ind w:firstLine="520"/>
              <w:rPr>
                <w:color w:val="auto"/>
                <w:szCs w:val="26"/>
              </w:rPr>
            </w:pPr>
            <w:r>
              <w:rPr>
                <w:color w:val="auto"/>
                <w:szCs w:val="26"/>
              </w:rPr>
              <w:t>首先将被测样品放置到温舱里进行预老化处理，预处理完成后使用试验夹具将被测样品安装固定到振动试验台上，设定好振动台的相关参数（振动频率、频率范围、振动量级或功率谱形图）进行振动试验。每完成1次振动试验都要对被测样品进行功能检查和泄漏检查。</w:t>
            </w:r>
          </w:p>
          <w:p w14:paraId="200155FE">
            <w:pPr>
              <w:pStyle w:val="82"/>
              <w:spacing w:line="480" w:lineRule="exact"/>
              <w:ind w:firstLine="520"/>
              <w:rPr>
                <w:color w:val="auto"/>
                <w:szCs w:val="26"/>
              </w:rPr>
            </w:pPr>
            <w:r>
              <w:rPr>
                <w:color w:val="auto"/>
                <w:szCs w:val="26"/>
              </w:rPr>
              <w:t>3）噪声测试</w:t>
            </w:r>
          </w:p>
          <w:p w14:paraId="45DAD472">
            <w:pPr>
              <w:pStyle w:val="82"/>
              <w:spacing w:line="480" w:lineRule="exact"/>
              <w:ind w:firstLine="520"/>
              <w:rPr>
                <w:color w:val="auto"/>
                <w:szCs w:val="26"/>
              </w:rPr>
            </w:pPr>
            <w:r>
              <w:rPr>
                <w:color w:val="auto"/>
                <w:szCs w:val="26"/>
              </w:rPr>
              <w:t>被测样品放置在噪音测试房间内规定位置，连接好被测样品的能源和控制管线，使被测样品能够正常工作。开启声音采集设备，采集被测样品的噪音。试验室主要进行噪声测试，声压级测试，声功率级测试、声质量测试与噪声源分析。</w:t>
            </w:r>
          </w:p>
          <w:p w14:paraId="33F31145">
            <w:pPr>
              <w:pStyle w:val="82"/>
              <w:spacing w:line="480" w:lineRule="exact"/>
              <w:ind w:firstLine="520"/>
              <w:rPr>
                <w:color w:val="auto"/>
                <w:szCs w:val="26"/>
              </w:rPr>
            </w:pPr>
            <w:r>
              <w:rPr>
                <w:color w:val="auto"/>
                <w:szCs w:val="26"/>
              </w:rPr>
              <w:t>4）温舱测试</w:t>
            </w:r>
          </w:p>
          <w:p w14:paraId="263E13E3">
            <w:pPr>
              <w:pStyle w:val="82"/>
              <w:spacing w:line="480" w:lineRule="exact"/>
              <w:ind w:firstLine="520"/>
              <w:rPr>
                <w:color w:val="auto"/>
                <w:szCs w:val="26"/>
              </w:rPr>
            </w:pPr>
            <w:r>
              <w:rPr>
                <w:color w:val="auto"/>
                <w:szCs w:val="26"/>
              </w:rPr>
              <w:t>在带温舱的测试台架上模拟不同温湿度条件下的动力性检测，测量多工况能耗等，研究汽车的动力性、经济性、舒适性和操纵稳定性等性能。</w:t>
            </w:r>
          </w:p>
          <w:p w14:paraId="75F95393">
            <w:pPr>
              <w:pStyle w:val="82"/>
              <w:spacing w:line="480" w:lineRule="exact"/>
              <w:ind w:firstLine="520"/>
              <w:rPr>
                <w:color w:val="auto"/>
                <w:szCs w:val="26"/>
              </w:rPr>
            </w:pPr>
            <w:r>
              <w:rPr>
                <w:color w:val="auto"/>
                <w:szCs w:val="26"/>
              </w:rPr>
              <w:t>环境舱温度调节大致范围-40℃~+120℃（活塞压缩机水冷，循环水量250m3/h，采用制冷剂制冷；</w:t>
            </w:r>
            <w:r>
              <w:rPr>
                <w:color w:val="auto"/>
                <w:szCs w:val="26"/>
                <w:lang w:eastAsia="zh-Hans"/>
              </w:rPr>
              <w:t>导热油升温加热</w:t>
            </w:r>
            <w:r>
              <w:rPr>
                <w:color w:val="auto"/>
                <w:szCs w:val="26"/>
              </w:rPr>
              <w:t>），湿度范围20%~90%。设定好环境舱的温湿度值后，环境舱的制冷/加热系统、加湿/除湿系统开始工作，直至舱内温湿度达到设定值，环境舱会自动维持设定的舱内环境条件。压缩机使用期间定期保养，将产生废机油，正常运行状态下无含油废水产生；测试过程产生冷凝水。</w:t>
            </w:r>
          </w:p>
          <w:p w14:paraId="3AD0F3A7">
            <w:pPr>
              <w:pStyle w:val="82"/>
              <w:spacing w:line="480" w:lineRule="exact"/>
              <w:ind w:firstLine="520"/>
              <w:rPr>
                <w:color w:val="auto"/>
                <w:szCs w:val="26"/>
              </w:rPr>
            </w:pPr>
            <w:r>
              <w:rPr>
                <w:color w:val="auto"/>
                <w:szCs w:val="26"/>
              </w:rPr>
              <w:t>（3）外观检测/包装</w:t>
            </w:r>
          </w:p>
          <w:p w14:paraId="2914652C">
            <w:pPr>
              <w:pStyle w:val="82"/>
              <w:spacing w:line="480" w:lineRule="exact"/>
              <w:ind w:firstLine="520"/>
              <w:rPr>
                <w:color w:val="auto"/>
                <w:szCs w:val="26"/>
              </w:rPr>
            </w:pPr>
            <w:r>
              <w:rPr>
                <w:color w:val="auto"/>
                <w:szCs w:val="26"/>
              </w:rPr>
              <w:t>测试完成的产品进入外观检测/包装区，经该工位工人目检合格的产品进行包装入库。产品包装环节</w:t>
            </w:r>
            <w:r>
              <w:rPr>
                <w:color w:val="auto"/>
                <w:szCs w:val="26"/>
                <w:lang w:eastAsia="zh-Hans"/>
              </w:rPr>
              <w:t>不</w:t>
            </w:r>
            <w:r>
              <w:rPr>
                <w:color w:val="auto"/>
                <w:szCs w:val="26"/>
              </w:rPr>
              <w:t>使用胶，该环节</w:t>
            </w:r>
            <w:r>
              <w:rPr>
                <w:color w:val="auto"/>
                <w:szCs w:val="26"/>
                <w:lang w:eastAsia="zh-Hans"/>
              </w:rPr>
              <w:t>不产生</w:t>
            </w:r>
            <w:r>
              <w:rPr>
                <w:color w:val="auto"/>
                <w:szCs w:val="26"/>
              </w:rPr>
              <w:t>废气。</w:t>
            </w:r>
          </w:p>
          <w:p w14:paraId="4C55AB62">
            <w:pPr>
              <w:pStyle w:val="82"/>
              <w:spacing w:line="480" w:lineRule="exact"/>
              <w:ind w:firstLine="520"/>
              <w:rPr>
                <w:color w:val="auto"/>
                <w:szCs w:val="26"/>
              </w:rPr>
            </w:pPr>
            <w:r>
              <w:rPr>
                <w:color w:val="auto"/>
                <w:szCs w:val="26"/>
              </w:rPr>
              <w:t>上述测试</w:t>
            </w:r>
            <w:r>
              <w:rPr>
                <w:color w:val="auto"/>
                <w:szCs w:val="26"/>
                <w:lang w:eastAsia="zh-Hans"/>
              </w:rPr>
              <w:t>不涉及有机溶剂</w:t>
            </w:r>
            <w:r>
              <w:rPr>
                <w:color w:val="auto"/>
                <w:szCs w:val="26"/>
              </w:rPr>
              <w:t>，</w:t>
            </w:r>
            <w:r>
              <w:rPr>
                <w:color w:val="auto"/>
                <w:szCs w:val="26"/>
                <w:lang w:eastAsia="zh-Hans"/>
              </w:rPr>
              <w:t>不产生废气废水</w:t>
            </w:r>
            <w:r>
              <w:rPr>
                <w:color w:val="auto"/>
                <w:szCs w:val="26"/>
              </w:rPr>
              <w:t>。</w:t>
            </w:r>
          </w:p>
          <w:p w14:paraId="5F135E66">
            <w:pPr>
              <w:pStyle w:val="82"/>
              <w:spacing w:line="480" w:lineRule="exact"/>
              <w:ind w:firstLine="520"/>
              <w:rPr>
                <w:color w:val="auto"/>
                <w:szCs w:val="26"/>
              </w:rPr>
            </w:pPr>
            <w:r>
              <w:rPr>
                <w:color w:val="auto"/>
                <w:szCs w:val="26"/>
              </w:rPr>
              <w:t>（4）车间及工作台擦拭</w:t>
            </w:r>
          </w:p>
          <w:p w14:paraId="16011FD3">
            <w:pPr>
              <w:pStyle w:val="82"/>
              <w:spacing w:line="480" w:lineRule="exact"/>
              <w:ind w:firstLine="520"/>
              <w:rPr>
                <w:color w:val="auto"/>
                <w:szCs w:val="26"/>
              </w:rPr>
            </w:pPr>
            <w:r>
              <w:rPr>
                <w:color w:val="auto"/>
                <w:szCs w:val="26"/>
              </w:rPr>
              <w:t>工程生产车间采用拖布清洁，每日洗拖布1次，产生拖布清洗废水。</w:t>
            </w:r>
          </w:p>
          <w:p w14:paraId="3BEEFB06">
            <w:pPr>
              <w:pStyle w:val="82"/>
              <w:spacing w:line="480" w:lineRule="exact"/>
              <w:ind w:firstLine="520"/>
              <w:rPr>
                <w:color w:val="auto"/>
                <w:szCs w:val="26"/>
              </w:rPr>
            </w:pPr>
            <w:r>
              <w:rPr>
                <w:color w:val="auto"/>
                <w:szCs w:val="26"/>
              </w:rPr>
              <w:t>发动机生产车间非标工作台每天生产完后，立即用抹布擦拭干净，产生废抹布。</w:t>
            </w:r>
          </w:p>
          <w:p w14:paraId="31590C7F">
            <w:pPr>
              <w:pStyle w:val="82"/>
              <w:spacing w:line="480" w:lineRule="exact"/>
              <w:ind w:firstLine="520"/>
              <w:rPr>
                <w:color w:val="auto"/>
                <w:szCs w:val="26"/>
              </w:rPr>
            </w:pPr>
            <w:r>
              <w:rPr>
                <w:color w:val="auto"/>
                <w:szCs w:val="26"/>
              </w:rPr>
              <w:t>现有项目废气主要为食堂油烟，废水主要为生活污水、发动机检测环节氢气和氧气反应产生的水（车间地面清洁废水；固体废物包括零部件入厂后拆包装过程有废包装产生、沾染化学品的废包装桶/瓶、车间工作台擦拭产生的废抹布、设备维护产生的废机油和含油棉纱/手套、废防冻液、餐厨垃圾和生活垃圾；噪声主要为空压机、测试台架运行噪声。</w:t>
            </w:r>
          </w:p>
          <w:p w14:paraId="395F9D41">
            <w:pPr>
              <w:pStyle w:val="82"/>
              <w:spacing w:line="480" w:lineRule="exact"/>
              <w:ind w:firstLine="520"/>
              <w:rPr>
                <w:color w:val="auto"/>
                <w:szCs w:val="26"/>
              </w:rPr>
            </w:pPr>
            <w:r>
              <w:rPr>
                <w:color w:val="auto"/>
                <w:szCs w:val="26"/>
              </w:rPr>
              <w:t>（</w:t>
            </w:r>
            <w:r>
              <w:rPr>
                <w:rFonts w:hint="eastAsia"/>
                <w:color w:val="auto"/>
                <w:szCs w:val="26"/>
              </w:rPr>
              <w:t>5</w:t>
            </w:r>
            <w:r>
              <w:rPr>
                <w:color w:val="auto"/>
                <w:szCs w:val="26"/>
              </w:rPr>
              <w:t>）其他</w:t>
            </w:r>
          </w:p>
          <w:p w14:paraId="35BF766E">
            <w:pPr>
              <w:pStyle w:val="82"/>
              <w:spacing w:line="480" w:lineRule="exact"/>
              <w:ind w:firstLine="520"/>
              <w:rPr>
                <w:color w:val="auto"/>
                <w:szCs w:val="26"/>
              </w:rPr>
            </w:pPr>
            <w:r>
              <w:rPr>
                <w:color w:val="auto"/>
                <w:szCs w:val="26"/>
              </w:rPr>
              <w:t>含油空压机产生的含油废水经过滤媒介袋油水分离，产生危险废物含油过滤袋，密闭桶装收集，存放于</w:t>
            </w:r>
            <w:r>
              <w:rPr>
                <w:rFonts w:hint="eastAsia"/>
                <w:color w:val="auto"/>
                <w:szCs w:val="26"/>
                <w:lang w:eastAsia="zh-CN"/>
              </w:rPr>
              <w:t>危废贮存库</w:t>
            </w:r>
            <w:r>
              <w:rPr>
                <w:color w:val="auto"/>
                <w:szCs w:val="26"/>
              </w:rPr>
              <w:t>。</w:t>
            </w:r>
          </w:p>
          <w:p w14:paraId="4AFA4669">
            <w:pPr>
              <w:pStyle w:val="82"/>
              <w:spacing w:line="240" w:lineRule="auto"/>
              <w:ind w:left="0" w:leftChars="0" w:firstLine="0" w:firstLineChars="0"/>
              <w:jc w:val="center"/>
              <w:rPr>
                <w:color w:val="auto"/>
                <w:szCs w:val="26"/>
              </w:rPr>
            </w:pPr>
            <w:r>
              <w:rPr>
                <w:color w:val="auto"/>
                <w:szCs w:val="26"/>
              </w:rPr>
              <w:drawing>
                <wp:inline distT="0" distB="0" distL="114300" distR="114300">
                  <wp:extent cx="3756025" cy="3522345"/>
                  <wp:effectExtent l="0" t="0" r="15875" b="1905"/>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12"/>
                          <a:stretch>
                            <a:fillRect/>
                          </a:stretch>
                        </pic:blipFill>
                        <pic:spPr>
                          <a:xfrm>
                            <a:off x="0" y="0"/>
                            <a:ext cx="3756025" cy="3522345"/>
                          </a:xfrm>
                          <a:prstGeom prst="rect">
                            <a:avLst/>
                          </a:prstGeom>
                        </pic:spPr>
                      </pic:pic>
                    </a:graphicData>
                  </a:graphic>
                </wp:inline>
              </w:drawing>
            </w:r>
          </w:p>
          <w:p w14:paraId="7FC6DCBE">
            <w:pPr>
              <w:pStyle w:val="142"/>
              <w:spacing w:line="360" w:lineRule="auto"/>
              <w:rPr>
                <w:color w:val="auto"/>
                <w:sz w:val="24"/>
              </w:rPr>
            </w:pPr>
            <w:r>
              <w:rPr>
                <w:color w:val="auto"/>
                <w:sz w:val="26"/>
                <w:szCs w:val="26"/>
              </w:rPr>
              <w:t>图2.1</w:t>
            </w:r>
            <w:r>
              <w:rPr>
                <w:rFonts w:hint="eastAsia"/>
                <w:color w:val="auto"/>
                <w:sz w:val="26"/>
                <w:szCs w:val="26"/>
              </w:rPr>
              <w:t>3</w:t>
            </w:r>
            <w:r>
              <w:rPr>
                <w:color w:val="auto"/>
                <w:sz w:val="26"/>
                <w:szCs w:val="26"/>
              </w:rPr>
              <w:t>-</w:t>
            </w:r>
            <w:r>
              <w:rPr>
                <w:rFonts w:hint="eastAsia"/>
                <w:color w:val="auto"/>
                <w:sz w:val="26"/>
                <w:szCs w:val="26"/>
              </w:rPr>
              <w:t>1</w:t>
            </w:r>
            <w:r>
              <w:rPr>
                <w:rFonts w:hint="eastAsia"/>
                <w:bCs/>
                <w:color w:val="auto"/>
                <w:sz w:val="26"/>
                <w:szCs w:val="72"/>
              </w:rPr>
              <w:t>氢动力系统</w:t>
            </w:r>
            <w:r>
              <w:rPr>
                <w:bCs/>
                <w:color w:val="auto"/>
                <w:sz w:val="26"/>
                <w:szCs w:val="72"/>
              </w:rPr>
              <w:t>生产工艺及产排污环节</w:t>
            </w:r>
            <w:r>
              <w:rPr>
                <w:color w:val="auto"/>
                <w:sz w:val="26"/>
                <w:szCs w:val="26"/>
              </w:rPr>
              <w:t>图</w:t>
            </w:r>
          </w:p>
          <w:p w14:paraId="396675E7">
            <w:pPr>
              <w:pStyle w:val="82"/>
              <w:spacing w:line="480" w:lineRule="exact"/>
              <w:ind w:firstLine="520"/>
              <w:rPr>
                <w:color w:val="auto"/>
                <w:szCs w:val="26"/>
              </w:rPr>
            </w:pPr>
            <w:r>
              <w:rPr>
                <w:color w:val="auto"/>
                <w:szCs w:val="26"/>
              </w:rPr>
              <w:t>2.1</w:t>
            </w:r>
            <w:r>
              <w:rPr>
                <w:rFonts w:hint="eastAsia"/>
                <w:color w:val="auto"/>
                <w:szCs w:val="26"/>
              </w:rPr>
              <w:t>3.5</w:t>
            </w:r>
            <w:r>
              <w:rPr>
                <w:color w:val="auto"/>
                <w:szCs w:val="26"/>
              </w:rPr>
              <w:t>.</w:t>
            </w:r>
            <w:r>
              <w:rPr>
                <w:rFonts w:hint="eastAsia"/>
                <w:color w:val="auto"/>
                <w:szCs w:val="26"/>
              </w:rPr>
              <w:t>2</w:t>
            </w:r>
            <w:r>
              <w:rPr>
                <w:color w:val="auto"/>
                <w:szCs w:val="26"/>
              </w:rPr>
              <w:t>电驱桥装配和测试线生产工艺</w:t>
            </w:r>
          </w:p>
          <w:p w14:paraId="1820A749">
            <w:pPr>
              <w:pStyle w:val="82"/>
              <w:numPr>
                <w:ilvl w:val="0"/>
                <w:numId w:val="7"/>
              </w:numPr>
              <w:spacing w:line="480" w:lineRule="exact"/>
              <w:ind w:firstLine="520"/>
              <w:rPr>
                <w:color w:val="auto"/>
                <w:szCs w:val="26"/>
              </w:rPr>
            </w:pPr>
            <w:r>
              <w:rPr>
                <w:color w:val="auto"/>
                <w:szCs w:val="26"/>
              </w:rPr>
              <w:t>电机装配及泄漏测试</w:t>
            </w:r>
          </w:p>
          <w:p w14:paraId="141FCCBB">
            <w:pPr>
              <w:pStyle w:val="82"/>
              <w:spacing w:line="480" w:lineRule="exact"/>
              <w:ind w:firstLine="520"/>
              <w:rPr>
                <w:color w:val="auto"/>
                <w:szCs w:val="26"/>
              </w:rPr>
            </w:pPr>
            <w:r>
              <w:rPr>
                <w:color w:val="auto"/>
                <w:szCs w:val="26"/>
              </w:rPr>
              <w:t>用平衡吊将电机吊至工作台，并安装水路和油路的密封圈；然后将电机压装入变速箱，</w:t>
            </w:r>
            <w:r>
              <w:rPr>
                <w:rFonts w:hint="eastAsia"/>
                <w:color w:val="auto"/>
                <w:szCs w:val="26"/>
              </w:rPr>
              <w:t>利用激光打标机对变速箱进行蚀刻打标，</w:t>
            </w:r>
            <w:r>
              <w:rPr>
                <w:color w:val="auto"/>
                <w:szCs w:val="26"/>
              </w:rPr>
              <w:t>并进行电机高压线束和冷却系统的安装；安装完成后进行电机的气密检测和电检测。测试合格进入下一步，不合格则返修。产生废包装、废零部件S1</w:t>
            </w:r>
            <w:r>
              <w:rPr>
                <w:rFonts w:hint="eastAsia"/>
                <w:color w:val="auto"/>
                <w:szCs w:val="26"/>
              </w:rPr>
              <w:t>，蚀刻打标产生废气颗粒物G1。</w:t>
            </w:r>
          </w:p>
          <w:p w14:paraId="1EC001A5">
            <w:pPr>
              <w:pStyle w:val="82"/>
              <w:numPr>
                <w:ilvl w:val="0"/>
                <w:numId w:val="7"/>
              </w:numPr>
              <w:spacing w:line="480" w:lineRule="exact"/>
              <w:ind w:firstLine="520"/>
              <w:rPr>
                <w:color w:val="auto"/>
                <w:szCs w:val="26"/>
              </w:rPr>
            </w:pPr>
            <w:r>
              <w:rPr>
                <w:color w:val="auto"/>
                <w:szCs w:val="26"/>
              </w:rPr>
              <w:t>变速箱组件及桥腿安装</w:t>
            </w:r>
          </w:p>
          <w:p w14:paraId="44DD6243">
            <w:pPr>
              <w:pStyle w:val="82"/>
              <w:spacing w:line="480" w:lineRule="exact"/>
              <w:ind w:firstLine="520"/>
              <w:rPr>
                <w:color w:val="auto"/>
                <w:szCs w:val="26"/>
              </w:rPr>
            </w:pPr>
            <w:r>
              <w:rPr>
                <w:color w:val="auto"/>
                <w:szCs w:val="26"/>
              </w:rPr>
              <w:t>人工完成减速箱和桥腿的预装；在助力臂拧紧枪的帮助下，完成桥腿和推力杆座的装配。安装合格进入下一步，不合格则返回上一步进行维修。</w:t>
            </w:r>
          </w:p>
          <w:p w14:paraId="6326B549">
            <w:pPr>
              <w:pStyle w:val="82"/>
              <w:numPr>
                <w:ilvl w:val="0"/>
                <w:numId w:val="7"/>
              </w:numPr>
              <w:spacing w:line="480" w:lineRule="exact"/>
              <w:ind w:firstLine="520"/>
              <w:rPr>
                <w:color w:val="auto"/>
                <w:szCs w:val="26"/>
              </w:rPr>
            </w:pPr>
            <w:r>
              <w:rPr>
                <w:color w:val="auto"/>
                <w:szCs w:val="26"/>
              </w:rPr>
              <w:t>系统泄漏测试及线束装配</w:t>
            </w:r>
          </w:p>
          <w:p w14:paraId="62E0C87C">
            <w:pPr>
              <w:pStyle w:val="82"/>
              <w:spacing w:line="480" w:lineRule="exact"/>
              <w:ind w:firstLine="520"/>
              <w:rPr>
                <w:color w:val="auto"/>
                <w:szCs w:val="26"/>
              </w:rPr>
            </w:pPr>
            <w:r>
              <w:rPr>
                <w:color w:val="auto"/>
                <w:szCs w:val="26"/>
              </w:rPr>
              <w:t>安装外围组件，使用压缩空气对整桥进行气密检测，安装低压线束，装配完成。测试和装配合格进入下一步，不合格则返回上一步进行维修。</w:t>
            </w:r>
          </w:p>
          <w:p w14:paraId="2BC5BDCA">
            <w:pPr>
              <w:pStyle w:val="82"/>
              <w:numPr>
                <w:ilvl w:val="0"/>
                <w:numId w:val="7"/>
              </w:numPr>
              <w:spacing w:line="480" w:lineRule="exact"/>
              <w:ind w:firstLine="520"/>
              <w:rPr>
                <w:color w:val="auto"/>
                <w:szCs w:val="26"/>
              </w:rPr>
            </w:pPr>
            <w:r>
              <w:rPr>
                <w:color w:val="auto"/>
                <w:szCs w:val="26"/>
              </w:rPr>
              <w:t>下线测试</w:t>
            </w:r>
          </w:p>
          <w:p w14:paraId="321CAFD8">
            <w:pPr>
              <w:pStyle w:val="82"/>
              <w:spacing w:line="480" w:lineRule="exact"/>
              <w:ind w:firstLine="520"/>
              <w:rPr>
                <w:color w:val="auto"/>
                <w:szCs w:val="26"/>
              </w:rPr>
            </w:pPr>
            <w:r>
              <w:rPr>
                <w:color w:val="auto"/>
                <w:szCs w:val="26"/>
              </w:rPr>
              <w:t>产品下线进行测试，在测试台完成功能、效率以及振动和噪声（NVH）的检测，测试过程使用变速箱油、电机润滑油和防冻液。测试合格进入下一步，不合格则返回上一步进行维修。该流程产生废机油（S9)、废防冻液（S13）。</w:t>
            </w:r>
          </w:p>
          <w:p w14:paraId="5E2A4FB5">
            <w:pPr>
              <w:pStyle w:val="82"/>
              <w:numPr>
                <w:ilvl w:val="0"/>
                <w:numId w:val="7"/>
              </w:numPr>
              <w:spacing w:line="460" w:lineRule="exact"/>
              <w:ind w:firstLine="520"/>
              <w:rPr>
                <w:color w:val="auto"/>
                <w:szCs w:val="26"/>
              </w:rPr>
            </w:pPr>
            <w:r>
              <w:rPr>
                <w:color w:val="auto"/>
                <w:szCs w:val="26"/>
              </w:rPr>
              <w:t>测试工装拆解</w:t>
            </w:r>
          </w:p>
          <w:p w14:paraId="16D5F15E">
            <w:pPr>
              <w:pStyle w:val="82"/>
              <w:spacing w:line="460" w:lineRule="exact"/>
              <w:ind w:firstLine="520"/>
              <w:rPr>
                <w:color w:val="auto"/>
                <w:szCs w:val="26"/>
              </w:rPr>
            </w:pPr>
            <w:r>
              <w:rPr>
                <w:color w:val="auto"/>
                <w:szCs w:val="26"/>
              </w:rPr>
              <w:t>测试完成后拆解测试工装，并吊装零件下线，安装支架等剩余部件。拆解安装合格进入下一步，不合格则返回上一步进行维修。</w:t>
            </w:r>
          </w:p>
          <w:p w14:paraId="613DC5A8">
            <w:pPr>
              <w:pStyle w:val="82"/>
              <w:numPr>
                <w:ilvl w:val="0"/>
                <w:numId w:val="7"/>
              </w:numPr>
              <w:spacing w:line="460" w:lineRule="exact"/>
              <w:ind w:firstLine="520"/>
              <w:rPr>
                <w:color w:val="auto"/>
                <w:szCs w:val="26"/>
              </w:rPr>
            </w:pPr>
            <w:r>
              <w:rPr>
                <w:color w:val="auto"/>
                <w:szCs w:val="26"/>
              </w:rPr>
              <w:t>外观检测/包装</w:t>
            </w:r>
          </w:p>
          <w:p w14:paraId="0890363C">
            <w:pPr>
              <w:pStyle w:val="82"/>
              <w:spacing w:line="460" w:lineRule="exact"/>
              <w:ind w:firstLine="520"/>
              <w:rPr>
                <w:color w:val="auto"/>
                <w:szCs w:val="26"/>
              </w:rPr>
            </w:pPr>
            <w:r>
              <w:rPr>
                <w:color w:val="auto"/>
                <w:szCs w:val="26"/>
              </w:rPr>
              <w:t>测试完成的产品进入外观检测/包装区，</w:t>
            </w:r>
            <w:r>
              <w:rPr>
                <w:rFonts w:hint="eastAsia"/>
                <w:color w:val="auto"/>
                <w:szCs w:val="26"/>
              </w:rPr>
              <w:t>人工用记号笔打点标识</w:t>
            </w:r>
            <w:r>
              <w:rPr>
                <w:color w:val="auto"/>
                <w:szCs w:val="26"/>
              </w:rPr>
              <w:t>，根据标记位置确认螺栓是否松动，经该工位工人目检合格的产品进行包装并由AGV运输至成品区。检测合格进入下一步，不合格则返回上一步进行维修。废包装、废零部件S1。</w:t>
            </w:r>
          </w:p>
          <w:p w14:paraId="4E5EF650">
            <w:pPr>
              <w:pStyle w:val="82"/>
              <w:spacing w:line="460" w:lineRule="exact"/>
              <w:ind w:left="420" w:leftChars="200" w:firstLine="0" w:firstLineChars="0"/>
              <w:rPr>
                <w:color w:val="auto"/>
                <w:szCs w:val="26"/>
              </w:rPr>
            </w:pPr>
            <w:r>
              <w:rPr>
                <w:rFonts w:hint="eastAsia"/>
                <w:color w:val="auto"/>
                <w:szCs w:val="26"/>
              </w:rPr>
              <w:t>（7）</w:t>
            </w:r>
            <w:r>
              <w:rPr>
                <w:color w:val="auto"/>
                <w:szCs w:val="26"/>
              </w:rPr>
              <w:t>车间及工作台擦拭</w:t>
            </w:r>
          </w:p>
          <w:p w14:paraId="40C1A1BD">
            <w:pPr>
              <w:pStyle w:val="82"/>
              <w:spacing w:line="460" w:lineRule="exact"/>
              <w:ind w:firstLine="520"/>
              <w:rPr>
                <w:color w:val="auto"/>
                <w:szCs w:val="26"/>
              </w:rPr>
            </w:pPr>
            <w:r>
              <w:rPr>
                <w:color w:val="auto"/>
                <w:szCs w:val="26"/>
              </w:rPr>
              <w:t>工作台清洁过程中，立即用抹布擦拭干净。</w:t>
            </w:r>
          </w:p>
          <w:p w14:paraId="10B09394">
            <w:pPr>
              <w:pStyle w:val="82"/>
              <w:spacing w:line="460" w:lineRule="exact"/>
              <w:ind w:left="420" w:leftChars="200" w:firstLine="0" w:firstLineChars="0"/>
              <w:rPr>
                <w:color w:val="auto"/>
                <w:szCs w:val="26"/>
              </w:rPr>
            </w:pPr>
            <w:r>
              <w:rPr>
                <w:rFonts w:hint="eastAsia"/>
                <w:color w:val="auto"/>
                <w:szCs w:val="26"/>
              </w:rPr>
              <w:t>（8）设备维修</w:t>
            </w:r>
          </w:p>
          <w:p w14:paraId="3CC7FD9E">
            <w:pPr>
              <w:pStyle w:val="82"/>
              <w:spacing w:line="460" w:lineRule="exact"/>
              <w:ind w:firstLine="520"/>
              <w:rPr>
                <w:color w:val="auto"/>
                <w:szCs w:val="26"/>
              </w:rPr>
            </w:pPr>
            <w:r>
              <w:rPr>
                <w:rFonts w:hint="eastAsia"/>
                <w:color w:val="auto"/>
                <w:szCs w:val="26"/>
              </w:rPr>
              <w:t>人工操作</w:t>
            </w:r>
            <w:r>
              <w:rPr>
                <w:color w:val="auto"/>
                <w:szCs w:val="26"/>
              </w:rPr>
              <w:t>拆焊台</w:t>
            </w:r>
            <w:r>
              <w:rPr>
                <w:rFonts w:hint="eastAsia"/>
                <w:color w:val="auto"/>
                <w:szCs w:val="26"/>
              </w:rPr>
              <w:t>（手持电烙铁），将锡丝熔化，实现金属部件的连接、拆解，主要用于</w:t>
            </w:r>
            <w:r>
              <w:rPr>
                <w:color w:val="auto"/>
                <w:szCs w:val="26"/>
              </w:rPr>
              <w:t>电阻仪工装探针损坏时，更换探针</w:t>
            </w:r>
            <w:r>
              <w:rPr>
                <w:rFonts w:hint="eastAsia"/>
                <w:color w:val="auto"/>
                <w:szCs w:val="26"/>
              </w:rPr>
              <w:t>，以及燃料电池台架电压线束焊接维修及失效分析焊接电路板使用。由于用量与频次不固定，且锡丝使用量较小，仅600g/a，因为不核算该过程产排污。</w:t>
            </w:r>
          </w:p>
          <w:p w14:paraId="59450FDE">
            <w:pPr>
              <w:pStyle w:val="82"/>
              <w:spacing w:line="460" w:lineRule="exact"/>
              <w:ind w:firstLine="520"/>
              <w:rPr>
                <w:color w:val="auto"/>
                <w:szCs w:val="26"/>
              </w:rPr>
            </w:pPr>
            <w:r>
              <w:rPr>
                <w:color w:val="auto"/>
                <w:szCs w:val="26"/>
              </w:rPr>
              <w:t>项目主要生产工艺流程详见下图：</w:t>
            </w:r>
          </w:p>
          <w:p w14:paraId="6AFD7183">
            <w:pPr>
              <w:pStyle w:val="136"/>
              <w:spacing w:line="360" w:lineRule="auto"/>
              <w:ind w:firstLine="520"/>
              <w:rPr>
                <w:rFonts w:hint="eastAsia" w:eastAsia="宋体"/>
                <w:color w:val="auto"/>
                <w:sz w:val="26"/>
                <w:szCs w:val="26"/>
                <w:lang w:eastAsia="zh-CN"/>
              </w:rPr>
            </w:pPr>
            <w:r>
              <w:rPr>
                <w:rFonts w:hint="eastAsia" w:eastAsia="宋体"/>
                <w:color w:val="auto"/>
                <w:sz w:val="26"/>
                <w:szCs w:val="26"/>
                <w:lang w:eastAsia="zh-CN"/>
              </w:rPr>
              <w:drawing>
                <wp:inline distT="0" distB="0" distL="114300" distR="114300">
                  <wp:extent cx="4162425" cy="5572125"/>
                  <wp:effectExtent l="0" t="0" r="9525" b="952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3"/>
                          <a:stretch>
                            <a:fillRect/>
                          </a:stretch>
                        </pic:blipFill>
                        <pic:spPr>
                          <a:xfrm>
                            <a:off x="0" y="0"/>
                            <a:ext cx="4162425" cy="5572125"/>
                          </a:xfrm>
                          <a:prstGeom prst="rect">
                            <a:avLst/>
                          </a:prstGeom>
                        </pic:spPr>
                      </pic:pic>
                    </a:graphicData>
                  </a:graphic>
                </wp:inline>
              </w:drawing>
            </w:r>
          </w:p>
          <w:p w14:paraId="666F2581">
            <w:pPr>
              <w:pStyle w:val="142"/>
              <w:spacing w:line="360" w:lineRule="auto"/>
              <w:rPr>
                <w:color w:val="auto"/>
                <w:sz w:val="24"/>
              </w:rPr>
            </w:pPr>
            <w:r>
              <w:rPr>
                <w:color w:val="auto"/>
                <w:sz w:val="26"/>
                <w:szCs w:val="26"/>
              </w:rPr>
              <w:t>图2.1</w:t>
            </w:r>
            <w:r>
              <w:rPr>
                <w:rFonts w:hint="eastAsia"/>
                <w:color w:val="auto"/>
                <w:sz w:val="26"/>
                <w:szCs w:val="26"/>
              </w:rPr>
              <w:t>3</w:t>
            </w:r>
            <w:r>
              <w:rPr>
                <w:color w:val="auto"/>
                <w:sz w:val="26"/>
                <w:szCs w:val="26"/>
              </w:rPr>
              <w:t>-</w:t>
            </w:r>
            <w:r>
              <w:rPr>
                <w:rFonts w:hint="eastAsia"/>
                <w:color w:val="auto"/>
                <w:sz w:val="26"/>
                <w:szCs w:val="26"/>
              </w:rPr>
              <w:t>2</w:t>
            </w:r>
            <w:r>
              <w:rPr>
                <w:bCs/>
                <w:color w:val="auto"/>
                <w:sz w:val="26"/>
                <w:szCs w:val="72"/>
              </w:rPr>
              <w:t>电驱桥装配和测试线生产工艺及产排污环节</w:t>
            </w:r>
            <w:r>
              <w:rPr>
                <w:color w:val="auto"/>
                <w:sz w:val="26"/>
                <w:szCs w:val="26"/>
              </w:rPr>
              <w:t>图</w:t>
            </w:r>
          </w:p>
          <w:p w14:paraId="5289C451">
            <w:pPr>
              <w:pStyle w:val="82"/>
              <w:spacing w:line="480" w:lineRule="exact"/>
              <w:ind w:firstLine="520"/>
              <w:rPr>
                <w:color w:val="auto"/>
              </w:rPr>
            </w:pPr>
            <w:r>
              <w:rPr>
                <w:color w:val="auto"/>
              </w:rPr>
              <w:t>2.1</w:t>
            </w:r>
            <w:r>
              <w:rPr>
                <w:rFonts w:hint="eastAsia"/>
                <w:color w:val="auto"/>
              </w:rPr>
              <w:t>3</w:t>
            </w:r>
            <w:r>
              <w:rPr>
                <w:color w:val="auto"/>
              </w:rPr>
              <w:t>.</w:t>
            </w:r>
            <w:r>
              <w:rPr>
                <w:rFonts w:hint="eastAsia"/>
                <w:color w:val="auto"/>
              </w:rPr>
              <w:t>5</w:t>
            </w:r>
            <w:r>
              <w:rPr>
                <w:color w:val="auto"/>
              </w:rPr>
              <w:t>.</w:t>
            </w:r>
            <w:r>
              <w:rPr>
                <w:rFonts w:hint="eastAsia"/>
                <w:color w:val="auto"/>
              </w:rPr>
              <w:t>3</w:t>
            </w:r>
            <w:r>
              <w:rPr>
                <w:color w:val="auto"/>
              </w:rPr>
              <w:t>车辆加氢工艺流程</w:t>
            </w:r>
          </w:p>
          <w:p w14:paraId="50A11AB3">
            <w:pPr>
              <w:pStyle w:val="82"/>
              <w:numPr>
                <w:ilvl w:val="0"/>
                <w:numId w:val="0"/>
              </w:numPr>
              <w:spacing w:line="480" w:lineRule="exact"/>
              <w:ind w:firstLine="520" w:firstLineChars="200"/>
              <w:rPr>
                <w:color w:val="auto"/>
              </w:rPr>
            </w:pPr>
            <w:r>
              <w:rPr>
                <w:rFonts w:ascii="Times New Roman" w:hAnsi="Times New Roman" w:eastAsia="宋体" w:cs="Times New Roman"/>
                <w:bCs/>
                <w:color w:val="auto"/>
                <w:kern w:val="2"/>
                <w:sz w:val="26"/>
                <w:szCs w:val="72"/>
                <w:lang w:val="en-US" w:eastAsia="zh-CN" w:bidi="ar-SA"/>
              </w:rPr>
              <w:t>（1）</w:t>
            </w:r>
            <w:r>
              <w:rPr>
                <w:color w:val="auto"/>
              </w:rPr>
              <w:t>卸车流程</w:t>
            </w:r>
          </w:p>
          <w:p w14:paraId="0B3D2813">
            <w:pPr>
              <w:spacing w:line="500" w:lineRule="exact"/>
              <w:ind w:firstLine="480"/>
              <w:rPr>
                <w:bCs/>
                <w:color w:val="auto"/>
                <w:sz w:val="26"/>
                <w:szCs w:val="26"/>
              </w:rPr>
            </w:pPr>
            <w:r>
              <w:rPr>
                <w:bCs/>
                <w:color w:val="auto"/>
                <w:sz w:val="26"/>
                <w:szCs w:val="26"/>
              </w:rPr>
              <w:t>氢气管束槽车将氢气运至加氢站，通过卸氢柱将氢气通过管道卸入储氢瓶组内同时进行计量。</w:t>
            </w:r>
          </w:p>
          <w:p w14:paraId="7230E082">
            <w:pPr>
              <w:pStyle w:val="82"/>
              <w:numPr>
                <w:ilvl w:val="0"/>
                <w:numId w:val="0"/>
              </w:numPr>
              <w:spacing w:line="480" w:lineRule="exact"/>
              <w:ind w:firstLine="520" w:firstLineChars="200"/>
              <w:rPr>
                <w:color w:val="auto"/>
                <w:szCs w:val="24"/>
              </w:rPr>
            </w:pPr>
            <w:r>
              <w:rPr>
                <w:rFonts w:ascii="Times New Roman" w:hAnsi="Times New Roman" w:eastAsia="宋体" w:cs="Times New Roman"/>
                <w:bCs/>
                <w:color w:val="auto"/>
                <w:kern w:val="2"/>
                <w:sz w:val="26"/>
                <w:szCs w:val="24"/>
                <w:lang w:val="en-US" w:eastAsia="zh-CN" w:bidi="ar-SA"/>
              </w:rPr>
              <w:t>（2）</w:t>
            </w:r>
            <w:r>
              <w:rPr>
                <w:color w:val="auto"/>
              </w:rPr>
              <w:t>增压流程</w:t>
            </w:r>
          </w:p>
          <w:p w14:paraId="54606F2E">
            <w:pPr>
              <w:spacing w:line="500" w:lineRule="exact"/>
              <w:ind w:firstLine="480"/>
              <w:rPr>
                <w:bCs/>
                <w:color w:val="auto"/>
                <w:sz w:val="26"/>
                <w:szCs w:val="26"/>
              </w:rPr>
            </w:pPr>
            <w:r>
              <w:rPr>
                <w:bCs/>
                <w:color w:val="auto"/>
                <w:sz w:val="26"/>
                <w:szCs w:val="26"/>
              </w:rPr>
              <w:t>氢气管束槽车将氢气运至加氢站，通过卸氢柱将氢气注入压缩机同时进行计量，压缩机把氢气加压后，通过顺序控制盘以此充装至高、中压两组储氢瓶组内。</w:t>
            </w:r>
          </w:p>
          <w:p w14:paraId="7C5C814C">
            <w:pPr>
              <w:pStyle w:val="82"/>
              <w:numPr>
                <w:ilvl w:val="0"/>
                <w:numId w:val="0"/>
              </w:numPr>
              <w:spacing w:line="480" w:lineRule="exact"/>
              <w:ind w:firstLine="520" w:firstLineChars="200"/>
              <w:rPr>
                <w:color w:val="auto"/>
              </w:rPr>
            </w:pPr>
            <w:r>
              <w:rPr>
                <w:rFonts w:ascii="Times New Roman" w:hAnsi="Times New Roman" w:eastAsia="宋体" w:cs="Times New Roman"/>
                <w:bCs/>
                <w:color w:val="auto"/>
                <w:kern w:val="2"/>
                <w:sz w:val="26"/>
                <w:szCs w:val="72"/>
                <w:lang w:val="en-US" w:eastAsia="zh-CN" w:bidi="ar-SA"/>
              </w:rPr>
              <w:t>（3）</w:t>
            </w:r>
            <w:r>
              <w:rPr>
                <w:color w:val="auto"/>
              </w:rPr>
              <w:t>加氢流程</w:t>
            </w:r>
          </w:p>
          <w:p w14:paraId="42C9EBF5">
            <w:pPr>
              <w:spacing w:line="500" w:lineRule="exact"/>
              <w:ind w:firstLine="480"/>
              <w:rPr>
                <w:bCs/>
                <w:color w:val="auto"/>
                <w:sz w:val="26"/>
                <w:szCs w:val="26"/>
              </w:rPr>
            </w:pPr>
            <w:r>
              <w:rPr>
                <w:bCs/>
                <w:color w:val="auto"/>
                <w:sz w:val="26"/>
                <w:szCs w:val="26"/>
              </w:rPr>
              <w:t>给车辆加气时，先将专用的加氢枪与汽车上的气瓶加氢接口相连接，氢气从储氢瓶组内经过管道输送到加氢机中，通过加气计量后加注到车载氢气瓶，在加氢机面板上显示质量（或标方数）等。</w:t>
            </w:r>
          </w:p>
          <w:p w14:paraId="4D194FD3">
            <w:pPr>
              <w:pStyle w:val="82"/>
              <w:numPr>
                <w:ilvl w:val="0"/>
                <w:numId w:val="0"/>
              </w:numPr>
              <w:spacing w:line="480" w:lineRule="exact"/>
              <w:ind w:firstLine="520" w:firstLineChars="200"/>
              <w:rPr>
                <w:color w:val="auto"/>
              </w:rPr>
            </w:pPr>
            <w:r>
              <w:rPr>
                <w:rFonts w:ascii="Times New Roman" w:hAnsi="Times New Roman" w:eastAsia="宋体" w:cs="Times New Roman"/>
                <w:bCs/>
                <w:color w:val="auto"/>
                <w:kern w:val="2"/>
                <w:sz w:val="26"/>
                <w:szCs w:val="72"/>
                <w:lang w:val="en-US" w:eastAsia="zh-CN" w:bidi="ar-SA"/>
              </w:rPr>
              <w:t>（4）</w:t>
            </w:r>
            <w:r>
              <w:rPr>
                <w:color w:val="auto"/>
              </w:rPr>
              <w:t>吹扫流程</w:t>
            </w:r>
          </w:p>
          <w:p w14:paraId="39705BCD">
            <w:pPr>
              <w:spacing w:line="500" w:lineRule="exact"/>
              <w:ind w:firstLine="480"/>
              <w:rPr>
                <w:bCs/>
                <w:color w:val="auto"/>
                <w:sz w:val="26"/>
                <w:szCs w:val="26"/>
              </w:rPr>
            </w:pPr>
            <w:r>
              <w:rPr>
                <w:bCs/>
                <w:color w:val="auto"/>
                <w:sz w:val="26"/>
                <w:szCs w:val="26"/>
              </w:rPr>
              <w:t>氮气通过管道阀门进入加氢设备内，吹扫加氢设备内的残余杂质气体，保证氢气的纯净度。</w:t>
            </w:r>
          </w:p>
          <w:p w14:paraId="614BA72E">
            <w:pPr>
              <w:pStyle w:val="82"/>
              <w:numPr>
                <w:ilvl w:val="0"/>
                <w:numId w:val="0"/>
              </w:numPr>
              <w:spacing w:line="480" w:lineRule="exact"/>
              <w:ind w:firstLine="520" w:firstLineChars="200"/>
              <w:rPr>
                <w:color w:val="auto"/>
              </w:rPr>
            </w:pPr>
            <w:r>
              <w:rPr>
                <w:rFonts w:ascii="Times New Roman" w:hAnsi="Times New Roman" w:eastAsia="宋体" w:cs="Times New Roman"/>
                <w:bCs/>
                <w:color w:val="auto"/>
                <w:kern w:val="2"/>
                <w:sz w:val="26"/>
                <w:szCs w:val="72"/>
                <w:lang w:val="en-US" w:eastAsia="zh-CN" w:bidi="ar-SA"/>
              </w:rPr>
              <w:t>（5）</w:t>
            </w:r>
            <w:r>
              <w:rPr>
                <w:color w:val="auto"/>
              </w:rPr>
              <w:t>放散流程</w:t>
            </w:r>
          </w:p>
          <w:p w14:paraId="38A4CAE9">
            <w:pPr>
              <w:spacing w:line="500" w:lineRule="exact"/>
              <w:ind w:firstLine="480"/>
              <w:rPr>
                <w:bCs/>
                <w:color w:val="auto"/>
                <w:sz w:val="26"/>
                <w:szCs w:val="26"/>
              </w:rPr>
            </w:pPr>
            <w:r>
              <w:rPr>
                <w:bCs/>
                <w:color w:val="auto"/>
                <w:sz w:val="26"/>
                <w:szCs w:val="26"/>
              </w:rPr>
              <w:t>加氢设备内压力高于安全阀设定的整定压力时，安全阀自动开启，气体通过管路输出后汇集至集中放散管放散。</w:t>
            </w:r>
          </w:p>
          <w:p w14:paraId="280FE460">
            <w:pPr>
              <w:pStyle w:val="136"/>
              <w:ind w:firstLine="520"/>
              <w:jc w:val="center"/>
              <w:rPr>
                <w:bCs/>
                <w:color w:val="auto"/>
                <w:kern w:val="2"/>
                <w:sz w:val="26"/>
                <w:szCs w:val="26"/>
              </w:rPr>
            </w:pPr>
            <w:r>
              <w:rPr>
                <w:bCs/>
                <w:color w:val="auto"/>
                <w:kern w:val="2"/>
                <w:sz w:val="26"/>
                <w:szCs w:val="26"/>
              </w:rPr>
              <w:drawing>
                <wp:inline distT="0" distB="0" distL="114300" distR="114300">
                  <wp:extent cx="3191510" cy="6424930"/>
                  <wp:effectExtent l="0" t="0" r="8890" b="13970"/>
                  <wp:docPr id="13" name="图片 1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3"/>
                          <pic:cNvPicPr>
                            <a:picLocks noChangeAspect="1"/>
                          </pic:cNvPicPr>
                        </pic:nvPicPr>
                        <pic:blipFill>
                          <a:blip r:embed="rId14"/>
                          <a:stretch>
                            <a:fillRect/>
                          </a:stretch>
                        </pic:blipFill>
                        <pic:spPr>
                          <a:xfrm>
                            <a:off x="0" y="0"/>
                            <a:ext cx="3191510" cy="6424930"/>
                          </a:xfrm>
                          <a:prstGeom prst="rect">
                            <a:avLst/>
                          </a:prstGeom>
                        </pic:spPr>
                      </pic:pic>
                    </a:graphicData>
                  </a:graphic>
                </wp:inline>
              </w:drawing>
            </w:r>
          </w:p>
          <w:p w14:paraId="06BD27C0">
            <w:pPr>
              <w:pStyle w:val="136"/>
              <w:ind w:firstLine="520"/>
              <w:jc w:val="center"/>
              <w:rPr>
                <w:bCs/>
                <w:color w:val="auto"/>
                <w:kern w:val="2"/>
                <w:sz w:val="26"/>
                <w:szCs w:val="26"/>
              </w:rPr>
            </w:pPr>
            <w:r>
              <w:rPr>
                <w:bCs/>
                <w:color w:val="auto"/>
                <w:sz w:val="26"/>
                <w:szCs w:val="72"/>
              </w:rPr>
              <w:t>图2.1</w:t>
            </w:r>
            <w:r>
              <w:rPr>
                <w:rFonts w:hint="eastAsia"/>
                <w:bCs/>
                <w:color w:val="auto"/>
                <w:sz w:val="26"/>
                <w:szCs w:val="72"/>
              </w:rPr>
              <w:t>3</w:t>
            </w:r>
            <w:r>
              <w:rPr>
                <w:bCs/>
                <w:color w:val="auto"/>
                <w:sz w:val="26"/>
                <w:szCs w:val="72"/>
              </w:rPr>
              <w:t>-2加氢站工艺流程图</w:t>
            </w:r>
          </w:p>
          <w:p w14:paraId="29B37D8C">
            <w:pPr>
              <w:spacing w:line="460" w:lineRule="exact"/>
              <w:ind w:firstLine="522" w:firstLineChars="200"/>
              <w:rPr>
                <w:b/>
                <w:bCs/>
                <w:color w:val="auto"/>
                <w:sz w:val="26"/>
                <w:szCs w:val="26"/>
              </w:rPr>
            </w:pPr>
            <w:r>
              <w:rPr>
                <w:b/>
                <w:bCs/>
                <w:color w:val="auto"/>
                <w:sz w:val="26"/>
                <w:szCs w:val="26"/>
              </w:rPr>
              <w:t>2.1</w:t>
            </w:r>
            <w:r>
              <w:rPr>
                <w:rFonts w:hint="eastAsia"/>
                <w:b/>
                <w:bCs/>
                <w:color w:val="auto"/>
                <w:sz w:val="26"/>
                <w:szCs w:val="26"/>
              </w:rPr>
              <w:t>3</w:t>
            </w:r>
            <w:r>
              <w:rPr>
                <w:b/>
                <w:bCs/>
                <w:color w:val="auto"/>
                <w:sz w:val="26"/>
                <w:szCs w:val="26"/>
              </w:rPr>
              <w:t>.</w:t>
            </w:r>
            <w:r>
              <w:rPr>
                <w:rFonts w:hint="eastAsia"/>
                <w:b/>
                <w:bCs/>
                <w:color w:val="auto"/>
                <w:sz w:val="26"/>
                <w:szCs w:val="26"/>
              </w:rPr>
              <w:t>6</w:t>
            </w:r>
            <w:r>
              <w:rPr>
                <w:b/>
                <w:bCs/>
                <w:color w:val="auto"/>
                <w:sz w:val="26"/>
                <w:szCs w:val="26"/>
              </w:rPr>
              <w:t>现有项目污染物排放情况及采取的环保治理措施情况</w:t>
            </w:r>
          </w:p>
          <w:p w14:paraId="3C895591">
            <w:pPr>
              <w:pStyle w:val="82"/>
              <w:spacing w:line="460" w:lineRule="exact"/>
              <w:ind w:firstLine="520"/>
              <w:rPr>
                <w:rFonts w:hint="eastAsia" w:eastAsia="宋体"/>
                <w:color w:val="auto"/>
                <w:szCs w:val="26"/>
                <w:lang w:eastAsia="zh-CN"/>
              </w:rPr>
            </w:pPr>
            <w:r>
              <w:rPr>
                <w:color w:val="auto"/>
                <w:szCs w:val="26"/>
              </w:rPr>
              <w:t>2.1</w:t>
            </w:r>
            <w:r>
              <w:rPr>
                <w:rFonts w:hint="eastAsia"/>
                <w:color w:val="auto"/>
                <w:szCs w:val="26"/>
              </w:rPr>
              <w:t>3</w:t>
            </w:r>
            <w:r>
              <w:rPr>
                <w:color w:val="auto"/>
                <w:szCs w:val="26"/>
              </w:rPr>
              <w:t>.</w:t>
            </w:r>
            <w:r>
              <w:rPr>
                <w:rFonts w:hint="eastAsia"/>
                <w:color w:val="auto"/>
                <w:szCs w:val="26"/>
              </w:rPr>
              <w:t>6</w:t>
            </w:r>
            <w:r>
              <w:rPr>
                <w:color w:val="auto"/>
                <w:szCs w:val="26"/>
              </w:rPr>
              <w:t>.1氢燃料电池研发检测生产产线建设</w:t>
            </w:r>
            <w:r>
              <w:rPr>
                <w:rFonts w:hint="eastAsia"/>
                <w:color w:val="auto"/>
                <w:szCs w:val="26"/>
                <w:lang w:val="en-US" w:eastAsia="zh-CN"/>
              </w:rPr>
              <w:t>项目</w:t>
            </w:r>
          </w:p>
          <w:p w14:paraId="509DD0BC">
            <w:pPr>
              <w:pStyle w:val="82"/>
              <w:numPr>
                <w:ilvl w:val="0"/>
                <w:numId w:val="8"/>
              </w:numPr>
              <w:spacing w:line="480" w:lineRule="exact"/>
              <w:ind w:firstLine="520"/>
              <w:rPr>
                <w:color w:val="auto"/>
                <w:kern w:val="0"/>
                <w:szCs w:val="26"/>
              </w:rPr>
            </w:pPr>
            <w:r>
              <w:rPr>
                <w:rFonts w:hint="eastAsia"/>
                <w:color w:val="auto"/>
                <w:kern w:val="0"/>
                <w:szCs w:val="26"/>
                <w:lang w:val="en-US" w:eastAsia="zh-CN"/>
              </w:rPr>
              <w:t>废气</w:t>
            </w:r>
          </w:p>
          <w:p w14:paraId="2EF46C51">
            <w:pPr>
              <w:spacing w:line="500" w:lineRule="exact"/>
              <w:ind w:firstLine="480"/>
              <w:rPr>
                <w:bCs/>
                <w:color w:val="auto"/>
                <w:sz w:val="26"/>
                <w:szCs w:val="26"/>
              </w:rPr>
            </w:pPr>
            <w:r>
              <w:rPr>
                <w:rFonts w:hint="eastAsia"/>
                <w:bCs/>
                <w:color w:val="auto"/>
                <w:sz w:val="26"/>
                <w:szCs w:val="26"/>
              </w:rPr>
              <w:t>1）</w:t>
            </w:r>
            <w:r>
              <w:rPr>
                <w:bCs/>
                <w:color w:val="auto"/>
                <w:sz w:val="26"/>
                <w:szCs w:val="26"/>
              </w:rPr>
              <w:t>废气治理措施：</w:t>
            </w:r>
            <w:r>
              <w:rPr>
                <w:color w:val="auto"/>
                <w:sz w:val="26"/>
                <w:szCs w:val="26"/>
              </w:rPr>
              <w:t>氢燃料电池研发检测生产产线建设项目</w:t>
            </w:r>
            <w:r>
              <w:rPr>
                <w:rFonts w:hint="eastAsia"/>
                <w:bCs/>
                <w:color w:val="auto"/>
                <w:sz w:val="26"/>
                <w:szCs w:val="26"/>
              </w:rPr>
              <w:t>废气主要为</w:t>
            </w:r>
            <w:r>
              <w:rPr>
                <w:bCs/>
                <w:color w:val="auto"/>
                <w:sz w:val="26"/>
                <w:szCs w:val="26"/>
              </w:rPr>
              <w:t>食堂油烟</w:t>
            </w:r>
            <w:r>
              <w:rPr>
                <w:rFonts w:hint="eastAsia"/>
                <w:bCs/>
                <w:color w:val="auto"/>
                <w:sz w:val="26"/>
                <w:szCs w:val="26"/>
              </w:rPr>
              <w:t>，</w:t>
            </w:r>
            <w:r>
              <w:rPr>
                <w:bCs/>
                <w:color w:val="auto"/>
                <w:sz w:val="26"/>
                <w:szCs w:val="26"/>
              </w:rPr>
              <w:t>主要污染因子为油烟和非甲烷总烃，通过排油烟管道上至屋面机房，经过油烟净化器处理后经排气筒排放。</w:t>
            </w:r>
          </w:p>
          <w:p w14:paraId="2A2C4281">
            <w:pPr>
              <w:spacing w:line="500" w:lineRule="exact"/>
              <w:ind w:firstLine="480"/>
              <w:rPr>
                <w:rFonts w:hint="default" w:ascii="宋体" w:hAnsi="宋体" w:eastAsia="宋体" w:cs="宋体"/>
                <w:bCs/>
                <w:color w:val="auto"/>
                <w:sz w:val="26"/>
                <w:szCs w:val="26"/>
                <w:lang w:val="en-US" w:eastAsia="zh-CN"/>
              </w:rPr>
            </w:pPr>
            <w:r>
              <w:rPr>
                <w:rFonts w:hint="eastAsia"/>
                <w:bCs/>
                <w:color w:val="auto"/>
                <w:sz w:val="26"/>
                <w:szCs w:val="26"/>
              </w:rPr>
              <w:t>2）废气排放情况：</w:t>
            </w:r>
            <w:r>
              <w:rPr>
                <w:rFonts w:hint="eastAsia"/>
                <w:bCs/>
                <w:color w:val="auto"/>
                <w:sz w:val="26"/>
                <w:szCs w:val="26"/>
                <w:lang w:val="en-US" w:eastAsia="zh-CN"/>
              </w:rPr>
              <w:t>根据2024年企业自行监测报告，各废气污染源排放污染物监测数据详见下表。</w:t>
            </w:r>
            <w:r>
              <w:rPr>
                <w:rFonts w:eastAsia="宋体"/>
                <w:color w:val="auto"/>
                <w:sz w:val="26"/>
                <w:szCs w:val="26"/>
              </w:rPr>
              <w:t>油烟排放口</w:t>
            </w:r>
            <w:r>
              <w:rPr>
                <w:rFonts w:hint="eastAsia"/>
                <w:bCs/>
                <w:color w:val="auto"/>
                <w:sz w:val="26"/>
                <w:szCs w:val="26"/>
                <w:lang w:val="en-US" w:eastAsia="zh-CN"/>
              </w:rPr>
              <w:t>污染物排放浓度和排放速率满足《餐饮业大气污染物排放标准》（DB50/859-2018）表1标准限值；无组织废气排放监测结果满足《大气污染物综合排放标准》（DB50/418-2016）表1标准限值。本项目所涉及的排放口均为一般排放口，排污许可证上不核算污染物排放量。引用监测报告见附件5。</w:t>
            </w:r>
          </w:p>
          <w:p w14:paraId="0F8DFE0F">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rPr>
              <w:t>6</w:t>
            </w:r>
            <w:r>
              <w:rPr>
                <w:rFonts w:hint="eastAsia" w:eastAsia="宋体"/>
                <w:color w:val="auto"/>
                <w:sz w:val="26"/>
                <w:szCs w:val="26"/>
                <w:lang w:val="en-US" w:eastAsia="zh-CN"/>
              </w:rPr>
              <w:t xml:space="preserve">  </w:t>
            </w:r>
            <w:r>
              <w:rPr>
                <w:rFonts w:eastAsia="宋体"/>
                <w:color w:val="auto"/>
                <w:sz w:val="26"/>
                <w:szCs w:val="26"/>
              </w:rPr>
              <w:t>无组织废气监测结果一览表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2792"/>
              <w:gridCol w:w="1973"/>
              <w:gridCol w:w="1973"/>
            </w:tblGrid>
            <w:tr w14:paraId="0A50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pct"/>
                  <w:vMerge w:val="restart"/>
                  <w:vAlign w:val="center"/>
                </w:tcPr>
                <w:p w14:paraId="1722D329">
                  <w:pPr>
                    <w:pStyle w:val="141"/>
                    <w:rPr>
                      <w:rFonts w:hint="eastAsia" w:eastAsia="宋体" w:cs="Times New Roman"/>
                      <w:color w:val="auto"/>
                      <w:sz w:val="22"/>
                      <w:szCs w:val="22"/>
                      <w:lang w:eastAsia="zh-CN"/>
                    </w:rPr>
                  </w:pPr>
                  <w:r>
                    <w:rPr>
                      <w:rFonts w:hint="eastAsia" w:cs="Times New Roman"/>
                      <w:color w:val="auto"/>
                      <w:sz w:val="22"/>
                      <w:szCs w:val="22"/>
                      <w:lang w:val="en-US" w:eastAsia="zh-CN"/>
                    </w:rPr>
                    <w:t>污染因子</w:t>
                  </w:r>
                </w:p>
              </w:tc>
              <w:tc>
                <w:tcPr>
                  <w:tcW w:w="1663" w:type="pct"/>
                  <w:vAlign w:val="center"/>
                </w:tcPr>
                <w:p w14:paraId="3F6F8649">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排放浓度</w:t>
                  </w:r>
                </w:p>
              </w:tc>
              <w:tc>
                <w:tcPr>
                  <w:tcW w:w="1175" w:type="pct"/>
                  <w:vAlign w:val="center"/>
                </w:tcPr>
                <w:p w14:paraId="53438735">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排放标准</w:t>
                  </w:r>
                </w:p>
              </w:tc>
              <w:tc>
                <w:tcPr>
                  <w:tcW w:w="1175" w:type="pct"/>
                  <w:vMerge w:val="restart"/>
                  <w:vAlign w:val="center"/>
                </w:tcPr>
                <w:p w14:paraId="1C363592">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达标情况</w:t>
                  </w:r>
                </w:p>
              </w:tc>
            </w:tr>
            <w:tr w14:paraId="725C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pct"/>
                  <w:vMerge w:val="continue"/>
                  <w:vAlign w:val="center"/>
                </w:tcPr>
                <w:p w14:paraId="067268FC">
                  <w:pPr>
                    <w:pStyle w:val="141"/>
                    <w:rPr>
                      <w:rFonts w:cs="Times New Roman"/>
                      <w:color w:val="auto"/>
                      <w:sz w:val="22"/>
                      <w:szCs w:val="22"/>
                    </w:rPr>
                  </w:pPr>
                </w:p>
              </w:tc>
              <w:tc>
                <w:tcPr>
                  <w:tcW w:w="1663" w:type="pct"/>
                  <w:vAlign w:val="center"/>
                </w:tcPr>
                <w:p w14:paraId="36548541">
                  <w:pPr>
                    <w:pStyle w:val="141"/>
                    <w:rPr>
                      <w:rFonts w:cs="Times New Roman"/>
                      <w:color w:val="auto"/>
                      <w:sz w:val="22"/>
                      <w:szCs w:val="22"/>
                    </w:rPr>
                  </w:pPr>
                  <w:r>
                    <w:rPr>
                      <w:rFonts w:cs="Times New Roman"/>
                      <w:color w:val="auto"/>
                      <w:sz w:val="22"/>
                      <w:szCs w:val="22"/>
                    </w:rPr>
                    <w:t>mg/m³</w:t>
                  </w:r>
                </w:p>
              </w:tc>
              <w:tc>
                <w:tcPr>
                  <w:tcW w:w="1175" w:type="pct"/>
                  <w:vAlign w:val="center"/>
                </w:tcPr>
                <w:p w14:paraId="7D5986BB">
                  <w:pPr>
                    <w:pStyle w:val="141"/>
                    <w:rPr>
                      <w:rFonts w:cs="Times New Roman"/>
                      <w:color w:val="auto"/>
                      <w:sz w:val="22"/>
                      <w:szCs w:val="22"/>
                    </w:rPr>
                  </w:pPr>
                  <w:r>
                    <w:rPr>
                      <w:rFonts w:cs="Times New Roman"/>
                      <w:color w:val="auto"/>
                      <w:sz w:val="22"/>
                      <w:szCs w:val="22"/>
                    </w:rPr>
                    <w:t>mg/m³</w:t>
                  </w:r>
                </w:p>
              </w:tc>
              <w:tc>
                <w:tcPr>
                  <w:tcW w:w="1175" w:type="pct"/>
                  <w:vMerge w:val="continue"/>
                  <w:vAlign w:val="center"/>
                </w:tcPr>
                <w:p w14:paraId="1246F8DE">
                  <w:pPr>
                    <w:pStyle w:val="141"/>
                    <w:rPr>
                      <w:rFonts w:cs="Times New Roman"/>
                      <w:color w:val="auto"/>
                      <w:sz w:val="22"/>
                      <w:szCs w:val="22"/>
                    </w:rPr>
                  </w:pPr>
                </w:p>
              </w:tc>
            </w:tr>
            <w:tr w14:paraId="1EB3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pct"/>
                  <w:vAlign w:val="center"/>
                </w:tcPr>
                <w:p w14:paraId="644EAFDF">
                  <w:pPr>
                    <w:rPr>
                      <w:rFonts w:cs="Times New Roman"/>
                      <w:color w:val="auto"/>
                      <w:sz w:val="22"/>
                      <w:szCs w:val="22"/>
                    </w:rPr>
                  </w:pPr>
                  <w:r>
                    <w:rPr>
                      <w:rFonts w:cs="Times New Roman"/>
                      <w:color w:val="auto"/>
                      <w:sz w:val="22"/>
                      <w:szCs w:val="22"/>
                    </w:rPr>
                    <w:t>非甲烷总烃</w:t>
                  </w:r>
                </w:p>
              </w:tc>
              <w:tc>
                <w:tcPr>
                  <w:tcW w:w="1663" w:type="pct"/>
                  <w:vAlign w:val="center"/>
                </w:tcPr>
                <w:p w14:paraId="0B7C72FC">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1.98~2.03</w:t>
                  </w:r>
                </w:p>
              </w:tc>
              <w:tc>
                <w:tcPr>
                  <w:tcW w:w="1175" w:type="pct"/>
                  <w:vAlign w:val="center"/>
                </w:tcPr>
                <w:p w14:paraId="380C3B39">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4.0</w:t>
                  </w:r>
                </w:p>
              </w:tc>
              <w:tc>
                <w:tcPr>
                  <w:tcW w:w="1175" w:type="pct"/>
                  <w:vAlign w:val="center"/>
                </w:tcPr>
                <w:p w14:paraId="23900A38">
                  <w:pPr>
                    <w:pStyle w:val="141"/>
                    <w:rPr>
                      <w:rFonts w:hint="eastAsia" w:eastAsia="宋体" w:cs="Times New Roman"/>
                      <w:color w:val="auto"/>
                      <w:sz w:val="22"/>
                      <w:szCs w:val="22"/>
                      <w:lang w:val="en-US" w:eastAsia="zh-CN"/>
                    </w:rPr>
                  </w:pPr>
                  <w:r>
                    <w:rPr>
                      <w:rFonts w:hint="eastAsia" w:cs="Times New Roman"/>
                      <w:color w:val="auto"/>
                      <w:sz w:val="22"/>
                      <w:szCs w:val="22"/>
                      <w:lang w:val="en-US" w:eastAsia="zh-CN"/>
                    </w:rPr>
                    <w:t>达标</w:t>
                  </w:r>
                </w:p>
              </w:tc>
            </w:tr>
          </w:tbl>
          <w:p w14:paraId="1E74CE32">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rPr>
              <w:t>7</w:t>
            </w:r>
            <w:r>
              <w:rPr>
                <w:rFonts w:hint="eastAsia" w:eastAsia="宋体"/>
                <w:color w:val="auto"/>
                <w:sz w:val="26"/>
                <w:szCs w:val="26"/>
                <w:lang w:val="en-US" w:eastAsia="zh-CN"/>
              </w:rPr>
              <w:t xml:space="preserve">  </w:t>
            </w:r>
            <w:r>
              <w:rPr>
                <w:rFonts w:eastAsia="宋体"/>
                <w:color w:val="auto"/>
                <w:sz w:val="26"/>
                <w:szCs w:val="26"/>
              </w:rPr>
              <w:t>油烟排放口检测结果一览表</w:t>
            </w:r>
          </w:p>
          <w:tbl>
            <w:tblPr>
              <w:tblStyle w:val="30"/>
              <w:tblW w:w="84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1004"/>
              <w:gridCol w:w="1569"/>
              <w:gridCol w:w="2269"/>
              <w:gridCol w:w="1256"/>
              <w:gridCol w:w="1256"/>
            </w:tblGrid>
            <w:tr w14:paraId="26A9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E3475">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污染源</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0F730">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因子</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AD6">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排放浓度</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FB67">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排放速率</w:t>
                  </w:r>
                </w:p>
              </w:tc>
              <w:tc>
                <w:tcPr>
                  <w:tcW w:w="1256" w:type="dxa"/>
                  <w:tcBorders>
                    <w:top w:val="single" w:color="000000" w:sz="4" w:space="0"/>
                    <w:left w:val="single" w:color="000000" w:sz="4" w:space="0"/>
                    <w:right w:val="single" w:color="000000" w:sz="4" w:space="0"/>
                  </w:tcBorders>
                  <w:shd w:val="clear" w:color="auto" w:fill="auto"/>
                  <w:vAlign w:val="center"/>
                </w:tcPr>
                <w:p w14:paraId="365A909B">
                  <w:pPr>
                    <w:pStyle w:val="141"/>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标准限值</w:t>
                  </w:r>
                </w:p>
              </w:tc>
              <w:tc>
                <w:tcPr>
                  <w:tcW w:w="1256" w:type="dxa"/>
                  <w:vMerge w:val="restart"/>
                  <w:tcBorders>
                    <w:top w:val="single" w:color="000000" w:sz="4" w:space="0"/>
                    <w:left w:val="single" w:color="000000" w:sz="4" w:space="0"/>
                    <w:right w:val="single" w:color="000000" w:sz="4" w:space="0"/>
                  </w:tcBorders>
                  <w:shd w:val="clear" w:color="auto" w:fill="auto"/>
                  <w:vAlign w:val="center"/>
                </w:tcPr>
                <w:p w14:paraId="41CB511E">
                  <w:pPr>
                    <w:pStyle w:val="141"/>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是否</w:t>
                  </w:r>
                </w:p>
                <w:p w14:paraId="2412D6F4">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达标</w:t>
                  </w:r>
                </w:p>
              </w:tc>
            </w:tr>
            <w:tr w14:paraId="0CEB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2521">
                  <w:pPr>
                    <w:pStyle w:val="141"/>
                    <w:rPr>
                      <w:rFonts w:hint="eastAsia" w:ascii="Times New Roman" w:hAnsi="Times New Roman" w:eastAsia="宋体" w:cs="Times New Roman"/>
                      <w:color w:val="auto"/>
                      <w:sz w:val="22"/>
                      <w:szCs w:val="22"/>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71BEA">
                  <w:pPr>
                    <w:pStyle w:val="141"/>
                    <w:rPr>
                      <w:rFonts w:hint="eastAsia" w:ascii="Times New Roman" w:hAnsi="Times New Roman" w:eastAsia="宋体" w:cs="Times New Roman"/>
                      <w:color w:val="auto"/>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191F">
                  <w:pPr>
                    <w:pStyle w:val="1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mg/m</w:t>
                  </w:r>
                  <w:r>
                    <w:rPr>
                      <w:rFonts w:hint="default" w:ascii="Times New Roman" w:hAnsi="Times New Roman" w:eastAsia="宋体" w:cs="Times New Roman"/>
                      <w:color w:val="auto"/>
                      <w:sz w:val="22"/>
                      <w:szCs w:val="22"/>
                      <w:vertAlign w:val="superscript"/>
                      <w:lang w:val="en-US" w:eastAsia="zh-CN"/>
                    </w:rPr>
                    <w:t>3</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7BE4">
                  <w:pPr>
                    <w:pStyle w:val="1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kg/h</w:t>
                  </w:r>
                </w:p>
              </w:tc>
              <w:tc>
                <w:tcPr>
                  <w:tcW w:w="1256" w:type="dxa"/>
                  <w:tcBorders>
                    <w:left w:val="single" w:color="000000" w:sz="4" w:space="0"/>
                    <w:bottom w:val="single" w:color="000000" w:sz="4" w:space="0"/>
                    <w:right w:val="single" w:color="000000" w:sz="4" w:space="0"/>
                  </w:tcBorders>
                  <w:shd w:val="clear" w:color="auto" w:fill="auto"/>
                  <w:vAlign w:val="center"/>
                </w:tcPr>
                <w:p w14:paraId="370CE133">
                  <w:pPr>
                    <w:pStyle w:val="141"/>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mg/m</w:t>
                  </w:r>
                  <w:r>
                    <w:rPr>
                      <w:rFonts w:hint="default" w:ascii="Times New Roman" w:hAnsi="Times New Roman" w:eastAsia="宋体" w:cs="Times New Roman"/>
                      <w:color w:val="auto"/>
                      <w:sz w:val="22"/>
                      <w:szCs w:val="22"/>
                      <w:vertAlign w:val="superscript"/>
                      <w:lang w:val="en-US" w:eastAsia="zh-CN"/>
                    </w:rPr>
                    <w:t>3</w:t>
                  </w:r>
                </w:p>
              </w:tc>
              <w:tc>
                <w:tcPr>
                  <w:tcW w:w="1256" w:type="dxa"/>
                  <w:vMerge w:val="continue"/>
                  <w:tcBorders>
                    <w:left w:val="single" w:color="000000" w:sz="4" w:space="0"/>
                    <w:bottom w:val="single" w:color="000000" w:sz="4" w:space="0"/>
                    <w:right w:val="single" w:color="000000" w:sz="4" w:space="0"/>
                  </w:tcBorders>
                  <w:shd w:val="clear" w:color="auto" w:fill="auto"/>
                  <w:vAlign w:val="center"/>
                </w:tcPr>
                <w:p w14:paraId="24640929">
                  <w:pPr>
                    <w:pStyle w:val="141"/>
                    <w:rPr>
                      <w:rFonts w:hint="eastAsia" w:ascii="Times New Roman" w:hAnsi="Times New Roman" w:eastAsia="宋体" w:cs="Times New Roman"/>
                      <w:color w:val="auto"/>
                      <w:sz w:val="22"/>
                      <w:szCs w:val="22"/>
                    </w:rPr>
                  </w:pPr>
                </w:p>
              </w:tc>
            </w:tr>
            <w:tr w14:paraId="5B30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7847B">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油烟废气排放口</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EA43">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非甲烷总烃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E35F">
                  <w:pPr>
                    <w:pStyle w:val="1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8.36~8.85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5AD1">
                  <w:pPr>
                    <w:pStyle w:val="141"/>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0.106~0.112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77BD">
                  <w:pPr>
                    <w:pStyle w:val="141"/>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1B51">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达标</w:t>
                  </w:r>
                </w:p>
              </w:tc>
            </w:tr>
            <w:tr w14:paraId="3097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B60DB">
                  <w:pPr>
                    <w:pStyle w:val="141"/>
                    <w:rPr>
                      <w:rFonts w:hint="eastAsia" w:ascii="Times New Roman" w:hAnsi="Times New Roman" w:eastAsia="宋体" w:cs="Times New Roman"/>
                      <w:color w:val="auto"/>
                      <w:sz w:val="22"/>
                      <w:szCs w:val="22"/>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4C93">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油烟</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8201">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0.3~0.5</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52AF">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3.19×10</w:t>
                  </w:r>
                  <w:r>
                    <w:rPr>
                      <w:rFonts w:hint="eastAsia" w:ascii="Times New Roman" w:hAnsi="Times New Roman" w:eastAsia="宋体" w:cs="Times New Roman"/>
                      <w:color w:val="auto"/>
                      <w:sz w:val="22"/>
                      <w:szCs w:val="22"/>
                      <w:vertAlign w:val="superscript"/>
                      <w:lang w:val="en-US" w:eastAsia="zh-CN"/>
                    </w:rPr>
                    <w:t>-3</w:t>
                  </w:r>
                  <w:r>
                    <w:rPr>
                      <w:rFonts w:hint="eastAsia" w:ascii="Times New Roman" w:hAnsi="Times New Roman" w:eastAsia="宋体" w:cs="Times New Roman"/>
                      <w:color w:val="auto"/>
                      <w:sz w:val="22"/>
                      <w:szCs w:val="22"/>
                      <w:lang w:val="en-US" w:eastAsia="zh-CN"/>
                    </w:rPr>
                    <w:t>~6.46×10</w:t>
                  </w:r>
                  <w:r>
                    <w:rPr>
                      <w:rFonts w:hint="eastAsia" w:ascii="Times New Roman" w:hAnsi="Times New Roman" w:eastAsia="宋体" w:cs="Times New Roman"/>
                      <w:color w:val="auto"/>
                      <w:sz w:val="22"/>
                      <w:szCs w:val="22"/>
                      <w:vertAlign w:val="superscript"/>
                      <w:lang w:val="en-US" w:eastAsia="zh-CN"/>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CD2D">
                  <w:pPr>
                    <w:pStyle w:val="141"/>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4E57">
                  <w:pPr>
                    <w:pStyle w:val="141"/>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达标</w:t>
                  </w:r>
                </w:p>
              </w:tc>
            </w:tr>
          </w:tbl>
          <w:p w14:paraId="01367C2F">
            <w:pPr>
              <w:pStyle w:val="82"/>
              <w:spacing w:line="480" w:lineRule="exact"/>
              <w:ind w:firstLine="520"/>
              <w:rPr>
                <w:rFonts w:hint="eastAsia" w:eastAsia="宋体"/>
                <w:color w:val="auto"/>
                <w:kern w:val="0"/>
                <w:szCs w:val="26"/>
                <w:lang w:eastAsia="zh-CN"/>
              </w:rPr>
            </w:pPr>
            <w:r>
              <w:rPr>
                <w:rFonts w:hint="eastAsia"/>
                <w:color w:val="auto"/>
                <w:kern w:val="0"/>
                <w:szCs w:val="26"/>
              </w:rPr>
              <w:t>（</w:t>
            </w:r>
            <w:r>
              <w:rPr>
                <w:rFonts w:hint="eastAsia"/>
                <w:color w:val="auto"/>
                <w:kern w:val="0"/>
                <w:szCs w:val="26"/>
                <w:lang w:val="en-US" w:eastAsia="zh-CN"/>
              </w:rPr>
              <w:t>2</w:t>
            </w:r>
            <w:r>
              <w:rPr>
                <w:rFonts w:hint="eastAsia"/>
                <w:color w:val="auto"/>
                <w:kern w:val="0"/>
                <w:szCs w:val="26"/>
              </w:rPr>
              <w:t>）</w:t>
            </w:r>
            <w:r>
              <w:rPr>
                <w:rFonts w:hint="eastAsia"/>
                <w:color w:val="auto"/>
                <w:kern w:val="0"/>
                <w:szCs w:val="26"/>
                <w:lang w:val="en-US" w:eastAsia="zh-CN"/>
              </w:rPr>
              <w:t>废水</w:t>
            </w:r>
          </w:p>
          <w:p w14:paraId="69229AFD">
            <w:pPr>
              <w:numPr>
                <w:ilvl w:val="0"/>
                <w:numId w:val="9"/>
              </w:numPr>
              <w:spacing w:line="500" w:lineRule="exact"/>
              <w:ind w:firstLine="480"/>
              <w:rPr>
                <w:bCs/>
                <w:color w:val="auto"/>
                <w:sz w:val="26"/>
                <w:szCs w:val="26"/>
              </w:rPr>
            </w:pPr>
            <w:r>
              <w:rPr>
                <w:rFonts w:hint="eastAsia"/>
                <w:color w:val="auto"/>
                <w:sz w:val="26"/>
                <w:szCs w:val="26"/>
              </w:rPr>
              <w:t>废水排放情况：</w:t>
            </w:r>
            <w:r>
              <w:rPr>
                <w:color w:val="auto"/>
                <w:sz w:val="26"/>
                <w:szCs w:val="26"/>
              </w:rPr>
              <w:t>氢燃料电池研发检测生产产线建设项目</w:t>
            </w:r>
            <w:r>
              <w:rPr>
                <w:bCs/>
                <w:color w:val="auto"/>
                <w:sz w:val="26"/>
                <w:szCs w:val="26"/>
              </w:rPr>
              <w:t>废水主要为生活污水、纯水制备废水。</w:t>
            </w:r>
            <w:r>
              <w:rPr>
                <w:rFonts w:hint="eastAsia"/>
                <w:bCs/>
                <w:color w:val="auto"/>
                <w:sz w:val="26"/>
                <w:szCs w:val="26"/>
              </w:rPr>
              <w:t>根据项目实际污水排放情况，已建项目污水处理设施的污水排放量约</w:t>
            </w:r>
            <w:r>
              <w:rPr>
                <w:rFonts w:hint="eastAsia"/>
                <w:bCs/>
                <w:color w:val="auto"/>
                <w:sz w:val="26"/>
                <w:szCs w:val="26"/>
                <w:lang w:val="en-US" w:eastAsia="zh-CN"/>
              </w:rPr>
              <w:t>10445</w:t>
            </w:r>
            <w:r>
              <w:rPr>
                <w:rFonts w:hint="eastAsia"/>
                <w:bCs/>
                <w:color w:val="auto"/>
                <w:sz w:val="26"/>
                <w:szCs w:val="26"/>
              </w:rPr>
              <w:t>m</w:t>
            </w:r>
            <w:r>
              <w:rPr>
                <w:rFonts w:hint="eastAsia"/>
                <w:bCs/>
                <w:color w:val="auto"/>
                <w:sz w:val="26"/>
                <w:szCs w:val="26"/>
                <w:vertAlign w:val="superscript"/>
              </w:rPr>
              <w:t>3</w:t>
            </w:r>
            <w:r>
              <w:rPr>
                <w:rFonts w:hint="eastAsia"/>
                <w:bCs/>
                <w:color w:val="auto"/>
                <w:sz w:val="26"/>
                <w:szCs w:val="26"/>
              </w:rPr>
              <w:t>/a（约3</w:t>
            </w:r>
            <w:r>
              <w:rPr>
                <w:rFonts w:hint="eastAsia"/>
                <w:bCs/>
                <w:color w:val="auto"/>
                <w:sz w:val="26"/>
                <w:szCs w:val="26"/>
                <w:lang w:val="en-US" w:eastAsia="zh-CN"/>
              </w:rPr>
              <w:t>4.82</w:t>
            </w:r>
            <w:r>
              <w:rPr>
                <w:rFonts w:hint="eastAsia"/>
                <w:bCs/>
                <w:color w:val="auto"/>
                <w:sz w:val="26"/>
                <w:szCs w:val="26"/>
              </w:rPr>
              <w:t>m</w:t>
            </w:r>
            <w:r>
              <w:rPr>
                <w:rFonts w:hint="eastAsia"/>
                <w:bCs/>
                <w:color w:val="auto"/>
                <w:sz w:val="26"/>
                <w:szCs w:val="26"/>
                <w:vertAlign w:val="superscript"/>
              </w:rPr>
              <w:t>3</w:t>
            </w:r>
            <w:r>
              <w:rPr>
                <w:rFonts w:hint="eastAsia"/>
                <w:bCs/>
                <w:color w:val="auto"/>
                <w:sz w:val="26"/>
                <w:szCs w:val="26"/>
              </w:rPr>
              <w:t>/d）。根据</w:t>
            </w:r>
            <w:r>
              <w:rPr>
                <w:rFonts w:hint="eastAsia"/>
                <w:bCs/>
                <w:color w:val="auto"/>
                <w:sz w:val="26"/>
                <w:szCs w:val="26"/>
                <w:lang w:val="en-US" w:eastAsia="zh-CN"/>
              </w:rPr>
              <w:t>企业2024年自行监测报告。</w:t>
            </w:r>
            <w:r>
              <w:rPr>
                <w:rFonts w:hint="eastAsia"/>
                <w:bCs/>
                <w:color w:val="auto"/>
                <w:sz w:val="26"/>
                <w:szCs w:val="26"/>
              </w:rPr>
              <w:t>该项目</w:t>
            </w:r>
            <w:r>
              <w:rPr>
                <w:bCs/>
                <w:color w:val="auto"/>
                <w:sz w:val="26"/>
                <w:szCs w:val="26"/>
              </w:rPr>
              <w:t>废水能够实现达标排放，各污染源排放情况分析及监测统计数据见表2.1</w:t>
            </w:r>
            <w:r>
              <w:rPr>
                <w:rFonts w:hint="eastAsia"/>
                <w:bCs/>
                <w:color w:val="auto"/>
                <w:sz w:val="26"/>
                <w:szCs w:val="26"/>
              </w:rPr>
              <w:t>3</w:t>
            </w:r>
            <w:r>
              <w:rPr>
                <w:bCs/>
                <w:color w:val="auto"/>
                <w:sz w:val="26"/>
                <w:szCs w:val="26"/>
              </w:rPr>
              <w:t>-</w:t>
            </w:r>
            <w:r>
              <w:rPr>
                <w:rFonts w:hint="eastAsia"/>
                <w:bCs/>
                <w:color w:val="auto"/>
                <w:sz w:val="26"/>
                <w:szCs w:val="26"/>
                <w:lang w:val="en-US" w:eastAsia="zh-CN"/>
              </w:rPr>
              <w:t>8、2.13-9</w:t>
            </w:r>
            <w:r>
              <w:rPr>
                <w:bCs/>
                <w:color w:val="auto"/>
                <w:sz w:val="26"/>
                <w:szCs w:val="26"/>
              </w:rPr>
              <w:t>。</w:t>
            </w:r>
          </w:p>
          <w:p w14:paraId="06BC060B">
            <w:pPr>
              <w:pStyle w:val="142"/>
              <w:spacing w:line="460" w:lineRule="exact"/>
              <w:rPr>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lang w:val="en-US" w:eastAsia="zh-CN"/>
              </w:rPr>
              <w:t xml:space="preserve">8  </w:t>
            </w:r>
            <w:r>
              <w:rPr>
                <w:rFonts w:eastAsia="宋体"/>
                <w:color w:val="auto"/>
                <w:sz w:val="26"/>
                <w:szCs w:val="26"/>
              </w:rPr>
              <w:t>西地块废水排放及达标情况统计表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1031"/>
              <w:gridCol w:w="2182"/>
              <w:gridCol w:w="1792"/>
              <w:gridCol w:w="1725"/>
              <w:gridCol w:w="1661"/>
            </w:tblGrid>
            <w:tr w14:paraId="45A0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12" w:hRule="atLeast"/>
                <w:jc w:val="center"/>
              </w:trPr>
              <w:tc>
                <w:tcPr>
                  <w:tcW w:w="614" w:type="pct"/>
                  <w:vMerge w:val="restart"/>
                  <w:shd w:val="clear" w:color="auto" w:fill="FFFFFF"/>
                  <w:vAlign w:val="center"/>
                </w:tcPr>
                <w:p w14:paraId="3CF2EB44">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监测位置</w:t>
                  </w:r>
                </w:p>
              </w:tc>
              <w:tc>
                <w:tcPr>
                  <w:tcW w:w="1300" w:type="pct"/>
                  <w:vMerge w:val="restart"/>
                  <w:shd w:val="clear" w:color="auto" w:fill="FFFFFF"/>
                  <w:vAlign w:val="center"/>
                </w:tcPr>
                <w:p w14:paraId="4BB863FC">
                  <w:pPr>
                    <w:pStyle w:val="141"/>
                    <w:rPr>
                      <w:rFonts w:cs="Times New Roman"/>
                      <w:color w:val="auto"/>
                      <w:sz w:val="22"/>
                      <w:szCs w:val="22"/>
                    </w:rPr>
                  </w:pPr>
                  <w:r>
                    <w:rPr>
                      <w:rFonts w:cs="Times New Roman"/>
                      <w:color w:val="auto"/>
                      <w:sz w:val="22"/>
                      <w:szCs w:val="22"/>
                    </w:rPr>
                    <w:t>污染因子</w:t>
                  </w:r>
                </w:p>
              </w:tc>
              <w:tc>
                <w:tcPr>
                  <w:tcW w:w="1067" w:type="pct"/>
                  <w:vMerge w:val="restart"/>
                  <w:shd w:val="clear" w:color="auto" w:fill="FFFFFF"/>
                  <w:vAlign w:val="center"/>
                </w:tcPr>
                <w:p w14:paraId="3AE6726A">
                  <w:pPr>
                    <w:pStyle w:val="141"/>
                    <w:rPr>
                      <w:rFonts w:cs="Times New Roman"/>
                      <w:color w:val="auto"/>
                      <w:sz w:val="22"/>
                      <w:szCs w:val="22"/>
                    </w:rPr>
                  </w:pPr>
                  <w:r>
                    <w:rPr>
                      <w:rFonts w:cs="Times New Roman"/>
                      <w:color w:val="auto"/>
                      <w:sz w:val="22"/>
                      <w:szCs w:val="22"/>
                    </w:rPr>
                    <w:t>排放浓度（mg/L）</w:t>
                  </w:r>
                </w:p>
              </w:tc>
              <w:tc>
                <w:tcPr>
                  <w:tcW w:w="1027" w:type="pct"/>
                  <w:vMerge w:val="restart"/>
                  <w:shd w:val="clear" w:color="auto" w:fill="FFFFFF"/>
                  <w:vAlign w:val="center"/>
                </w:tcPr>
                <w:p w14:paraId="62977721">
                  <w:pPr>
                    <w:pStyle w:val="141"/>
                    <w:rPr>
                      <w:rFonts w:cs="Times New Roman"/>
                      <w:color w:val="auto"/>
                      <w:sz w:val="22"/>
                      <w:szCs w:val="22"/>
                    </w:rPr>
                  </w:pPr>
                  <w:r>
                    <w:rPr>
                      <w:rFonts w:cs="Times New Roman"/>
                      <w:color w:val="auto"/>
                      <w:sz w:val="22"/>
                      <w:szCs w:val="22"/>
                    </w:rPr>
                    <w:t>排放标准（mg/L）</w:t>
                  </w:r>
                </w:p>
              </w:tc>
              <w:tc>
                <w:tcPr>
                  <w:tcW w:w="989" w:type="pct"/>
                  <w:vMerge w:val="restart"/>
                  <w:shd w:val="clear" w:color="auto" w:fill="FFFFFF"/>
                  <w:vAlign w:val="center"/>
                </w:tcPr>
                <w:p w14:paraId="538A4ADF">
                  <w:pPr>
                    <w:pStyle w:val="141"/>
                    <w:rPr>
                      <w:rFonts w:cs="Times New Roman"/>
                      <w:color w:val="auto"/>
                      <w:sz w:val="22"/>
                      <w:szCs w:val="22"/>
                    </w:rPr>
                  </w:pPr>
                  <w:r>
                    <w:rPr>
                      <w:rFonts w:cs="Times New Roman"/>
                      <w:color w:val="auto"/>
                      <w:sz w:val="22"/>
                      <w:szCs w:val="22"/>
                    </w:rPr>
                    <w:t>达标情况</w:t>
                  </w:r>
                </w:p>
              </w:tc>
            </w:tr>
            <w:tr w14:paraId="39E3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12" w:hRule="atLeast"/>
                <w:jc w:val="center"/>
              </w:trPr>
              <w:tc>
                <w:tcPr>
                  <w:tcW w:w="614" w:type="pct"/>
                  <w:vMerge w:val="continue"/>
                  <w:shd w:val="clear" w:color="auto" w:fill="FFFFFF"/>
                  <w:vAlign w:val="center"/>
                </w:tcPr>
                <w:p w14:paraId="5592B790">
                  <w:pPr>
                    <w:pStyle w:val="141"/>
                    <w:rPr>
                      <w:rFonts w:cs="Times New Roman"/>
                      <w:color w:val="auto"/>
                      <w:sz w:val="22"/>
                      <w:szCs w:val="22"/>
                    </w:rPr>
                  </w:pPr>
                </w:p>
              </w:tc>
              <w:tc>
                <w:tcPr>
                  <w:tcW w:w="1300" w:type="pct"/>
                  <w:vMerge w:val="continue"/>
                  <w:shd w:val="clear" w:color="auto" w:fill="FFFFFF"/>
                  <w:vAlign w:val="center"/>
                </w:tcPr>
                <w:p w14:paraId="433EE784">
                  <w:pPr>
                    <w:pStyle w:val="141"/>
                    <w:rPr>
                      <w:rFonts w:cs="Times New Roman"/>
                      <w:color w:val="auto"/>
                      <w:sz w:val="22"/>
                      <w:szCs w:val="22"/>
                    </w:rPr>
                  </w:pPr>
                </w:p>
              </w:tc>
              <w:tc>
                <w:tcPr>
                  <w:tcW w:w="1067" w:type="pct"/>
                  <w:vMerge w:val="continue"/>
                  <w:shd w:val="clear" w:color="auto" w:fill="FFFFFF"/>
                  <w:vAlign w:val="center"/>
                </w:tcPr>
                <w:p w14:paraId="1F2C6CB8">
                  <w:pPr>
                    <w:pStyle w:val="141"/>
                    <w:rPr>
                      <w:rFonts w:cs="Times New Roman"/>
                      <w:color w:val="auto"/>
                      <w:sz w:val="22"/>
                      <w:szCs w:val="22"/>
                    </w:rPr>
                  </w:pPr>
                </w:p>
              </w:tc>
              <w:tc>
                <w:tcPr>
                  <w:tcW w:w="1027" w:type="pct"/>
                  <w:vMerge w:val="continue"/>
                  <w:shd w:val="clear" w:color="auto" w:fill="FFFFFF"/>
                  <w:vAlign w:val="center"/>
                </w:tcPr>
                <w:p w14:paraId="55B3A215">
                  <w:pPr>
                    <w:pStyle w:val="141"/>
                    <w:rPr>
                      <w:rFonts w:cs="Times New Roman"/>
                      <w:color w:val="auto"/>
                      <w:sz w:val="22"/>
                      <w:szCs w:val="22"/>
                    </w:rPr>
                  </w:pPr>
                </w:p>
              </w:tc>
              <w:tc>
                <w:tcPr>
                  <w:tcW w:w="989" w:type="pct"/>
                  <w:vMerge w:val="continue"/>
                  <w:shd w:val="clear" w:color="auto" w:fill="FFFFFF"/>
                  <w:vAlign w:val="center"/>
                </w:tcPr>
                <w:p w14:paraId="1EF84055">
                  <w:pPr>
                    <w:pStyle w:val="141"/>
                    <w:rPr>
                      <w:rFonts w:cs="Times New Roman"/>
                      <w:color w:val="auto"/>
                      <w:sz w:val="22"/>
                      <w:szCs w:val="22"/>
                    </w:rPr>
                  </w:pPr>
                </w:p>
              </w:tc>
            </w:tr>
            <w:tr w14:paraId="2BC0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57" w:hRule="atLeast"/>
                <w:jc w:val="center"/>
              </w:trPr>
              <w:tc>
                <w:tcPr>
                  <w:tcW w:w="614" w:type="pct"/>
                  <w:vMerge w:val="restart"/>
                  <w:shd w:val="clear" w:color="auto" w:fill="FFFFFF"/>
                  <w:vAlign w:val="center"/>
                </w:tcPr>
                <w:p w14:paraId="3B660C40">
                  <w:pPr>
                    <w:pStyle w:val="141"/>
                    <w:rPr>
                      <w:rFonts w:hint="default" w:eastAsia="宋体" w:cs="Times New Roman"/>
                      <w:color w:val="auto"/>
                      <w:sz w:val="22"/>
                      <w:szCs w:val="22"/>
                      <w:lang w:val="en-US" w:eastAsia="zh-CN"/>
                    </w:rPr>
                  </w:pPr>
                  <w:r>
                    <w:rPr>
                      <w:rFonts w:cs="Times New Roman"/>
                      <w:color w:val="auto"/>
                      <w:sz w:val="22"/>
                      <w:szCs w:val="22"/>
                    </w:rPr>
                    <w:t>西地块</w:t>
                  </w:r>
                  <w:r>
                    <w:rPr>
                      <w:rFonts w:hint="eastAsia" w:cs="Times New Roman"/>
                      <w:color w:val="auto"/>
                      <w:sz w:val="22"/>
                      <w:szCs w:val="22"/>
                      <w:lang w:val="en-US" w:eastAsia="zh-CN"/>
                    </w:rPr>
                    <w:t>化粪池排口</w:t>
                  </w:r>
                </w:p>
              </w:tc>
              <w:tc>
                <w:tcPr>
                  <w:tcW w:w="1300" w:type="pct"/>
                  <w:shd w:val="clear" w:color="auto" w:fill="FFFFFF"/>
                  <w:vAlign w:val="center"/>
                </w:tcPr>
                <w:p w14:paraId="6725188B">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pH</w:t>
                  </w:r>
                </w:p>
              </w:tc>
              <w:tc>
                <w:tcPr>
                  <w:tcW w:w="1067" w:type="pct"/>
                  <w:shd w:val="clear" w:color="auto" w:fill="FFFFFF"/>
                  <w:vAlign w:val="center"/>
                </w:tcPr>
                <w:p w14:paraId="2CEDBCF1">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7.2~7.6</w:t>
                  </w:r>
                </w:p>
              </w:tc>
              <w:tc>
                <w:tcPr>
                  <w:tcW w:w="1027" w:type="pct"/>
                  <w:shd w:val="clear" w:color="auto" w:fill="FFFFFF"/>
                  <w:vAlign w:val="center"/>
                </w:tcPr>
                <w:p w14:paraId="24C8613E">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6~9</w:t>
                  </w:r>
                </w:p>
              </w:tc>
              <w:tc>
                <w:tcPr>
                  <w:tcW w:w="989" w:type="pct"/>
                  <w:shd w:val="clear" w:color="auto" w:fill="FFFFFF"/>
                  <w:vAlign w:val="center"/>
                </w:tcPr>
                <w:p w14:paraId="59048A34">
                  <w:pPr>
                    <w:pStyle w:val="141"/>
                    <w:rPr>
                      <w:rFonts w:cs="Times New Roman"/>
                      <w:color w:val="auto"/>
                      <w:sz w:val="22"/>
                      <w:szCs w:val="22"/>
                    </w:rPr>
                  </w:pPr>
                  <w:r>
                    <w:rPr>
                      <w:rFonts w:cs="Times New Roman"/>
                      <w:color w:val="auto"/>
                      <w:sz w:val="22"/>
                      <w:szCs w:val="22"/>
                    </w:rPr>
                    <w:t>达标</w:t>
                  </w:r>
                </w:p>
              </w:tc>
            </w:tr>
            <w:tr w14:paraId="3190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783E51AC">
                  <w:pPr>
                    <w:pStyle w:val="141"/>
                    <w:rPr>
                      <w:rFonts w:hint="default" w:eastAsia="宋体" w:cs="Times New Roman"/>
                      <w:color w:val="auto"/>
                      <w:sz w:val="22"/>
                      <w:szCs w:val="22"/>
                      <w:lang w:val="en-US" w:eastAsia="zh-CN"/>
                    </w:rPr>
                  </w:pPr>
                </w:p>
              </w:tc>
              <w:tc>
                <w:tcPr>
                  <w:tcW w:w="1300" w:type="pct"/>
                  <w:shd w:val="clear" w:color="auto" w:fill="FFFFFF"/>
                  <w:vAlign w:val="center"/>
                </w:tcPr>
                <w:p w14:paraId="7F307956">
                  <w:pPr>
                    <w:pStyle w:val="141"/>
                    <w:rPr>
                      <w:rFonts w:cs="Times New Roman"/>
                      <w:color w:val="auto"/>
                      <w:sz w:val="22"/>
                      <w:szCs w:val="22"/>
                    </w:rPr>
                  </w:pPr>
                  <w:r>
                    <w:rPr>
                      <w:rFonts w:cs="Times New Roman"/>
                      <w:color w:val="auto"/>
                      <w:sz w:val="22"/>
                      <w:szCs w:val="22"/>
                    </w:rPr>
                    <w:t>氨氮</w:t>
                  </w:r>
                </w:p>
              </w:tc>
              <w:tc>
                <w:tcPr>
                  <w:tcW w:w="1067" w:type="pct"/>
                  <w:shd w:val="clear" w:color="auto" w:fill="FFFFFF"/>
                  <w:vAlign w:val="center"/>
                </w:tcPr>
                <w:p w14:paraId="03B6505D">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8.96~39.7</w:t>
                  </w:r>
                </w:p>
              </w:tc>
              <w:tc>
                <w:tcPr>
                  <w:tcW w:w="1027" w:type="pct"/>
                  <w:shd w:val="clear" w:color="auto" w:fill="FFFFFF"/>
                  <w:vAlign w:val="center"/>
                </w:tcPr>
                <w:p w14:paraId="45546DFD">
                  <w:pPr>
                    <w:pStyle w:val="141"/>
                    <w:rPr>
                      <w:rFonts w:cs="Times New Roman"/>
                      <w:color w:val="auto"/>
                      <w:sz w:val="22"/>
                      <w:szCs w:val="22"/>
                    </w:rPr>
                  </w:pPr>
                  <w:r>
                    <w:rPr>
                      <w:rFonts w:cs="Times New Roman"/>
                      <w:color w:val="auto"/>
                      <w:sz w:val="22"/>
                      <w:szCs w:val="22"/>
                    </w:rPr>
                    <w:t>45</w:t>
                  </w:r>
                </w:p>
              </w:tc>
              <w:tc>
                <w:tcPr>
                  <w:tcW w:w="989" w:type="pct"/>
                  <w:shd w:val="clear" w:color="auto" w:fill="FFFFFF"/>
                  <w:vAlign w:val="center"/>
                </w:tcPr>
                <w:p w14:paraId="264203F3">
                  <w:pPr>
                    <w:pStyle w:val="141"/>
                    <w:rPr>
                      <w:rFonts w:cs="Times New Roman"/>
                      <w:color w:val="auto"/>
                      <w:sz w:val="22"/>
                      <w:szCs w:val="22"/>
                    </w:rPr>
                  </w:pPr>
                  <w:r>
                    <w:rPr>
                      <w:rFonts w:cs="Times New Roman"/>
                      <w:color w:val="auto"/>
                      <w:sz w:val="22"/>
                      <w:szCs w:val="22"/>
                    </w:rPr>
                    <w:t>达标</w:t>
                  </w:r>
                </w:p>
              </w:tc>
            </w:tr>
            <w:tr w14:paraId="32EC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90" w:hRule="atLeast"/>
                <w:jc w:val="center"/>
              </w:trPr>
              <w:tc>
                <w:tcPr>
                  <w:tcW w:w="614" w:type="pct"/>
                  <w:vMerge w:val="continue"/>
                  <w:shd w:val="clear" w:color="auto" w:fill="FFFFFF"/>
                  <w:vAlign w:val="center"/>
                </w:tcPr>
                <w:p w14:paraId="3988ABDA">
                  <w:pPr>
                    <w:pStyle w:val="141"/>
                    <w:rPr>
                      <w:rFonts w:cs="Times New Roman"/>
                      <w:color w:val="auto"/>
                      <w:sz w:val="22"/>
                      <w:szCs w:val="22"/>
                    </w:rPr>
                  </w:pPr>
                </w:p>
              </w:tc>
              <w:tc>
                <w:tcPr>
                  <w:tcW w:w="1300" w:type="pct"/>
                  <w:shd w:val="clear" w:color="auto" w:fill="FFFFFF"/>
                  <w:vAlign w:val="center"/>
                </w:tcPr>
                <w:p w14:paraId="312F0DFB">
                  <w:pPr>
                    <w:pStyle w:val="141"/>
                    <w:rPr>
                      <w:rFonts w:cs="Times New Roman"/>
                      <w:color w:val="auto"/>
                      <w:sz w:val="22"/>
                      <w:szCs w:val="22"/>
                    </w:rPr>
                  </w:pPr>
                  <w:r>
                    <w:rPr>
                      <w:rFonts w:cs="Times New Roman"/>
                      <w:color w:val="auto"/>
                      <w:sz w:val="22"/>
                      <w:szCs w:val="22"/>
                    </w:rPr>
                    <w:t>悬浮物</w:t>
                  </w:r>
                </w:p>
              </w:tc>
              <w:tc>
                <w:tcPr>
                  <w:tcW w:w="1067" w:type="pct"/>
                  <w:shd w:val="clear" w:color="auto" w:fill="FFFFFF"/>
                  <w:vAlign w:val="center"/>
                </w:tcPr>
                <w:p w14:paraId="66804098">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24.2~351</w:t>
                  </w:r>
                </w:p>
              </w:tc>
              <w:tc>
                <w:tcPr>
                  <w:tcW w:w="1027" w:type="pct"/>
                  <w:shd w:val="clear" w:color="auto" w:fill="FFFFFF"/>
                  <w:vAlign w:val="center"/>
                </w:tcPr>
                <w:p w14:paraId="65B10E21">
                  <w:pPr>
                    <w:pStyle w:val="141"/>
                    <w:rPr>
                      <w:rFonts w:cs="Times New Roman"/>
                      <w:color w:val="auto"/>
                      <w:sz w:val="22"/>
                      <w:szCs w:val="22"/>
                    </w:rPr>
                  </w:pPr>
                  <w:r>
                    <w:rPr>
                      <w:rFonts w:cs="Times New Roman"/>
                      <w:color w:val="auto"/>
                      <w:sz w:val="22"/>
                      <w:szCs w:val="22"/>
                    </w:rPr>
                    <w:t>400</w:t>
                  </w:r>
                </w:p>
              </w:tc>
              <w:tc>
                <w:tcPr>
                  <w:tcW w:w="989" w:type="pct"/>
                  <w:shd w:val="clear" w:color="auto" w:fill="FFFFFF"/>
                  <w:vAlign w:val="center"/>
                </w:tcPr>
                <w:p w14:paraId="52873A77">
                  <w:pPr>
                    <w:pStyle w:val="141"/>
                    <w:rPr>
                      <w:rFonts w:cs="Times New Roman"/>
                      <w:color w:val="auto"/>
                      <w:sz w:val="22"/>
                      <w:szCs w:val="22"/>
                    </w:rPr>
                  </w:pPr>
                  <w:r>
                    <w:rPr>
                      <w:rFonts w:cs="Times New Roman"/>
                      <w:color w:val="auto"/>
                      <w:sz w:val="22"/>
                      <w:szCs w:val="22"/>
                    </w:rPr>
                    <w:t>达标</w:t>
                  </w:r>
                </w:p>
              </w:tc>
            </w:tr>
            <w:tr w14:paraId="7C63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08A3337C">
                  <w:pPr>
                    <w:pStyle w:val="141"/>
                    <w:rPr>
                      <w:rFonts w:cs="Times New Roman"/>
                      <w:color w:val="auto"/>
                      <w:sz w:val="22"/>
                      <w:szCs w:val="22"/>
                    </w:rPr>
                  </w:pPr>
                </w:p>
              </w:tc>
              <w:tc>
                <w:tcPr>
                  <w:tcW w:w="1300" w:type="pct"/>
                  <w:shd w:val="clear" w:color="auto" w:fill="FFFFFF"/>
                  <w:vAlign w:val="center"/>
                </w:tcPr>
                <w:p w14:paraId="08E03607">
                  <w:pPr>
                    <w:pStyle w:val="141"/>
                    <w:rPr>
                      <w:rFonts w:cs="Times New Roman"/>
                      <w:color w:val="auto"/>
                      <w:sz w:val="22"/>
                      <w:szCs w:val="22"/>
                    </w:rPr>
                  </w:pPr>
                  <w:r>
                    <w:rPr>
                      <w:rFonts w:cs="Times New Roman"/>
                      <w:color w:val="auto"/>
                      <w:sz w:val="22"/>
                      <w:szCs w:val="22"/>
                    </w:rPr>
                    <w:t>化学需氧量</w:t>
                  </w:r>
                </w:p>
              </w:tc>
              <w:tc>
                <w:tcPr>
                  <w:tcW w:w="1067" w:type="pct"/>
                  <w:shd w:val="clear" w:color="auto" w:fill="FFFFFF"/>
                  <w:vAlign w:val="center"/>
                </w:tcPr>
                <w:p w14:paraId="6D5C863D">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58~473</w:t>
                  </w:r>
                </w:p>
              </w:tc>
              <w:tc>
                <w:tcPr>
                  <w:tcW w:w="1027" w:type="pct"/>
                  <w:shd w:val="clear" w:color="auto" w:fill="FFFFFF"/>
                  <w:vAlign w:val="center"/>
                </w:tcPr>
                <w:p w14:paraId="504352D0">
                  <w:pPr>
                    <w:pStyle w:val="141"/>
                    <w:rPr>
                      <w:rFonts w:cs="Times New Roman"/>
                      <w:color w:val="auto"/>
                      <w:sz w:val="22"/>
                      <w:szCs w:val="22"/>
                    </w:rPr>
                  </w:pPr>
                  <w:r>
                    <w:rPr>
                      <w:rFonts w:cs="Times New Roman"/>
                      <w:color w:val="auto"/>
                      <w:sz w:val="22"/>
                      <w:szCs w:val="22"/>
                    </w:rPr>
                    <w:t>500</w:t>
                  </w:r>
                </w:p>
              </w:tc>
              <w:tc>
                <w:tcPr>
                  <w:tcW w:w="989" w:type="pct"/>
                  <w:shd w:val="clear" w:color="auto" w:fill="FFFFFF"/>
                  <w:vAlign w:val="center"/>
                </w:tcPr>
                <w:p w14:paraId="16B7B0CC">
                  <w:pPr>
                    <w:pStyle w:val="141"/>
                    <w:rPr>
                      <w:rFonts w:cs="Times New Roman"/>
                      <w:color w:val="auto"/>
                      <w:sz w:val="22"/>
                      <w:szCs w:val="22"/>
                    </w:rPr>
                  </w:pPr>
                  <w:r>
                    <w:rPr>
                      <w:rFonts w:cs="Times New Roman"/>
                      <w:color w:val="auto"/>
                      <w:sz w:val="22"/>
                      <w:szCs w:val="22"/>
                    </w:rPr>
                    <w:t>达标</w:t>
                  </w:r>
                </w:p>
              </w:tc>
            </w:tr>
            <w:tr w14:paraId="4285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505" w:hRule="atLeast"/>
                <w:jc w:val="center"/>
              </w:trPr>
              <w:tc>
                <w:tcPr>
                  <w:tcW w:w="614" w:type="pct"/>
                  <w:vMerge w:val="continue"/>
                  <w:shd w:val="clear" w:color="auto" w:fill="FFFFFF"/>
                  <w:vAlign w:val="center"/>
                </w:tcPr>
                <w:p w14:paraId="1F5B501D">
                  <w:pPr>
                    <w:pStyle w:val="141"/>
                    <w:rPr>
                      <w:rFonts w:cs="Times New Roman"/>
                      <w:color w:val="auto"/>
                      <w:sz w:val="22"/>
                      <w:szCs w:val="22"/>
                    </w:rPr>
                  </w:pPr>
                </w:p>
              </w:tc>
              <w:tc>
                <w:tcPr>
                  <w:tcW w:w="1300" w:type="pct"/>
                  <w:shd w:val="clear" w:color="auto" w:fill="FFFFFF"/>
                  <w:vAlign w:val="center"/>
                </w:tcPr>
                <w:p w14:paraId="7D84894D">
                  <w:pPr>
                    <w:pStyle w:val="141"/>
                    <w:rPr>
                      <w:rFonts w:cs="Times New Roman"/>
                      <w:color w:val="auto"/>
                      <w:sz w:val="22"/>
                      <w:szCs w:val="22"/>
                    </w:rPr>
                  </w:pPr>
                  <w:r>
                    <w:rPr>
                      <w:rFonts w:cs="Times New Roman"/>
                      <w:color w:val="auto"/>
                      <w:sz w:val="22"/>
                      <w:szCs w:val="22"/>
                    </w:rPr>
                    <w:t>五日生化需氧量</w:t>
                  </w:r>
                </w:p>
              </w:tc>
              <w:tc>
                <w:tcPr>
                  <w:tcW w:w="1067" w:type="pct"/>
                  <w:shd w:val="clear" w:color="auto" w:fill="FFFFFF"/>
                  <w:vAlign w:val="center"/>
                </w:tcPr>
                <w:p w14:paraId="6CA8289C">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17.1~134</w:t>
                  </w:r>
                </w:p>
              </w:tc>
              <w:tc>
                <w:tcPr>
                  <w:tcW w:w="1027" w:type="pct"/>
                  <w:shd w:val="clear" w:color="auto" w:fill="FFFFFF"/>
                  <w:vAlign w:val="center"/>
                </w:tcPr>
                <w:p w14:paraId="5FA4B12D">
                  <w:pPr>
                    <w:pStyle w:val="141"/>
                    <w:rPr>
                      <w:rFonts w:cs="Times New Roman"/>
                      <w:color w:val="auto"/>
                      <w:sz w:val="22"/>
                      <w:szCs w:val="22"/>
                    </w:rPr>
                  </w:pPr>
                  <w:r>
                    <w:rPr>
                      <w:rFonts w:cs="Times New Roman"/>
                      <w:color w:val="auto"/>
                      <w:sz w:val="22"/>
                      <w:szCs w:val="22"/>
                    </w:rPr>
                    <w:t>300</w:t>
                  </w:r>
                </w:p>
              </w:tc>
              <w:tc>
                <w:tcPr>
                  <w:tcW w:w="989" w:type="pct"/>
                  <w:shd w:val="clear" w:color="auto" w:fill="FFFFFF"/>
                  <w:vAlign w:val="center"/>
                </w:tcPr>
                <w:p w14:paraId="5C446A59">
                  <w:pPr>
                    <w:pStyle w:val="141"/>
                    <w:rPr>
                      <w:rFonts w:cs="Times New Roman"/>
                      <w:color w:val="auto"/>
                      <w:sz w:val="22"/>
                      <w:szCs w:val="22"/>
                    </w:rPr>
                  </w:pPr>
                  <w:r>
                    <w:rPr>
                      <w:rFonts w:cs="Times New Roman"/>
                      <w:color w:val="auto"/>
                      <w:sz w:val="22"/>
                      <w:szCs w:val="22"/>
                    </w:rPr>
                    <w:t>达标</w:t>
                  </w:r>
                </w:p>
              </w:tc>
            </w:tr>
            <w:tr w14:paraId="2395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71296C2F">
                  <w:pPr>
                    <w:pStyle w:val="141"/>
                    <w:rPr>
                      <w:rFonts w:cs="Times New Roman"/>
                      <w:color w:val="auto"/>
                      <w:sz w:val="22"/>
                      <w:szCs w:val="22"/>
                    </w:rPr>
                  </w:pPr>
                </w:p>
              </w:tc>
              <w:tc>
                <w:tcPr>
                  <w:tcW w:w="1300" w:type="pct"/>
                  <w:shd w:val="clear" w:color="auto" w:fill="FFFFFF"/>
                  <w:vAlign w:val="center"/>
                </w:tcPr>
                <w:p w14:paraId="5575DE0E">
                  <w:pPr>
                    <w:pStyle w:val="141"/>
                    <w:rPr>
                      <w:rFonts w:cs="Times New Roman"/>
                      <w:color w:val="auto"/>
                      <w:sz w:val="22"/>
                      <w:szCs w:val="22"/>
                    </w:rPr>
                  </w:pPr>
                  <w:r>
                    <w:rPr>
                      <w:rFonts w:cs="Times New Roman"/>
                      <w:color w:val="auto"/>
                      <w:sz w:val="22"/>
                      <w:szCs w:val="22"/>
                    </w:rPr>
                    <w:t>动植物油</w:t>
                  </w:r>
                </w:p>
              </w:tc>
              <w:tc>
                <w:tcPr>
                  <w:tcW w:w="1067" w:type="pct"/>
                  <w:shd w:val="clear" w:color="auto" w:fill="FFFFFF"/>
                  <w:vAlign w:val="center"/>
                </w:tcPr>
                <w:p w14:paraId="5D324A2C">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0.85~29.9</w:t>
                  </w:r>
                </w:p>
              </w:tc>
              <w:tc>
                <w:tcPr>
                  <w:tcW w:w="1027" w:type="pct"/>
                  <w:shd w:val="clear" w:color="auto" w:fill="FFFFFF"/>
                  <w:vAlign w:val="center"/>
                </w:tcPr>
                <w:p w14:paraId="5F891BE0">
                  <w:pPr>
                    <w:pStyle w:val="141"/>
                    <w:rPr>
                      <w:rFonts w:cs="Times New Roman"/>
                      <w:color w:val="auto"/>
                      <w:sz w:val="22"/>
                      <w:szCs w:val="22"/>
                    </w:rPr>
                  </w:pPr>
                  <w:r>
                    <w:rPr>
                      <w:rFonts w:cs="Times New Roman"/>
                      <w:color w:val="auto"/>
                      <w:sz w:val="22"/>
                      <w:szCs w:val="22"/>
                    </w:rPr>
                    <w:t>100</w:t>
                  </w:r>
                </w:p>
              </w:tc>
              <w:tc>
                <w:tcPr>
                  <w:tcW w:w="989" w:type="pct"/>
                  <w:shd w:val="clear" w:color="auto" w:fill="FFFFFF"/>
                  <w:vAlign w:val="center"/>
                </w:tcPr>
                <w:p w14:paraId="6096CB36">
                  <w:pPr>
                    <w:pStyle w:val="141"/>
                    <w:rPr>
                      <w:rFonts w:cs="Times New Roman"/>
                      <w:color w:val="auto"/>
                      <w:sz w:val="22"/>
                      <w:szCs w:val="22"/>
                    </w:rPr>
                  </w:pPr>
                  <w:r>
                    <w:rPr>
                      <w:rFonts w:cs="Times New Roman"/>
                      <w:color w:val="auto"/>
                      <w:sz w:val="22"/>
                      <w:szCs w:val="22"/>
                    </w:rPr>
                    <w:t>达标</w:t>
                  </w:r>
                </w:p>
              </w:tc>
            </w:tr>
            <w:tr w14:paraId="25B3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44D3FD9F">
                  <w:pPr>
                    <w:pStyle w:val="141"/>
                    <w:rPr>
                      <w:rFonts w:cs="Times New Roman"/>
                      <w:color w:val="auto"/>
                      <w:sz w:val="22"/>
                      <w:szCs w:val="22"/>
                    </w:rPr>
                  </w:pPr>
                </w:p>
              </w:tc>
              <w:tc>
                <w:tcPr>
                  <w:tcW w:w="1300" w:type="pct"/>
                  <w:shd w:val="clear" w:color="auto" w:fill="FFFFFF"/>
                  <w:vAlign w:val="center"/>
                </w:tcPr>
                <w:p w14:paraId="22EC3F08">
                  <w:pPr>
                    <w:pStyle w:val="141"/>
                    <w:rPr>
                      <w:rFonts w:cs="Times New Roman"/>
                      <w:color w:val="auto"/>
                      <w:sz w:val="22"/>
                      <w:szCs w:val="22"/>
                    </w:rPr>
                  </w:pPr>
                  <w:r>
                    <w:rPr>
                      <w:rFonts w:cs="Times New Roman"/>
                      <w:color w:val="auto"/>
                      <w:sz w:val="22"/>
                      <w:szCs w:val="22"/>
                    </w:rPr>
                    <w:t>总磷</w:t>
                  </w:r>
                </w:p>
              </w:tc>
              <w:tc>
                <w:tcPr>
                  <w:tcW w:w="1067" w:type="pct"/>
                  <w:shd w:val="clear" w:color="auto" w:fill="FFFFFF"/>
                  <w:vAlign w:val="center"/>
                </w:tcPr>
                <w:p w14:paraId="1D86E0BC">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1.2~7.29</w:t>
                  </w:r>
                </w:p>
              </w:tc>
              <w:tc>
                <w:tcPr>
                  <w:tcW w:w="1027" w:type="pct"/>
                  <w:shd w:val="clear" w:color="auto" w:fill="FFFFFF"/>
                  <w:vAlign w:val="center"/>
                </w:tcPr>
                <w:p w14:paraId="729C4D36">
                  <w:pPr>
                    <w:pStyle w:val="141"/>
                    <w:rPr>
                      <w:rFonts w:cs="Times New Roman"/>
                      <w:color w:val="auto"/>
                      <w:sz w:val="22"/>
                      <w:szCs w:val="22"/>
                    </w:rPr>
                  </w:pPr>
                  <w:r>
                    <w:rPr>
                      <w:rFonts w:cs="Times New Roman"/>
                      <w:color w:val="auto"/>
                      <w:sz w:val="22"/>
                      <w:szCs w:val="22"/>
                    </w:rPr>
                    <w:t>8</w:t>
                  </w:r>
                </w:p>
              </w:tc>
              <w:tc>
                <w:tcPr>
                  <w:tcW w:w="989" w:type="pct"/>
                  <w:shd w:val="clear" w:color="auto" w:fill="FFFFFF"/>
                  <w:vAlign w:val="center"/>
                </w:tcPr>
                <w:p w14:paraId="187F73F0">
                  <w:pPr>
                    <w:pStyle w:val="141"/>
                    <w:rPr>
                      <w:rFonts w:cs="Times New Roman"/>
                      <w:color w:val="auto"/>
                      <w:sz w:val="22"/>
                      <w:szCs w:val="22"/>
                    </w:rPr>
                  </w:pPr>
                  <w:r>
                    <w:rPr>
                      <w:rFonts w:cs="Times New Roman"/>
                      <w:color w:val="auto"/>
                      <w:sz w:val="22"/>
                      <w:szCs w:val="22"/>
                    </w:rPr>
                    <w:t>达标</w:t>
                  </w:r>
                </w:p>
              </w:tc>
            </w:tr>
            <w:tr w14:paraId="6708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67" w:hRule="atLeast"/>
                <w:jc w:val="center"/>
              </w:trPr>
              <w:tc>
                <w:tcPr>
                  <w:tcW w:w="614" w:type="pct"/>
                  <w:vMerge w:val="continue"/>
                  <w:shd w:val="clear" w:color="auto" w:fill="FFFFFF"/>
                  <w:vAlign w:val="center"/>
                </w:tcPr>
                <w:p w14:paraId="018C0A94">
                  <w:pPr>
                    <w:pStyle w:val="141"/>
                    <w:rPr>
                      <w:rFonts w:cs="Times New Roman"/>
                      <w:color w:val="auto"/>
                      <w:sz w:val="22"/>
                      <w:szCs w:val="22"/>
                    </w:rPr>
                  </w:pPr>
                </w:p>
              </w:tc>
              <w:tc>
                <w:tcPr>
                  <w:tcW w:w="1300" w:type="pct"/>
                  <w:shd w:val="clear" w:color="auto" w:fill="FFFFFF"/>
                  <w:vAlign w:val="center"/>
                </w:tcPr>
                <w:p w14:paraId="012E6518">
                  <w:pPr>
                    <w:pStyle w:val="141"/>
                    <w:rPr>
                      <w:rFonts w:cs="Times New Roman"/>
                      <w:color w:val="auto"/>
                      <w:sz w:val="22"/>
                      <w:szCs w:val="22"/>
                    </w:rPr>
                  </w:pPr>
                  <w:r>
                    <w:rPr>
                      <w:rFonts w:cs="Times New Roman"/>
                      <w:color w:val="auto"/>
                      <w:sz w:val="22"/>
                      <w:szCs w:val="22"/>
                    </w:rPr>
                    <w:t>总氮</w:t>
                  </w:r>
                </w:p>
              </w:tc>
              <w:tc>
                <w:tcPr>
                  <w:tcW w:w="1067" w:type="pct"/>
                  <w:shd w:val="clear" w:color="auto" w:fill="FFFFFF"/>
                  <w:vAlign w:val="center"/>
                </w:tcPr>
                <w:p w14:paraId="55AD2677">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11.5~66.1</w:t>
                  </w:r>
                </w:p>
              </w:tc>
              <w:tc>
                <w:tcPr>
                  <w:tcW w:w="1027" w:type="pct"/>
                  <w:shd w:val="clear" w:color="auto" w:fill="FFFFFF"/>
                  <w:vAlign w:val="center"/>
                </w:tcPr>
                <w:p w14:paraId="14AB4F48">
                  <w:pPr>
                    <w:pStyle w:val="141"/>
                    <w:rPr>
                      <w:rFonts w:cs="Times New Roman"/>
                      <w:color w:val="auto"/>
                      <w:sz w:val="22"/>
                      <w:szCs w:val="22"/>
                    </w:rPr>
                  </w:pPr>
                  <w:r>
                    <w:rPr>
                      <w:rFonts w:cs="Times New Roman"/>
                      <w:color w:val="auto"/>
                      <w:sz w:val="22"/>
                      <w:szCs w:val="22"/>
                    </w:rPr>
                    <w:t>70</w:t>
                  </w:r>
                </w:p>
              </w:tc>
              <w:tc>
                <w:tcPr>
                  <w:tcW w:w="989" w:type="pct"/>
                  <w:shd w:val="clear" w:color="auto" w:fill="FFFFFF"/>
                  <w:vAlign w:val="center"/>
                </w:tcPr>
                <w:p w14:paraId="62CD12C9">
                  <w:pPr>
                    <w:pStyle w:val="141"/>
                    <w:rPr>
                      <w:rFonts w:cs="Times New Roman"/>
                      <w:color w:val="auto"/>
                      <w:sz w:val="22"/>
                      <w:szCs w:val="22"/>
                    </w:rPr>
                  </w:pPr>
                  <w:r>
                    <w:rPr>
                      <w:rFonts w:cs="Times New Roman"/>
                      <w:color w:val="auto"/>
                      <w:sz w:val="22"/>
                      <w:szCs w:val="22"/>
                    </w:rPr>
                    <w:t>达标</w:t>
                  </w:r>
                </w:p>
              </w:tc>
            </w:tr>
          </w:tbl>
          <w:p w14:paraId="0152AC20">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lang w:val="en-US" w:eastAsia="zh-CN"/>
              </w:rPr>
              <w:t xml:space="preserve">9  </w:t>
            </w:r>
            <w:r>
              <w:rPr>
                <w:rFonts w:eastAsia="宋体"/>
                <w:color w:val="auto"/>
                <w:sz w:val="26"/>
                <w:szCs w:val="26"/>
              </w:rPr>
              <w:t>东地块废水排放及达标情况统计表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1036"/>
              <w:gridCol w:w="2163"/>
              <w:gridCol w:w="1796"/>
              <w:gridCol w:w="1730"/>
              <w:gridCol w:w="1666"/>
            </w:tblGrid>
            <w:tr w14:paraId="6DD8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12" w:hRule="atLeast"/>
                <w:jc w:val="center"/>
              </w:trPr>
              <w:tc>
                <w:tcPr>
                  <w:tcW w:w="617" w:type="pct"/>
                  <w:vMerge w:val="restart"/>
                  <w:shd w:val="clear" w:color="auto" w:fill="FFFFFF"/>
                  <w:vAlign w:val="center"/>
                </w:tcPr>
                <w:p w14:paraId="303B6446">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监测位置</w:t>
                  </w:r>
                </w:p>
              </w:tc>
              <w:tc>
                <w:tcPr>
                  <w:tcW w:w="1288" w:type="pct"/>
                  <w:vMerge w:val="restart"/>
                  <w:shd w:val="clear" w:color="auto" w:fill="FFFFFF"/>
                  <w:vAlign w:val="center"/>
                </w:tcPr>
                <w:p w14:paraId="57BFD9E5">
                  <w:pPr>
                    <w:pStyle w:val="141"/>
                    <w:rPr>
                      <w:rFonts w:cs="Times New Roman"/>
                      <w:color w:val="auto"/>
                      <w:sz w:val="22"/>
                      <w:szCs w:val="22"/>
                    </w:rPr>
                  </w:pPr>
                  <w:r>
                    <w:rPr>
                      <w:rFonts w:cs="Times New Roman"/>
                      <w:color w:val="auto"/>
                      <w:sz w:val="22"/>
                      <w:szCs w:val="22"/>
                    </w:rPr>
                    <w:t>污染因子</w:t>
                  </w:r>
                </w:p>
              </w:tc>
              <w:tc>
                <w:tcPr>
                  <w:tcW w:w="1070" w:type="pct"/>
                  <w:vMerge w:val="restart"/>
                  <w:shd w:val="clear" w:color="auto" w:fill="FFFFFF"/>
                  <w:vAlign w:val="center"/>
                </w:tcPr>
                <w:p w14:paraId="7E87FF63">
                  <w:pPr>
                    <w:pStyle w:val="141"/>
                    <w:rPr>
                      <w:rFonts w:cs="Times New Roman"/>
                      <w:color w:val="auto"/>
                      <w:sz w:val="22"/>
                      <w:szCs w:val="22"/>
                    </w:rPr>
                  </w:pPr>
                  <w:r>
                    <w:rPr>
                      <w:rFonts w:cs="Times New Roman"/>
                      <w:color w:val="auto"/>
                      <w:sz w:val="22"/>
                      <w:szCs w:val="22"/>
                    </w:rPr>
                    <w:t>排放浓度（mg/L）</w:t>
                  </w:r>
                </w:p>
              </w:tc>
              <w:tc>
                <w:tcPr>
                  <w:tcW w:w="1030" w:type="pct"/>
                  <w:vMerge w:val="restart"/>
                  <w:shd w:val="clear" w:color="auto" w:fill="FFFFFF"/>
                  <w:vAlign w:val="center"/>
                </w:tcPr>
                <w:p w14:paraId="2655D560">
                  <w:pPr>
                    <w:pStyle w:val="141"/>
                    <w:rPr>
                      <w:rFonts w:cs="Times New Roman"/>
                      <w:color w:val="auto"/>
                      <w:sz w:val="22"/>
                      <w:szCs w:val="22"/>
                    </w:rPr>
                  </w:pPr>
                  <w:r>
                    <w:rPr>
                      <w:rFonts w:cs="Times New Roman"/>
                      <w:color w:val="auto"/>
                      <w:sz w:val="22"/>
                      <w:szCs w:val="22"/>
                    </w:rPr>
                    <w:t>排放标准（mg/L）</w:t>
                  </w:r>
                </w:p>
              </w:tc>
              <w:tc>
                <w:tcPr>
                  <w:tcW w:w="992" w:type="pct"/>
                  <w:vMerge w:val="restart"/>
                  <w:shd w:val="clear" w:color="auto" w:fill="FFFFFF"/>
                  <w:vAlign w:val="center"/>
                </w:tcPr>
                <w:p w14:paraId="39C36C21">
                  <w:pPr>
                    <w:pStyle w:val="141"/>
                    <w:rPr>
                      <w:rFonts w:cs="Times New Roman"/>
                      <w:color w:val="auto"/>
                      <w:sz w:val="22"/>
                      <w:szCs w:val="22"/>
                    </w:rPr>
                  </w:pPr>
                  <w:r>
                    <w:rPr>
                      <w:rFonts w:cs="Times New Roman"/>
                      <w:color w:val="auto"/>
                      <w:sz w:val="22"/>
                      <w:szCs w:val="22"/>
                    </w:rPr>
                    <w:t>达标情况</w:t>
                  </w:r>
                </w:p>
              </w:tc>
            </w:tr>
            <w:tr w14:paraId="1017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617" w:type="pct"/>
                  <w:vMerge w:val="continue"/>
                  <w:shd w:val="clear" w:color="auto" w:fill="FFFFFF"/>
                  <w:vAlign w:val="center"/>
                </w:tcPr>
                <w:p w14:paraId="3E614A51">
                  <w:pPr>
                    <w:pStyle w:val="141"/>
                    <w:rPr>
                      <w:rFonts w:cs="Times New Roman"/>
                      <w:color w:val="auto"/>
                      <w:sz w:val="22"/>
                      <w:szCs w:val="22"/>
                    </w:rPr>
                  </w:pPr>
                </w:p>
              </w:tc>
              <w:tc>
                <w:tcPr>
                  <w:tcW w:w="1288" w:type="pct"/>
                  <w:vMerge w:val="continue"/>
                  <w:shd w:val="clear" w:color="auto" w:fill="FFFFFF"/>
                  <w:vAlign w:val="center"/>
                </w:tcPr>
                <w:p w14:paraId="0C9389BF">
                  <w:pPr>
                    <w:pStyle w:val="141"/>
                    <w:rPr>
                      <w:rFonts w:cs="Times New Roman"/>
                      <w:color w:val="auto"/>
                      <w:sz w:val="22"/>
                      <w:szCs w:val="22"/>
                    </w:rPr>
                  </w:pPr>
                </w:p>
              </w:tc>
              <w:tc>
                <w:tcPr>
                  <w:tcW w:w="1070" w:type="pct"/>
                  <w:vMerge w:val="continue"/>
                  <w:shd w:val="clear" w:color="auto" w:fill="FFFFFF"/>
                  <w:vAlign w:val="center"/>
                </w:tcPr>
                <w:p w14:paraId="427DC584">
                  <w:pPr>
                    <w:pStyle w:val="141"/>
                    <w:rPr>
                      <w:rFonts w:cs="Times New Roman"/>
                      <w:color w:val="auto"/>
                      <w:sz w:val="22"/>
                      <w:szCs w:val="22"/>
                    </w:rPr>
                  </w:pPr>
                </w:p>
              </w:tc>
              <w:tc>
                <w:tcPr>
                  <w:tcW w:w="1030" w:type="pct"/>
                  <w:vMerge w:val="continue"/>
                  <w:shd w:val="clear" w:color="auto" w:fill="FFFFFF"/>
                  <w:vAlign w:val="center"/>
                </w:tcPr>
                <w:p w14:paraId="19504389">
                  <w:pPr>
                    <w:pStyle w:val="141"/>
                    <w:rPr>
                      <w:rFonts w:cs="Times New Roman"/>
                      <w:color w:val="auto"/>
                      <w:sz w:val="22"/>
                      <w:szCs w:val="22"/>
                    </w:rPr>
                  </w:pPr>
                </w:p>
              </w:tc>
              <w:tc>
                <w:tcPr>
                  <w:tcW w:w="992" w:type="pct"/>
                  <w:vMerge w:val="continue"/>
                  <w:shd w:val="clear" w:color="auto" w:fill="FFFFFF"/>
                  <w:vAlign w:val="center"/>
                </w:tcPr>
                <w:p w14:paraId="39522D51">
                  <w:pPr>
                    <w:pStyle w:val="141"/>
                    <w:rPr>
                      <w:rFonts w:cs="Times New Roman"/>
                      <w:color w:val="auto"/>
                      <w:sz w:val="22"/>
                      <w:szCs w:val="22"/>
                    </w:rPr>
                  </w:pPr>
                </w:p>
              </w:tc>
            </w:tr>
            <w:tr w14:paraId="19B5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17" w:type="pct"/>
                  <w:vMerge w:val="restart"/>
                  <w:shd w:val="clear" w:color="auto" w:fill="FFFFFF"/>
                  <w:vAlign w:val="center"/>
                </w:tcPr>
                <w:p w14:paraId="1B6F1959">
                  <w:pPr>
                    <w:pStyle w:val="141"/>
                    <w:rPr>
                      <w:rFonts w:hint="default" w:eastAsia="宋体" w:cs="Times New Roman"/>
                      <w:color w:val="auto"/>
                      <w:sz w:val="22"/>
                      <w:szCs w:val="22"/>
                      <w:lang w:val="en-US" w:eastAsia="zh-CN"/>
                    </w:rPr>
                  </w:pPr>
                  <w:r>
                    <w:rPr>
                      <w:rFonts w:cs="Times New Roman"/>
                      <w:color w:val="auto"/>
                      <w:sz w:val="22"/>
                      <w:szCs w:val="22"/>
                    </w:rPr>
                    <w:t>东地块</w:t>
                  </w:r>
                  <w:r>
                    <w:rPr>
                      <w:rFonts w:hint="eastAsia" w:cs="Times New Roman"/>
                      <w:color w:val="auto"/>
                      <w:sz w:val="22"/>
                      <w:szCs w:val="22"/>
                      <w:lang w:val="en-US" w:eastAsia="zh-CN"/>
                    </w:rPr>
                    <w:t>化粪池排口</w:t>
                  </w:r>
                </w:p>
              </w:tc>
              <w:tc>
                <w:tcPr>
                  <w:tcW w:w="2163" w:type="dxa"/>
                  <w:shd w:val="clear" w:color="auto" w:fill="FFFFFF"/>
                  <w:vAlign w:val="center"/>
                </w:tcPr>
                <w:p w14:paraId="3F5C652C">
                  <w:pPr>
                    <w:pStyle w:val="141"/>
                    <w:rPr>
                      <w:rFonts w:cs="Times New Roman"/>
                      <w:color w:val="auto"/>
                      <w:sz w:val="22"/>
                      <w:szCs w:val="22"/>
                    </w:rPr>
                  </w:pPr>
                  <w:r>
                    <w:rPr>
                      <w:rFonts w:hint="eastAsia" w:cs="Times New Roman"/>
                      <w:color w:val="auto"/>
                      <w:sz w:val="22"/>
                      <w:szCs w:val="22"/>
                      <w:lang w:val="en-US" w:eastAsia="zh-CN"/>
                    </w:rPr>
                    <w:t>pH</w:t>
                  </w:r>
                </w:p>
              </w:tc>
              <w:tc>
                <w:tcPr>
                  <w:tcW w:w="1796" w:type="dxa"/>
                  <w:shd w:val="clear" w:color="auto" w:fill="FFFFFF"/>
                  <w:vAlign w:val="center"/>
                </w:tcPr>
                <w:p w14:paraId="2FFE4A8A">
                  <w:pPr>
                    <w:pStyle w:val="141"/>
                    <w:rPr>
                      <w:rFonts w:cs="Times New Roman"/>
                      <w:color w:val="auto"/>
                      <w:sz w:val="22"/>
                      <w:szCs w:val="22"/>
                    </w:rPr>
                  </w:pPr>
                  <w:r>
                    <w:rPr>
                      <w:rFonts w:hint="eastAsia" w:cs="Times New Roman"/>
                      <w:color w:val="auto"/>
                      <w:sz w:val="22"/>
                      <w:szCs w:val="22"/>
                      <w:lang w:val="en-US" w:eastAsia="zh-CN"/>
                    </w:rPr>
                    <w:t>7.2~7.6</w:t>
                  </w:r>
                </w:p>
              </w:tc>
              <w:tc>
                <w:tcPr>
                  <w:tcW w:w="1730" w:type="dxa"/>
                  <w:shd w:val="clear" w:color="auto" w:fill="FFFFFF"/>
                  <w:vAlign w:val="center"/>
                </w:tcPr>
                <w:p w14:paraId="72AC5D1E">
                  <w:pPr>
                    <w:pStyle w:val="141"/>
                    <w:rPr>
                      <w:rFonts w:cs="Times New Roman"/>
                      <w:color w:val="auto"/>
                      <w:sz w:val="22"/>
                      <w:szCs w:val="22"/>
                    </w:rPr>
                  </w:pPr>
                  <w:r>
                    <w:rPr>
                      <w:rFonts w:hint="eastAsia" w:cs="Times New Roman"/>
                      <w:color w:val="auto"/>
                      <w:sz w:val="22"/>
                      <w:szCs w:val="22"/>
                      <w:lang w:val="en-US" w:eastAsia="zh-CN"/>
                    </w:rPr>
                    <w:t>6~9</w:t>
                  </w:r>
                </w:p>
              </w:tc>
              <w:tc>
                <w:tcPr>
                  <w:tcW w:w="1666" w:type="dxa"/>
                  <w:shd w:val="clear" w:color="auto" w:fill="FFFFFF"/>
                  <w:vAlign w:val="center"/>
                </w:tcPr>
                <w:p w14:paraId="155B65A5">
                  <w:pPr>
                    <w:pStyle w:val="141"/>
                    <w:rPr>
                      <w:rFonts w:cs="Times New Roman"/>
                      <w:color w:val="auto"/>
                      <w:sz w:val="22"/>
                      <w:szCs w:val="22"/>
                    </w:rPr>
                  </w:pPr>
                  <w:r>
                    <w:rPr>
                      <w:rFonts w:cs="Times New Roman"/>
                      <w:color w:val="auto"/>
                      <w:sz w:val="22"/>
                      <w:szCs w:val="22"/>
                    </w:rPr>
                    <w:t>达标</w:t>
                  </w:r>
                </w:p>
              </w:tc>
            </w:tr>
            <w:tr w14:paraId="1C81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22" w:hRule="atLeast"/>
                <w:jc w:val="center"/>
              </w:trPr>
              <w:tc>
                <w:tcPr>
                  <w:tcW w:w="617" w:type="pct"/>
                  <w:vMerge w:val="continue"/>
                  <w:shd w:val="clear" w:color="auto" w:fill="FFFFFF"/>
                  <w:vAlign w:val="center"/>
                </w:tcPr>
                <w:p w14:paraId="2F434D9A">
                  <w:pPr>
                    <w:pStyle w:val="141"/>
                    <w:rPr>
                      <w:rFonts w:hint="default" w:eastAsia="宋体" w:cs="Times New Roman"/>
                      <w:color w:val="auto"/>
                      <w:sz w:val="22"/>
                      <w:szCs w:val="22"/>
                      <w:lang w:val="en-US" w:eastAsia="zh-CN"/>
                    </w:rPr>
                  </w:pPr>
                </w:p>
              </w:tc>
              <w:tc>
                <w:tcPr>
                  <w:tcW w:w="1288" w:type="pct"/>
                  <w:shd w:val="clear" w:color="auto" w:fill="FFFFFF"/>
                  <w:vAlign w:val="center"/>
                </w:tcPr>
                <w:p w14:paraId="36E0A78A">
                  <w:pPr>
                    <w:pStyle w:val="141"/>
                    <w:rPr>
                      <w:rFonts w:cs="Times New Roman"/>
                      <w:color w:val="auto"/>
                      <w:sz w:val="22"/>
                      <w:szCs w:val="22"/>
                    </w:rPr>
                  </w:pPr>
                  <w:r>
                    <w:rPr>
                      <w:rFonts w:cs="Times New Roman"/>
                      <w:color w:val="auto"/>
                      <w:sz w:val="22"/>
                      <w:szCs w:val="22"/>
                    </w:rPr>
                    <w:t>氨氮</w:t>
                  </w:r>
                </w:p>
              </w:tc>
              <w:tc>
                <w:tcPr>
                  <w:tcW w:w="1070" w:type="pct"/>
                  <w:shd w:val="clear" w:color="auto" w:fill="FFFFFF"/>
                  <w:vAlign w:val="center"/>
                </w:tcPr>
                <w:p w14:paraId="3FA17071">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5.86~36.9</w:t>
                  </w:r>
                </w:p>
              </w:tc>
              <w:tc>
                <w:tcPr>
                  <w:tcW w:w="1030" w:type="pct"/>
                  <w:shd w:val="clear" w:color="auto" w:fill="FFFFFF"/>
                  <w:vAlign w:val="center"/>
                </w:tcPr>
                <w:p w14:paraId="23F8BFF5">
                  <w:pPr>
                    <w:pStyle w:val="141"/>
                    <w:rPr>
                      <w:rFonts w:cs="Times New Roman"/>
                      <w:color w:val="auto"/>
                      <w:sz w:val="22"/>
                      <w:szCs w:val="22"/>
                    </w:rPr>
                  </w:pPr>
                  <w:r>
                    <w:rPr>
                      <w:rFonts w:cs="Times New Roman"/>
                      <w:color w:val="auto"/>
                      <w:sz w:val="22"/>
                      <w:szCs w:val="22"/>
                    </w:rPr>
                    <w:t>45</w:t>
                  </w:r>
                </w:p>
              </w:tc>
              <w:tc>
                <w:tcPr>
                  <w:tcW w:w="992" w:type="pct"/>
                  <w:shd w:val="clear" w:color="auto" w:fill="FFFFFF"/>
                  <w:vAlign w:val="center"/>
                </w:tcPr>
                <w:p w14:paraId="18BA4CCA">
                  <w:pPr>
                    <w:pStyle w:val="141"/>
                    <w:rPr>
                      <w:rFonts w:cs="Times New Roman"/>
                      <w:color w:val="auto"/>
                      <w:sz w:val="22"/>
                      <w:szCs w:val="22"/>
                    </w:rPr>
                  </w:pPr>
                  <w:r>
                    <w:rPr>
                      <w:rFonts w:cs="Times New Roman"/>
                      <w:color w:val="auto"/>
                      <w:sz w:val="22"/>
                      <w:szCs w:val="22"/>
                    </w:rPr>
                    <w:t>达标</w:t>
                  </w:r>
                </w:p>
              </w:tc>
            </w:tr>
            <w:tr w14:paraId="10B8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22" w:hRule="atLeast"/>
                <w:jc w:val="center"/>
              </w:trPr>
              <w:tc>
                <w:tcPr>
                  <w:tcW w:w="617" w:type="pct"/>
                  <w:vMerge w:val="continue"/>
                  <w:shd w:val="clear" w:color="auto" w:fill="FFFFFF"/>
                  <w:vAlign w:val="center"/>
                </w:tcPr>
                <w:p w14:paraId="492F0C46">
                  <w:pPr>
                    <w:pStyle w:val="141"/>
                    <w:rPr>
                      <w:rFonts w:cs="Times New Roman"/>
                      <w:color w:val="auto"/>
                      <w:sz w:val="22"/>
                      <w:szCs w:val="22"/>
                    </w:rPr>
                  </w:pPr>
                </w:p>
              </w:tc>
              <w:tc>
                <w:tcPr>
                  <w:tcW w:w="1288" w:type="pct"/>
                  <w:shd w:val="clear" w:color="auto" w:fill="FFFFFF"/>
                  <w:vAlign w:val="center"/>
                </w:tcPr>
                <w:p w14:paraId="72D76BD4">
                  <w:pPr>
                    <w:pStyle w:val="141"/>
                    <w:rPr>
                      <w:rFonts w:cs="Times New Roman"/>
                      <w:color w:val="auto"/>
                      <w:sz w:val="22"/>
                      <w:szCs w:val="22"/>
                    </w:rPr>
                  </w:pPr>
                  <w:r>
                    <w:rPr>
                      <w:rFonts w:cs="Times New Roman"/>
                      <w:color w:val="auto"/>
                      <w:sz w:val="22"/>
                      <w:szCs w:val="22"/>
                    </w:rPr>
                    <w:t>悬浮物</w:t>
                  </w:r>
                </w:p>
              </w:tc>
              <w:tc>
                <w:tcPr>
                  <w:tcW w:w="1070" w:type="pct"/>
                  <w:shd w:val="clear" w:color="auto" w:fill="FFFFFF"/>
                  <w:vAlign w:val="center"/>
                </w:tcPr>
                <w:p w14:paraId="1A021B49">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20.9~326</w:t>
                  </w:r>
                </w:p>
              </w:tc>
              <w:tc>
                <w:tcPr>
                  <w:tcW w:w="1030" w:type="pct"/>
                  <w:shd w:val="clear" w:color="auto" w:fill="FFFFFF"/>
                  <w:vAlign w:val="center"/>
                </w:tcPr>
                <w:p w14:paraId="07B1B558">
                  <w:pPr>
                    <w:pStyle w:val="141"/>
                    <w:rPr>
                      <w:rFonts w:cs="Times New Roman"/>
                      <w:color w:val="auto"/>
                      <w:sz w:val="22"/>
                      <w:szCs w:val="22"/>
                    </w:rPr>
                  </w:pPr>
                  <w:r>
                    <w:rPr>
                      <w:rFonts w:cs="Times New Roman"/>
                      <w:color w:val="auto"/>
                      <w:sz w:val="22"/>
                      <w:szCs w:val="22"/>
                    </w:rPr>
                    <w:t>400</w:t>
                  </w:r>
                </w:p>
              </w:tc>
              <w:tc>
                <w:tcPr>
                  <w:tcW w:w="992" w:type="pct"/>
                  <w:shd w:val="clear" w:color="auto" w:fill="FFFFFF"/>
                  <w:vAlign w:val="center"/>
                </w:tcPr>
                <w:p w14:paraId="2B62AB02">
                  <w:pPr>
                    <w:pStyle w:val="141"/>
                    <w:rPr>
                      <w:rFonts w:cs="Times New Roman"/>
                      <w:color w:val="auto"/>
                      <w:sz w:val="22"/>
                      <w:szCs w:val="22"/>
                    </w:rPr>
                  </w:pPr>
                  <w:r>
                    <w:rPr>
                      <w:rFonts w:cs="Times New Roman"/>
                      <w:color w:val="auto"/>
                      <w:sz w:val="22"/>
                      <w:szCs w:val="22"/>
                    </w:rPr>
                    <w:t>达标</w:t>
                  </w:r>
                </w:p>
              </w:tc>
            </w:tr>
            <w:tr w14:paraId="543A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22" w:hRule="atLeast"/>
                <w:jc w:val="center"/>
              </w:trPr>
              <w:tc>
                <w:tcPr>
                  <w:tcW w:w="617" w:type="pct"/>
                  <w:vMerge w:val="continue"/>
                  <w:shd w:val="clear" w:color="auto" w:fill="FFFFFF"/>
                  <w:vAlign w:val="center"/>
                </w:tcPr>
                <w:p w14:paraId="04B7E6D7">
                  <w:pPr>
                    <w:pStyle w:val="141"/>
                    <w:rPr>
                      <w:rFonts w:cs="Times New Roman"/>
                      <w:color w:val="auto"/>
                      <w:sz w:val="22"/>
                      <w:szCs w:val="22"/>
                    </w:rPr>
                  </w:pPr>
                </w:p>
              </w:tc>
              <w:tc>
                <w:tcPr>
                  <w:tcW w:w="1288" w:type="pct"/>
                  <w:shd w:val="clear" w:color="auto" w:fill="FFFFFF"/>
                  <w:vAlign w:val="center"/>
                </w:tcPr>
                <w:p w14:paraId="29AEA1AF">
                  <w:pPr>
                    <w:pStyle w:val="141"/>
                    <w:rPr>
                      <w:rFonts w:cs="Times New Roman"/>
                      <w:color w:val="auto"/>
                      <w:sz w:val="22"/>
                      <w:szCs w:val="22"/>
                    </w:rPr>
                  </w:pPr>
                  <w:r>
                    <w:rPr>
                      <w:rFonts w:cs="Times New Roman"/>
                      <w:color w:val="auto"/>
                      <w:sz w:val="22"/>
                      <w:szCs w:val="22"/>
                    </w:rPr>
                    <w:t>化学需氧量</w:t>
                  </w:r>
                </w:p>
              </w:tc>
              <w:tc>
                <w:tcPr>
                  <w:tcW w:w="1070" w:type="pct"/>
                  <w:shd w:val="clear" w:color="auto" w:fill="FFFFFF"/>
                  <w:vAlign w:val="center"/>
                </w:tcPr>
                <w:p w14:paraId="09EE64DD">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31~330</w:t>
                  </w:r>
                </w:p>
              </w:tc>
              <w:tc>
                <w:tcPr>
                  <w:tcW w:w="1030" w:type="pct"/>
                  <w:shd w:val="clear" w:color="auto" w:fill="FFFFFF"/>
                  <w:vAlign w:val="center"/>
                </w:tcPr>
                <w:p w14:paraId="547125BB">
                  <w:pPr>
                    <w:pStyle w:val="141"/>
                    <w:rPr>
                      <w:rFonts w:cs="Times New Roman"/>
                      <w:color w:val="auto"/>
                      <w:sz w:val="22"/>
                      <w:szCs w:val="22"/>
                    </w:rPr>
                  </w:pPr>
                  <w:r>
                    <w:rPr>
                      <w:rFonts w:cs="Times New Roman"/>
                      <w:color w:val="auto"/>
                      <w:sz w:val="22"/>
                      <w:szCs w:val="22"/>
                    </w:rPr>
                    <w:t>500</w:t>
                  </w:r>
                </w:p>
              </w:tc>
              <w:tc>
                <w:tcPr>
                  <w:tcW w:w="992" w:type="pct"/>
                  <w:shd w:val="clear" w:color="auto" w:fill="FFFFFF"/>
                  <w:vAlign w:val="center"/>
                </w:tcPr>
                <w:p w14:paraId="0822217D">
                  <w:pPr>
                    <w:pStyle w:val="141"/>
                    <w:rPr>
                      <w:rFonts w:cs="Times New Roman"/>
                      <w:color w:val="auto"/>
                      <w:sz w:val="22"/>
                      <w:szCs w:val="22"/>
                    </w:rPr>
                  </w:pPr>
                  <w:r>
                    <w:rPr>
                      <w:rFonts w:cs="Times New Roman"/>
                      <w:color w:val="auto"/>
                      <w:sz w:val="22"/>
                      <w:szCs w:val="22"/>
                    </w:rPr>
                    <w:t>达标</w:t>
                  </w:r>
                </w:p>
              </w:tc>
            </w:tr>
            <w:tr w14:paraId="2D66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617" w:type="pct"/>
                  <w:vMerge w:val="continue"/>
                  <w:shd w:val="clear" w:color="auto" w:fill="FFFFFF"/>
                  <w:vAlign w:val="center"/>
                </w:tcPr>
                <w:p w14:paraId="696BB7A5">
                  <w:pPr>
                    <w:pStyle w:val="141"/>
                    <w:rPr>
                      <w:rFonts w:cs="Times New Roman"/>
                      <w:color w:val="auto"/>
                      <w:sz w:val="22"/>
                      <w:szCs w:val="22"/>
                    </w:rPr>
                  </w:pPr>
                </w:p>
              </w:tc>
              <w:tc>
                <w:tcPr>
                  <w:tcW w:w="1288" w:type="pct"/>
                  <w:shd w:val="clear" w:color="auto" w:fill="FFFFFF"/>
                  <w:vAlign w:val="center"/>
                </w:tcPr>
                <w:p w14:paraId="35842A1A">
                  <w:pPr>
                    <w:pStyle w:val="141"/>
                    <w:rPr>
                      <w:rFonts w:cs="Times New Roman"/>
                      <w:color w:val="auto"/>
                      <w:sz w:val="22"/>
                      <w:szCs w:val="22"/>
                    </w:rPr>
                  </w:pPr>
                  <w:r>
                    <w:rPr>
                      <w:rFonts w:cs="Times New Roman"/>
                      <w:color w:val="auto"/>
                      <w:sz w:val="22"/>
                      <w:szCs w:val="22"/>
                    </w:rPr>
                    <w:t>五日生化需氧量</w:t>
                  </w:r>
                </w:p>
              </w:tc>
              <w:tc>
                <w:tcPr>
                  <w:tcW w:w="1070" w:type="pct"/>
                  <w:shd w:val="clear" w:color="auto" w:fill="FFFFFF"/>
                  <w:vAlign w:val="center"/>
                </w:tcPr>
                <w:p w14:paraId="6627E513">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6.7~73</w:t>
                  </w:r>
                </w:p>
              </w:tc>
              <w:tc>
                <w:tcPr>
                  <w:tcW w:w="1030" w:type="pct"/>
                  <w:shd w:val="clear" w:color="auto" w:fill="FFFFFF"/>
                  <w:vAlign w:val="center"/>
                </w:tcPr>
                <w:p w14:paraId="093AB612">
                  <w:pPr>
                    <w:pStyle w:val="141"/>
                    <w:rPr>
                      <w:rFonts w:cs="Times New Roman"/>
                      <w:color w:val="auto"/>
                      <w:sz w:val="22"/>
                      <w:szCs w:val="22"/>
                    </w:rPr>
                  </w:pPr>
                  <w:r>
                    <w:rPr>
                      <w:rFonts w:cs="Times New Roman"/>
                      <w:color w:val="auto"/>
                      <w:sz w:val="22"/>
                      <w:szCs w:val="22"/>
                    </w:rPr>
                    <w:t>300</w:t>
                  </w:r>
                </w:p>
              </w:tc>
              <w:tc>
                <w:tcPr>
                  <w:tcW w:w="992" w:type="pct"/>
                  <w:shd w:val="clear" w:color="auto" w:fill="FFFFFF"/>
                  <w:vAlign w:val="center"/>
                </w:tcPr>
                <w:p w14:paraId="7708A518">
                  <w:pPr>
                    <w:pStyle w:val="141"/>
                    <w:rPr>
                      <w:rFonts w:cs="Times New Roman"/>
                      <w:color w:val="auto"/>
                      <w:sz w:val="22"/>
                      <w:szCs w:val="22"/>
                    </w:rPr>
                  </w:pPr>
                  <w:r>
                    <w:rPr>
                      <w:rFonts w:cs="Times New Roman"/>
                      <w:color w:val="auto"/>
                      <w:sz w:val="22"/>
                      <w:szCs w:val="22"/>
                    </w:rPr>
                    <w:t>达标</w:t>
                  </w:r>
                </w:p>
              </w:tc>
            </w:tr>
            <w:tr w14:paraId="2371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 w:hRule="atLeast"/>
                <w:jc w:val="center"/>
              </w:trPr>
              <w:tc>
                <w:tcPr>
                  <w:tcW w:w="617" w:type="pct"/>
                  <w:vMerge w:val="continue"/>
                  <w:shd w:val="clear" w:color="auto" w:fill="FFFFFF"/>
                  <w:vAlign w:val="center"/>
                </w:tcPr>
                <w:p w14:paraId="7B555B19">
                  <w:pPr>
                    <w:pStyle w:val="141"/>
                    <w:rPr>
                      <w:rFonts w:cs="Times New Roman"/>
                      <w:color w:val="auto"/>
                      <w:sz w:val="22"/>
                      <w:szCs w:val="22"/>
                    </w:rPr>
                  </w:pPr>
                </w:p>
              </w:tc>
              <w:tc>
                <w:tcPr>
                  <w:tcW w:w="1288" w:type="pct"/>
                  <w:shd w:val="clear" w:color="auto" w:fill="FFFFFF"/>
                  <w:vAlign w:val="center"/>
                </w:tcPr>
                <w:p w14:paraId="069A2395">
                  <w:pPr>
                    <w:pStyle w:val="141"/>
                    <w:rPr>
                      <w:rFonts w:cs="Times New Roman"/>
                      <w:color w:val="auto"/>
                      <w:sz w:val="22"/>
                      <w:szCs w:val="22"/>
                    </w:rPr>
                  </w:pPr>
                  <w:r>
                    <w:rPr>
                      <w:rFonts w:cs="Times New Roman"/>
                      <w:color w:val="auto"/>
                      <w:sz w:val="22"/>
                      <w:szCs w:val="22"/>
                    </w:rPr>
                    <w:t>动植物油</w:t>
                  </w:r>
                </w:p>
              </w:tc>
              <w:tc>
                <w:tcPr>
                  <w:tcW w:w="1070" w:type="pct"/>
                  <w:shd w:val="clear" w:color="auto" w:fill="FFFFFF"/>
                  <w:vAlign w:val="center"/>
                </w:tcPr>
                <w:p w14:paraId="43F7921A">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0.17~15.6</w:t>
                  </w:r>
                </w:p>
              </w:tc>
              <w:tc>
                <w:tcPr>
                  <w:tcW w:w="1030" w:type="pct"/>
                  <w:shd w:val="clear" w:color="auto" w:fill="FFFFFF"/>
                  <w:vAlign w:val="center"/>
                </w:tcPr>
                <w:p w14:paraId="65F53843">
                  <w:pPr>
                    <w:pStyle w:val="141"/>
                    <w:rPr>
                      <w:rFonts w:cs="Times New Roman"/>
                      <w:color w:val="auto"/>
                      <w:sz w:val="22"/>
                      <w:szCs w:val="22"/>
                    </w:rPr>
                  </w:pPr>
                  <w:r>
                    <w:rPr>
                      <w:rFonts w:cs="Times New Roman"/>
                      <w:color w:val="auto"/>
                      <w:sz w:val="22"/>
                      <w:szCs w:val="22"/>
                    </w:rPr>
                    <w:t>100</w:t>
                  </w:r>
                </w:p>
              </w:tc>
              <w:tc>
                <w:tcPr>
                  <w:tcW w:w="992" w:type="pct"/>
                  <w:shd w:val="clear" w:color="auto" w:fill="FFFFFF"/>
                  <w:vAlign w:val="center"/>
                </w:tcPr>
                <w:p w14:paraId="6B8C61D2">
                  <w:pPr>
                    <w:pStyle w:val="141"/>
                    <w:rPr>
                      <w:rFonts w:cs="Times New Roman"/>
                      <w:color w:val="auto"/>
                      <w:sz w:val="22"/>
                      <w:szCs w:val="22"/>
                    </w:rPr>
                  </w:pPr>
                  <w:r>
                    <w:rPr>
                      <w:rFonts w:cs="Times New Roman"/>
                      <w:color w:val="auto"/>
                      <w:sz w:val="22"/>
                      <w:szCs w:val="22"/>
                    </w:rPr>
                    <w:t>达标</w:t>
                  </w:r>
                </w:p>
              </w:tc>
            </w:tr>
            <w:tr w14:paraId="7E1F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22" w:hRule="atLeast"/>
                <w:jc w:val="center"/>
              </w:trPr>
              <w:tc>
                <w:tcPr>
                  <w:tcW w:w="617" w:type="pct"/>
                  <w:vMerge w:val="continue"/>
                  <w:shd w:val="clear" w:color="auto" w:fill="FFFFFF"/>
                  <w:vAlign w:val="center"/>
                </w:tcPr>
                <w:p w14:paraId="7244D8D7">
                  <w:pPr>
                    <w:pStyle w:val="141"/>
                    <w:rPr>
                      <w:rFonts w:cs="Times New Roman"/>
                      <w:color w:val="auto"/>
                      <w:sz w:val="22"/>
                      <w:szCs w:val="22"/>
                    </w:rPr>
                  </w:pPr>
                </w:p>
              </w:tc>
              <w:tc>
                <w:tcPr>
                  <w:tcW w:w="1288" w:type="pct"/>
                  <w:shd w:val="clear" w:color="auto" w:fill="FFFFFF"/>
                  <w:vAlign w:val="center"/>
                </w:tcPr>
                <w:p w14:paraId="03C611F4">
                  <w:pPr>
                    <w:pStyle w:val="141"/>
                    <w:rPr>
                      <w:rFonts w:cs="Times New Roman"/>
                      <w:color w:val="auto"/>
                      <w:sz w:val="22"/>
                      <w:szCs w:val="22"/>
                    </w:rPr>
                  </w:pPr>
                  <w:r>
                    <w:rPr>
                      <w:rFonts w:cs="Times New Roman"/>
                      <w:color w:val="auto"/>
                      <w:sz w:val="22"/>
                      <w:szCs w:val="22"/>
                    </w:rPr>
                    <w:t>总磷</w:t>
                  </w:r>
                </w:p>
              </w:tc>
              <w:tc>
                <w:tcPr>
                  <w:tcW w:w="1070" w:type="pct"/>
                  <w:shd w:val="clear" w:color="auto" w:fill="FFFFFF"/>
                  <w:vAlign w:val="center"/>
                </w:tcPr>
                <w:p w14:paraId="3300A94A">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0.95~3.36</w:t>
                  </w:r>
                </w:p>
              </w:tc>
              <w:tc>
                <w:tcPr>
                  <w:tcW w:w="1030" w:type="pct"/>
                  <w:shd w:val="clear" w:color="auto" w:fill="FFFFFF"/>
                  <w:vAlign w:val="center"/>
                </w:tcPr>
                <w:p w14:paraId="7F9AFF83">
                  <w:pPr>
                    <w:pStyle w:val="141"/>
                    <w:rPr>
                      <w:rFonts w:cs="Times New Roman"/>
                      <w:color w:val="auto"/>
                      <w:sz w:val="22"/>
                      <w:szCs w:val="22"/>
                    </w:rPr>
                  </w:pPr>
                  <w:r>
                    <w:rPr>
                      <w:rFonts w:cs="Times New Roman"/>
                      <w:color w:val="auto"/>
                      <w:sz w:val="22"/>
                      <w:szCs w:val="22"/>
                    </w:rPr>
                    <w:t>8</w:t>
                  </w:r>
                </w:p>
              </w:tc>
              <w:tc>
                <w:tcPr>
                  <w:tcW w:w="992" w:type="pct"/>
                  <w:shd w:val="clear" w:color="auto" w:fill="FFFFFF"/>
                  <w:vAlign w:val="center"/>
                </w:tcPr>
                <w:p w14:paraId="7E3869C4">
                  <w:pPr>
                    <w:pStyle w:val="141"/>
                    <w:rPr>
                      <w:rFonts w:cs="Times New Roman"/>
                      <w:color w:val="auto"/>
                      <w:sz w:val="22"/>
                      <w:szCs w:val="22"/>
                    </w:rPr>
                  </w:pPr>
                  <w:r>
                    <w:rPr>
                      <w:rFonts w:cs="Times New Roman"/>
                      <w:color w:val="auto"/>
                      <w:sz w:val="22"/>
                      <w:szCs w:val="22"/>
                    </w:rPr>
                    <w:t>达标</w:t>
                  </w:r>
                </w:p>
              </w:tc>
            </w:tr>
            <w:tr w14:paraId="72A9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617" w:type="pct"/>
                  <w:vMerge w:val="continue"/>
                  <w:shd w:val="clear" w:color="auto" w:fill="FFFFFF"/>
                  <w:vAlign w:val="center"/>
                </w:tcPr>
                <w:p w14:paraId="0B0830A9">
                  <w:pPr>
                    <w:pStyle w:val="141"/>
                    <w:rPr>
                      <w:rFonts w:cs="Times New Roman"/>
                      <w:color w:val="auto"/>
                      <w:sz w:val="22"/>
                      <w:szCs w:val="22"/>
                    </w:rPr>
                  </w:pPr>
                </w:p>
              </w:tc>
              <w:tc>
                <w:tcPr>
                  <w:tcW w:w="1288" w:type="pct"/>
                  <w:shd w:val="clear" w:color="auto" w:fill="FFFFFF"/>
                  <w:vAlign w:val="center"/>
                </w:tcPr>
                <w:p w14:paraId="5ACE3F06">
                  <w:pPr>
                    <w:pStyle w:val="141"/>
                    <w:rPr>
                      <w:rFonts w:cs="Times New Roman"/>
                      <w:color w:val="auto"/>
                      <w:sz w:val="22"/>
                      <w:szCs w:val="22"/>
                    </w:rPr>
                  </w:pPr>
                  <w:r>
                    <w:rPr>
                      <w:rFonts w:cs="Times New Roman"/>
                      <w:color w:val="auto"/>
                      <w:sz w:val="22"/>
                      <w:szCs w:val="22"/>
                    </w:rPr>
                    <w:t>总氮</w:t>
                  </w:r>
                </w:p>
              </w:tc>
              <w:tc>
                <w:tcPr>
                  <w:tcW w:w="1070" w:type="pct"/>
                  <w:shd w:val="clear" w:color="auto" w:fill="FFFFFF"/>
                  <w:vAlign w:val="center"/>
                </w:tcPr>
                <w:p w14:paraId="5F2E1559">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7.75~15.6</w:t>
                  </w:r>
                </w:p>
              </w:tc>
              <w:tc>
                <w:tcPr>
                  <w:tcW w:w="1030" w:type="pct"/>
                  <w:shd w:val="clear" w:color="auto" w:fill="FFFFFF"/>
                  <w:vAlign w:val="center"/>
                </w:tcPr>
                <w:p w14:paraId="523ACB98">
                  <w:pPr>
                    <w:pStyle w:val="141"/>
                    <w:rPr>
                      <w:rFonts w:cs="Times New Roman"/>
                      <w:color w:val="auto"/>
                      <w:sz w:val="22"/>
                      <w:szCs w:val="22"/>
                    </w:rPr>
                  </w:pPr>
                  <w:r>
                    <w:rPr>
                      <w:rFonts w:cs="Times New Roman"/>
                      <w:color w:val="auto"/>
                      <w:sz w:val="22"/>
                      <w:szCs w:val="22"/>
                    </w:rPr>
                    <w:t>70</w:t>
                  </w:r>
                </w:p>
              </w:tc>
              <w:tc>
                <w:tcPr>
                  <w:tcW w:w="992" w:type="pct"/>
                  <w:shd w:val="clear" w:color="auto" w:fill="FFFFFF"/>
                  <w:vAlign w:val="center"/>
                </w:tcPr>
                <w:p w14:paraId="4B8DC26F">
                  <w:pPr>
                    <w:pStyle w:val="141"/>
                    <w:rPr>
                      <w:rFonts w:cs="Times New Roman"/>
                      <w:color w:val="auto"/>
                      <w:sz w:val="22"/>
                      <w:szCs w:val="22"/>
                    </w:rPr>
                  </w:pPr>
                  <w:r>
                    <w:rPr>
                      <w:rFonts w:cs="Times New Roman"/>
                      <w:color w:val="auto"/>
                      <w:sz w:val="22"/>
                      <w:szCs w:val="22"/>
                    </w:rPr>
                    <w:t>达标</w:t>
                  </w:r>
                </w:p>
              </w:tc>
            </w:tr>
          </w:tbl>
          <w:p w14:paraId="7135F7E7">
            <w:pPr>
              <w:numPr>
                <w:ilvl w:val="0"/>
                <w:numId w:val="9"/>
              </w:numPr>
              <w:spacing w:line="500" w:lineRule="exact"/>
              <w:ind w:firstLine="480"/>
              <w:rPr>
                <w:bCs/>
                <w:color w:val="auto"/>
                <w:sz w:val="26"/>
                <w:szCs w:val="26"/>
              </w:rPr>
            </w:pPr>
            <w:r>
              <w:rPr>
                <w:bCs/>
                <w:color w:val="auto"/>
                <w:sz w:val="26"/>
                <w:szCs w:val="26"/>
              </w:rPr>
              <w:t>废水污染防治措施：项目食堂废水经隔油池处理后，同其他生活污水和车间地面清洁废水一起经过</w:t>
            </w:r>
            <w:r>
              <w:rPr>
                <w:rFonts w:hint="eastAsia"/>
                <w:bCs/>
                <w:color w:val="auto"/>
                <w:sz w:val="26"/>
                <w:szCs w:val="26"/>
                <w:lang w:val="en-US" w:eastAsia="zh-CN"/>
              </w:rPr>
              <w:t>化粪池</w:t>
            </w:r>
            <w:r>
              <w:rPr>
                <w:bCs/>
                <w:color w:val="auto"/>
                <w:sz w:val="26"/>
                <w:szCs w:val="26"/>
              </w:rPr>
              <w:t>处理后满足《污水综合排放标准》（GB8978-1996）三级排放标准及《污水排入城镇下水道水质标准》（GB/T31962-2015）后，排入园区污水管网，进入</w:t>
            </w:r>
            <w:r>
              <w:rPr>
                <w:rFonts w:hint="eastAsia"/>
                <w:bCs/>
                <w:color w:val="auto"/>
                <w:sz w:val="26"/>
                <w:szCs w:val="26"/>
              </w:rPr>
              <w:t>陶家工业污水处理厂</w:t>
            </w:r>
            <w:r>
              <w:rPr>
                <w:bCs/>
                <w:color w:val="auto"/>
                <w:sz w:val="26"/>
                <w:szCs w:val="26"/>
              </w:rPr>
              <w:t>进一步处理，COD、NH</w:t>
            </w:r>
            <w:r>
              <w:rPr>
                <w:bCs/>
                <w:color w:val="auto"/>
                <w:sz w:val="26"/>
                <w:szCs w:val="26"/>
                <w:vertAlign w:val="subscript"/>
              </w:rPr>
              <w:t>3</w:t>
            </w:r>
            <w:r>
              <w:rPr>
                <w:bCs/>
                <w:color w:val="auto"/>
                <w:sz w:val="26"/>
                <w:szCs w:val="26"/>
              </w:rPr>
              <w:t>-N、TP达到《地表水环境质量标准》（GB3838-2002）IV类标准，其余指标满足《城镇污水处理厂污染物排放标准》（GB18918-2002）一级A标准后，排入大溪河支流杨柳曲河。</w:t>
            </w:r>
          </w:p>
          <w:p w14:paraId="2F6A4EEA">
            <w:pPr>
              <w:pStyle w:val="82"/>
              <w:spacing w:line="480" w:lineRule="exact"/>
              <w:ind w:firstLine="520"/>
              <w:rPr>
                <w:rFonts w:hint="eastAsia" w:eastAsia="宋体"/>
                <w:color w:val="auto"/>
                <w:kern w:val="0"/>
                <w:szCs w:val="26"/>
                <w:lang w:eastAsia="zh-CN"/>
              </w:rPr>
            </w:pPr>
            <w:r>
              <w:rPr>
                <w:rFonts w:hint="eastAsia"/>
                <w:color w:val="auto"/>
                <w:kern w:val="0"/>
                <w:szCs w:val="26"/>
              </w:rPr>
              <w:t>（</w:t>
            </w:r>
            <w:r>
              <w:rPr>
                <w:rFonts w:hint="eastAsia"/>
                <w:color w:val="auto"/>
                <w:kern w:val="0"/>
                <w:szCs w:val="26"/>
                <w:lang w:val="en-US" w:eastAsia="zh-CN"/>
              </w:rPr>
              <w:t>3</w:t>
            </w:r>
            <w:r>
              <w:rPr>
                <w:rFonts w:hint="eastAsia"/>
                <w:color w:val="auto"/>
                <w:kern w:val="0"/>
                <w:szCs w:val="26"/>
              </w:rPr>
              <w:t>）</w:t>
            </w:r>
            <w:r>
              <w:rPr>
                <w:rFonts w:hint="eastAsia"/>
                <w:color w:val="auto"/>
                <w:kern w:val="0"/>
                <w:szCs w:val="26"/>
                <w:lang w:val="en-US" w:eastAsia="zh-CN"/>
              </w:rPr>
              <w:t>噪声</w:t>
            </w:r>
          </w:p>
          <w:p w14:paraId="44280506">
            <w:pPr>
              <w:spacing w:line="500" w:lineRule="exact"/>
              <w:ind w:firstLine="480"/>
              <w:rPr>
                <w:bCs/>
                <w:color w:val="auto"/>
                <w:sz w:val="26"/>
                <w:szCs w:val="26"/>
              </w:rPr>
            </w:pPr>
            <w:r>
              <w:rPr>
                <w:bCs/>
                <w:color w:val="auto"/>
                <w:sz w:val="26"/>
                <w:szCs w:val="26"/>
              </w:rPr>
              <w:t>通过选取低噪声、低振动设备、对设备基础进行减震处理；加强设备的维护与管理等措施处理后，对环境的影响较小；根据</w:t>
            </w:r>
            <w:r>
              <w:rPr>
                <w:rFonts w:hint="eastAsia"/>
                <w:bCs/>
                <w:color w:val="auto"/>
                <w:sz w:val="26"/>
                <w:szCs w:val="26"/>
                <w:lang w:val="en-US" w:eastAsia="zh-CN"/>
              </w:rPr>
              <w:t>企业自行监测报告</w:t>
            </w:r>
            <w:r>
              <w:rPr>
                <w:bCs/>
                <w:color w:val="auto"/>
                <w:sz w:val="26"/>
                <w:szCs w:val="26"/>
              </w:rPr>
              <w:t>中对厂界噪声的监测结果可知，昼间夜间厂界噪声能满足《工业企业厂界环境噪声排放标准（GB12348-2008）3类标准。</w:t>
            </w:r>
          </w:p>
          <w:p w14:paraId="5A6E4A18">
            <w:pPr>
              <w:spacing w:line="500" w:lineRule="exact"/>
              <w:ind w:firstLine="480"/>
              <w:rPr>
                <w:bCs/>
                <w:color w:val="auto"/>
                <w:sz w:val="26"/>
                <w:szCs w:val="26"/>
              </w:rPr>
            </w:pPr>
            <w:r>
              <w:rPr>
                <w:rFonts w:hint="eastAsia"/>
                <w:bCs/>
                <w:color w:val="auto"/>
                <w:sz w:val="26"/>
                <w:szCs w:val="26"/>
                <w:lang w:eastAsia="zh-CN"/>
              </w:rPr>
              <w:t>（</w:t>
            </w:r>
            <w:r>
              <w:rPr>
                <w:rFonts w:hint="eastAsia"/>
                <w:bCs/>
                <w:color w:val="auto"/>
                <w:sz w:val="26"/>
                <w:szCs w:val="26"/>
                <w:lang w:val="en-US" w:eastAsia="zh-CN"/>
              </w:rPr>
              <w:t>4</w:t>
            </w:r>
            <w:r>
              <w:rPr>
                <w:rFonts w:hint="eastAsia"/>
                <w:bCs/>
                <w:color w:val="auto"/>
                <w:sz w:val="26"/>
                <w:szCs w:val="26"/>
                <w:lang w:eastAsia="zh-CN"/>
              </w:rPr>
              <w:t>）</w:t>
            </w:r>
            <w:r>
              <w:rPr>
                <w:bCs/>
                <w:color w:val="auto"/>
                <w:sz w:val="26"/>
                <w:szCs w:val="26"/>
              </w:rPr>
              <w:t>固废</w:t>
            </w:r>
          </w:p>
          <w:p w14:paraId="10EB4C93">
            <w:pPr>
              <w:spacing w:line="500" w:lineRule="exact"/>
              <w:ind w:firstLine="480"/>
              <w:rPr>
                <w:bCs/>
                <w:color w:val="auto"/>
                <w:sz w:val="26"/>
                <w:szCs w:val="26"/>
              </w:rPr>
            </w:pPr>
            <w:r>
              <w:rPr>
                <w:color w:val="auto"/>
                <w:sz w:val="26"/>
                <w:szCs w:val="26"/>
              </w:rPr>
              <w:t>氢燃料电池研发检测生产产线建设</w:t>
            </w:r>
            <w:r>
              <w:rPr>
                <w:bCs/>
                <w:color w:val="auto"/>
                <w:sz w:val="26"/>
                <w:szCs w:val="26"/>
              </w:rPr>
              <w:t>项目固废主要为一般固废、危险废物和生活垃圾。一般固体废物主要为：废包装材料、废零部件等，</w:t>
            </w:r>
            <w:r>
              <w:rPr>
                <w:rFonts w:hint="eastAsia"/>
                <w:bCs/>
                <w:color w:val="auto"/>
                <w:sz w:val="26"/>
                <w:szCs w:val="26"/>
              </w:rPr>
              <w:t>以及纯水制备过程产生的废过滤材料及交换树脂、废填料、废活性炭、高效活性炭、废RO膜、劳保用品等；</w:t>
            </w:r>
            <w:r>
              <w:rPr>
                <w:bCs/>
                <w:color w:val="auto"/>
                <w:sz w:val="26"/>
                <w:szCs w:val="26"/>
              </w:rPr>
              <w:t>危险废物主要为：废包装桶/瓶、废抹布、废机油及含油棉纱、手套、过滤吸附介质。公司现有项目固体废物产生量及排放情况见表2.1</w:t>
            </w:r>
            <w:r>
              <w:rPr>
                <w:rFonts w:hint="eastAsia"/>
                <w:bCs/>
                <w:color w:val="auto"/>
                <w:sz w:val="26"/>
                <w:szCs w:val="26"/>
              </w:rPr>
              <w:t>3</w:t>
            </w:r>
            <w:r>
              <w:rPr>
                <w:bCs/>
                <w:color w:val="auto"/>
                <w:sz w:val="26"/>
                <w:szCs w:val="26"/>
              </w:rPr>
              <w:t>-</w:t>
            </w:r>
            <w:r>
              <w:rPr>
                <w:rFonts w:hint="eastAsia"/>
                <w:bCs/>
                <w:color w:val="auto"/>
                <w:sz w:val="26"/>
                <w:szCs w:val="26"/>
                <w:lang w:val="en-US" w:eastAsia="zh-CN"/>
              </w:rPr>
              <w:t>10</w:t>
            </w:r>
            <w:r>
              <w:rPr>
                <w:rFonts w:hint="eastAsia"/>
                <w:bCs/>
                <w:color w:val="auto"/>
                <w:sz w:val="26"/>
                <w:szCs w:val="26"/>
              </w:rPr>
              <w:t>。</w:t>
            </w:r>
          </w:p>
          <w:p w14:paraId="2499245D">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lang w:val="en-US" w:eastAsia="zh-CN"/>
              </w:rPr>
              <w:t xml:space="preserve">10  </w:t>
            </w:r>
            <w:r>
              <w:rPr>
                <w:rFonts w:eastAsia="宋体"/>
                <w:color w:val="auto"/>
                <w:sz w:val="26"/>
                <w:szCs w:val="26"/>
              </w:rPr>
              <w:t>现有工程固体废弃物产生及排放情况一览表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685"/>
              <w:gridCol w:w="1384"/>
              <w:gridCol w:w="808"/>
              <w:gridCol w:w="1638"/>
              <w:gridCol w:w="697"/>
              <w:gridCol w:w="687"/>
            </w:tblGrid>
            <w:tr w14:paraId="08FB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tcBorders>
                    <w:top w:val="single" w:color="auto" w:sz="4" w:space="0"/>
                    <w:left w:val="single" w:color="auto" w:sz="4" w:space="0"/>
                    <w:bottom w:val="single" w:color="auto" w:sz="4" w:space="0"/>
                    <w:right w:val="single" w:color="auto" w:sz="4" w:space="0"/>
                  </w:tcBorders>
                  <w:vAlign w:val="center"/>
                </w:tcPr>
                <w:p w14:paraId="3F72D399">
                  <w:pPr>
                    <w:widowControl/>
                    <w:jc w:val="center"/>
                    <w:textAlignment w:val="center"/>
                    <w:rPr>
                      <w:color w:val="auto"/>
                      <w:kern w:val="0"/>
                      <w:sz w:val="22"/>
                      <w:szCs w:val="22"/>
                      <w:lang w:bidi="ar"/>
                    </w:rPr>
                  </w:pPr>
                  <w:r>
                    <w:rPr>
                      <w:color w:val="auto"/>
                      <w:kern w:val="0"/>
                      <w:sz w:val="22"/>
                      <w:szCs w:val="22"/>
                      <w:lang w:bidi="ar"/>
                    </w:rPr>
                    <w:t>固废名称</w:t>
                  </w:r>
                </w:p>
              </w:tc>
              <w:tc>
                <w:tcPr>
                  <w:tcW w:w="1004" w:type="pct"/>
                  <w:tcBorders>
                    <w:top w:val="single" w:color="auto" w:sz="4" w:space="0"/>
                    <w:left w:val="nil"/>
                    <w:bottom w:val="single" w:color="auto" w:sz="4" w:space="0"/>
                    <w:right w:val="single" w:color="auto" w:sz="4" w:space="0"/>
                  </w:tcBorders>
                  <w:vAlign w:val="center"/>
                </w:tcPr>
                <w:p w14:paraId="75A9F076">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kern w:val="0"/>
                      <w:sz w:val="22"/>
                      <w:szCs w:val="22"/>
                      <w:lang w:bidi="ar"/>
                    </w:rPr>
                  </w:pPr>
                  <w:r>
                    <w:rPr>
                      <w:bCs/>
                      <w:color w:val="auto"/>
                      <w:kern w:val="0"/>
                      <w:sz w:val="22"/>
                    </w:rPr>
                    <w:t>废物代码</w:t>
                  </w:r>
                </w:p>
              </w:tc>
              <w:tc>
                <w:tcPr>
                  <w:tcW w:w="824" w:type="pct"/>
                  <w:tcBorders>
                    <w:top w:val="single" w:color="auto" w:sz="4" w:space="0"/>
                    <w:left w:val="nil"/>
                    <w:bottom w:val="single" w:color="auto" w:sz="4" w:space="0"/>
                    <w:right w:val="single" w:color="auto" w:sz="4" w:space="0"/>
                  </w:tcBorders>
                  <w:vAlign w:val="center"/>
                </w:tcPr>
                <w:p w14:paraId="62AE0CD1">
                  <w:pPr>
                    <w:widowControl/>
                    <w:jc w:val="center"/>
                    <w:textAlignment w:val="center"/>
                    <w:rPr>
                      <w:color w:val="auto"/>
                      <w:kern w:val="0"/>
                      <w:sz w:val="22"/>
                      <w:szCs w:val="22"/>
                      <w:lang w:bidi="ar"/>
                    </w:rPr>
                  </w:pPr>
                  <w:r>
                    <w:rPr>
                      <w:color w:val="auto"/>
                      <w:kern w:val="0"/>
                      <w:sz w:val="22"/>
                      <w:szCs w:val="22"/>
                      <w:lang w:bidi="ar"/>
                    </w:rPr>
                    <w:t>贮存方式</w:t>
                  </w:r>
                </w:p>
              </w:tc>
              <w:tc>
                <w:tcPr>
                  <w:tcW w:w="481" w:type="pct"/>
                  <w:tcBorders>
                    <w:top w:val="single" w:color="auto" w:sz="4" w:space="0"/>
                    <w:left w:val="nil"/>
                    <w:bottom w:val="single" w:color="auto" w:sz="4" w:space="0"/>
                    <w:right w:val="single" w:color="auto" w:sz="4" w:space="0"/>
                  </w:tcBorders>
                  <w:vAlign w:val="center"/>
                </w:tcPr>
                <w:p w14:paraId="2B14EE7D">
                  <w:pPr>
                    <w:widowControl/>
                    <w:jc w:val="center"/>
                    <w:textAlignment w:val="center"/>
                    <w:rPr>
                      <w:color w:val="auto"/>
                      <w:kern w:val="0"/>
                      <w:sz w:val="22"/>
                      <w:szCs w:val="22"/>
                      <w:lang w:bidi="ar"/>
                    </w:rPr>
                  </w:pPr>
                  <w:r>
                    <w:rPr>
                      <w:color w:val="auto"/>
                      <w:kern w:val="0"/>
                      <w:sz w:val="22"/>
                      <w:szCs w:val="22"/>
                      <w:lang w:bidi="ar"/>
                    </w:rPr>
                    <w:t>利用处置方式</w:t>
                  </w:r>
                </w:p>
              </w:tc>
              <w:tc>
                <w:tcPr>
                  <w:tcW w:w="976" w:type="pct"/>
                  <w:tcBorders>
                    <w:top w:val="single" w:color="auto" w:sz="4" w:space="0"/>
                    <w:left w:val="nil"/>
                    <w:bottom w:val="single" w:color="auto" w:sz="4" w:space="0"/>
                    <w:right w:val="single" w:color="auto" w:sz="4" w:space="0"/>
                  </w:tcBorders>
                  <w:vAlign w:val="center"/>
                </w:tcPr>
                <w:p w14:paraId="58AEB4EC">
                  <w:pPr>
                    <w:widowControl/>
                    <w:jc w:val="center"/>
                    <w:textAlignment w:val="center"/>
                    <w:rPr>
                      <w:color w:val="auto"/>
                      <w:kern w:val="0"/>
                      <w:sz w:val="22"/>
                      <w:szCs w:val="22"/>
                      <w:lang w:bidi="ar"/>
                    </w:rPr>
                  </w:pPr>
                  <w:r>
                    <w:rPr>
                      <w:color w:val="auto"/>
                      <w:kern w:val="0"/>
                      <w:sz w:val="22"/>
                      <w:szCs w:val="22"/>
                      <w:lang w:bidi="ar"/>
                    </w:rPr>
                    <w:t>去向</w:t>
                  </w:r>
                </w:p>
              </w:tc>
              <w:tc>
                <w:tcPr>
                  <w:tcW w:w="415" w:type="pct"/>
                  <w:tcBorders>
                    <w:top w:val="single" w:color="auto" w:sz="4" w:space="0"/>
                    <w:left w:val="nil"/>
                    <w:bottom w:val="single" w:color="auto" w:sz="4" w:space="0"/>
                    <w:right w:val="single" w:color="auto" w:sz="4" w:space="0"/>
                  </w:tcBorders>
                  <w:vAlign w:val="center"/>
                </w:tcPr>
                <w:p w14:paraId="600ED7C3">
                  <w:pPr>
                    <w:widowControl/>
                    <w:jc w:val="center"/>
                    <w:textAlignment w:val="center"/>
                    <w:rPr>
                      <w:color w:val="auto"/>
                      <w:kern w:val="0"/>
                      <w:sz w:val="22"/>
                      <w:szCs w:val="22"/>
                      <w:lang w:bidi="ar"/>
                    </w:rPr>
                  </w:pPr>
                  <w:r>
                    <w:rPr>
                      <w:color w:val="auto"/>
                      <w:kern w:val="0"/>
                      <w:sz w:val="22"/>
                      <w:szCs w:val="22"/>
                      <w:lang w:bidi="ar"/>
                    </w:rPr>
                    <w:t>利用量</w:t>
                  </w:r>
                  <w:r>
                    <w:rPr>
                      <w:rFonts w:hint="eastAsia"/>
                      <w:color w:val="auto"/>
                      <w:kern w:val="0"/>
                      <w:sz w:val="22"/>
                      <w:szCs w:val="22"/>
                      <w:lang w:bidi="ar"/>
                    </w:rPr>
                    <w:t>t/a</w:t>
                  </w:r>
                </w:p>
              </w:tc>
              <w:tc>
                <w:tcPr>
                  <w:tcW w:w="409" w:type="pct"/>
                  <w:tcBorders>
                    <w:top w:val="single" w:color="auto" w:sz="4" w:space="0"/>
                    <w:left w:val="nil"/>
                    <w:bottom w:val="single" w:color="auto" w:sz="4" w:space="0"/>
                    <w:right w:val="single" w:color="auto" w:sz="4" w:space="0"/>
                  </w:tcBorders>
                  <w:vAlign w:val="center"/>
                </w:tcPr>
                <w:p w14:paraId="6537C111">
                  <w:pPr>
                    <w:widowControl/>
                    <w:jc w:val="center"/>
                    <w:textAlignment w:val="center"/>
                    <w:rPr>
                      <w:color w:val="auto"/>
                      <w:kern w:val="0"/>
                      <w:sz w:val="22"/>
                      <w:szCs w:val="22"/>
                      <w:lang w:bidi="ar"/>
                    </w:rPr>
                  </w:pPr>
                  <w:r>
                    <w:rPr>
                      <w:color w:val="auto"/>
                      <w:kern w:val="0"/>
                      <w:sz w:val="22"/>
                      <w:szCs w:val="22"/>
                      <w:lang w:bidi="ar"/>
                    </w:rPr>
                    <w:t>处置量</w:t>
                  </w:r>
                  <w:r>
                    <w:rPr>
                      <w:rFonts w:hint="eastAsia"/>
                      <w:color w:val="auto"/>
                      <w:kern w:val="0"/>
                      <w:sz w:val="22"/>
                      <w:szCs w:val="22"/>
                      <w:lang w:bidi="ar"/>
                    </w:rPr>
                    <w:t>t/a</w:t>
                  </w:r>
                </w:p>
              </w:tc>
            </w:tr>
            <w:tr w14:paraId="7FFE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tcBorders>
                    <w:top w:val="single" w:color="auto" w:sz="4" w:space="0"/>
                    <w:left w:val="single" w:color="auto" w:sz="4" w:space="0"/>
                    <w:bottom w:val="single" w:color="auto" w:sz="4" w:space="0"/>
                    <w:right w:val="single" w:color="auto" w:sz="4" w:space="0"/>
                  </w:tcBorders>
                  <w:vAlign w:val="center"/>
                </w:tcPr>
                <w:p w14:paraId="1A925A6C">
                  <w:pPr>
                    <w:widowControl/>
                    <w:jc w:val="center"/>
                    <w:textAlignment w:val="center"/>
                    <w:rPr>
                      <w:color w:val="auto"/>
                      <w:kern w:val="0"/>
                      <w:sz w:val="22"/>
                      <w:szCs w:val="22"/>
                      <w:lang w:bidi="ar"/>
                    </w:rPr>
                  </w:pPr>
                  <w:r>
                    <w:rPr>
                      <w:color w:val="auto"/>
                      <w:kern w:val="0"/>
                      <w:sz w:val="22"/>
                      <w:szCs w:val="22"/>
                      <w:lang w:bidi="ar"/>
                    </w:rPr>
                    <w:t>废过滤材料及交换树脂</w:t>
                  </w:r>
                </w:p>
              </w:tc>
              <w:tc>
                <w:tcPr>
                  <w:tcW w:w="1004" w:type="pct"/>
                  <w:tcBorders>
                    <w:top w:val="single" w:color="auto" w:sz="4" w:space="0"/>
                    <w:left w:val="nil"/>
                    <w:bottom w:val="single" w:color="auto" w:sz="4" w:space="0"/>
                    <w:right w:val="single" w:color="auto" w:sz="4" w:space="0"/>
                  </w:tcBorders>
                  <w:vAlign w:val="center"/>
                </w:tcPr>
                <w:p w14:paraId="672507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olor w:val="auto"/>
                      <w:kern w:val="0"/>
                      <w:sz w:val="22"/>
                      <w:szCs w:val="22"/>
                      <w:lang w:bidi="ar"/>
                    </w:rPr>
                  </w:pPr>
                  <w:r>
                    <w:rPr>
                      <w:bCs/>
                      <w:color w:val="auto"/>
                      <w:kern w:val="0"/>
                      <w:sz w:val="22"/>
                    </w:rPr>
                    <w:t>900-999-99</w:t>
                  </w:r>
                </w:p>
              </w:tc>
              <w:tc>
                <w:tcPr>
                  <w:tcW w:w="824" w:type="pct"/>
                  <w:tcBorders>
                    <w:top w:val="single" w:color="auto" w:sz="4" w:space="0"/>
                    <w:left w:val="nil"/>
                    <w:bottom w:val="single" w:color="auto" w:sz="4" w:space="0"/>
                    <w:right w:val="single" w:color="auto" w:sz="4" w:space="0"/>
                  </w:tcBorders>
                  <w:vAlign w:val="center"/>
                </w:tcPr>
                <w:p w14:paraId="1C7D6601">
                  <w:pPr>
                    <w:widowControl/>
                    <w:jc w:val="center"/>
                    <w:textAlignment w:val="center"/>
                    <w:rPr>
                      <w:color w:val="auto"/>
                      <w:kern w:val="0"/>
                      <w:sz w:val="22"/>
                      <w:szCs w:val="22"/>
                      <w:lang w:bidi="ar"/>
                    </w:rPr>
                  </w:pPr>
                  <w:r>
                    <w:rPr>
                      <w:rFonts w:hint="eastAsia"/>
                      <w:color w:val="auto"/>
                      <w:kern w:val="0"/>
                      <w:sz w:val="22"/>
                      <w:szCs w:val="22"/>
                      <w:lang w:bidi="ar"/>
                    </w:rPr>
                    <w:t>暂存于一般固废间</w:t>
                  </w:r>
                </w:p>
              </w:tc>
              <w:tc>
                <w:tcPr>
                  <w:tcW w:w="481" w:type="pct"/>
                  <w:tcBorders>
                    <w:top w:val="single" w:color="auto" w:sz="4" w:space="0"/>
                    <w:left w:val="nil"/>
                    <w:bottom w:val="single" w:color="auto" w:sz="4" w:space="0"/>
                    <w:right w:val="single" w:color="auto" w:sz="4" w:space="0"/>
                  </w:tcBorders>
                  <w:vAlign w:val="center"/>
                </w:tcPr>
                <w:p w14:paraId="088F4B72">
                  <w:pPr>
                    <w:widowControl/>
                    <w:jc w:val="center"/>
                    <w:textAlignment w:val="center"/>
                    <w:rPr>
                      <w:color w:val="auto"/>
                      <w:kern w:val="0"/>
                      <w:sz w:val="22"/>
                      <w:szCs w:val="22"/>
                      <w:lang w:bidi="ar"/>
                    </w:rPr>
                  </w:pPr>
                  <w:r>
                    <w:rPr>
                      <w:color w:val="auto"/>
                      <w:kern w:val="0"/>
                      <w:sz w:val="22"/>
                      <w:szCs w:val="22"/>
                      <w:lang w:bidi="ar"/>
                    </w:rPr>
                    <w:t>回收</w:t>
                  </w:r>
                </w:p>
              </w:tc>
              <w:tc>
                <w:tcPr>
                  <w:tcW w:w="976" w:type="pct"/>
                  <w:tcBorders>
                    <w:top w:val="single" w:color="auto" w:sz="4" w:space="0"/>
                    <w:left w:val="nil"/>
                    <w:bottom w:val="single" w:color="auto" w:sz="4" w:space="0"/>
                    <w:right w:val="single" w:color="auto" w:sz="4" w:space="0"/>
                  </w:tcBorders>
                  <w:vAlign w:val="center"/>
                </w:tcPr>
                <w:p w14:paraId="796E2BFE">
                  <w:pPr>
                    <w:widowControl/>
                    <w:jc w:val="center"/>
                    <w:textAlignment w:val="center"/>
                    <w:rPr>
                      <w:color w:val="auto"/>
                      <w:kern w:val="0"/>
                      <w:sz w:val="22"/>
                      <w:szCs w:val="22"/>
                      <w:lang w:bidi="ar"/>
                    </w:rPr>
                  </w:pPr>
                  <w:r>
                    <w:rPr>
                      <w:color w:val="auto"/>
                      <w:kern w:val="0"/>
                      <w:sz w:val="22"/>
                      <w:szCs w:val="22"/>
                      <w:lang w:bidi="ar"/>
                    </w:rPr>
                    <w:t>废品回收站</w:t>
                  </w:r>
                </w:p>
              </w:tc>
              <w:tc>
                <w:tcPr>
                  <w:tcW w:w="415" w:type="pct"/>
                  <w:tcBorders>
                    <w:top w:val="single" w:color="auto" w:sz="4" w:space="0"/>
                    <w:left w:val="nil"/>
                    <w:bottom w:val="single" w:color="auto" w:sz="4" w:space="0"/>
                    <w:right w:val="single" w:color="auto" w:sz="4" w:space="0"/>
                  </w:tcBorders>
                  <w:vAlign w:val="center"/>
                </w:tcPr>
                <w:p w14:paraId="6F225015">
                  <w:pPr>
                    <w:widowControl/>
                    <w:jc w:val="center"/>
                    <w:textAlignment w:val="center"/>
                    <w:rPr>
                      <w:color w:val="auto"/>
                      <w:kern w:val="0"/>
                      <w:sz w:val="22"/>
                      <w:szCs w:val="22"/>
                      <w:lang w:bidi="ar"/>
                    </w:rPr>
                  </w:pPr>
                  <w:r>
                    <w:rPr>
                      <w:rFonts w:hint="eastAsia"/>
                      <w:color w:val="auto"/>
                      <w:kern w:val="0"/>
                      <w:sz w:val="22"/>
                      <w:szCs w:val="22"/>
                      <w:lang w:bidi="ar"/>
                    </w:rPr>
                    <w:t>5.0</w:t>
                  </w:r>
                </w:p>
              </w:tc>
              <w:tc>
                <w:tcPr>
                  <w:tcW w:w="409" w:type="pct"/>
                  <w:tcBorders>
                    <w:top w:val="single" w:color="auto" w:sz="4" w:space="0"/>
                    <w:left w:val="nil"/>
                    <w:bottom w:val="single" w:color="auto" w:sz="4" w:space="0"/>
                    <w:right w:val="single" w:color="auto" w:sz="4" w:space="0"/>
                  </w:tcBorders>
                  <w:vAlign w:val="center"/>
                </w:tcPr>
                <w:p w14:paraId="5E8905B1">
                  <w:pPr>
                    <w:widowControl/>
                    <w:jc w:val="center"/>
                    <w:textAlignment w:val="center"/>
                    <w:rPr>
                      <w:color w:val="auto"/>
                      <w:kern w:val="0"/>
                      <w:sz w:val="22"/>
                      <w:szCs w:val="22"/>
                      <w:lang w:bidi="ar"/>
                    </w:rPr>
                  </w:pPr>
                  <w:r>
                    <w:rPr>
                      <w:rFonts w:hint="eastAsia"/>
                      <w:color w:val="auto"/>
                      <w:kern w:val="0"/>
                      <w:sz w:val="22"/>
                      <w:szCs w:val="22"/>
                      <w:lang w:bidi="ar"/>
                    </w:rPr>
                    <w:t>5.0</w:t>
                  </w:r>
                </w:p>
              </w:tc>
            </w:tr>
            <w:tr w14:paraId="609E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tcBorders>
                    <w:top w:val="single" w:color="auto" w:sz="4" w:space="0"/>
                    <w:left w:val="single" w:color="auto" w:sz="4" w:space="0"/>
                    <w:bottom w:val="single" w:color="auto" w:sz="4" w:space="0"/>
                    <w:right w:val="single" w:color="auto" w:sz="4" w:space="0"/>
                  </w:tcBorders>
                  <w:vAlign w:val="center"/>
                </w:tcPr>
                <w:p w14:paraId="6D7B583B">
                  <w:pPr>
                    <w:widowControl/>
                    <w:jc w:val="center"/>
                    <w:textAlignment w:val="center"/>
                    <w:rPr>
                      <w:color w:val="auto"/>
                      <w:kern w:val="0"/>
                      <w:sz w:val="22"/>
                      <w:szCs w:val="22"/>
                      <w:lang w:bidi="ar"/>
                    </w:rPr>
                  </w:pPr>
                  <w:r>
                    <w:rPr>
                      <w:rFonts w:hint="eastAsia"/>
                      <w:color w:val="auto"/>
                      <w:kern w:val="0"/>
                      <w:sz w:val="22"/>
                      <w:szCs w:val="22"/>
                      <w:lang w:bidi="ar"/>
                    </w:rPr>
                    <w:t>废填料</w:t>
                  </w:r>
                </w:p>
              </w:tc>
              <w:tc>
                <w:tcPr>
                  <w:tcW w:w="1004" w:type="pct"/>
                  <w:tcBorders>
                    <w:top w:val="single" w:color="auto" w:sz="4" w:space="0"/>
                    <w:left w:val="nil"/>
                    <w:bottom w:val="single" w:color="auto" w:sz="4" w:space="0"/>
                    <w:right w:val="single" w:color="auto" w:sz="4" w:space="0"/>
                  </w:tcBorders>
                  <w:vAlign w:val="center"/>
                </w:tcPr>
                <w:p w14:paraId="1F3AC1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olor w:val="auto"/>
                      <w:kern w:val="0"/>
                      <w:sz w:val="22"/>
                      <w:szCs w:val="22"/>
                      <w:lang w:bidi="ar"/>
                    </w:rPr>
                  </w:pPr>
                  <w:r>
                    <w:rPr>
                      <w:bCs/>
                      <w:color w:val="auto"/>
                      <w:kern w:val="0"/>
                      <w:sz w:val="22"/>
                    </w:rPr>
                    <w:t>900-999-99</w:t>
                  </w:r>
                </w:p>
              </w:tc>
              <w:tc>
                <w:tcPr>
                  <w:tcW w:w="824" w:type="pct"/>
                  <w:tcBorders>
                    <w:top w:val="single" w:color="auto" w:sz="4" w:space="0"/>
                    <w:left w:val="nil"/>
                    <w:bottom w:val="single" w:color="auto" w:sz="4" w:space="0"/>
                    <w:right w:val="single" w:color="auto" w:sz="4" w:space="0"/>
                  </w:tcBorders>
                  <w:vAlign w:val="center"/>
                </w:tcPr>
                <w:p w14:paraId="5A3E229D">
                  <w:pPr>
                    <w:widowControl/>
                    <w:jc w:val="center"/>
                    <w:textAlignment w:val="center"/>
                    <w:rPr>
                      <w:color w:val="auto"/>
                      <w:kern w:val="0"/>
                      <w:sz w:val="22"/>
                      <w:szCs w:val="22"/>
                      <w:lang w:bidi="ar"/>
                    </w:rPr>
                  </w:pPr>
                  <w:r>
                    <w:rPr>
                      <w:rFonts w:hint="eastAsia"/>
                      <w:color w:val="auto"/>
                      <w:kern w:val="0"/>
                      <w:sz w:val="22"/>
                      <w:szCs w:val="22"/>
                      <w:lang w:bidi="ar"/>
                    </w:rPr>
                    <w:t>暂存于一般固废间</w:t>
                  </w:r>
                </w:p>
              </w:tc>
              <w:tc>
                <w:tcPr>
                  <w:tcW w:w="481" w:type="pct"/>
                  <w:tcBorders>
                    <w:top w:val="single" w:color="auto" w:sz="4" w:space="0"/>
                    <w:left w:val="nil"/>
                    <w:bottom w:val="single" w:color="auto" w:sz="4" w:space="0"/>
                    <w:right w:val="single" w:color="auto" w:sz="4" w:space="0"/>
                  </w:tcBorders>
                  <w:vAlign w:val="center"/>
                </w:tcPr>
                <w:p w14:paraId="4266E2D1">
                  <w:pPr>
                    <w:widowControl/>
                    <w:jc w:val="center"/>
                    <w:textAlignment w:val="center"/>
                    <w:rPr>
                      <w:color w:val="auto"/>
                      <w:kern w:val="0"/>
                      <w:sz w:val="22"/>
                      <w:szCs w:val="22"/>
                      <w:lang w:bidi="ar"/>
                    </w:rPr>
                  </w:pPr>
                  <w:r>
                    <w:rPr>
                      <w:color w:val="auto"/>
                      <w:kern w:val="0"/>
                      <w:sz w:val="22"/>
                      <w:szCs w:val="22"/>
                      <w:lang w:bidi="ar"/>
                    </w:rPr>
                    <w:t>回收</w:t>
                  </w:r>
                </w:p>
              </w:tc>
              <w:tc>
                <w:tcPr>
                  <w:tcW w:w="976" w:type="pct"/>
                  <w:tcBorders>
                    <w:top w:val="single" w:color="auto" w:sz="4" w:space="0"/>
                    <w:left w:val="nil"/>
                    <w:bottom w:val="single" w:color="auto" w:sz="4" w:space="0"/>
                    <w:right w:val="single" w:color="auto" w:sz="4" w:space="0"/>
                  </w:tcBorders>
                  <w:vAlign w:val="center"/>
                </w:tcPr>
                <w:p w14:paraId="30EE02DB">
                  <w:pPr>
                    <w:widowControl/>
                    <w:jc w:val="center"/>
                    <w:textAlignment w:val="center"/>
                    <w:rPr>
                      <w:color w:val="auto"/>
                      <w:kern w:val="0"/>
                      <w:sz w:val="22"/>
                      <w:szCs w:val="22"/>
                      <w:lang w:bidi="ar"/>
                    </w:rPr>
                  </w:pPr>
                  <w:r>
                    <w:rPr>
                      <w:color w:val="auto"/>
                      <w:kern w:val="0"/>
                      <w:sz w:val="22"/>
                      <w:szCs w:val="22"/>
                      <w:lang w:bidi="ar"/>
                    </w:rPr>
                    <w:t>废品回收站</w:t>
                  </w:r>
                </w:p>
              </w:tc>
              <w:tc>
                <w:tcPr>
                  <w:tcW w:w="415" w:type="pct"/>
                  <w:tcBorders>
                    <w:top w:val="single" w:color="auto" w:sz="4" w:space="0"/>
                    <w:left w:val="nil"/>
                    <w:bottom w:val="single" w:color="auto" w:sz="4" w:space="0"/>
                    <w:right w:val="single" w:color="auto" w:sz="4" w:space="0"/>
                  </w:tcBorders>
                  <w:vAlign w:val="center"/>
                </w:tcPr>
                <w:p w14:paraId="591877E4">
                  <w:pPr>
                    <w:widowControl/>
                    <w:jc w:val="center"/>
                    <w:textAlignment w:val="center"/>
                    <w:rPr>
                      <w:color w:val="auto"/>
                      <w:kern w:val="0"/>
                      <w:sz w:val="22"/>
                      <w:szCs w:val="22"/>
                      <w:lang w:bidi="ar"/>
                    </w:rPr>
                  </w:pPr>
                  <w:r>
                    <w:rPr>
                      <w:rFonts w:hint="eastAsia"/>
                      <w:color w:val="auto"/>
                      <w:kern w:val="0"/>
                      <w:sz w:val="22"/>
                      <w:szCs w:val="22"/>
                      <w:lang w:bidi="ar"/>
                    </w:rPr>
                    <w:t>10.0</w:t>
                  </w:r>
                </w:p>
              </w:tc>
              <w:tc>
                <w:tcPr>
                  <w:tcW w:w="409" w:type="pct"/>
                  <w:tcBorders>
                    <w:top w:val="single" w:color="auto" w:sz="4" w:space="0"/>
                    <w:left w:val="nil"/>
                    <w:bottom w:val="single" w:color="auto" w:sz="4" w:space="0"/>
                    <w:right w:val="single" w:color="auto" w:sz="4" w:space="0"/>
                  </w:tcBorders>
                  <w:vAlign w:val="center"/>
                </w:tcPr>
                <w:p w14:paraId="376C576F">
                  <w:pPr>
                    <w:widowControl/>
                    <w:jc w:val="center"/>
                    <w:textAlignment w:val="center"/>
                    <w:rPr>
                      <w:color w:val="auto"/>
                      <w:kern w:val="0"/>
                      <w:sz w:val="22"/>
                      <w:szCs w:val="22"/>
                      <w:lang w:bidi="ar"/>
                    </w:rPr>
                  </w:pPr>
                  <w:r>
                    <w:rPr>
                      <w:rFonts w:hint="eastAsia"/>
                      <w:color w:val="auto"/>
                      <w:kern w:val="0"/>
                      <w:sz w:val="22"/>
                      <w:szCs w:val="22"/>
                      <w:lang w:bidi="ar"/>
                    </w:rPr>
                    <w:t>10.0</w:t>
                  </w:r>
                </w:p>
              </w:tc>
            </w:tr>
            <w:tr w14:paraId="1173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tcBorders>
                    <w:top w:val="single" w:color="auto" w:sz="4" w:space="0"/>
                    <w:left w:val="single" w:color="auto" w:sz="4" w:space="0"/>
                    <w:bottom w:val="single" w:color="auto" w:sz="4" w:space="0"/>
                    <w:right w:val="single" w:color="auto" w:sz="4" w:space="0"/>
                  </w:tcBorders>
                  <w:vAlign w:val="center"/>
                </w:tcPr>
                <w:p w14:paraId="02ED48A7">
                  <w:pPr>
                    <w:widowControl/>
                    <w:jc w:val="center"/>
                    <w:textAlignment w:val="center"/>
                    <w:rPr>
                      <w:color w:val="auto"/>
                      <w:kern w:val="0"/>
                      <w:sz w:val="22"/>
                      <w:szCs w:val="22"/>
                      <w:lang w:bidi="ar"/>
                    </w:rPr>
                  </w:pPr>
                  <w:r>
                    <w:rPr>
                      <w:rFonts w:hint="eastAsia"/>
                      <w:color w:val="auto"/>
                      <w:kern w:val="0"/>
                      <w:sz w:val="22"/>
                      <w:szCs w:val="22"/>
                      <w:lang w:bidi="ar"/>
                    </w:rPr>
                    <w:t>废活性炭、高效活性炭</w:t>
                  </w:r>
                </w:p>
              </w:tc>
              <w:tc>
                <w:tcPr>
                  <w:tcW w:w="1004" w:type="pct"/>
                  <w:tcBorders>
                    <w:top w:val="single" w:color="auto" w:sz="4" w:space="0"/>
                    <w:left w:val="nil"/>
                    <w:bottom w:val="single" w:color="auto" w:sz="4" w:space="0"/>
                    <w:right w:val="single" w:color="auto" w:sz="4" w:space="0"/>
                  </w:tcBorders>
                  <w:vAlign w:val="center"/>
                </w:tcPr>
                <w:p w14:paraId="19A691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olor w:val="auto"/>
                      <w:kern w:val="0"/>
                      <w:sz w:val="22"/>
                      <w:szCs w:val="22"/>
                      <w:lang w:bidi="ar"/>
                    </w:rPr>
                  </w:pPr>
                  <w:r>
                    <w:rPr>
                      <w:bCs/>
                      <w:color w:val="auto"/>
                      <w:kern w:val="0"/>
                      <w:sz w:val="22"/>
                    </w:rPr>
                    <w:t>900-999-99</w:t>
                  </w:r>
                </w:p>
              </w:tc>
              <w:tc>
                <w:tcPr>
                  <w:tcW w:w="824" w:type="pct"/>
                  <w:tcBorders>
                    <w:top w:val="single" w:color="auto" w:sz="4" w:space="0"/>
                    <w:left w:val="nil"/>
                    <w:bottom w:val="single" w:color="auto" w:sz="4" w:space="0"/>
                    <w:right w:val="single" w:color="auto" w:sz="4" w:space="0"/>
                  </w:tcBorders>
                  <w:vAlign w:val="center"/>
                </w:tcPr>
                <w:p w14:paraId="520558F3">
                  <w:pPr>
                    <w:widowControl/>
                    <w:jc w:val="center"/>
                    <w:textAlignment w:val="center"/>
                    <w:rPr>
                      <w:color w:val="auto"/>
                      <w:kern w:val="0"/>
                      <w:sz w:val="22"/>
                      <w:szCs w:val="22"/>
                      <w:lang w:bidi="ar"/>
                    </w:rPr>
                  </w:pPr>
                  <w:r>
                    <w:rPr>
                      <w:rFonts w:hint="eastAsia"/>
                      <w:color w:val="auto"/>
                      <w:kern w:val="0"/>
                      <w:sz w:val="22"/>
                      <w:szCs w:val="22"/>
                      <w:lang w:bidi="ar"/>
                    </w:rPr>
                    <w:t>暂存于一般固废间</w:t>
                  </w:r>
                </w:p>
              </w:tc>
              <w:tc>
                <w:tcPr>
                  <w:tcW w:w="481" w:type="pct"/>
                  <w:tcBorders>
                    <w:top w:val="single" w:color="auto" w:sz="4" w:space="0"/>
                    <w:left w:val="nil"/>
                    <w:bottom w:val="single" w:color="auto" w:sz="4" w:space="0"/>
                    <w:right w:val="single" w:color="auto" w:sz="4" w:space="0"/>
                  </w:tcBorders>
                  <w:vAlign w:val="center"/>
                </w:tcPr>
                <w:p w14:paraId="54379808">
                  <w:pPr>
                    <w:widowControl/>
                    <w:jc w:val="center"/>
                    <w:textAlignment w:val="center"/>
                    <w:rPr>
                      <w:color w:val="auto"/>
                      <w:kern w:val="0"/>
                      <w:sz w:val="22"/>
                      <w:szCs w:val="22"/>
                      <w:lang w:bidi="ar"/>
                    </w:rPr>
                  </w:pPr>
                  <w:r>
                    <w:rPr>
                      <w:color w:val="auto"/>
                      <w:kern w:val="0"/>
                      <w:sz w:val="22"/>
                      <w:szCs w:val="22"/>
                      <w:lang w:bidi="ar"/>
                    </w:rPr>
                    <w:t>回收</w:t>
                  </w:r>
                </w:p>
              </w:tc>
              <w:tc>
                <w:tcPr>
                  <w:tcW w:w="976" w:type="pct"/>
                  <w:tcBorders>
                    <w:top w:val="single" w:color="auto" w:sz="4" w:space="0"/>
                    <w:left w:val="nil"/>
                    <w:bottom w:val="single" w:color="auto" w:sz="4" w:space="0"/>
                    <w:right w:val="single" w:color="auto" w:sz="4" w:space="0"/>
                  </w:tcBorders>
                  <w:vAlign w:val="center"/>
                </w:tcPr>
                <w:p w14:paraId="5B4592F2">
                  <w:pPr>
                    <w:widowControl/>
                    <w:jc w:val="center"/>
                    <w:textAlignment w:val="center"/>
                    <w:rPr>
                      <w:color w:val="auto"/>
                      <w:kern w:val="0"/>
                      <w:sz w:val="22"/>
                      <w:szCs w:val="22"/>
                      <w:lang w:bidi="ar"/>
                    </w:rPr>
                  </w:pPr>
                  <w:r>
                    <w:rPr>
                      <w:color w:val="auto"/>
                      <w:kern w:val="0"/>
                      <w:sz w:val="22"/>
                      <w:szCs w:val="22"/>
                      <w:lang w:bidi="ar"/>
                    </w:rPr>
                    <w:t>废品回收站</w:t>
                  </w:r>
                </w:p>
              </w:tc>
              <w:tc>
                <w:tcPr>
                  <w:tcW w:w="415" w:type="pct"/>
                  <w:tcBorders>
                    <w:top w:val="single" w:color="auto" w:sz="4" w:space="0"/>
                    <w:left w:val="nil"/>
                    <w:bottom w:val="single" w:color="auto" w:sz="4" w:space="0"/>
                    <w:right w:val="single" w:color="auto" w:sz="4" w:space="0"/>
                  </w:tcBorders>
                  <w:vAlign w:val="center"/>
                </w:tcPr>
                <w:p w14:paraId="66ADBF63">
                  <w:pPr>
                    <w:widowControl/>
                    <w:jc w:val="center"/>
                    <w:textAlignment w:val="center"/>
                    <w:rPr>
                      <w:color w:val="auto"/>
                      <w:kern w:val="0"/>
                      <w:sz w:val="22"/>
                      <w:szCs w:val="22"/>
                      <w:lang w:bidi="ar"/>
                    </w:rPr>
                  </w:pPr>
                  <w:r>
                    <w:rPr>
                      <w:rFonts w:hint="eastAsia"/>
                      <w:color w:val="auto"/>
                      <w:kern w:val="0"/>
                      <w:sz w:val="22"/>
                      <w:szCs w:val="22"/>
                      <w:lang w:bidi="ar"/>
                    </w:rPr>
                    <w:t>2.5</w:t>
                  </w:r>
                </w:p>
              </w:tc>
              <w:tc>
                <w:tcPr>
                  <w:tcW w:w="409" w:type="pct"/>
                  <w:tcBorders>
                    <w:top w:val="single" w:color="auto" w:sz="4" w:space="0"/>
                    <w:left w:val="nil"/>
                    <w:bottom w:val="single" w:color="auto" w:sz="4" w:space="0"/>
                    <w:right w:val="single" w:color="auto" w:sz="4" w:space="0"/>
                  </w:tcBorders>
                  <w:vAlign w:val="center"/>
                </w:tcPr>
                <w:p w14:paraId="24F8882F">
                  <w:pPr>
                    <w:widowControl/>
                    <w:jc w:val="center"/>
                    <w:textAlignment w:val="center"/>
                    <w:rPr>
                      <w:color w:val="auto"/>
                      <w:kern w:val="0"/>
                      <w:sz w:val="22"/>
                      <w:szCs w:val="22"/>
                      <w:lang w:bidi="ar"/>
                    </w:rPr>
                  </w:pPr>
                  <w:r>
                    <w:rPr>
                      <w:rFonts w:hint="eastAsia"/>
                      <w:color w:val="auto"/>
                      <w:kern w:val="0"/>
                      <w:sz w:val="22"/>
                      <w:szCs w:val="22"/>
                      <w:lang w:bidi="ar"/>
                    </w:rPr>
                    <w:t>2.5</w:t>
                  </w:r>
                </w:p>
              </w:tc>
            </w:tr>
            <w:tr w14:paraId="43B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tcBorders>
                    <w:top w:val="single" w:color="auto" w:sz="4" w:space="0"/>
                    <w:left w:val="single" w:color="auto" w:sz="4" w:space="0"/>
                    <w:bottom w:val="single" w:color="auto" w:sz="4" w:space="0"/>
                    <w:right w:val="single" w:color="auto" w:sz="4" w:space="0"/>
                  </w:tcBorders>
                  <w:vAlign w:val="center"/>
                </w:tcPr>
                <w:p w14:paraId="323BB42D">
                  <w:pPr>
                    <w:widowControl/>
                    <w:jc w:val="center"/>
                    <w:textAlignment w:val="center"/>
                    <w:rPr>
                      <w:color w:val="auto"/>
                      <w:kern w:val="0"/>
                      <w:sz w:val="22"/>
                      <w:szCs w:val="22"/>
                      <w:lang w:bidi="ar"/>
                    </w:rPr>
                  </w:pPr>
                  <w:r>
                    <w:rPr>
                      <w:rFonts w:hint="eastAsia"/>
                      <w:color w:val="auto"/>
                      <w:kern w:val="0"/>
                      <w:sz w:val="22"/>
                      <w:szCs w:val="22"/>
                      <w:lang w:bidi="ar"/>
                    </w:rPr>
                    <w:t>废RO膜等</w:t>
                  </w:r>
                </w:p>
              </w:tc>
              <w:tc>
                <w:tcPr>
                  <w:tcW w:w="1004" w:type="pct"/>
                  <w:tcBorders>
                    <w:top w:val="single" w:color="auto" w:sz="4" w:space="0"/>
                    <w:left w:val="nil"/>
                    <w:bottom w:val="single" w:color="auto" w:sz="4" w:space="0"/>
                    <w:right w:val="single" w:color="auto" w:sz="4" w:space="0"/>
                  </w:tcBorders>
                  <w:vAlign w:val="center"/>
                </w:tcPr>
                <w:p w14:paraId="041A26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olor w:val="auto"/>
                      <w:kern w:val="0"/>
                      <w:sz w:val="22"/>
                      <w:szCs w:val="22"/>
                      <w:lang w:bidi="ar"/>
                    </w:rPr>
                  </w:pPr>
                  <w:r>
                    <w:rPr>
                      <w:bCs/>
                      <w:color w:val="auto"/>
                      <w:kern w:val="0"/>
                      <w:sz w:val="22"/>
                    </w:rPr>
                    <w:t>900-999-99</w:t>
                  </w:r>
                </w:p>
              </w:tc>
              <w:tc>
                <w:tcPr>
                  <w:tcW w:w="824" w:type="pct"/>
                  <w:tcBorders>
                    <w:top w:val="single" w:color="auto" w:sz="4" w:space="0"/>
                    <w:left w:val="nil"/>
                    <w:bottom w:val="single" w:color="auto" w:sz="4" w:space="0"/>
                    <w:right w:val="single" w:color="auto" w:sz="4" w:space="0"/>
                  </w:tcBorders>
                  <w:vAlign w:val="center"/>
                </w:tcPr>
                <w:p w14:paraId="7BE269AE">
                  <w:pPr>
                    <w:widowControl/>
                    <w:jc w:val="center"/>
                    <w:textAlignment w:val="center"/>
                    <w:rPr>
                      <w:color w:val="auto"/>
                      <w:kern w:val="0"/>
                      <w:sz w:val="22"/>
                      <w:szCs w:val="22"/>
                      <w:lang w:bidi="ar"/>
                    </w:rPr>
                  </w:pPr>
                  <w:r>
                    <w:rPr>
                      <w:rFonts w:hint="eastAsia"/>
                      <w:color w:val="auto"/>
                      <w:kern w:val="0"/>
                      <w:sz w:val="22"/>
                      <w:szCs w:val="22"/>
                      <w:lang w:bidi="ar"/>
                    </w:rPr>
                    <w:t>暂存于一般固废间</w:t>
                  </w:r>
                </w:p>
              </w:tc>
              <w:tc>
                <w:tcPr>
                  <w:tcW w:w="481" w:type="pct"/>
                  <w:tcBorders>
                    <w:top w:val="single" w:color="auto" w:sz="4" w:space="0"/>
                    <w:left w:val="nil"/>
                    <w:bottom w:val="single" w:color="auto" w:sz="4" w:space="0"/>
                    <w:right w:val="single" w:color="auto" w:sz="4" w:space="0"/>
                  </w:tcBorders>
                  <w:vAlign w:val="center"/>
                </w:tcPr>
                <w:p w14:paraId="256D7F83">
                  <w:pPr>
                    <w:widowControl/>
                    <w:jc w:val="center"/>
                    <w:textAlignment w:val="center"/>
                    <w:rPr>
                      <w:color w:val="auto"/>
                      <w:kern w:val="0"/>
                      <w:sz w:val="22"/>
                      <w:szCs w:val="22"/>
                      <w:lang w:bidi="ar"/>
                    </w:rPr>
                  </w:pPr>
                  <w:r>
                    <w:rPr>
                      <w:color w:val="auto"/>
                      <w:kern w:val="0"/>
                      <w:sz w:val="22"/>
                      <w:szCs w:val="22"/>
                      <w:lang w:bidi="ar"/>
                    </w:rPr>
                    <w:t>回收</w:t>
                  </w:r>
                </w:p>
              </w:tc>
              <w:tc>
                <w:tcPr>
                  <w:tcW w:w="976" w:type="pct"/>
                  <w:tcBorders>
                    <w:top w:val="single" w:color="auto" w:sz="4" w:space="0"/>
                    <w:left w:val="nil"/>
                    <w:bottom w:val="single" w:color="auto" w:sz="4" w:space="0"/>
                    <w:right w:val="single" w:color="auto" w:sz="4" w:space="0"/>
                  </w:tcBorders>
                  <w:vAlign w:val="center"/>
                </w:tcPr>
                <w:p w14:paraId="426FF1AB">
                  <w:pPr>
                    <w:widowControl/>
                    <w:jc w:val="center"/>
                    <w:textAlignment w:val="center"/>
                    <w:rPr>
                      <w:color w:val="auto"/>
                      <w:kern w:val="0"/>
                      <w:sz w:val="22"/>
                      <w:szCs w:val="22"/>
                      <w:lang w:bidi="ar"/>
                    </w:rPr>
                  </w:pPr>
                  <w:r>
                    <w:rPr>
                      <w:color w:val="auto"/>
                      <w:kern w:val="0"/>
                      <w:sz w:val="22"/>
                      <w:szCs w:val="22"/>
                      <w:lang w:bidi="ar"/>
                    </w:rPr>
                    <w:t>废品回收站</w:t>
                  </w:r>
                </w:p>
              </w:tc>
              <w:tc>
                <w:tcPr>
                  <w:tcW w:w="415" w:type="pct"/>
                  <w:tcBorders>
                    <w:top w:val="single" w:color="auto" w:sz="4" w:space="0"/>
                    <w:left w:val="nil"/>
                    <w:bottom w:val="single" w:color="auto" w:sz="4" w:space="0"/>
                    <w:right w:val="single" w:color="auto" w:sz="4" w:space="0"/>
                  </w:tcBorders>
                  <w:vAlign w:val="center"/>
                </w:tcPr>
                <w:p w14:paraId="56D31D3A">
                  <w:pPr>
                    <w:widowControl/>
                    <w:jc w:val="center"/>
                    <w:textAlignment w:val="center"/>
                    <w:rPr>
                      <w:color w:val="auto"/>
                      <w:kern w:val="0"/>
                      <w:sz w:val="22"/>
                      <w:szCs w:val="22"/>
                      <w:lang w:bidi="ar"/>
                    </w:rPr>
                  </w:pPr>
                  <w:r>
                    <w:rPr>
                      <w:rFonts w:hint="eastAsia"/>
                      <w:color w:val="auto"/>
                      <w:kern w:val="0"/>
                      <w:sz w:val="22"/>
                      <w:szCs w:val="22"/>
                      <w:lang w:bidi="ar"/>
                    </w:rPr>
                    <w:t>0.3</w:t>
                  </w:r>
                </w:p>
              </w:tc>
              <w:tc>
                <w:tcPr>
                  <w:tcW w:w="409" w:type="pct"/>
                  <w:tcBorders>
                    <w:top w:val="single" w:color="auto" w:sz="4" w:space="0"/>
                    <w:left w:val="nil"/>
                    <w:bottom w:val="single" w:color="auto" w:sz="4" w:space="0"/>
                    <w:right w:val="single" w:color="auto" w:sz="4" w:space="0"/>
                  </w:tcBorders>
                  <w:vAlign w:val="center"/>
                </w:tcPr>
                <w:p w14:paraId="7F0858D1">
                  <w:pPr>
                    <w:widowControl/>
                    <w:jc w:val="center"/>
                    <w:textAlignment w:val="center"/>
                    <w:rPr>
                      <w:color w:val="auto"/>
                      <w:kern w:val="0"/>
                      <w:sz w:val="22"/>
                      <w:szCs w:val="22"/>
                      <w:lang w:bidi="ar"/>
                    </w:rPr>
                  </w:pPr>
                  <w:r>
                    <w:rPr>
                      <w:rFonts w:hint="eastAsia"/>
                      <w:color w:val="auto"/>
                      <w:kern w:val="0"/>
                      <w:sz w:val="22"/>
                      <w:szCs w:val="22"/>
                      <w:lang w:bidi="ar"/>
                    </w:rPr>
                    <w:t>0.3</w:t>
                  </w:r>
                </w:p>
              </w:tc>
            </w:tr>
            <w:tr w14:paraId="782A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tcBorders>
                    <w:top w:val="single" w:color="auto" w:sz="4" w:space="0"/>
                    <w:left w:val="single" w:color="auto" w:sz="4" w:space="0"/>
                    <w:bottom w:val="single" w:color="auto" w:sz="4" w:space="0"/>
                    <w:right w:val="single" w:color="auto" w:sz="4" w:space="0"/>
                  </w:tcBorders>
                  <w:vAlign w:val="center"/>
                </w:tcPr>
                <w:p w14:paraId="32880484">
                  <w:pPr>
                    <w:widowControl/>
                    <w:jc w:val="center"/>
                    <w:textAlignment w:val="center"/>
                    <w:rPr>
                      <w:color w:val="auto"/>
                      <w:kern w:val="0"/>
                      <w:sz w:val="22"/>
                      <w:szCs w:val="22"/>
                      <w:lang w:bidi="ar"/>
                    </w:rPr>
                  </w:pPr>
                  <w:r>
                    <w:rPr>
                      <w:color w:val="auto"/>
                      <w:kern w:val="0"/>
                      <w:sz w:val="22"/>
                      <w:szCs w:val="22"/>
                      <w:lang w:bidi="ar"/>
                    </w:rPr>
                    <w:t>废包装材料、废零部件</w:t>
                  </w:r>
                </w:p>
              </w:tc>
              <w:tc>
                <w:tcPr>
                  <w:tcW w:w="1004" w:type="pct"/>
                  <w:tcBorders>
                    <w:top w:val="single" w:color="auto" w:sz="4" w:space="0"/>
                    <w:left w:val="nil"/>
                    <w:bottom w:val="single" w:color="auto" w:sz="4" w:space="0"/>
                    <w:right w:val="single" w:color="auto" w:sz="4" w:space="0"/>
                  </w:tcBorders>
                  <w:vAlign w:val="center"/>
                </w:tcPr>
                <w:p w14:paraId="7D7A84CB">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kern w:val="0"/>
                      <w:sz w:val="22"/>
                      <w:szCs w:val="22"/>
                      <w:lang w:bidi="ar"/>
                    </w:rPr>
                  </w:pPr>
                  <w:r>
                    <w:rPr>
                      <w:bCs/>
                      <w:color w:val="auto"/>
                      <w:kern w:val="0"/>
                      <w:sz w:val="22"/>
                    </w:rPr>
                    <w:t>900-999-99</w:t>
                  </w:r>
                </w:p>
              </w:tc>
              <w:tc>
                <w:tcPr>
                  <w:tcW w:w="824" w:type="pct"/>
                  <w:tcBorders>
                    <w:top w:val="single" w:color="auto" w:sz="4" w:space="0"/>
                    <w:left w:val="nil"/>
                    <w:bottom w:val="single" w:color="auto" w:sz="4" w:space="0"/>
                    <w:right w:val="single" w:color="auto" w:sz="4" w:space="0"/>
                  </w:tcBorders>
                  <w:vAlign w:val="center"/>
                </w:tcPr>
                <w:p w14:paraId="4EFF1245">
                  <w:pPr>
                    <w:widowControl/>
                    <w:jc w:val="center"/>
                    <w:textAlignment w:val="center"/>
                    <w:rPr>
                      <w:color w:val="auto"/>
                      <w:kern w:val="0"/>
                      <w:sz w:val="22"/>
                      <w:szCs w:val="22"/>
                      <w:lang w:bidi="ar"/>
                    </w:rPr>
                  </w:pPr>
                  <w:r>
                    <w:rPr>
                      <w:color w:val="auto"/>
                      <w:kern w:val="0"/>
                      <w:sz w:val="22"/>
                      <w:szCs w:val="22"/>
                      <w:lang w:bidi="ar"/>
                    </w:rPr>
                    <w:t>存放于垃圾站</w:t>
                  </w:r>
                </w:p>
              </w:tc>
              <w:tc>
                <w:tcPr>
                  <w:tcW w:w="481" w:type="pct"/>
                  <w:tcBorders>
                    <w:top w:val="single" w:color="auto" w:sz="4" w:space="0"/>
                    <w:left w:val="nil"/>
                    <w:bottom w:val="single" w:color="auto" w:sz="4" w:space="0"/>
                    <w:right w:val="single" w:color="auto" w:sz="4" w:space="0"/>
                  </w:tcBorders>
                  <w:vAlign w:val="center"/>
                </w:tcPr>
                <w:p w14:paraId="2984082F">
                  <w:pPr>
                    <w:widowControl/>
                    <w:jc w:val="center"/>
                    <w:textAlignment w:val="center"/>
                    <w:rPr>
                      <w:color w:val="auto"/>
                      <w:kern w:val="0"/>
                      <w:sz w:val="22"/>
                      <w:szCs w:val="22"/>
                      <w:lang w:bidi="ar"/>
                    </w:rPr>
                  </w:pPr>
                  <w:r>
                    <w:rPr>
                      <w:color w:val="auto"/>
                      <w:kern w:val="0"/>
                      <w:sz w:val="22"/>
                      <w:szCs w:val="22"/>
                      <w:lang w:bidi="ar"/>
                    </w:rPr>
                    <w:t>回收</w:t>
                  </w:r>
                </w:p>
              </w:tc>
              <w:tc>
                <w:tcPr>
                  <w:tcW w:w="976" w:type="pct"/>
                  <w:tcBorders>
                    <w:top w:val="single" w:color="auto" w:sz="4" w:space="0"/>
                    <w:left w:val="nil"/>
                    <w:bottom w:val="single" w:color="auto" w:sz="4" w:space="0"/>
                    <w:right w:val="single" w:color="auto" w:sz="4" w:space="0"/>
                  </w:tcBorders>
                  <w:vAlign w:val="center"/>
                </w:tcPr>
                <w:p w14:paraId="0C73B311">
                  <w:pPr>
                    <w:widowControl/>
                    <w:jc w:val="center"/>
                    <w:textAlignment w:val="center"/>
                    <w:rPr>
                      <w:color w:val="auto"/>
                      <w:kern w:val="0"/>
                      <w:sz w:val="22"/>
                      <w:szCs w:val="22"/>
                      <w:lang w:bidi="ar"/>
                    </w:rPr>
                  </w:pPr>
                  <w:r>
                    <w:rPr>
                      <w:color w:val="auto"/>
                      <w:kern w:val="0"/>
                      <w:sz w:val="22"/>
                      <w:szCs w:val="22"/>
                      <w:lang w:bidi="ar"/>
                    </w:rPr>
                    <w:t>废品回收站</w:t>
                  </w:r>
                </w:p>
              </w:tc>
              <w:tc>
                <w:tcPr>
                  <w:tcW w:w="415" w:type="pct"/>
                  <w:tcBorders>
                    <w:top w:val="single" w:color="auto" w:sz="4" w:space="0"/>
                    <w:left w:val="nil"/>
                    <w:bottom w:val="single" w:color="auto" w:sz="4" w:space="0"/>
                    <w:right w:val="single" w:color="auto" w:sz="4" w:space="0"/>
                  </w:tcBorders>
                  <w:vAlign w:val="center"/>
                </w:tcPr>
                <w:p w14:paraId="73A69849">
                  <w:pPr>
                    <w:widowControl/>
                    <w:jc w:val="center"/>
                    <w:textAlignment w:val="center"/>
                    <w:rPr>
                      <w:color w:val="auto"/>
                      <w:kern w:val="0"/>
                      <w:sz w:val="22"/>
                      <w:szCs w:val="22"/>
                      <w:lang w:bidi="ar"/>
                    </w:rPr>
                  </w:pPr>
                  <w:r>
                    <w:rPr>
                      <w:color w:val="auto"/>
                      <w:kern w:val="0"/>
                      <w:sz w:val="22"/>
                      <w:szCs w:val="22"/>
                      <w:lang w:bidi="ar"/>
                    </w:rPr>
                    <w:t>4.0</w:t>
                  </w:r>
                </w:p>
              </w:tc>
              <w:tc>
                <w:tcPr>
                  <w:tcW w:w="409" w:type="pct"/>
                  <w:tcBorders>
                    <w:top w:val="single" w:color="auto" w:sz="4" w:space="0"/>
                    <w:left w:val="nil"/>
                    <w:bottom w:val="single" w:color="auto" w:sz="4" w:space="0"/>
                    <w:right w:val="single" w:color="auto" w:sz="4" w:space="0"/>
                  </w:tcBorders>
                  <w:vAlign w:val="center"/>
                </w:tcPr>
                <w:p w14:paraId="67B4DECF">
                  <w:pPr>
                    <w:widowControl/>
                    <w:jc w:val="center"/>
                    <w:textAlignment w:val="center"/>
                    <w:rPr>
                      <w:color w:val="auto"/>
                      <w:kern w:val="0"/>
                      <w:sz w:val="22"/>
                      <w:szCs w:val="22"/>
                      <w:lang w:bidi="ar"/>
                    </w:rPr>
                  </w:pPr>
                  <w:r>
                    <w:rPr>
                      <w:color w:val="auto"/>
                      <w:kern w:val="0"/>
                      <w:sz w:val="22"/>
                      <w:szCs w:val="22"/>
                      <w:lang w:bidi="ar"/>
                    </w:rPr>
                    <w:t>4.0</w:t>
                  </w:r>
                </w:p>
              </w:tc>
            </w:tr>
            <w:tr w14:paraId="6D17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tcBorders>
                    <w:top w:val="single" w:color="auto" w:sz="4" w:space="0"/>
                    <w:left w:val="single" w:color="auto" w:sz="4" w:space="0"/>
                    <w:bottom w:val="single" w:color="auto" w:sz="4" w:space="0"/>
                    <w:right w:val="single" w:color="auto" w:sz="4" w:space="0"/>
                  </w:tcBorders>
                  <w:vAlign w:val="center"/>
                </w:tcPr>
                <w:p w14:paraId="5FBC2D26">
                  <w:pPr>
                    <w:widowControl/>
                    <w:jc w:val="center"/>
                    <w:textAlignment w:val="center"/>
                    <w:rPr>
                      <w:color w:val="auto"/>
                      <w:kern w:val="0"/>
                      <w:sz w:val="22"/>
                      <w:szCs w:val="22"/>
                      <w:lang w:bidi="ar"/>
                    </w:rPr>
                  </w:pPr>
                  <w:r>
                    <w:rPr>
                      <w:color w:val="auto"/>
                      <w:kern w:val="0"/>
                      <w:sz w:val="22"/>
                      <w:szCs w:val="22"/>
                      <w:lang w:bidi="ar"/>
                    </w:rPr>
                    <w:t>废包装桶/瓶</w:t>
                  </w:r>
                </w:p>
              </w:tc>
              <w:tc>
                <w:tcPr>
                  <w:tcW w:w="1004" w:type="pct"/>
                  <w:tcBorders>
                    <w:top w:val="single" w:color="auto" w:sz="4" w:space="0"/>
                    <w:left w:val="nil"/>
                    <w:bottom w:val="single" w:color="auto" w:sz="4" w:space="0"/>
                    <w:right w:val="single" w:color="auto" w:sz="4" w:space="0"/>
                  </w:tcBorders>
                  <w:vAlign w:val="center"/>
                </w:tcPr>
                <w:p w14:paraId="78004AB6">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kern w:val="0"/>
                      <w:sz w:val="22"/>
                      <w:szCs w:val="22"/>
                      <w:lang w:bidi="ar"/>
                    </w:rPr>
                  </w:pPr>
                  <w:r>
                    <w:rPr>
                      <w:bCs/>
                      <w:color w:val="auto"/>
                      <w:kern w:val="0"/>
                      <w:sz w:val="22"/>
                    </w:rPr>
                    <w:t>HW49（900-041-49）</w:t>
                  </w:r>
                </w:p>
              </w:tc>
              <w:tc>
                <w:tcPr>
                  <w:tcW w:w="824" w:type="pct"/>
                  <w:tcBorders>
                    <w:top w:val="single" w:color="auto" w:sz="4" w:space="0"/>
                    <w:left w:val="nil"/>
                    <w:bottom w:val="single" w:color="auto" w:sz="4" w:space="0"/>
                    <w:right w:val="single" w:color="auto" w:sz="4" w:space="0"/>
                  </w:tcBorders>
                  <w:vAlign w:val="center"/>
                </w:tcPr>
                <w:p w14:paraId="2F1CCAB7">
                  <w:pPr>
                    <w:widowControl/>
                    <w:jc w:val="center"/>
                    <w:textAlignment w:val="center"/>
                    <w:rPr>
                      <w:rFonts w:hint="eastAsia" w:eastAsia="宋体"/>
                      <w:color w:val="auto"/>
                      <w:kern w:val="0"/>
                      <w:sz w:val="22"/>
                      <w:szCs w:val="22"/>
                      <w:lang w:eastAsia="zh-CN" w:bidi="ar"/>
                    </w:rPr>
                  </w:pPr>
                  <w:r>
                    <w:rPr>
                      <w:color w:val="auto"/>
                      <w:kern w:val="0"/>
                      <w:sz w:val="22"/>
                      <w:szCs w:val="22"/>
                      <w:lang w:bidi="ar"/>
                    </w:rPr>
                    <w:t>盖严桶/瓶盖，暂存放于</w:t>
                  </w:r>
                  <w:r>
                    <w:rPr>
                      <w:rFonts w:hint="eastAsia"/>
                      <w:color w:val="auto"/>
                      <w:kern w:val="0"/>
                      <w:sz w:val="22"/>
                      <w:szCs w:val="22"/>
                      <w:lang w:eastAsia="zh-CN" w:bidi="ar"/>
                    </w:rPr>
                    <w:t>危废贮存库</w:t>
                  </w:r>
                </w:p>
              </w:tc>
              <w:tc>
                <w:tcPr>
                  <w:tcW w:w="481" w:type="pct"/>
                  <w:tcBorders>
                    <w:top w:val="single" w:color="auto" w:sz="4" w:space="0"/>
                    <w:left w:val="nil"/>
                    <w:bottom w:val="single" w:color="auto" w:sz="4" w:space="0"/>
                    <w:right w:val="single" w:color="auto" w:sz="4" w:space="0"/>
                  </w:tcBorders>
                  <w:vAlign w:val="center"/>
                </w:tcPr>
                <w:p w14:paraId="44D1459D">
                  <w:pPr>
                    <w:widowControl/>
                    <w:jc w:val="center"/>
                    <w:textAlignment w:val="center"/>
                    <w:rPr>
                      <w:color w:val="auto"/>
                      <w:kern w:val="0"/>
                      <w:sz w:val="22"/>
                      <w:szCs w:val="22"/>
                      <w:lang w:bidi="ar"/>
                    </w:rPr>
                  </w:pPr>
                  <w:r>
                    <w:rPr>
                      <w:color w:val="auto"/>
                      <w:kern w:val="0"/>
                      <w:sz w:val="22"/>
                      <w:szCs w:val="22"/>
                      <w:lang w:bidi="ar"/>
                    </w:rPr>
                    <w:t>委托处置</w:t>
                  </w:r>
                </w:p>
              </w:tc>
              <w:tc>
                <w:tcPr>
                  <w:tcW w:w="976" w:type="pct"/>
                  <w:tcBorders>
                    <w:top w:val="single" w:color="auto" w:sz="4" w:space="0"/>
                    <w:left w:val="nil"/>
                    <w:bottom w:val="single" w:color="auto" w:sz="4" w:space="0"/>
                    <w:right w:val="single" w:color="auto" w:sz="4" w:space="0"/>
                  </w:tcBorders>
                  <w:vAlign w:val="center"/>
                </w:tcPr>
                <w:p w14:paraId="236D145E">
                  <w:pPr>
                    <w:widowControl/>
                    <w:jc w:val="center"/>
                    <w:textAlignment w:val="center"/>
                    <w:rPr>
                      <w:color w:val="auto"/>
                      <w:kern w:val="0"/>
                      <w:sz w:val="22"/>
                      <w:szCs w:val="22"/>
                      <w:lang w:bidi="ar"/>
                    </w:rPr>
                  </w:pPr>
                  <w:r>
                    <w:rPr>
                      <w:rFonts w:hint="eastAsia"/>
                      <w:color w:val="auto"/>
                      <w:kern w:val="0"/>
                      <w:sz w:val="22"/>
                      <w:szCs w:val="22"/>
                      <w:lang w:bidi="ar"/>
                    </w:rPr>
                    <w:t>重庆融聚瑞环保科技有限公司</w:t>
                  </w:r>
                </w:p>
              </w:tc>
              <w:tc>
                <w:tcPr>
                  <w:tcW w:w="415" w:type="pct"/>
                  <w:tcBorders>
                    <w:top w:val="single" w:color="auto" w:sz="4" w:space="0"/>
                    <w:left w:val="nil"/>
                    <w:bottom w:val="single" w:color="auto" w:sz="4" w:space="0"/>
                    <w:right w:val="single" w:color="auto" w:sz="4" w:space="0"/>
                  </w:tcBorders>
                  <w:vAlign w:val="center"/>
                </w:tcPr>
                <w:p w14:paraId="3425E337">
                  <w:pPr>
                    <w:widowControl/>
                    <w:jc w:val="center"/>
                    <w:textAlignment w:val="center"/>
                    <w:rPr>
                      <w:color w:val="auto"/>
                      <w:kern w:val="0"/>
                      <w:sz w:val="22"/>
                      <w:szCs w:val="22"/>
                      <w:lang w:bidi="ar"/>
                    </w:rPr>
                  </w:pPr>
                  <w:r>
                    <w:rPr>
                      <w:color w:val="auto"/>
                      <w:kern w:val="0"/>
                      <w:sz w:val="22"/>
                      <w:szCs w:val="22"/>
                      <w:lang w:bidi="ar"/>
                    </w:rPr>
                    <w:t>1.50</w:t>
                  </w:r>
                </w:p>
              </w:tc>
              <w:tc>
                <w:tcPr>
                  <w:tcW w:w="409" w:type="pct"/>
                  <w:tcBorders>
                    <w:top w:val="single" w:color="auto" w:sz="4" w:space="0"/>
                    <w:left w:val="nil"/>
                    <w:bottom w:val="single" w:color="auto" w:sz="4" w:space="0"/>
                    <w:right w:val="single" w:color="auto" w:sz="4" w:space="0"/>
                  </w:tcBorders>
                  <w:vAlign w:val="center"/>
                </w:tcPr>
                <w:p w14:paraId="4748FEA4">
                  <w:pPr>
                    <w:widowControl/>
                    <w:jc w:val="center"/>
                    <w:textAlignment w:val="center"/>
                    <w:rPr>
                      <w:color w:val="auto"/>
                      <w:kern w:val="0"/>
                      <w:sz w:val="22"/>
                      <w:szCs w:val="22"/>
                      <w:lang w:bidi="ar"/>
                    </w:rPr>
                  </w:pPr>
                  <w:r>
                    <w:rPr>
                      <w:color w:val="auto"/>
                      <w:kern w:val="0"/>
                      <w:sz w:val="22"/>
                      <w:szCs w:val="22"/>
                      <w:lang w:bidi="ar"/>
                    </w:rPr>
                    <w:t>1.50</w:t>
                  </w:r>
                </w:p>
              </w:tc>
            </w:tr>
            <w:tr w14:paraId="479E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9" w:type="pct"/>
                  <w:tcBorders>
                    <w:top w:val="single" w:color="auto" w:sz="4" w:space="0"/>
                    <w:left w:val="single" w:color="auto" w:sz="4" w:space="0"/>
                    <w:bottom w:val="single" w:color="auto" w:sz="4" w:space="0"/>
                    <w:right w:val="single" w:color="auto" w:sz="4" w:space="0"/>
                  </w:tcBorders>
                  <w:vAlign w:val="center"/>
                </w:tcPr>
                <w:p w14:paraId="36D53200">
                  <w:pPr>
                    <w:widowControl/>
                    <w:jc w:val="center"/>
                    <w:textAlignment w:val="center"/>
                    <w:rPr>
                      <w:color w:val="auto"/>
                      <w:kern w:val="0"/>
                      <w:sz w:val="22"/>
                      <w:szCs w:val="22"/>
                      <w:lang w:bidi="ar"/>
                    </w:rPr>
                  </w:pPr>
                  <w:r>
                    <w:rPr>
                      <w:color w:val="auto"/>
                      <w:kern w:val="0"/>
                      <w:sz w:val="22"/>
                      <w:szCs w:val="22"/>
                      <w:lang w:bidi="ar"/>
                    </w:rPr>
                    <w:t>废抹布</w:t>
                  </w:r>
                </w:p>
              </w:tc>
              <w:tc>
                <w:tcPr>
                  <w:tcW w:w="1004" w:type="pct"/>
                  <w:tcBorders>
                    <w:top w:val="single" w:color="auto" w:sz="4" w:space="0"/>
                    <w:left w:val="nil"/>
                    <w:bottom w:val="single" w:color="auto" w:sz="4" w:space="0"/>
                    <w:right w:val="single" w:color="auto" w:sz="4" w:space="0"/>
                  </w:tcBorders>
                  <w:vAlign w:val="center"/>
                </w:tcPr>
                <w:p w14:paraId="2DD3A260">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kern w:val="0"/>
                      <w:sz w:val="22"/>
                      <w:szCs w:val="22"/>
                      <w:lang w:bidi="ar"/>
                    </w:rPr>
                  </w:pPr>
                  <w:r>
                    <w:rPr>
                      <w:bCs/>
                      <w:color w:val="auto"/>
                      <w:kern w:val="0"/>
                      <w:sz w:val="22"/>
                    </w:rPr>
                    <w:t>HW49（900-041-49）</w:t>
                  </w:r>
                </w:p>
              </w:tc>
              <w:tc>
                <w:tcPr>
                  <w:tcW w:w="824" w:type="pct"/>
                  <w:tcBorders>
                    <w:top w:val="single" w:color="auto" w:sz="4" w:space="0"/>
                    <w:left w:val="nil"/>
                    <w:bottom w:val="single" w:color="auto" w:sz="4" w:space="0"/>
                    <w:right w:val="single" w:color="auto" w:sz="4" w:space="0"/>
                  </w:tcBorders>
                  <w:vAlign w:val="center"/>
                </w:tcPr>
                <w:p w14:paraId="49F6CB3B">
                  <w:pPr>
                    <w:widowControl/>
                    <w:jc w:val="center"/>
                    <w:textAlignment w:val="center"/>
                    <w:rPr>
                      <w:color w:val="auto"/>
                      <w:kern w:val="0"/>
                      <w:sz w:val="22"/>
                      <w:szCs w:val="22"/>
                      <w:lang w:bidi="ar"/>
                    </w:rPr>
                  </w:pPr>
                  <w:r>
                    <w:rPr>
                      <w:color w:val="auto"/>
                      <w:kern w:val="0"/>
                      <w:sz w:val="22"/>
                      <w:szCs w:val="22"/>
                      <w:lang w:bidi="ar"/>
                    </w:rPr>
                    <w:t>采用密闭桶收集后分类暂存于</w:t>
                  </w:r>
                  <w:r>
                    <w:rPr>
                      <w:rFonts w:hint="eastAsia"/>
                      <w:color w:val="auto"/>
                      <w:kern w:val="0"/>
                      <w:sz w:val="22"/>
                      <w:szCs w:val="22"/>
                      <w:lang w:eastAsia="zh-CN" w:bidi="ar"/>
                    </w:rPr>
                    <w:t>危废贮存库</w:t>
                  </w:r>
                  <w:r>
                    <w:rPr>
                      <w:color w:val="auto"/>
                      <w:kern w:val="0"/>
                      <w:sz w:val="22"/>
                      <w:szCs w:val="22"/>
                      <w:lang w:bidi="ar"/>
                    </w:rPr>
                    <w:t>内</w:t>
                  </w:r>
                </w:p>
              </w:tc>
              <w:tc>
                <w:tcPr>
                  <w:tcW w:w="481" w:type="pct"/>
                  <w:tcBorders>
                    <w:top w:val="single" w:color="auto" w:sz="4" w:space="0"/>
                    <w:left w:val="nil"/>
                    <w:bottom w:val="single" w:color="auto" w:sz="4" w:space="0"/>
                    <w:right w:val="single" w:color="auto" w:sz="4" w:space="0"/>
                  </w:tcBorders>
                  <w:vAlign w:val="center"/>
                </w:tcPr>
                <w:p w14:paraId="31D63447">
                  <w:pPr>
                    <w:widowControl/>
                    <w:jc w:val="center"/>
                    <w:textAlignment w:val="center"/>
                    <w:rPr>
                      <w:color w:val="auto"/>
                      <w:kern w:val="0"/>
                      <w:sz w:val="22"/>
                      <w:szCs w:val="22"/>
                      <w:lang w:bidi="ar"/>
                    </w:rPr>
                  </w:pPr>
                  <w:r>
                    <w:rPr>
                      <w:color w:val="auto"/>
                      <w:kern w:val="0"/>
                      <w:sz w:val="22"/>
                      <w:szCs w:val="22"/>
                      <w:lang w:bidi="ar"/>
                    </w:rPr>
                    <w:t>委托处置</w:t>
                  </w:r>
                </w:p>
              </w:tc>
              <w:tc>
                <w:tcPr>
                  <w:tcW w:w="976" w:type="pct"/>
                  <w:tcBorders>
                    <w:top w:val="single" w:color="auto" w:sz="4" w:space="0"/>
                    <w:left w:val="nil"/>
                    <w:bottom w:val="single" w:color="auto" w:sz="4" w:space="0"/>
                    <w:right w:val="single" w:color="auto" w:sz="4" w:space="0"/>
                  </w:tcBorders>
                  <w:vAlign w:val="center"/>
                </w:tcPr>
                <w:p w14:paraId="4E6790D5">
                  <w:pPr>
                    <w:widowControl/>
                    <w:jc w:val="center"/>
                    <w:textAlignment w:val="center"/>
                    <w:rPr>
                      <w:color w:val="auto"/>
                      <w:kern w:val="0"/>
                      <w:sz w:val="22"/>
                      <w:szCs w:val="22"/>
                      <w:lang w:bidi="ar"/>
                    </w:rPr>
                  </w:pPr>
                  <w:r>
                    <w:rPr>
                      <w:rFonts w:hint="eastAsia"/>
                      <w:color w:val="auto"/>
                      <w:kern w:val="0"/>
                      <w:sz w:val="22"/>
                      <w:szCs w:val="22"/>
                      <w:lang w:bidi="ar"/>
                    </w:rPr>
                    <w:t>重庆融聚瑞环保科技有限公司</w:t>
                  </w:r>
                </w:p>
              </w:tc>
              <w:tc>
                <w:tcPr>
                  <w:tcW w:w="415" w:type="pct"/>
                  <w:tcBorders>
                    <w:top w:val="single" w:color="auto" w:sz="4" w:space="0"/>
                    <w:left w:val="nil"/>
                    <w:bottom w:val="single" w:color="auto" w:sz="4" w:space="0"/>
                    <w:right w:val="single" w:color="auto" w:sz="4" w:space="0"/>
                  </w:tcBorders>
                  <w:vAlign w:val="center"/>
                </w:tcPr>
                <w:p w14:paraId="4B31DCEC">
                  <w:pPr>
                    <w:widowControl/>
                    <w:jc w:val="center"/>
                    <w:textAlignment w:val="center"/>
                    <w:rPr>
                      <w:color w:val="auto"/>
                      <w:kern w:val="0"/>
                      <w:sz w:val="22"/>
                      <w:szCs w:val="22"/>
                      <w:lang w:bidi="ar"/>
                    </w:rPr>
                  </w:pPr>
                  <w:r>
                    <w:rPr>
                      <w:color w:val="auto"/>
                      <w:kern w:val="0"/>
                      <w:sz w:val="22"/>
                      <w:szCs w:val="22"/>
                      <w:lang w:bidi="ar"/>
                    </w:rPr>
                    <w:t>0.50</w:t>
                  </w:r>
                </w:p>
              </w:tc>
              <w:tc>
                <w:tcPr>
                  <w:tcW w:w="409" w:type="pct"/>
                  <w:tcBorders>
                    <w:top w:val="single" w:color="auto" w:sz="4" w:space="0"/>
                    <w:left w:val="nil"/>
                    <w:bottom w:val="single" w:color="auto" w:sz="4" w:space="0"/>
                    <w:right w:val="single" w:color="auto" w:sz="4" w:space="0"/>
                  </w:tcBorders>
                  <w:vAlign w:val="center"/>
                </w:tcPr>
                <w:p w14:paraId="26C6384F">
                  <w:pPr>
                    <w:widowControl/>
                    <w:jc w:val="center"/>
                    <w:textAlignment w:val="center"/>
                    <w:rPr>
                      <w:color w:val="auto"/>
                      <w:kern w:val="0"/>
                      <w:sz w:val="22"/>
                      <w:szCs w:val="22"/>
                      <w:lang w:bidi="ar"/>
                    </w:rPr>
                  </w:pPr>
                  <w:r>
                    <w:rPr>
                      <w:color w:val="auto"/>
                      <w:kern w:val="0"/>
                      <w:sz w:val="22"/>
                      <w:szCs w:val="22"/>
                      <w:lang w:bidi="ar"/>
                    </w:rPr>
                    <w:t>0.50</w:t>
                  </w:r>
                </w:p>
              </w:tc>
            </w:tr>
            <w:tr w14:paraId="7224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tcBorders>
                    <w:top w:val="single" w:color="auto" w:sz="4" w:space="0"/>
                    <w:left w:val="single" w:color="auto" w:sz="4" w:space="0"/>
                    <w:bottom w:val="single" w:color="auto" w:sz="4" w:space="0"/>
                    <w:right w:val="single" w:color="auto" w:sz="4" w:space="0"/>
                  </w:tcBorders>
                  <w:vAlign w:val="center"/>
                </w:tcPr>
                <w:p w14:paraId="5DE6D441">
                  <w:pPr>
                    <w:widowControl/>
                    <w:jc w:val="center"/>
                    <w:textAlignment w:val="center"/>
                    <w:rPr>
                      <w:color w:val="auto"/>
                      <w:kern w:val="0"/>
                      <w:sz w:val="22"/>
                      <w:szCs w:val="22"/>
                      <w:lang w:bidi="ar"/>
                    </w:rPr>
                  </w:pPr>
                  <w:r>
                    <w:rPr>
                      <w:color w:val="auto"/>
                      <w:kern w:val="0"/>
                      <w:sz w:val="22"/>
                      <w:szCs w:val="22"/>
                      <w:lang w:bidi="ar"/>
                    </w:rPr>
                    <w:t>废机油</w:t>
                  </w:r>
                </w:p>
              </w:tc>
              <w:tc>
                <w:tcPr>
                  <w:tcW w:w="1685" w:type="dxa"/>
                  <w:tcBorders>
                    <w:top w:val="single" w:color="auto" w:sz="4" w:space="0"/>
                    <w:left w:val="nil"/>
                    <w:bottom w:val="single" w:color="auto" w:sz="4" w:space="0"/>
                    <w:right w:val="single" w:color="auto" w:sz="4" w:space="0"/>
                  </w:tcBorders>
                  <w:vAlign w:val="center"/>
                </w:tcPr>
                <w:p w14:paraId="7376DF8D">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kern w:val="0"/>
                      <w:sz w:val="22"/>
                      <w:szCs w:val="22"/>
                      <w:lang w:bidi="ar"/>
                    </w:rPr>
                  </w:pPr>
                  <w:r>
                    <w:rPr>
                      <w:bCs/>
                      <w:color w:val="auto"/>
                      <w:kern w:val="0"/>
                      <w:sz w:val="22"/>
                    </w:rPr>
                    <w:t>HW08（900-218-08）</w:t>
                  </w:r>
                </w:p>
              </w:tc>
              <w:tc>
                <w:tcPr>
                  <w:tcW w:w="824" w:type="pct"/>
                  <w:tcBorders>
                    <w:top w:val="single" w:color="auto" w:sz="4" w:space="0"/>
                    <w:left w:val="nil"/>
                    <w:bottom w:val="single" w:color="auto" w:sz="4" w:space="0"/>
                    <w:right w:val="single" w:color="auto" w:sz="4" w:space="0"/>
                  </w:tcBorders>
                  <w:vAlign w:val="center"/>
                </w:tcPr>
                <w:p w14:paraId="286279EA">
                  <w:pPr>
                    <w:widowControl/>
                    <w:jc w:val="center"/>
                    <w:textAlignment w:val="center"/>
                    <w:rPr>
                      <w:color w:val="auto"/>
                      <w:kern w:val="0"/>
                      <w:sz w:val="22"/>
                      <w:szCs w:val="22"/>
                      <w:lang w:bidi="ar"/>
                    </w:rPr>
                  </w:pPr>
                  <w:r>
                    <w:rPr>
                      <w:color w:val="auto"/>
                      <w:kern w:val="0"/>
                      <w:sz w:val="22"/>
                      <w:szCs w:val="22"/>
                      <w:lang w:bidi="ar"/>
                    </w:rPr>
                    <w:t>盖严瓶盖后转移至</w:t>
                  </w:r>
                  <w:r>
                    <w:rPr>
                      <w:rFonts w:hint="eastAsia"/>
                      <w:color w:val="auto"/>
                      <w:kern w:val="0"/>
                      <w:sz w:val="22"/>
                      <w:szCs w:val="22"/>
                      <w:lang w:eastAsia="zh-CN" w:bidi="ar"/>
                    </w:rPr>
                    <w:t>危废贮存库</w:t>
                  </w:r>
                  <w:r>
                    <w:rPr>
                      <w:color w:val="auto"/>
                      <w:kern w:val="0"/>
                      <w:sz w:val="22"/>
                      <w:szCs w:val="22"/>
                      <w:lang w:bidi="ar"/>
                    </w:rPr>
                    <w:t>专用容器中</w:t>
                  </w:r>
                </w:p>
              </w:tc>
              <w:tc>
                <w:tcPr>
                  <w:tcW w:w="481" w:type="pct"/>
                  <w:tcBorders>
                    <w:top w:val="single" w:color="auto" w:sz="4" w:space="0"/>
                    <w:left w:val="nil"/>
                    <w:bottom w:val="single" w:color="auto" w:sz="4" w:space="0"/>
                    <w:right w:val="single" w:color="auto" w:sz="4" w:space="0"/>
                  </w:tcBorders>
                  <w:vAlign w:val="center"/>
                </w:tcPr>
                <w:p w14:paraId="3DAA2840">
                  <w:pPr>
                    <w:widowControl/>
                    <w:jc w:val="center"/>
                    <w:textAlignment w:val="center"/>
                    <w:rPr>
                      <w:color w:val="auto"/>
                      <w:kern w:val="0"/>
                      <w:sz w:val="22"/>
                      <w:szCs w:val="22"/>
                      <w:lang w:bidi="ar"/>
                    </w:rPr>
                  </w:pPr>
                  <w:r>
                    <w:rPr>
                      <w:color w:val="auto"/>
                      <w:kern w:val="0"/>
                      <w:sz w:val="22"/>
                      <w:szCs w:val="22"/>
                      <w:lang w:bidi="ar"/>
                    </w:rPr>
                    <w:t>委托处置</w:t>
                  </w:r>
                </w:p>
              </w:tc>
              <w:tc>
                <w:tcPr>
                  <w:tcW w:w="976" w:type="pct"/>
                  <w:tcBorders>
                    <w:top w:val="single" w:color="auto" w:sz="4" w:space="0"/>
                    <w:left w:val="nil"/>
                    <w:bottom w:val="single" w:color="auto" w:sz="4" w:space="0"/>
                    <w:right w:val="single" w:color="auto" w:sz="4" w:space="0"/>
                  </w:tcBorders>
                  <w:vAlign w:val="center"/>
                </w:tcPr>
                <w:p w14:paraId="0B3A4D8D">
                  <w:pPr>
                    <w:widowControl/>
                    <w:jc w:val="center"/>
                    <w:textAlignment w:val="center"/>
                    <w:rPr>
                      <w:color w:val="auto"/>
                      <w:kern w:val="0"/>
                      <w:sz w:val="22"/>
                      <w:szCs w:val="22"/>
                      <w:lang w:bidi="ar"/>
                    </w:rPr>
                  </w:pPr>
                  <w:r>
                    <w:rPr>
                      <w:rFonts w:hint="eastAsia"/>
                      <w:color w:val="auto"/>
                      <w:kern w:val="0"/>
                      <w:sz w:val="22"/>
                      <w:szCs w:val="22"/>
                      <w:lang w:bidi="ar"/>
                    </w:rPr>
                    <w:t>重庆融聚瑞环保科技有限公司</w:t>
                  </w:r>
                </w:p>
              </w:tc>
              <w:tc>
                <w:tcPr>
                  <w:tcW w:w="415" w:type="pct"/>
                  <w:tcBorders>
                    <w:top w:val="single" w:color="auto" w:sz="4" w:space="0"/>
                    <w:left w:val="nil"/>
                    <w:bottom w:val="single" w:color="auto" w:sz="4" w:space="0"/>
                    <w:right w:val="single" w:color="auto" w:sz="4" w:space="0"/>
                  </w:tcBorders>
                  <w:vAlign w:val="center"/>
                </w:tcPr>
                <w:p w14:paraId="4183EC27">
                  <w:pPr>
                    <w:widowControl/>
                    <w:jc w:val="center"/>
                    <w:textAlignment w:val="center"/>
                    <w:rPr>
                      <w:color w:val="auto"/>
                      <w:kern w:val="0"/>
                      <w:sz w:val="22"/>
                      <w:szCs w:val="22"/>
                      <w:lang w:bidi="ar"/>
                    </w:rPr>
                  </w:pPr>
                  <w:r>
                    <w:rPr>
                      <w:color w:val="auto"/>
                      <w:kern w:val="0"/>
                      <w:sz w:val="22"/>
                      <w:szCs w:val="22"/>
                      <w:lang w:bidi="ar"/>
                    </w:rPr>
                    <w:t>2.00</w:t>
                  </w:r>
                </w:p>
              </w:tc>
              <w:tc>
                <w:tcPr>
                  <w:tcW w:w="409" w:type="pct"/>
                  <w:tcBorders>
                    <w:top w:val="single" w:color="auto" w:sz="4" w:space="0"/>
                    <w:left w:val="nil"/>
                    <w:bottom w:val="single" w:color="auto" w:sz="4" w:space="0"/>
                    <w:right w:val="single" w:color="auto" w:sz="4" w:space="0"/>
                  </w:tcBorders>
                  <w:vAlign w:val="center"/>
                </w:tcPr>
                <w:p w14:paraId="38E584EF">
                  <w:pPr>
                    <w:widowControl/>
                    <w:jc w:val="center"/>
                    <w:textAlignment w:val="center"/>
                    <w:rPr>
                      <w:color w:val="auto"/>
                      <w:kern w:val="0"/>
                      <w:sz w:val="22"/>
                      <w:szCs w:val="22"/>
                      <w:lang w:bidi="ar"/>
                    </w:rPr>
                  </w:pPr>
                  <w:r>
                    <w:rPr>
                      <w:color w:val="auto"/>
                      <w:kern w:val="0"/>
                      <w:sz w:val="22"/>
                      <w:szCs w:val="22"/>
                      <w:lang w:bidi="ar"/>
                    </w:rPr>
                    <w:t>2.00</w:t>
                  </w:r>
                </w:p>
              </w:tc>
            </w:tr>
            <w:tr w14:paraId="2E77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vAlign w:val="center"/>
                </w:tcPr>
                <w:p w14:paraId="0F0D45F2">
                  <w:pPr>
                    <w:widowControl/>
                    <w:jc w:val="center"/>
                    <w:textAlignment w:val="center"/>
                    <w:rPr>
                      <w:color w:val="auto"/>
                      <w:kern w:val="0"/>
                      <w:sz w:val="22"/>
                      <w:szCs w:val="22"/>
                      <w:lang w:bidi="ar"/>
                    </w:rPr>
                  </w:pPr>
                  <w:r>
                    <w:rPr>
                      <w:color w:val="auto"/>
                      <w:kern w:val="0"/>
                      <w:sz w:val="22"/>
                      <w:szCs w:val="22"/>
                      <w:lang w:bidi="ar"/>
                    </w:rPr>
                    <w:t>含油棉纱/手套</w:t>
                  </w:r>
                </w:p>
              </w:tc>
              <w:tc>
                <w:tcPr>
                  <w:tcW w:w="1685" w:type="dxa"/>
                  <w:vAlign w:val="center"/>
                </w:tcPr>
                <w:p w14:paraId="35C4902A">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kern w:val="0"/>
                      <w:sz w:val="22"/>
                      <w:szCs w:val="22"/>
                      <w:lang w:bidi="ar"/>
                    </w:rPr>
                  </w:pPr>
                  <w:r>
                    <w:rPr>
                      <w:bCs/>
                      <w:color w:val="auto"/>
                      <w:kern w:val="0"/>
                      <w:sz w:val="22"/>
                    </w:rPr>
                    <w:t>HW49（900-041-49）</w:t>
                  </w:r>
                </w:p>
              </w:tc>
              <w:tc>
                <w:tcPr>
                  <w:tcW w:w="824" w:type="pct"/>
                  <w:vAlign w:val="center"/>
                </w:tcPr>
                <w:p w14:paraId="1C48585D">
                  <w:pPr>
                    <w:widowControl/>
                    <w:jc w:val="center"/>
                    <w:textAlignment w:val="center"/>
                    <w:rPr>
                      <w:rFonts w:hint="eastAsia" w:eastAsia="宋体"/>
                      <w:color w:val="auto"/>
                      <w:kern w:val="0"/>
                      <w:sz w:val="22"/>
                      <w:szCs w:val="22"/>
                      <w:lang w:eastAsia="zh-CN" w:bidi="ar"/>
                    </w:rPr>
                  </w:pPr>
                  <w:r>
                    <w:rPr>
                      <w:color w:val="auto"/>
                      <w:kern w:val="0"/>
                      <w:sz w:val="22"/>
                      <w:szCs w:val="22"/>
                      <w:lang w:bidi="ar"/>
                    </w:rPr>
                    <w:t>密闭桶装收集，存放于</w:t>
                  </w:r>
                  <w:r>
                    <w:rPr>
                      <w:rFonts w:hint="eastAsia"/>
                      <w:color w:val="auto"/>
                      <w:kern w:val="0"/>
                      <w:sz w:val="22"/>
                      <w:szCs w:val="22"/>
                      <w:lang w:eastAsia="zh-CN" w:bidi="ar"/>
                    </w:rPr>
                    <w:t>危废贮存库</w:t>
                  </w:r>
                </w:p>
              </w:tc>
              <w:tc>
                <w:tcPr>
                  <w:tcW w:w="481" w:type="pct"/>
                  <w:vAlign w:val="center"/>
                </w:tcPr>
                <w:p w14:paraId="31BF6768">
                  <w:pPr>
                    <w:widowControl/>
                    <w:jc w:val="center"/>
                    <w:textAlignment w:val="center"/>
                    <w:rPr>
                      <w:color w:val="auto"/>
                      <w:kern w:val="0"/>
                      <w:sz w:val="22"/>
                      <w:szCs w:val="22"/>
                      <w:lang w:bidi="ar"/>
                    </w:rPr>
                  </w:pPr>
                  <w:r>
                    <w:rPr>
                      <w:color w:val="auto"/>
                      <w:kern w:val="0"/>
                      <w:sz w:val="22"/>
                      <w:szCs w:val="22"/>
                      <w:lang w:bidi="ar"/>
                    </w:rPr>
                    <w:t>委托处置</w:t>
                  </w:r>
                </w:p>
              </w:tc>
              <w:tc>
                <w:tcPr>
                  <w:tcW w:w="976" w:type="pct"/>
                  <w:vAlign w:val="center"/>
                </w:tcPr>
                <w:p w14:paraId="6B0EE088">
                  <w:pPr>
                    <w:widowControl/>
                    <w:jc w:val="center"/>
                    <w:textAlignment w:val="center"/>
                    <w:rPr>
                      <w:color w:val="auto"/>
                      <w:kern w:val="0"/>
                      <w:sz w:val="22"/>
                      <w:szCs w:val="22"/>
                      <w:lang w:bidi="ar"/>
                    </w:rPr>
                  </w:pPr>
                  <w:r>
                    <w:rPr>
                      <w:rFonts w:hint="eastAsia"/>
                      <w:color w:val="auto"/>
                      <w:kern w:val="0"/>
                      <w:sz w:val="22"/>
                      <w:szCs w:val="22"/>
                      <w:lang w:bidi="ar"/>
                    </w:rPr>
                    <w:t>重庆融聚瑞环保科技有限公司</w:t>
                  </w:r>
                </w:p>
              </w:tc>
              <w:tc>
                <w:tcPr>
                  <w:tcW w:w="415" w:type="pct"/>
                  <w:vAlign w:val="center"/>
                </w:tcPr>
                <w:p w14:paraId="771CAD8D">
                  <w:pPr>
                    <w:widowControl/>
                    <w:jc w:val="center"/>
                    <w:textAlignment w:val="center"/>
                    <w:rPr>
                      <w:color w:val="auto"/>
                      <w:kern w:val="0"/>
                      <w:sz w:val="22"/>
                      <w:szCs w:val="22"/>
                      <w:lang w:bidi="ar"/>
                    </w:rPr>
                  </w:pPr>
                  <w:r>
                    <w:rPr>
                      <w:color w:val="auto"/>
                      <w:kern w:val="0"/>
                      <w:sz w:val="22"/>
                      <w:szCs w:val="22"/>
                      <w:lang w:bidi="ar"/>
                    </w:rPr>
                    <w:t>0.50</w:t>
                  </w:r>
                </w:p>
              </w:tc>
              <w:tc>
                <w:tcPr>
                  <w:tcW w:w="409" w:type="pct"/>
                  <w:vAlign w:val="center"/>
                </w:tcPr>
                <w:p w14:paraId="4D58E54B">
                  <w:pPr>
                    <w:widowControl/>
                    <w:jc w:val="center"/>
                    <w:textAlignment w:val="center"/>
                    <w:rPr>
                      <w:color w:val="auto"/>
                      <w:kern w:val="0"/>
                      <w:sz w:val="22"/>
                      <w:szCs w:val="22"/>
                      <w:lang w:bidi="ar"/>
                    </w:rPr>
                  </w:pPr>
                  <w:r>
                    <w:rPr>
                      <w:color w:val="auto"/>
                      <w:kern w:val="0"/>
                      <w:sz w:val="22"/>
                      <w:szCs w:val="22"/>
                      <w:lang w:bidi="ar"/>
                    </w:rPr>
                    <w:t>0.50</w:t>
                  </w:r>
                </w:p>
              </w:tc>
            </w:tr>
            <w:tr w14:paraId="2F34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vAlign w:val="center"/>
                </w:tcPr>
                <w:p w14:paraId="234247EB">
                  <w:pPr>
                    <w:widowControl/>
                    <w:jc w:val="center"/>
                    <w:textAlignment w:val="center"/>
                    <w:rPr>
                      <w:color w:val="auto"/>
                      <w:kern w:val="0"/>
                      <w:sz w:val="22"/>
                      <w:szCs w:val="22"/>
                      <w:lang w:bidi="ar"/>
                    </w:rPr>
                  </w:pPr>
                  <w:r>
                    <w:rPr>
                      <w:rFonts w:hint="eastAsia"/>
                      <w:color w:val="auto"/>
                      <w:kern w:val="0"/>
                      <w:sz w:val="22"/>
                      <w:szCs w:val="22"/>
                      <w:lang w:bidi="ar"/>
                    </w:rPr>
                    <w:t>含油过滤袋（含油空压机产生）</w:t>
                  </w:r>
                </w:p>
              </w:tc>
              <w:tc>
                <w:tcPr>
                  <w:tcW w:w="1004" w:type="pct"/>
                  <w:vAlign w:val="center"/>
                </w:tcPr>
                <w:p w14:paraId="456ABD52">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kern w:val="0"/>
                      <w:sz w:val="22"/>
                      <w:szCs w:val="22"/>
                      <w:lang w:bidi="ar"/>
                    </w:rPr>
                  </w:pPr>
                  <w:r>
                    <w:rPr>
                      <w:bCs/>
                      <w:color w:val="auto"/>
                      <w:kern w:val="0"/>
                      <w:sz w:val="22"/>
                    </w:rPr>
                    <w:t>HW49（900-041-49）</w:t>
                  </w:r>
                </w:p>
              </w:tc>
              <w:tc>
                <w:tcPr>
                  <w:tcW w:w="824" w:type="pct"/>
                  <w:vAlign w:val="center"/>
                </w:tcPr>
                <w:p w14:paraId="3FFC7767">
                  <w:pPr>
                    <w:widowControl/>
                    <w:jc w:val="center"/>
                    <w:textAlignment w:val="center"/>
                    <w:rPr>
                      <w:rFonts w:hint="eastAsia" w:eastAsia="宋体"/>
                      <w:color w:val="auto"/>
                      <w:kern w:val="0"/>
                      <w:sz w:val="22"/>
                      <w:szCs w:val="22"/>
                      <w:lang w:eastAsia="zh-CN" w:bidi="ar"/>
                    </w:rPr>
                  </w:pPr>
                  <w:r>
                    <w:rPr>
                      <w:color w:val="auto"/>
                      <w:kern w:val="0"/>
                      <w:sz w:val="22"/>
                      <w:szCs w:val="22"/>
                      <w:lang w:bidi="ar"/>
                    </w:rPr>
                    <w:t>密闭桶装收集，存放于</w:t>
                  </w:r>
                  <w:r>
                    <w:rPr>
                      <w:rFonts w:hint="eastAsia"/>
                      <w:color w:val="auto"/>
                      <w:kern w:val="0"/>
                      <w:sz w:val="22"/>
                      <w:szCs w:val="22"/>
                      <w:lang w:eastAsia="zh-CN" w:bidi="ar"/>
                    </w:rPr>
                    <w:t>危废贮存库</w:t>
                  </w:r>
                </w:p>
              </w:tc>
              <w:tc>
                <w:tcPr>
                  <w:tcW w:w="481" w:type="pct"/>
                  <w:vAlign w:val="center"/>
                </w:tcPr>
                <w:p w14:paraId="31DA9500">
                  <w:pPr>
                    <w:widowControl/>
                    <w:jc w:val="center"/>
                    <w:textAlignment w:val="center"/>
                    <w:rPr>
                      <w:color w:val="auto"/>
                      <w:kern w:val="0"/>
                      <w:sz w:val="22"/>
                      <w:szCs w:val="22"/>
                      <w:lang w:bidi="ar"/>
                    </w:rPr>
                  </w:pPr>
                  <w:r>
                    <w:rPr>
                      <w:color w:val="auto"/>
                      <w:kern w:val="0"/>
                      <w:sz w:val="22"/>
                      <w:szCs w:val="22"/>
                      <w:lang w:bidi="ar"/>
                    </w:rPr>
                    <w:t>委托处置</w:t>
                  </w:r>
                </w:p>
              </w:tc>
              <w:tc>
                <w:tcPr>
                  <w:tcW w:w="976" w:type="pct"/>
                  <w:vAlign w:val="center"/>
                </w:tcPr>
                <w:p w14:paraId="4A07A400">
                  <w:pPr>
                    <w:widowControl/>
                    <w:jc w:val="center"/>
                    <w:textAlignment w:val="center"/>
                    <w:rPr>
                      <w:color w:val="auto"/>
                      <w:kern w:val="0"/>
                      <w:sz w:val="22"/>
                      <w:szCs w:val="22"/>
                      <w:lang w:bidi="ar"/>
                    </w:rPr>
                  </w:pPr>
                  <w:r>
                    <w:rPr>
                      <w:rFonts w:hint="eastAsia"/>
                      <w:color w:val="auto"/>
                      <w:kern w:val="0"/>
                      <w:sz w:val="22"/>
                      <w:szCs w:val="22"/>
                      <w:lang w:bidi="ar"/>
                    </w:rPr>
                    <w:t>/</w:t>
                  </w:r>
                </w:p>
              </w:tc>
              <w:tc>
                <w:tcPr>
                  <w:tcW w:w="415" w:type="pct"/>
                  <w:vAlign w:val="center"/>
                </w:tcPr>
                <w:p w14:paraId="074EB8FD">
                  <w:pPr>
                    <w:widowControl/>
                    <w:jc w:val="center"/>
                    <w:textAlignment w:val="center"/>
                    <w:rPr>
                      <w:color w:val="auto"/>
                      <w:kern w:val="0"/>
                      <w:sz w:val="22"/>
                      <w:szCs w:val="22"/>
                      <w:lang w:bidi="ar"/>
                    </w:rPr>
                  </w:pPr>
                  <w:r>
                    <w:rPr>
                      <w:rFonts w:hint="eastAsia"/>
                      <w:color w:val="auto"/>
                      <w:kern w:val="0"/>
                      <w:sz w:val="22"/>
                      <w:szCs w:val="22"/>
                      <w:lang w:bidi="ar"/>
                    </w:rPr>
                    <w:t>0.036</w:t>
                  </w:r>
                </w:p>
              </w:tc>
              <w:tc>
                <w:tcPr>
                  <w:tcW w:w="409" w:type="pct"/>
                  <w:vAlign w:val="center"/>
                </w:tcPr>
                <w:p w14:paraId="31B1994E">
                  <w:pPr>
                    <w:widowControl/>
                    <w:jc w:val="center"/>
                    <w:textAlignment w:val="center"/>
                    <w:rPr>
                      <w:color w:val="auto"/>
                      <w:kern w:val="0"/>
                      <w:sz w:val="22"/>
                      <w:szCs w:val="22"/>
                      <w:lang w:bidi="ar"/>
                    </w:rPr>
                  </w:pPr>
                  <w:r>
                    <w:rPr>
                      <w:rFonts w:hint="eastAsia"/>
                      <w:color w:val="auto"/>
                      <w:kern w:val="0"/>
                      <w:sz w:val="22"/>
                      <w:szCs w:val="22"/>
                      <w:lang w:bidi="ar"/>
                    </w:rPr>
                    <w:t>0.036</w:t>
                  </w:r>
                </w:p>
              </w:tc>
            </w:tr>
            <w:tr w14:paraId="3C77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9" w:type="pct"/>
                  <w:vAlign w:val="center"/>
                </w:tcPr>
                <w:p w14:paraId="6DEF020C">
                  <w:pPr>
                    <w:widowControl/>
                    <w:jc w:val="center"/>
                    <w:textAlignment w:val="center"/>
                    <w:rPr>
                      <w:color w:val="auto"/>
                      <w:kern w:val="0"/>
                      <w:sz w:val="22"/>
                      <w:szCs w:val="22"/>
                      <w:lang w:bidi="ar"/>
                    </w:rPr>
                  </w:pPr>
                  <w:r>
                    <w:rPr>
                      <w:color w:val="auto"/>
                      <w:kern w:val="0"/>
                      <w:sz w:val="22"/>
                      <w:szCs w:val="22"/>
                      <w:lang w:bidi="ar"/>
                    </w:rPr>
                    <w:t>餐厨垃圾</w:t>
                  </w:r>
                </w:p>
              </w:tc>
              <w:tc>
                <w:tcPr>
                  <w:tcW w:w="1004" w:type="pct"/>
                  <w:vAlign w:val="center"/>
                </w:tcPr>
                <w:p w14:paraId="26119E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宋体"/>
                      <w:color w:val="auto"/>
                      <w:kern w:val="0"/>
                      <w:sz w:val="22"/>
                      <w:szCs w:val="22"/>
                      <w:lang w:val="en-US" w:eastAsia="zh-CN" w:bidi="ar"/>
                    </w:rPr>
                  </w:pPr>
                  <w:r>
                    <w:rPr>
                      <w:rFonts w:hint="eastAsia"/>
                      <w:color w:val="auto"/>
                      <w:kern w:val="0"/>
                      <w:sz w:val="22"/>
                      <w:szCs w:val="22"/>
                      <w:lang w:val="en-US" w:eastAsia="zh-CN" w:bidi="ar"/>
                    </w:rPr>
                    <w:t>/</w:t>
                  </w:r>
                </w:p>
              </w:tc>
              <w:tc>
                <w:tcPr>
                  <w:tcW w:w="824" w:type="pct"/>
                  <w:vAlign w:val="center"/>
                </w:tcPr>
                <w:p w14:paraId="19FB22C5">
                  <w:pPr>
                    <w:widowControl/>
                    <w:jc w:val="center"/>
                    <w:textAlignment w:val="center"/>
                    <w:rPr>
                      <w:color w:val="auto"/>
                      <w:kern w:val="0"/>
                      <w:sz w:val="22"/>
                      <w:szCs w:val="22"/>
                      <w:lang w:bidi="ar"/>
                    </w:rPr>
                  </w:pPr>
                  <w:r>
                    <w:rPr>
                      <w:color w:val="auto"/>
                      <w:kern w:val="0"/>
                      <w:sz w:val="22"/>
                      <w:szCs w:val="22"/>
                      <w:lang w:bidi="ar"/>
                    </w:rPr>
                    <w:t>专用垃圾箱收集，垃圾站</w:t>
                  </w:r>
                </w:p>
              </w:tc>
              <w:tc>
                <w:tcPr>
                  <w:tcW w:w="481" w:type="pct"/>
                  <w:vAlign w:val="center"/>
                </w:tcPr>
                <w:p w14:paraId="0A2C4EEA">
                  <w:pPr>
                    <w:widowControl/>
                    <w:jc w:val="center"/>
                    <w:textAlignment w:val="center"/>
                    <w:rPr>
                      <w:color w:val="auto"/>
                      <w:kern w:val="0"/>
                      <w:sz w:val="22"/>
                      <w:szCs w:val="22"/>
                      <w:lang w:bidi="ar"/>
                    </w:rPr>
                  </w:pPr>
                  <w:r>
                    <w:rPr>
                      <w:color w:val="auto"/>
                      <w:kern w:val="0"/>
                      <w:sz w:val="22"/>
                      <w:szCs w:val="22"/>
                      <w:lang w:bidi="ar"/>
                    </w:rPr>
                    <w:t>委托处置</w:t>
                  </w:r>
                </w:p>
              </w:tc>
              <w:tc>
                <w:tcPr>
                  <w:tcW w:w="976" w:type="pct"/>
                  <w:vAlign w:val="center"/>
                </w:tcPr>
                <w:p w14:paraId="206136B7">
                  <w:pPr>
                    <w:widowControl/>
                    <w:jc w:val="center"/>
                    <w:textAlignment w:val="center"/>
                    <w:rPr>
                      <w:color w:val="auto"/>
                      <w:kern w:val="0"/>
                      <w:sz w:val="22"/>
                      <w:szCs w:val="22"/>
                      <w:lang w:bidi="ar"/>
                    </w:rPr>
                  </w:pPr>
                  <w:r>
                    <w:rPr>
                      <w:color w:val="auto"/>
                      <w:kern w:val="0"/>
                      <w:sz w:val="22"/>
                      <w:szCs w:val="22"/>
                      <w:lang w:bidi="ar"/>
                    </w:rPr>
                    <w:t>交由市政环卫部门处理</w:t>
                  </w:r>
                </w:p>
              </w:tc>
              <w:tc>
                <w:tcPr>
                  <w:tcW w:w="415" w:type="pct"/>
                  <w:vAlign w:val="center"/>
                </w:tcPr>
                <w:p w14:paraId="269061C0">
                  <w:pPr>
                    <w:widowControl/>
                    <w:jc w:val="center"/>
                    <w:textAlignment w:val="center"/>
                    <w:rPr>
                      <w:color w:val="auto"/>
                      <w:kern w:val="0"/>
                      <w:sz w:val="22"/>
                      <w:szCs w:val="22"/>
                      <w:lang w:bidi="ar"/>
                    </w:rPr>
                  </w:pPr>
                  <w:r>
                    <w:rPr>
                      <w:color w:val="auto"/>
                      <w:kern w:val="0"/>
                      <w:sz w:val="22"/>
                      <w:szCs w:val="22"/>
                      <w:lang w:bidi="ar"/>
                    </w:rPr>
                    <w:t>19.50</w:t>
                  </w:r>
                </w:p>
              </w:tc>
              <w:tc>
                <w:tcPr>
                  <w:tcW w:w="409" w:type="pct"/>
                  <w:vAlign w:val="center"/>
                </w:tcPr>
                <w:p w14:paraId="72063B63">
                  <w:pPr>
                    <w:widowControl/>
                    <w:jc w:val="center"/>
                    <w:textAlignment w:val="center"/>
                    <w:rPr>
                      <w:color w:val="auto"/>
                      <w:kern w:val="0"/>
                      <w:sz w:val="22"/>
                      <w:szCs w:val="22"/>
                      <w:lang w:bidi="ar"/>
                    </w:rPr>
                  </w:pPr>
                  <w:r>
                    <w:rPr>
                      <w:color w:val="auto"/>
                      <w:kern w:val="0"/>
                      <w:sz w:val="22"/>
                      <w:szCs w:val="22"/>
                      <w:lang w:bidi="ar"/>
                    </w:rPr>
                    <w:t>19.50</w:t>
                  </w:r>
                </w:p>
              </w:tc>
            </w:tr>
            <w:tr w14:paraId="68E4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9" w:type="pct"/>
                  <w:vAlign w:val="center"/>
                </w:tcPr>
                <w:p w14:paraId="3490BD0B">
                  <w:pPr>
                    <w:widowControl/>
                    <w:jc w:val="center"/>
                    <w:textAlignment w:val="center"/>
                    <w:rPr>
                      <w:color w:val="auto"/>
                      <w:kern w:val="0"/>
                      <w:sz w:val="22"/>
                      <w:szCs w:val="22"/>
                      <w:lang w:bidi="ar"/>
                    </w:rPr>
                  </w:pPr>
                  <w:r>
                    <w:rPr>
                      <w:color w:val="auto"/>
                      <w:kern w:val="0"/>
                      <w:sz w:val="22"/>
                      <w:szCs w:val="22"/>
                      <w:lang w:bidi="ar"/>
                    </w:rPr>
                    <w:t>生活垃圾</w:t>
                  </w:r>
                </w:p>
              </w:tc>
              <w:tc>
                <w:tcPr>
                  <w:tcW w:w="1004" w:type="pct"/>
                  <w:vAlign w:val="center"/>
                </w:tcPr>
                <w:p w14:paraId="72791A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宋体"/>
                      <w:color w:val="auto"/>
                      <w:kern w:val="0"/>
                      <w:sz w:val="22"/>
                      <w:szCs w:val="22"/>
                      <w:lang w:val="en-US" w:eastAsia="zh-CN" w:bidi="ar"/>
                    </w:rPr>
                  </w:pPr>
                  <w:r>
                    <w:rPr>
                      <w:rFonts w:hint="eastAsia"/>
                      <w:color w:val="auto"/>
                      <w:kern w:val="0"/>
                      <w:sz w:val="22"/>
                      <w:szCs w:val="22"/>
                      <w:lang w:val="en-US" w:eastAsia="zh-CN" w:bidi="ar"/>
                    </w:rPr>
                    <w:t>/</w:t>
                  </w:r>
                </w:p>
              </w:tc>
              <w:tc>
                <w:tcPr>
                  <w:tcW w:w="824" w:type="pct"/>
                  <w:vAlign w:val="center"/>
                </w:tcPr>
                <w:p w14:paraId="29D2EDE4">
                  <w:pPr>
                    <w:widowControl/>
                    <w:jc w:val="center"/>
                    <w:textAlignment w:val="center"/>
                    <w:rPr>
                      <w:color w:val="auto"/>
                      <w:kern w:val="0"/>
                      <w:sz w:val="22"/>
                      <w:szCs w:val="22"/>
                      <w:lang w:bidi="ar"/>
                    </w:rPr>
                  </w:pPr>
                  <w:r>
                    <w:rPr>
                      <w:color w:val="auto"/>
                      <w:kern w:val="0"/>
                      <w:sz w:val="22"/>
                      <w:szCs w:val="22"/>
                      <w:lang w:bidi="ar"/>
                    </w:rPr>
                    <w:t>垃圾箱收集，垃圾站</w:t>
                  </w:r>
                </w:p>
              </w:tc>
              <w:tc>
                <w:tcPr>
                  <w:tcW w:w="481" w:type="pct"/>
                  <w:vAlign w:val="center"/>
                </w:tcPr>
                <w:p w14:paraId="269C021D">
                  <w:pPr>
                    <w:widowControl/>
                    <w:jc w:val="center"/>
                    <w:textAlignment w:val="center"/>
                    <w:rPr>
                      <w:color w:val="auto"/>
                      <w:kern w:val="0"/>
                      <w:sz w:val="22"/>
                      <w:szCs w:val="22"/>
                      <w:lang w:bidi="ar"/>
                    </w:rPr>
                  </w:pPr>
                  <w:r>
                    <w:rPr>
                      <w:color w:val="auto"/>
                      <w:kern w:val="0"/>
                      <w:sz w:val="22"/>
                      <w:szCs w:val="22"/>
                      <w:lang w:bidi="ar"/>
                    </w:rPr>
                    <w:t>委托处置</w:t>
                  </w:r>
                </w:p>
              </w:tc>
              <w:tc>
                <w:tcPr>
                  <w:tcW w:w="976" w:type="pct"/>
                  <w:vAlign w:val="center"/>
                </w:tcPr>
                <w:p w14:paraId="62024B04">
                  <w:pPr>
                    <w:widowControl/>
                    <w:jc w:val="center"/>
                    <w:textAlignment w:val="center"/>
                    <w:rPr>
                      <w:color w:val="auto"/>
                      <w:kern w:val="0"/>
                      <w:sz w:val="22"/>
                      <w:szCs w:val="22"/>
                      <w:lang w:bidi="ar"/>
                    </w:rPr>
                  </w:pPr>
                  <w:r>
                    <w:rPr>
                      <w:color w:val="auto"/>
                      <w:kern w:val="0"/>
                      <w:sz w:val="22"/>
                      <w:szCs w:val="22"/>
                      <w:lang w:bidi="ar"/>
                    </w:rPr>
                    <w:t>交由市政环卫部门处理</w:t>
                  </w:r>
                </w:p>
              </w:tc>
              <w:tc>
                <w:tcPr>
                  <w:tcW w:w="415" w:type="pct"/>
                  <w:vAlign w:val="center"/>
                </w:tcPr>
                <w:p w14:paraId="156DC433">
                  <w:pPr>
                    <w:widowControl/>
                    <w:jc w:val="center"/>
                    <w:textAlignment w:val="center"/>
                    <w:rPr>
                      <w:color w:val="auto"/>
                      <w:kern w:val="0"/>
                      <w:sz w:val="22"/>
                      <w:szCs w:val="22"/>
                      <w:lang w:bidi="ar"/>
                    </w:rPr>
                  </w:pPr>
                  <w:r>
                    <w:rPr>
                      <w:color w:val="auto"/>
                      <w:kern w:val="0"/>
                      <w:sz w:val="22"/>
                      <w:szCs w:val="22"/>
                      <w:lang w:bidi="ar"/>
                    </w:rPr>
                    <w:t>19.50</w:t>
                  </w:r>
                </w:p>
              </w:tc>
              <w:tc>
                <w:tcPr>
                  <w:tcW w:w="409" w:type="pct"/>
                  <w:vAlign w:val="center"/>
                </w:tcPr>
                <w:p w14:paraId="59C4169A">
                  <w:pPr>
                    <w:widowControl/>
                    <w:jc w:val="center"/>
                    <w:textAlignment w:val="center"/>
                    <w:rPr>
                      <w:color w:val="auto"/>
                      <w:kern w:val="0"/>
                      <w:sz w:val="22"/>
                      <w:szCs w:val="22"/>
                      <w:lang w:bidi="ar"/>
                    </w:rPr>
                  </w:pPr>
                  <w:r>
                    <w:rPr>
                      <w:color w:val="auto"/>
                      <w:kern w:val="0"/>
                      <w:sz w:val="22"/>
                      <w:szCs w:val="22"/>
                      <w:lang w:bidi="ar"/>
                    </w:rPr>
                    <w:t>19.50</w:t>
                  </w:r>
                </w:p>
              </w:tc>
            </w:tr>
          </w:tbl>
          <w:p w14:paraId="4BE6134B">
            <w:pPr>
              <w:spacing w:line="500" w:lineRule="exact"/>
              <w:ind w:firstLine="480"/>
              <w:rPr>
                <w:color w:val="auto"/>
                <w:kern w:val="0"/>
                <w:szCs w:val="26"/>
              </w:rPr>
            </w:pPr>
            <w:r>
              <w:rPr>
                <w:color w:val="auto"/>
                <w:sz w:val="26"/>
                <w:szCs w:val="26"/>
              </w:rPr>
              <w:t>由表可知，</w:t>
            </w:r>
            <w:r>
              <w:rPr>
                <w:rFonts w:hint="eastAsia"/>
                <w:color w:val="auto"/>
                <w:sz w:val="26"/>
                <w:szCs w:val="26"/>
                <w:lang w:val="en-US" w:eastAsia="zh-CN"/>
              </w:rPr>
              <w:t>项目</w:t>
            </w:r>
            <w:r>
              <w:rPr>
                <w:color w:val="auto"/>
                <w:sz w:val="26"/>
                <w:szCs w:val="26"/>
              </w:rPr>
              <w:t>固体废弃物均得到了妥善处置，未造成二次污染。</w:t>
            </w:r>
          </w:p>
          <w:p w14:paraId="7E947290">
            <w:pPr>
              <w:pStyle w:val="82"/>
              <w:spacing w:line="460" w:lineRule="exact"/>
              <w:ind w:firstLine="520"/>
              <w:rPr>
                <w:color w:val="auto"/>
                <w:kern w:val="0"/>
                <w:szCs w:val="26"/>
              </w:rPr>
            </w:pPr>
            <w:r>
              <w:rPr>
                <w:color w:val="auto"/>
                <w:szCs w:val="26"/>
              </w:rPr>
              <w:t>2.1</w:t>
            </w:r>
            <w:r>
              <w:rPr>
                <w:rFonts w:hint="eastAsia"/>
                <w:color w:val="auto"/>
                <w:szCs w:val="26"/>
              </w:rPr>
              <w:t>3</w:t>
            </w:r>
            <w:r>
              <w:rPr>
                <w:color w:val="auto"/>
                <w:szCs w:val="26"/>
              </w:rPr>
              <w:t>.</w:t>
            </w:r>
            <w:r>
              <w:rPr>
                <w:rFonts w:hint="eastAsia"/>
                <w:color w:val="auto"/>
                <w:szCs w:val="26"/>
              </w:rPr>
              <w:t>6</w:t>
            </w:r>
            <w:r>
              <w:rPr>
                <w:color w:val="auto"/>
                <w:szCs w:val="26"/>
              </w:rPr>
              <w:t>.2</w:t>
            </w:r>
            <w:r>
              <w:rPr>
                <w:rFonts w:hint="eastAsia"/>
                <w:color w:val="auto"/>
                <w:szCs w:val="26"/>
              </w:rPr>
              <w:t>重型电驱桥</w:t>
            </w:r>
            <w:r>
              <w:rPr>
                <w:rFonts w:hint="eastAsia"/>
                <w:color w:val="auto"/>
                <w:kern w:val="0"/>
                <w:szCs w:val="26"/>
              </w:rPr>
              <w:t>项目</w:t>
            </w:r>
          </w:p>
          <w:p w14:paraId="323162CD">
            <w:pPr>
              <w:numPr>
                <w:ilvl w:val="0"/>
                <w:numId w:val="10"/>
              </w:numPr>
              <w:spacing w:line="500" w:lineRule="exact"/>
              <w:ind w:firstLine="480"/>
              <w:rPr>
                <w:bCs/>
                <w:color w:val="auto"/>
                <w:sz w:val="26"/>
                <w:szCs w:val="26"/>
              </w:rPr>
            </w:pPr>
            <w:r>
              <w:rPr>
                <w:bCs/>
                <w:color w:val="auto"/>
                <w:sz w:val="26"/>
                <w:szCs w:val="26"/>
              </w:rPr>
              <w:t>废气治理措施：</w:t>
            </w:r>
            <w:r>
              <w:rPr>
                <w:rFonts w:hint="eastAsia"/>
                <w:bCs/>
                <w:color w:val="auto"/>
                <w:sz w:val="26"/>
                <w:szCs w:val="26"/>
              </w:rPr>
              <w:t>重型电驱桥项目主要废气包括食堂油烟和打标机废气</w:t>
            </w:r>
            <w:r>
              <w:rPr>
                <w:bCs/>
                <w:color w:val="auto"/>
                <w:sz w:val="26"/>
                <w:szCs w:val="26"/>
              </w:rPr>
              <w:t>。</w:t>
            </w:r>
            <w:r>
              <w:rPr>
                <w:rFonts w:hint="eastAsia"/>
                <w:bCs/>
                <w:color w:val="auto"/>
                <w:sz w:val="26"/>
                <w:szCs w:val="26"/>
              </w:rPr>
              <w:t>食堂油烟依托现有设施治理，打标机产生颗粒物通过打标机配备的颗粒物</w:t>
            </w:r>
            <w:r>
              <w:rPr>
                <w:rFonts w:hint="eastAsia"/>
                <w:bCs/>
                <w:color w:val="auto"/>
                <w:sz w:val="26"/>
                <w:szCs w:val="26"/>
                <w:lang w:val="en-US" w:eastAsia="zh-CN"/>
              </w:rPr>
              <w:t>干式</w:t>
            </w:r>
            <w:r>
              <w:rPr>
                <w:rFonts w:hint="eastAsia"/>
                <w:bCs/>
                <w:color w:val="auto"/>
                <w:sz w:val="26"/>
                <w:szCs w:val="26"/>
              </w:rPr>
              <w:t>过滤器（处理效率为95%）处理后无组织形式排放。</w:t>
            </w:r>
          </w:p>
          <w:p w14:paraId="2DD0C2C0">
            <w:pPr>
              <w:numPr>
                <w:ilvl w:val="0"/>
                <w:numId w:val="10"/>
              </w:numPr>
              <w:spacing w:line="500" w:lineRule="exact"/>
              <w:ind w:firstLine="480"/>
              <w:rPr>
                <w:bCs/>
                <w:color w:val="auto"/>
                <w:sz w:val="26"/>
                <w:szCs w:val="26"/>
              </w:rPr>
            </w:pPr>
            <w:r>
              <w:rPr>
                <w:rFonts w:hint="eastAsia"/>
                <w:bCs/>
                <w:color w:val="auto"/>
                <w:sz w:val="26"/>
                <w:szCs w:val="26"/>
              </w:rPr>
              <w:t>废气排放情况：</w:t>
            </w:r>
            <w:r>
              <w:rPr>
                <w:rFonts w:hint="eastAsia"/>
                <w:bCs/>
                <w:color w:val="auto"/>
                <w:sz w:val="26"/>
                <w:szCs w:val="26"/>
                <w:lang w:val="en-US" w:eastAsia="zh-CN"/>
              </w:rPr>
              <w:t>根据重型电驱桥项目验收监测报告（厦美[2024]第YS141号），项目无组织废气排放监测结果满足《大气污染物综合排放标准》（DB50/418-2016）表1标准限值。</w:t>
            </w:r>
          </w:p>
          <w:p w14:paraId="4966FFBF">
            <w:pPr>
              <w:pStyle w:val="142"/>
              <w:spacing w:line="460" w:lineRule="exact"/>
              <w:rPr>
                <w:rFonts w:hint="eastAsia"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lang w:val="en-US" w:eastAsia="zh-CN"/>
              </w:rPr>
              <w:t xml:space="preserve">11  </w:t>
            </w:r>
            <w:r>
              <w:rPr>
                <w:rFonts w:hint="eastAsia" w:eastAsia="宋体"/>
                <w:color w:val="auto"/>
                <w:sz w:val="26"/>
                <w:szCs w:val="26"/>
              </w:rPr>
              <w:t>无组织废气监测结果一览表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575"/>
              <w:gridCol w:w="1550"/>
              <w:gridCol w:w="1313"/>
              <w:gridCol w:w="1256"/>
            </w:tblGrid>
            <w:tr w14:paraId="37FA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6" w:type="pct"/>
                  <w:vMerge w:val="restart"/>
                  <w:vAlign w:val="center"/>
                </w:tcPr>
                <w:p w14:paraId="333EB7DA">
                  <w:pPr>
                    <w:pStyle w:val="141"/>
                    <w:rPr>
                      <w:rFonts w:cs="Times New Roman"/>
                      <w:color w:val="auto"/>
                      <w:sz w:val="22"/>
                      <w:szCs w:val="22"/>
                    </w:rPr>
                  </w:pPr>
                  <w:r>
                    <w:rPr>
                      <w:rFonts w:cs="Times New Roman"/>
                      <w:color w:val="auto"/>
                      <w:sz w:val="22"/>
                      <w:szCs w:val="22"/>
                    </w:rPr>
                    <w:t>采样时间</w:t>
                  </w:r>
                </w:p>
              </w:tc>
              <w:tc>
                <w:tcPr>
                  <w:tcW w:w="938" w:type="pct"/>
                  <w:vMerge w:val="restart"/>
                  <w:vAlign w:val="center"/>
                </w:tcPr>
                <w:p w14:paraId="4694CE7E">
                  <w:pPr>
                    <w:pStyle w:val="141"/>
                    <w:rPr>
                      <w:rFonts w:hint="eastAsia" w:eastAsia="宋体" w:cs="Times New Roman"/>
                      <w:color w:val="auto"/>
                      <w:sz w:val="22"/>
                      <w:szCs w:val="22"/>
                      <w:lang w:eastAsia="zh-CN"/>
                    </w:rPr>
                  </w:pPr>
                  <w:r>
                    <w:rPr>
                      <w:rFonts w:hint="eastAsia" w:cs="Times New Roman"/>
                      <w:color w:val="auto"/>
                      <w:sz w:val="22"/>
                      <w:szCs w:val="22"/>
                      <w:lang w:val="en-US" w:eastAsia="zh-CN"/>
                    </w:rPr>
                    <w:t>污染因子</w:t>
                  </w:r>
                </w:p>
              </w:tc>
              <w:tc>
                <w:tcPr>
                  <w:tcW w:w="923" w:type="pct"/>
                  <w:vAlign w:val="center"/>
                </w:tcPr>
                <w:p w14:paraId="61354611">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排放浓度</w:t>
                  </w:r>
                </w:p>
              </w:tc>
              <w:tc>
                <w:tcPr>
                  <w:tcW w:w="782" w:type="pct"/>
                  <w:vAlign w:val="center"/>
                </w:tcPr>
                <w:p w14:paraId="7BD4D07E">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排放标准</w:t>
                  </w:r>
                </w:p>
              </w:tc>
              <w:tc>
                <w:tcPr>
                  <w:tcW w:w="748" w:type="pct"/>
                  <w:vMerge w:val="restart"/>
                  <w:vAlign w:val="center"/>
                </w:tcPr>
                <w:p w14:paraId="754B2F82">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达标情况</w:t>
                  </w:r>
                </w:p>
              </w:tc>
            </w:tr>
            <w:tr w14:paraId="664E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6" w:type="pct"/>
                  <w:vMerge w:val="continue"/>
                  <w:vAlign w:val="center"/>
                </w:tcPr>
                <w:p w14:paraId="5F237CCE">
                  <w:pPr>
                    <w:pStyle w:val="141"/>
                    <w:rPr>
                      <w:rFonts w:cs="Times New Roman"/>
                      <w:color w:val="auto"/>
                      <w:sz w:val="22"/>
                      <w:szCs w:val="22"/>
                    </w:rPr>
                  </w:pPr>
                </w:p>
              </w:tc>
              <w:tc>
                <w:tcPr>
                  <w:tcW w:w="938" w:type="pct"/>
                  <w:vMerge w:val="continue"/>
                  <w:vAlign w:val="center"/>
                </w:tcPr>
                <w:p w14:paraId="0D850B49">
                  <w:pPr>
                    <w:pStyle w:val="141"/>
                    <w:rPr>
                      <w:rFonts w:cs="Times New Roman"/>
                      <w:color w:val="auto"/>
                      <w:sz w:val="22"/>
                      <w:szCs w:val="22"/>
                    </w:rPr>
                  </w:pPr>
                </w:p>
              </w:tc>
              <w:tc>
                <w:tcPr>
                  <w:tcW w:w="923" w:type="pct"/>
                  <w:vAlign w:val="center"/>
                </w:tcPr>
                <w:p w14:paraId="50113C6A">
                  <w:pPr>
                    <w:pStyle w:val="141"/>
                    <w:rPr>
                      <w:rFonts w:cs="Times New Roman"/>
                      <w:color w:val="auto"/>
                      <w:sz w:val="22"/>
                      <w:szCs w:val="22"/>
                    </w:rPr>
                  </w:pPr>
                  <w:r>
                    <w:rPr>
                      <w:rFonts w:cs="Times New Roman"/>
                      <w:color w:val="auto"/>
                      <w:sz w:val="22"/>
                      <w:szCs w:val="22"/>
                    </w:rPr>
                    <w:t>mg/m³</w:t>
                  </w:r>
                </w:p>
              </w:tc>
              <w:tc>
                <w:tcPr>
                  <w:tcW w:w="782" w:type="pct"/>
                  <w:vAlign w:val="center"/>
                </w:tcPr>
                <w:p w14:paraId="65DE8ABA">
                  <w:pPr>
                    <w:pStyle w:val="141"/>
                    <w:rPr>
                      <w:rFonts w:cs="Times New Roman"/>
                      <w:color w:val="auto"/>
                      <w:sz w:val="22"/>
                      <w:szCs w:val="22"/>
                    </w:rPr>
                  </w:pPr>
                  <w:r>
                    <w:rPr>
                      <w:rFonts w:cs="Times New Roman"/>
                      <w:color w:val="auto"/>
                      <w:sz w:val="22"/>
                      <w:szCs w:val="22"/>
                    </w:rPr>
                    <w:t>mg/m³</w:t>
                  </w:r>
                </w:p>
              </w:tc>
              <w:tc>
                <w:tcPr>
                  <w:tcW w:w="748" w:type="pct"/>
                  <w:vMerge w:val="continue"/>
                  <w:vAlign w:val="center"/>
                </w:tcPr>
                <w:p w14:paraId="55A72C9F">
                  <w:pPr>
                    <w:pStyle w:val="141"/>
                    <w:rPr>
                      <w:rFonts w:cs="Times New Roman"/>
                      <w:color w:val="auto"/>
                      <w:sz w:val="22"/>
                      <w:szCs w:val="22"/>
                    </w:rPr>
                  </w:pPr>
                </w:p>
              </w:tc>
            </w:tr>
            <w:tr w14:paraId="7BEE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6" w:type="pct"/>
                  <w:vAlign w:val="center"/>
                </w:tcPr>
                <w:p w14:paraId="2049341C">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2024年1</w:t>
                  </w:r>
                  <w:r>
                    <w:rPr>
                      <w:rFonts w:cs="Times New Roman"/>
                      <w:color w:val="auto"/>
                      <w:sz w:val="22"/>
                      <w:szCs w:val="22"/>
                    </w:rPr>
                    <w:t>2月</w:t>
                  </w:r>
                  <w:r>
                    <w:rPr>
                      <w:rFonts w:hint="eastAsia" w:cs="Times New Roman"/>
                      <w:color w:val="auto"/>
                      <w:sz w:val="22"/>
                      <w:szCs w:val="22"/>
                      <w:lang w:val="en-US" w:eastAsia="zh-CN"/>
                    </w:rPr>
                    <w:t>9</w:t>
                  </w:r>
                  <w:r>
                    <w:rPr>
                      <w:rFonts w:cs="Times New Roman"/>
                      <w:color w:val="auto"/>
                      <w:sz w:val="22"/>
                      <w:szCs w:val="22"/>
                    </w:rPr>
                    <w:t>日</w:t>
                  </w:r>
                  <w:r>
                    <w:rPr>
                      <w:rFonts w:hint="eastAsia" w:cs="Times New Roman"/>
                      <w:color w:val="auto"/>
                      <w:sz w:val="22"/>
                      <w:szCs w:val="22"/>
                      <w:lang w:val="en-US" w:eastAsia="zh-CN"/>
                    </w:rPr>
                    <w:t>~10日</w:t>
                  </w:r>
                </w:p>
              </w:tc>
              <w:tc>
                <w:tcPr>
                  <w:tcW w:w="938" w:type="pct"/>
                  <w:vAlign w:val="center"/>
                </w:tcPr>
                <w:p w14:paraId="5099BA06">
                  <w:pPr>
                    <w:jc w:val="center"/>
                    <w:rPr>
                      <w:rFonts w:hint="default" w:eastAsia="宋体" w:cs="Times New Roman"/>
                      <w:color w:val="auto"/>
                      <w:sz w:val="22"/>
                      <w:szCs w:val="22"/>
                      <w:lang w:val="en-US" w:eastAsia="zh-CN"/>
                    </w:rPr>
                  </w:pPr>
                  <w:r>
                    <w:rPr>
                      <w:rFonts w:hint="eastAsia" w:cs="Times New Roman"/>
                      <w:color w:val="auto"/>
                      <w:sz w:val="22"/>
                      <w:szCs w:val="22"/>
                      <w:lang w:val="en-US" w:eastAsia="zh-CN"/>
                    </w:rPr>
                    <w:t>颗粒物</w:t>
                  </w:r>
                </w:p>
              </w:tc>
              <w:tc>
                <w:tcPr>
                  <w:tcW w:w="923" w:type="pct"/>
                  <w:vAlign w:val="center"/>
                </w:tcPr>
                <w:p w14:paraId="0326C903">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0.265~0.298</w:t>
                  </w:r>
                </w:p>
              </w:tc>
              <w:tc>
                <w:tcPr>
                  <w:tcW w:w="782" w:type="pct"/>
                  <w:vAlign w:val="center"/>
                </w:tcPr>
                <w:p w14:paraId="6EAF4184">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1.0</w:t>
                  </w:r>
                </w:p>
              </w:tc>
              <w:tc>
                <w:tcPr>
                  <w:tcW w:w="748" w:type="pct"/>
                  <w:vAlign w:val="center"/>
                </w:tcPr>
                <w:p w14:paraId="10323A1E">
                  <w:pPr>
                    <w:pStyle w:val="141"/>
                    <w:rPr>
                      <w:rFonts w:hint="eastAsia" w:eastAsia="宋体" w:cs="Times New Roman"/>
                      <w:color w:val="auto"/>
                      <w:sz w:val="22"/>
                      <w:szCs w:val="22"/>
                      <w:lang w:val="en-US" w:eastAsia="zh-CN"/>
                    </w:rPr>
                  </w:pPr>
                  <w:r>
                    <w:rPr>
                      <w:rFonts w:hint="eastAsia" w:cs="Times New Roman"/>
                      <w:color w:val="auto"/>
                      <w:sz w:val="22"/>
                      <w:szCs w:val="22"/>
                      <w:lang w:val="en-US" w:eastAsia="zh-CN"/>
                    </w:rPr>
                    <w:t>达标</w:t>
                  </w:r>
                </w:p>
              </w:tc>
            </w:tr>
          </w:tbl>
          <w:p w14:paraId="694810B1">
            <w:pPr>
              <w:pStyle w:val="82"/>
              <w:spacing w:line="480" w:lineRule="exact"/>
              <w:ind w:firstLine="520"/>
              <w:rPr>
                <w:rFonts w:hint="eastAsia" w:eastAsia="宋体"/>
                <w:color w:val="auto"/>
                <w:kern w:val="0"/>
                <w:szCs w:val="26"/>
                <w:lang w:eastAsia="zh-CN"/>
              </w:rPr>
            </w:pPr>
            <w:r>
              <w:rPr>
                <w:rFonts w:hint="eastAsia"/>
                <w:color w:val="auto"/>
                <w:kern w:val="0"/>
                <w:szCs w:val="26"/>
              </w:rPr>
              <w:t>（2）</w:t>
            </w:r>
            <w:r>
              <w:rPr>
                <w:rFonts w:hint="eastAsia"/>
                <w:color w:val="auto"/>
                <w:kern w:val="0"/>
                <w:szCs w:val="26"/>
                <w:lang w:val="en-US" w:eastAsia="zh-CN"/>
              </w:rPr>
              <w:t>废水</w:t>
            </w:r>
          </w:p>
          <w:p w14:paraId="28A9EEE0">
            <w:pPr>
              <w:numPr>
                <w:ilvl w:val="0"/>
                <w:numId w:val="11"/>
              </w:numPr>
              <w:spacing w:line="500" w:lineRule="exact"/>
              <w:ind w:firstLine="480"/>
              <w:rPr>
                <w:color w:val="auto"/>
              </w:rPr>
            </w:pPr>
            <w:r>
              <w:rPr>
                <w:bCs/>
                <w:color w:val="auto"/>
                <w:sz w:val="26"/>
                <w:szCs w:val="26"/>
              </w:rPr>
              <w:t>废水污染防治措施：项目东地块食堂废水经隔油池（设计处理能力为7L/s）处理后，同生活污水一起进入东地块</w:t>
            </w:r>
            <w:r>
              <w:rPr>
                <w:rFonts w:hint="eastAsia"/>
                <w:bCs/>
                <w:color w:val="auto"/>
                <w:sz w:val="26"/>
                <w:szCs w:val="26"/>
                <w:lang w:eastAsia="zh-CN"/>
              </w:rPr>
              <w:t>化粪池</w:t>
            </w:r>
            <w:r>
              <w:rPr>
                <w:bCs/>
                <w:color w:val="auto"/>
                <w:sz w:val="26"/>
                <w:szCs w:val="26"/>
              </w:rPr>
              <w:t>（设计处理能力为</w:t>
            </w:r>
            <w:r>
              <w:rPr>
                <w:rFonts w:hint="eastAsia"/>
                <w:bCs/>
                <w:color w:val="auto"/>
                <w:sz w:val="26"/>
                <w:szCs w:val="26"/>
                <w:lang w:val="en-US" w:eastAsia="zh-CN"/>
              </w:rPr>
              <w:t>50</w:t>
            </w:r>
            <w:r>
              <w:rPr>
                <w:bCs/>
                <w:color w:val="auto"/>
                <w:sz w:val="26"/>
                <w:szCs w:val="26"/>
              </w:rPr>
              <w:t>m</w:t>
            </w:r>
            <w:r>
              <w:rPr>
                <w:bCs/>
                <w:color w:val="auto"/>
                <w:sz w:val="26"/>
                <w:szCs w:val="26"/>
                <w:vertAlign w:val="superscript"/>
              </w:rPr>
              <w:t>3</w:t>
            </w:r>
            <w:r>
              <w:rPr>
                <w:bCs/>
                <w:color w:val="auto"/>
                <w:sz w:val="26"/>
                <w:szCs w:val="26"/>
              </w:rPr>
              <w:t>/d）处理，西地块生活污水直接进入西地块</w:t>
            </w:r>
            <w:r>
              <w:rPr>
                <w:rFonts w:hint="eastAsia"/>
                <w:bCs/>
                <w:color w:val="auto"/>
                <w:sz w:val="26"/>
                <w:szCs w:val="26"/>
                <w:lang w:eastAsia="zh-CN"/>
              </w:rPr>
              <w:t>化粪池</w:t>
            </w:r>
            <w:r>
              <w:rPr>
                <w:bCs/>
                <w:color w:val="auto"/>
                <w:sz w:val="26"/>
                <w:szCs w:val="26"/>
              </w:rPr>
              <w:t>（处理能力为</w:t>
            </w:r>
            <w:r>
              <w:rPr>
                <w:rFonts w:hint="eastAsia"/>
                <w:bCs/>
                <w:color w:val="auto"/>
                <w:sz w:val="26"/>
                <w:szCs w:val="26"/>
                <w:lang w:val="en-US" w:eastAsia="zh-CN"/>
              </w:rPr>
              <w:t>40</w:t>
            </w:r>
            <w:r>
              <w:rPr>
                <w:bCs/>
                <w:color w:val="auto"/>
                <w:sz w:val="26"/>
                <w:szCs w:val="26"/>
              </w:rPr>
              <w:t>m</w:t>
            </w:r>
            <w:r>
              <w:rPr>
                <w:bCs/>
                <w:color w:val="auto"/>
                <w:sz w:val="26"/>
                <w:szCs w:val="26"/>
                <w:vertAlign w:val="superscript"/>
              </w:rPr>
              <w:t>3</w:t>
            </w:r>
            <w:r>
              <w:rPr>
                <w:bCs/>
                <w:color w:val="auto"/>
                <w:sz w:val="26"/>
                <w:szCs w:val="26"/>
              </w:rPr>
              <w:t>/d），经预处理满足《污水综合排放标准》（GB8978-1996）三级排放标准及《污水排入城镇下水道水质标准》（GB/T31962-2015）后，进入园区污水管网排入陶家工业污水处理厂进行进一步集中处理，COD、NH</w:t>
            </w:r>
            <w:r>
              <w:rPr>
                <w:bCs/>
                <w:color w:val="auto"/>
                <w:sz w:val="26"/>
                <w:szCs w:val="26"/>
                <w:vertAlign w:val="subscript"/>
              </w:rPr>
              <w:t>3</w:t>
            </w:r>
            <w:r>
              <w:rPr>
                <w:bCs/>
                <w:color w:val="auto"/>
                <w:sz w:val="26"/>
                <w:szCs w:val="26"/>
              </w:rPr>
              <w:t>-N满足《地表水环境质量标准》（GB3838-2002）IV类标准，其余指标满足《城镇污水处理厂污染物排放标准》（GB18918-2002）一级A标准后，排入大溪河支流杨柳曲河</w:t>
            </w:r>
            <w:r>
              <w:rPr>
                <w:rFonts w:hint="eastAsia"/>
                <w:bCs/>
                <w:color w:val="auto"/>
                <w:sz w:val="26"/>
                <w:szCs w:val="26"/>
              </w:rPr>
              <w:t>。</w:t>
            </w:r>
          </w:p>
          <w:p w14:paraId="20B74527">
            <w:pPr>
              <w:numPr>
                <w:ilvl w:val="0"/>
                <w:numId w:val="11"/>
              </w:numPr>
              <w:spacing w:line="500" w:lineRule="exact"/>
              <w:ind w:firstLine="480"/>
              <w:rPr>
                <w:rFonts w:hint="eastAsia"/>
                <w:bCs/>
                <w:color w:val="auto"/>
                <w:sz w:val="26"/>
                <w:szCs w:val="26"/>
              </w:rPr>
            </w:pPr>
            <w:r>
              <w:rPr>
                <w:rFonts w:hint="eastAsia"/>
                <w:bCs/>
                <w:color w:val="auto"/>
                <w:sz w:val="26"/>
                <w:szCs w:val="26"/>
              </w:rPr>
              <w:t>废水排放情况：重型电驱桥项目劳动定员共55人，年生产300天，根据水平衡分析结果，东地块生活污水W1排放量为3.785m</w:t>
            </w:r>
            <w:r>
              <w:rPr>
                <w:rFonts w:hint="eastAsia"/>
                <w:bCs/>
                <w:color w:val="auto"/>
                <w:sz w:val="26"/>
                <w:szCs w:val="26"/>
                <w:vertAlign w:val="superscript"/>
              </w:rPr>
              <w:t>3</w:t>
            </w:r>
            <w:r>
              <w:rPr>
                <w:rFonts w:hint="eastAsia"/>
                <w:bCs/>
                <w:color w:val="auto"/>
                <w:sz w:val="26"/>
                <w:szCs w:val="26"/>
              </w:rPr>
              <w:t>/d（含食堂废水1.575m</w:t>
            </w:r>
            <w:r>
              <w:rPr>
                <w:rFonts w:hint="eastAsia"/>
                <w:bCs/>
                <w:color w:val="auto"/>
                <w:sz w:val="26"/>
                <w:szCs w:val="26"/>
                <w:vertAlign w:val="superscript"/>
              </w:rPr>
              <w:t>3</w:t>
            </w:r>
            <w:r>
              <w:rPr>
                <w:rFonts w:hint="eastAsia"/>
                <w:bCs/>
                <w:color w:val="auto"/>
                <w:sz w:val="26"/>
                <w:szCs w:val="26"/>
              </w:rPr>
              <w:t>/d），西地块生活污水W1排放量为1.26m</w:t>
            </w:r>
            <w:r>
              <w:rPr>
                <w:rFonts w:hint="eastAsia"/>
                <w:bCs/>
                <w:color w:val="auto"/>
                <w:sz w:val="26"/>
                <w:szCs w:val="26"/>
                <w:vertAlign w:val="superscript"/>
              </w:rPr>
              <w:t>3</w:t>
            </w:r>
            <w:r>
              <w:rPr>
                <w:rFonts w:hint="eastAsia"/>
                <w:bCs/>
                <w:color w:val="auto"/>
                <w:sz w:val="26"/>
                <w:szCs w:val="26"/>
              </w:rPr>
              <w:t>/d。根据</w:t>
            </w:r>
            <w:r>
              <w:rPr>
                <w:rFonts w:hint="eastAsia"/>
                <w:bCs/>
                <w:color w:val="auto"/>
                <w:sz w:val="26"/>
                <w:szCs w:val="26"/>
                <w:lang w:val="en-US" w:eastAsia="zh-CN"/>
              </w:rPr>
              <w:t>根据重型电驱桥项目验收监测报告（厦美[2024]第YS141号），监测时间为2024年12月9日~10日。</w:t>
            </w:r>
            <w:r>
              <w:rPr>
                <w:rFonts w:hint="eastAsia"/>
                <w:bCs/>
                <w:color w:val="auto"/>
                <w:sz w:val="26"/>
                <w:szCs w:val="26"/>
              </w:rPr>
              <w:t>该项目废水能够实现达标排放，各污染源排放情况分析及监测统计数据见表2.13-1</w:t>
            </w:r>
            <w:r>
              <w:rPr>
                <w:rFonts w:hint="eastAsia"/>
                <w:bCs/>
                <w:color w:val="auto"/>
                <w:sz w:val="26"/>
                <w:szCs w:val="26"/>
                <w:lang w:val="en-US" w:eastAsia="zh-CN"/>
              </w:rPr>
              <w:t>2、2.13-13</w:t>
            </w:r>
            <w:r>
              <w:rPr>
                <w:rFonts w:hint="eastAsia"/>
                <w:bCs/>
                <w:color w:val="auto"/>
                <w:sz w:val="26"/>
                <w:szCs w:val="26"/>
              </w:rPr>
              <w:t>。</w:t>
            </w:r>
          </w:p>
          <w:p w14:paraId="162C9ACB">
            <w:pPr>
              <w:pStyle w:val="142"/>
              <w:spacing w:line="460" w:lineRule="exact"/>
              <w:rPr>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lang w:val="en-US" w:eastAsia="zh-CN"/>
              </w:rPr>
              <w:t xml:space="preserve">12  </w:t>
            </w:r>
            <w:r>
              <w:rPr>
                <w:rFonts w:eastAsia="宋体"/>
                <w:color w:val="auto"/>
                <w:sz w:val="26"/>
                <w:szCs w:val="26"/>
              </w:rPr>
              <w:t>西地块废水排放及达标情况统计表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1031"/>
              <w:gridCol w:w="2182"/>
              <w:gridCol w:w="1792"/>
              <w:gridCol w:w="1725"/>
              <w:gridCol w:w="1661"/>
            </w:tblGrid>
            <w:tr w14:paraId="7938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12" w:hRule="atLeast"/>
                <w:jc w:val="center"/>
              </w:trPr>
              <w:tc>
                <w:tcPr>
                  <w:tcW w:w="614" w:type="pct"/>
                  <w:vMerge w:val="restart"/>
                  <w:shd w:val="clear" w:color="auto" w:fill="FFFFFF"/>
                  <w:vAlign w:val="center"/>
                </w:tcPr>
                <w:p w14:paraId="0B063ED7">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监测位置</w:t>
                  </w:r>
                </w:p>
              </w:tc>
              <w:tc>
                <w:tcPr>
                  <w:tcW w:w="1300" w:type="pct"/>
                  <w:vMerge w:val="restart"/>
                  <w:shd w:val="clear" w:color="auto" w:fill="FFFFFF"/>
                  <w:vAlign w:val="center"/>
                </w:tcPr>
                <w:p w14:paraId="13D57B67">
                  <w:pPr>
                    <w:pStyle w:val="141"/>
                    <w:rPr>
                      <w:rFonts w:cs="Times New Roman"/>
                      <w:color w:val="auto"/>
                      <w:sz w:val="22"/>
                      <w:szCs w:val="22"/>
                    </w:rPr>
                  </w:pPr>
                  <w:r>
                    <w:rPr>
                      <w:rFonts w:cs="Times New Roman"/>
                      <w:color w:val="auto"/>
                      <w:sz w:val="22"/>
                      <w:szCs w:val="22"/>
                    </w:rPr>
                    <w:t>污染因子</w:t>
                  </w:r>
                </w:p>
              </w:tc>
              <w:tc>
                <w:tcPr>
                  <w:tcW w:w="1067" w:type="pct"/>
                  <w:vMerge w:val="restart"/>
                  <w:shd w:val="clear" w:color="auto" w:fill="FFFFFF"/>
                  <w:vAlign w:val="center"/>
                </w:tcPr>
                <w:p w14:paraId="7E0D09E8">
                  <w:pPr>
                    <w:pStyle w:val="141"/>
                    <w:rPr>
                      <w:rFonts w:cs="Times New Roman"/>
                      <w:color w:val="auto"/>
                      <w:sz w:val="22"/>
                      <w:szCs w:val="22"/>
                    </w:rPr>
                  </w:pPr>
                  <w:r>
                    <w:rPr>
                      <w:rFonts w:cs="Times New Roman"/>
                      <w:color w:val="auto"/>
                      <w:sz w:val="22"/>
                      <w:szCs w:val="22"/>
                    </w:rPr>
                    <w:t>排放浓度（mg/L）</w:t>
                  </w:r>
                </w:p>
              </w:tc>
              <w:tc>
                <w:tcPr>
                  <w:tcW w:w="1027" w:type="pct"/>
                  <w:vMerge w:val="restart"/>
                  <w:shd w:val="clear" w:color="auto" w:fill="FFFFFF"/>
                  <w:vAlign w:val="center"/>
                </w:tcPr>
                <w:p w14:paraId="3F8148F4">
                  <w:pPr>
                    <w:pStyle w:val="141"/>
                    <w:rPr>
                      <w:rFonts w:cs="Times New Roman"/>
                      <w:color w:val="auto"/>
                      <w:sz w:val="22"/>
                      <w:szCs w:val="22"/>
                    </w:rPr>
                  </w:pPr>
                  <w:r>
                    <w:rPr>
                      <w:rFonts w:cs="Times New Roman"/>
                      <w:color w:val="auto"/>
                      <w:sz w:val="22"/>
                      <w:szCs w:val="22"/>
                    </w:rPr>
                    <w:t>排放标准（mg/L）</w:t>
                  </w:r>
                </w:p>
              </w:tc>
              <w:tc>
                <w:tcPr>
                  <w:tcW w:w="989" w:type="pct"/>
                  <w:vMerge w:val="restart"/>
                  <w:shd w:val="clear" w:color="auto" w:fill="FFFFFF"/>
                  <w:vAlign w:val="center"/>
                </w:tcPr>
                <w:p w14:paraId="73C62B15">
                  <w:pPr>
                    <w:pStyle w:val="141"/>
                    <w:rPr>
                      <w:rFonts w:cs="Times New Roman"/>
                      <w:color w:val="auto"/>
                      <w:sz w:val="22"/>
                      <w:szCs w:val="22"/>
                    </w:rPr>
                  </w:pPr>
                  <w:r>
                    <w:rPr>
                      <w:rFonts w:cs="Times New Roman"/>
                      <w:color w:val="auto"/>
                      <w:sz w:val="22"/>
                      <w:szCs w:val="22"/>
                    </w:rPr>
                    <w:t>达标情况</w:t>
                  </w:r>
                </w:p>
              </w:tc>
            </w:tr>
            <w:tr w14:paraId="539D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12" w:hRule="atLeast"/>
                <w:jc w:val="center"/>
              </w:trPr>
              <w:tc>
                <w:tcPr>
                  <w:tcW w:w="614" w:type="pct"/>
                  <w:vMerge w:val="continue"/>
                  <w:shd w:val="clear" w:color="auto" w:fill="FFFFFF"/>
                  <w:vAlign w:val="center"/>
                </w:tcPr>
                <w:p w14:paraId="7201BE2E">
                  <w:pPr>
                    <w:pStyle w:val="141"/>
                    <w:rPr>
                      <w:rFonts w:cs="Times New Roman"/>
                      <w:color w:val="auto"/>
                      <w:sz w:val="22"/>
                      <w:szCs w:val="22"/>
                    </w:rPr>
                  </w:pPr>
                </w:p>
              </w:tc>
              <w:tc>
                <w:tcPr>
                  <w:tcW w:w="1300" w:type="pct"/>
                  <w:vMerge w:val="continue"/>
                  <w:shd w:val="clear" w:color="auto" w:fill="FFFFFF"/>
                  <w:vAlign w:val="center"/>
                </w:tcPr>
                <w:p w14:paraId="2DF32850">
                  <w:pPr>
                    <w:pStyle w:val="141"/>
                    <w:rPr>
                      <w:rFonts w:cs="Times New Roman"/>
                      <w:color w:val="auto"/>
                      <w:sz w:val="22"/>
                      <w:szCs w:val="22"/>
                    </w:rPr>
                  </w:pPr>
                </w:p>
              </w:tc>
              <w:tc>
                <w:tcPr>
                  <w:tcW w:w="1067" w:type="pct"/>
                  <w:vMerge w:val="continue"/>
                  <w:shd w:val="clear" w:color="auto" w:fill="FFFFFF"/>
                  <w:vAlign w:val="center"/>
                </w:tcPr>
                <w:p w14:paraId="3418E4DF">
                  <w:pPr>
                    <w:pStyle w:val="141"/>
                    <w:rPr>
                      <w:rFonts w:cs="Times New Roman"/>
                      <w:color w:val="auto"/>
                      <w:sz w:val="22"/>
                      <w:szCs w:val="22"/>
                    </w:rPr>
                  </w:pPr>
                </w:p>
              </w:tc>
              <w:tc>
                <w:tcPr>
                  <w:tcW w:w="1027" w:type="pct"/>
                  <w:vMerge w:val="continue"/>
                  <w:shd w:val="clear" w:color="auto" w:fill="FFFFFF"/>
                  <w:vAlign w:val="center"/>
                </w:tcPr>
                <w:p w14:paraId="0BE3D3A0">
                  <w:pPr>
                    <w:pStyle w:val="141"/>
                    <w:rPr>
                      <w:rFonts w:cs="Times New Roman"/>
                      <w:color w:val="auto"/>
                      <w:sz w:val="22"/>
                      <w:szCs w:val="22"/>
                    </w:rPr>
                  </w:pPr>
                </w:p>
              </w:tc>
              <w:tc>
                <w:tcPr>
                  <w:tcW w:w="989" w:type="pct"/>
                  <w:vMerge w:val="continue"/>
                  <w:shd w:val="clear" w:color="auto" w:fill="FFFFFF"/>
                  <w:vAlign w:val="center"/>
                </w:tcPr>
                <w:p w14:paraId="201F83B4">
                  <w:pPr>
                    <w:pStyle w:val="141"/>
                    <w:rPr>
                      <w:rFonts w:cs="Times New Roman"/>
                      <w:color w:val="auto"/>
                      <w:sz w:val="22"/>
                      <w:szCs w:val="22"/>
                    </w:rPr>
                  </w:pPr>
                </w:p>
              </w:tc>
            </w:tr>
            <w:tr w14:paraId="119B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restart"/>
                  <w:shd w:val="clear" w:color="auto" w:fill="FFFFFF"/>
                  <w:vAlign w:val="center"/>
                </w:tcPr>
                <w:p w14:paraId="2F094CD0">
                  <w:pPr>
                    <w:pStyle w:val="141"/>
                    <w:rPr>
                      <w:rFonts w:hint="default" w:eastAsia="宋体" w:cs="Times New Roman"/>
                      <w:color w:val="auto"/>
                      <w:sz w:val="22"/>
                      <w:szCs w:val="22"/>
                      <w:lang w:val="en-US" w:eastAsia="zh-CN"/>
                    </w:rPr>
                  </w:pPr>
                  <w:r>
                    <w:rPr>
                      <w:rFonts w:cs="Times New Roman"/>
                      <w:color w:val="auto"/>
                      <w:sz w:val="22"/>
                      <w:szCs w:val="22"/>
                    </w:rPr>
                    <w:t>西地块</w:t>
                  </w:r>
                  <w:r>
                    <w:rPr>
                      <w:rFonts w:hint="eastAsia" w:cs="Times New Roman"/>
                      <w:color w:val="auto"/>
                      <w:sz w:val="22"/>
                      <w:szCs w:val="22"/>
                      <w:lang w:val="en-US" w:eastAsia="zh-CN"/>
                    </w:rPr>
                    <w:t>化粪池排口</w:t>
                  </w:r>
                </w:p>
              </w:tc>
              <w:tc>
                <w:tcPr>
                  <w:tcW w:w="1300" w:type="pct"/>
                  <w:shd w:val="clear" w:color="auto" w:fill="FFFFFF"/>
                  <w:vAlign w:val="center"/>
                </w:tcPr>
                <w:p w14:paraId="6F82ABD6">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pH</w:t>
                  </w:r>
                </w:p>
              </w:tc>
              <w:tc>
                <w:tcPr>
                  <w:tcW w:w="1067" w:type="pct"/>
                  <w:shd w:val="clear" w:color="auto" w:fill="FFFFFF"/>
                  <w:vAlign w:val="center"/>
                </w:tcPr>
                <w:p w14:paraId="6B7F3582">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7.2~7.4</w:t>
                  </w:r>
                </w:p>
              </w:tc>
              <w:tc>
                <w:tcPr>
                  <w:tcW w:w="1027" w:type="pct"/>
                  <w:shd w:val="clear" w:color="auto" w:fill="FFFFFF"/>
                  <w:vAlign w:val="center"/>
                </w:tcPr>
                <w:p w14:paraId="6BFBB2FC">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6~9</w:t>
                  </w:r>
                </w:p>
              </w:tc>
              <w:tc>
                <w:tcPr>
                  <w:tcW w:w="989" w:type="pct"/>
                  <w:shd w:val="clear" w:color="auto" w:fill="FFFFFF"/>
                  <w:vAlign w:val="center"/>
                </w:tcPr>
                <w:p w14:paraId="35C27877">
                  <w:pPr>
                    <w:pStyle w:val="141"/>
                    <w:rPr>
                      <w:rFonts w:cs="Times New Roman"/>
                      <w:color w:val="auto"/>
                      <w:sz w:val="22"/>
                      <w:szCs w:val="22"/>
                    </w:rPr>
                  </w:pPr>
                  <w:r>
                    <w:rPr>
                      <w:rFonts w:cs="Times New Roman"/>
                      <w:color w:val="auto"/>
                      <w:sz w:val="22"/>
                      <w:szCs w:val="22"/>
                    </w:rPr>
                    <w:t>达标</w:t>
                  </w:r>
                </w:p>
              </w:tc>
            </w:tr>
            <w:tr w14:paraId="4FF1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7E509A80">
                  <w:pPr>
                    <w:pStyle w:val="141"/>
                    <w:rPr>
                      <w:rFonts w:hint="default" w:eastAsia="宋体" w:cs="Times New Roman"/>
                      <w:color w:val="auto"/>
                      <w:sz w:val="22"/>
                      <w:szCs w:val="22"/>
                      <w:lang w:val="en-US" w:eastAsia="zh-CN"/>
                    </w:rPr>
                  </w:pPr>
                </w:p>
              </w:tc>
              <w:tc>
                <w:tcPr>
                  <w:tcW w:w="1300" w:type="pct"/>
                  <w:shd w:val="clear" w:color="auto" w:fill="FFFFFF"/>
                  <w:vAlign w:val="center"/>
                </w:tcPr>
                <w:p w14:paraId="2ED1AB34">
                  <w:pPr>
                    <w:pStyle w:val="141"/>
                    <w:rPr>
                      <w:rFonts w:cs="Times New Roman"/>
                      <w:color w:val="auto"/>
                      <w:sz w:val="22"/>
                      <w:szCs w:val="22"/>
                    </w:rPr>
                  </w:pPr>
                  <w:r>
                    <w:rPr>
                      <w:rFonts w:cs="Times New Roman"/>
                      <w:color w:val="auto"/>
                      <w:sz w:val="22"/>
                      <w:szCs w:val="22"/>
                    </w:rPr>
                    <w:t>氨氮</w:t>
                  </w:r>
                </w:p>
              </w:tc>
              <w:tc>
                <w:tcPr>
                  <w:tcW w:w="1067" w:type="pct"/>
                  <w:shd w:val="clear" w:color="auto" w:fill="FFFFFF"/>
                  <w:vAlign w:val="center"/>
                </w:tcPr>
                <w:p w14:paraId="7B72F540">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18.9~20.7</w:t>
                  </w:r>
                </w:p>
              </w:tc>
              <w:tc>
                <w:tcPr>
                  <w:tcW w:w="1027" w:type="pct"/>
                  <w:shd w:val="clear" w:color="auto" w:fill="FFFFFF"/>
                  <w:vAlign w:val="center"/>
                </w:tcPr>
                <w:p w14:paraId="3587A6DA">
                  <w:pPr>
                    <w:pStyle w:val="141"/>
                    <w:rPr>
                      <w:rFonts w:cs="Times New Roman"/>
                      <w:color w:val="auto"/>
                      <w:sz w:val="22"/>
                      <w:szCs w:val="22"/>
                    </w:rPr>
                  </w:pPr>
                  <w:r>
                    <w:rPr>
                      <w:rFonts w:cs="Times New Roman"/>
                      <w:color w:val="auto"/>
                      <w:sz w:val="22"/>
                      <w:szCs w:val="22"/>
                    </w:rPr>
                    <w:t>45</w:t>
                  </w:r>
                </w:p>
              </w:tc>
              <w:tc>
                <w:tcPr>
                  <w:tcW w:w="989" w:type="pct"/>
                  <w:shd w:val="clear" w:color="auto" w:fill="FFFFFF"/>
                  <w:vAlign w:val="center"/>
                </w:tcPr>
                <w:p w14:paraId="6E01C70B">
                  <w:pPr>
                    <w:pStyle w:val="141"/>
                    <w:rPr>
                      <w:rFonts w:cs="Times New Roman"/>
                      <w:color w:val="auto"/>
                      <w:sz w:val="22"/>
                      <w:szCs w:val="22"/>
                    </w:rPr>
                  </w:pPr>
                  <w:r>
                    <w:rPr>
                      <w:rFonts w:cs="Times New Roman"/>
                      <w:color w:val="auto"/>
                      <w:sz w:val="22"/>
                      <w:szCs w:val="22"/>
                    </w:rPr>
                    <w:t>达标</w:t>
                  </w:r>
                </w:p>
              </w:tc>
            </w:tr>
            <w:tr w14:paraId="3EA8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50FB1129">
                  <w:pPr>
                    <w:pStyle w:val="141"/>
                    <w:rPr>
                      <w:rFonts w:cs="Times New Roman"/>
                      <w:color w:val="auto"/>
                      <w:sz w:val="22"/>
                      <w:szCs w:val="22"/>
                    </w:rPr>
                  </w:pPr>
                </w:p>
              </w:tc>
              <w:tc>
                <w:tcPr>
                  <w:tcW w:w="1300" w:type="pct"/>
                  <w:shd w:val="clear" w:color="auto" w:fill="FFFFFF"/>
                  <w:vAlign w:val="center"/>
                </w:tcPr>
                <w:p w14:paraId="1F931893">
                  <w:pPr>
                    <w:pStyle w:val="141"/>
                    <w:rPr>
                      <w:rFonts w:cs="Times New Roman"/>
                      <w:color w:val="auto"/>
                      <w:sz w:val="22"/>
                      <w:szCs w:val="22"/>
                    </w:rPr>
                  </w:pPr>
                  <w:r>
                    <w:rPr>
                      <w:rFonts w:cs="Times New Roman"/>
                      <w:color w:val="auto"/>
                      <w:sz w:val="22"/>
                      <w:szCs w:val="22"/>
                    </w:rPr>
                    <w:t>悬浮物</w:t>
                  </w:r>
                </w:p>
              </w:tc>
              <w:tc>
                <w:tcPr>
                  <w:tcW w:w="1067" w:type="pct"/>
                  <w:shd w:val="clear" w:color="auto" w:fill="FFFFFF"/>
                  <w:vAlign w:val="center"/>
                </w:tcPr>
                <w:p w14:paraId="132F8E99">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311~371</w:t>
                  </w:r>
                </w:p>
              </w:tc>
              <w:tc>
                <w:tcPr>
                  <w:tcW w:w="1027" w:type="pct"/>
                  <w:shd w:val="clear" w:color="auto" w:fill="FFFFFF"/>
                  <w:vAlign w:val="center"/>
                </w:tcPr>
                <w:p w14:paraId="15861A70">
                  <w:pPr>
                    <w:pStyle w:val="141"/>
                    <w:rPr>
                      <w:rFonts w:cs="Times New Roman"/>
                      <w:color w:val="auto"/>
                      <w:sz w:val="22"/>
                      <w:szCs w:val="22"/>
                    </w:rPr>
                  </w:pPr>
                  <w:r>
                    <w:rPr>
                      <w:rFonts w:cs="Times New Roman"/>
                      <w:color w:val="auto"/>
                      <w:sz w:val="22"/>
                      <w:szCs w:val="22"/>
                    </w:rPr>
                    <w:t>400</w:t>
                  </w:r>
                </w:p>
              </w:tc>
              <w:tc>
                <w:tcPr>
                  <w:tcW w:w="989" w:type="pct"/>
                  <w:shd w:val="clear" w:color="auto" w:fill="FFFFFF"/>
                  <w:vAlign w:val="center"/>
                </w:tcPr>
                <w:p w14:paraId="222E9508">
                  <w:pPr>
                    <w:pStyle w:val="141"/>
                    <w:rPr>
                      <w:rFonts w:cs="Times New Roman"/>
                      <w:color w:val="auto"/>
                      <w:sz w:val="22"/>
                      <w:szCs w:val="22"/>
                    </w:rPr>
                  </w:pPr>
                  <w:r>
                    <w:rPr>
                      <w:rFonts w:cs="Times New Roman"/>
                      <w:color w:val="auto"/>
                      <w:sz w:val="22"/>
                      <w:szCs w:val="22"/>
                    </w:rPr>
                    <w:t>达标</w:t>
                  </w:r>
                </w:p>
              </w:tc>
            </w:tr>
            <w:tr w14:paraId="6F3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0DC3E77A">
                  <w:pPr>
                    <w:pStyle w:val="141"/>
                    <w:rPr>
                      <w:rFonts w:cs="Times New Roman"/>
                      <w:color w:val="auto"/>
                      <w:sz w:val="22"/>
                      <w:szCs w:val="22"/>
                    </w:rPr>
                  </w:pPr>
                </w:p>
              </w:tc>
              <w:tc>
                <w:tcPr>
                  <w:tcW w:w="1300" w:type="pct"/>
                  <w:shd w:val="clear" w:color="auto" w:fill="FFFFFF"/>
                  <w:vAlign w:val="center"/>
                </w:tcPr>
                <w:p w14:paraId="60765161">
                  <w:pPr>
                    <w:pStyle w:val="141"/>
                    <w:rPr>
                      <w:rFonts w:cs="Times New Roman"/>
                      <w:color w:val="auto"/>
                      <w:sz w:val="22"/>
                      <w:szCs w:val="22"/>
                    </w:rPr>
                  </w:pPr>
                  <w:r>
                    <w:rPr>
                      <w:rFonts w:cs="Times New Roman"/>
                      <w:color w:val="auto"/>
                      <w:sz w:val="22"/>
                      <w:szCs w:val="22"/>
                    </w:rPr>
                    <w:t>化学需氧量</w:t>
                  </w:r>
                </w:p>
              </w:tc>
              <w:tc>
                <w:tcPr>
                  <w:tcW w:w="1067" w:type="pct"/>
                  <w:shd w:val="clear" w:color="auto" w:fill="FFFFFF"/>
                  <w:vAlign w:val="center"/>
                </w:tcPr>
                <w:p w14:paraId="74699955">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182~199</w:t>
                  </w:r>
                </w:p>
              </w:tc>
              <w:tc>
                <w:tcPr>
                  <w:tcW w:w="1027" w:type="pct"/>
                  <w:shd w:val="clear" w:color="auto" w:fill="FFFFFF"/>
                  <w:vAlign w:val="center"/>
                </w:tcPr>
                <w:p w14:paraId="562BAFA0">
                  <w:pPr>
                    <w:pStyle w:val="141"/>
                    <w:rPr>
                      <w:rFonts w:cs="Times New Roman"/>
                      <w:color w:val="auto"/>
                      <w:sz w:val="22"/>
                      <w:szCs w:val="22"/>
                    </w:rPr>
                  </w:pPr>
                  <w:r>
                    <w:rPr>
                      <w:rFonts w:cs="Times New Roman"/>
                      <w:color w:val="auto"/>
                      <w:sz w:val="22"/>
                      <w:szCs w:val="22"/>
                    </w:rPr>
                    <w:t>500</w:t>
                  </w:r>
                </w:p>
              </w:tc>
              <w:tc>
                <w:tcPr>
                  <w:tcW w:w="989" w:type="pct"/>
                  <w:shd w:val="clear" w:color="auto" w:fill="FFFFFF"/>
                  <w:vAlign w:val="center"/>
                </w:tcPr>
                <w:p w14:paraId="555716C4">
                  <w:pPr>
                    <w:pStyle w:val="141"/>
                    <w:rPr>
                      <w:rFonts w:cs="Times New Roman"/>
                      <w:color w:val="auto"/>
                      <w:sz w:val="22"/>
                      <w:szCs w:val="22"/>
                    </w:rPr>
                  </w:pPr>
                  <w:r>
                    <w:rPr>
                      <w:rFonts w:cs="Times New Roman"/>
                      <w:color w:val="auto"/>
                      <w:sz w:val="22"/>
                      <w:szCs w:val="22"/>
                    </w:rPr>
                    <w:t>达标</w:t>
                  </w:r>
                </w:p>
              </w:tc>
            </w:tr>
            <w:tr w14:paraId="07E3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14" w:type="pct"/>
                  <w:vMerge w:val="continue"/>
                  <w:shd w:val="clear" w:color="auto" w:fill="FFFFFF"/>
                  <w:vAlign w:val="center"/>
                </w:tcPr>
                <w:p w14:paraId="1F96F7B6">
                  <w:pPr>
                    <w:pStyle w:val="141"/>
                    <w:rPr>
                      <w:rFonts w:cs="Times New Roman"/>
                      <w:color w:val="auto"/>
                      <w:sz w:val="22"/>
                      <w:szCs w:val="22"/>
                    </w:rPr>
                  </w:pPr>
                </w:p>
              </w:tc>
              <w:tc>
                <w:tcPr>
                  <w:tcW w:w="1300" w:type="pct"/>
                  <w:shd w:val="clear" w:color="auto" w:fill="FFFFFF"/>
                  <w:vAlign w:val="center"/>
                </w:tcPr>
                <w:p w14:paraId="38C4EF21">
                  <w:pPr>
                    <w:pStyle w:val="141"/>
                    <w:rPr>
                      <w:rFonts w:cs="Times New Roman"/>
                      <w:color w:val="auto"/>
                      <w:sz w:val="22"/>
                      <w:szCs w:val="22"/>
                    </w:rPr>
                  </w:pPr>
                  <w:r>
                    <w:rPr>
                      <w:rFonts w:cs="Times New Roman"/>
                      <w:color w:val="auto"/>
                      <w:sz w:val="22"/>
                      <w:szCs w:val="22"/>
                    </w:rPr>
                    <w:t>五日生化需氧量</w:t>
                  </w:r>
                </w:p>
              </w:tc>
              <w:tc>
                <w:tcPr>
                  <w:tcW w:w="1067" w:type="pct"/>
                  <w:shd w:val="clear" w:color="auto" w:fill="FFFFFF"/>
                  <w:vAlign w:val="center"/>
                </w:tcPr>
                <w:p w14:paraId="034F4D46">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49.3~61.4</w:t>
                  </w:r>
                </w:p>
              </w:tc>
              <w:tc>
                <w:tcPr>
                  <w:tcW w:w="1027" w:type="pct"/>
                  <w:shd w:val="clear" w:color="auto" w:fill="FFFFFF"/>
                  <w:vAlign w:val="center"/>
                </w:tcPr>
                <w:p w14:paraId="396FBC85">
                  <w:pPr>
                    <w:pStyle w:val="141"/>
                    <w:rPr>
                      <w:rFonts w:cs="Times New Roman"/>
                      <w:color w:val="auto"/>
                      <w:sz w:val="22"/>
                      <w:szCs w:val="22"/>
                    </w:rPr>
                  </w:pPr>
                  <w:r>
                    <w:rPr>
                      <w:rFonts w:cs="Times New Roman"/>
                      <w:color w:val="auto"/>
                      <w:sz w:val="22"/>
                      <w:szCs w:val="22"/>
                    </w:rPr>
                    <w:t>300</w:t>
                  </w:r>
                </w:p>
              </w:tc>
              <w:tc>
                <w:tcPr>
                  <w:tcW w:w="989" w:type="pct"/>
                  <w:shd w:val="clear" w:color="auto" w:fill="FFFFFF"/>
                  <w:vAlign w:val="center"/>
                </w:tcPr>
                <w:p w14:paraId="0F7959B0">
                  <w:pPr>
                    <w:pStyle w:val="141"/>
                    <w:rPr>
                      <w:rFonts w:cs="Times New Roman"/>
                      <w:color w:val="auto"/>
                      <w:sz w:val="22"/>
                      <w:szCs w:val="22"/>
                    </w:rPr>
                  </w:pPr>
                  <w:r>
                    <w:rPr>
                      <w:rFonts w:cs="Times New Roman"/>
                      <w:color w:val="auto"/>
                      <w:sz w:val="22"/>
                      <w:szCs w:val="22"/>
                    </w:rPr>
                    <w:t>达标</w:t>
                  </w:r>
                </w:p>
              </w:tc>
            </w:tr>
            <w:tr w14:paraId="4CA0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251B0546">
                  <w:pPr>
                    <w:pStyle w:val="141"/>
                    <w:rPr>
                      <w:rFonts w:cs="Times New Roman"/>
                      <w:color w:val="auto"/>
                      <w:sz w:val="22"/>
                      <w:szCs w:val="22"/>
                    </w:rPr>
                  </w:pPr>
                </w:p>
              </w:tc>
              <w:tc>
                <w:tcPr>
                  <w:tcW w:w="1300" w:type="pct"/>
                  <w:shd w:val="clear" w:color="auto" w:fill="FFFFFF"/>
                  <w:vAlign w:val="center"/>
                </w:tcPr>
                <w:p w14:paraId="0A794B3C">
                  <w:pPr>
                    <w:pStyle w:val="141"/>
                    <w:rPr>
                      <w:rFonts w:cs="Times New Roman"/>
                      <w:color w:val="auto"/>
                      <w:sz w:val="22"/>
                      <w:szCs w:val="22"/>
                    </w:rPr>
                  </w:pPr>
                  <w:r>
                    <w:rPr>
                      <w:rFonts w:cs="Times New Roman"/>
                      <w:color w:val="auto"/>
                      <w:sz w:val="22"/>
                      <w:szCs w:val="22"/>
                    </w:rPr>
                    <w:t>动植物油</w:t>
                  </w:r>
                </w:p>
              </w:tc>
              <w:tc>
                <w:tcPr>
                  <w:tcW w:w="1067" w:type="pct"/>
                  <w:shd w:val="clear" w:color="auto" w:fill="FFFFFF"/>
                  <w:vAlign w:val="center"/>
                </w:tcPr>
                <w:p w14:paraId="07E15328">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0.15~0.30</w:t>
                  </w:r>
                </w:p>
              </w:tc>
              <w:tc>
                <w:tcPr>
                  <w:tcW w:w="1027" w:type="pct"/>
                  <w:shd w:val="clear" w:color="auto" w:fill="FFFFFF"/>
                  <w:vAlign w:val="center"/>
                </w:tcPr>
                <w:p w14:paraId="2B9F4E50">
                  <w:pPr>
                    <w:pStyle w:val="141"/>
                    <w:rPr>
                      <w:rFonts w:cs="Times New Roman"/>
                      <w:color w:val="auto"/>
                      <w:sz w:val="22"/>
                      <w:szCs w:val="22"/>
                    </w:rPr>
                  </w:pPr>
                  <w:r>
                    <w:rPr>
                      <w:rFonts w:cs="Times New Roman"/>
                      <w:color w:val="auto"/>
                      <w:sz w:val="22"/>
                      <w:szCs w:val="22"/>
                    </w:rPr>
                    <w:t>100</w:t>
                  </w:r>
                </w:p>
              </w:tc>
              <w:tc>
                <w:tcPr>
                  <w:tcW w:w="989" w:type="pct"/>
                  <w:shd w:val="clear" w:color="auto" w:fill="FFFFFF"/>
                  <w:vAlign w:val="center"/>
                </w:tcPr>
                <w:p w14:paraId="3CA91B0E">
                  <w:pPr>
                    <w:pStyle w:val="141"/>
                    <w:rPr>
                      <w:rFonts w:cs="Times New Roman"/>
                      <w:color w:val="auto"/>
                      <w:sz w:val="22"/>
                      <w:szCs w:val="22"/>
                    </w:rPr>
                  </w:pPr>
                  <w:r>
                    <w:rPr>
                      <w:rFonts w:cs="Times New Roman"/>
                      <w:color w:val="auto"/>
                      <w:sz w:val="22"/>
                      <w:szCs w:val="22"/>
                    </w:rPr>
                    <w:t>达标</w:t>
                  </w:r>
                </w:p>
              </w:tc>
            </w:tr>
            <w:tr w14:paraId="740E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3BC3C5F8">
                  <w:pPr>
                    <w:pStyle w:val="141"/>
                    <w:rPr>
                      <w:rFonts w:cs="Times New Roman"/>
                      <w:color w:val="auto"/>
                      <w:sz w:val="22"/>
                      <w:szCs w:val="22"/>
                    </w:rPr>
                  </w:pPr>
                </w:p>
              </w:tc>
              <w:tc>
                <w:tcPr>
                  <w:tcW w:w="1300" w:type="pct"/>
                  <w:shd w:val="clear" w:color="auto" w:fill="FFFFFF"/>
                  <w:vAlign w:val="center"/>
                </w:tcPr>
                <w:p w14:paraId="44849567">
                  <w:pPr>
                    <w:pStyle w:val="141"/>
                    <w:rPr>
                      <w:rFonts w:hint="eastAsia" w:eastAsia="宋体" w:cs="Times New Roman"/>
                      <w:color w:val="auto"/>
                      <w:sz w:val="22"/>
                      <w:szCs w:val="22"/>
                      <w:lang w:val="en-US" w:eastAsia="zh-CN"/>
                    </w:rPr>
                  </w:pPr>
                  <w:r>
                    <w:rPr>
                      <w:rFonts w:hint="eastAsia" w:cs="Times New Roman"/>
                      <w:color w:val="auto"/>
                      <w:sz w:val="22"/>
                      <w:szCs w:val="22"/>
                      <w:lang w:val="en-US" w:eastAsia="zh-CN"/>
                    </w:rPr>
                    <w:t>石油类</w:t>
                  </w:r>
                </w:p>
              </w:tc>
              <w:tc>
                <w:tcPr>
                  <w:tcW w:w="1067" w:type="pct"/>
                  <w:shd w:val="clear" w:color="auto" w:fill="FFFFFF"/>
                  <w:vAlign w:val="center"/>
                </w:tcPr>
                <w:p w14:paraId="76E9C361">
                  <w:pPr>
                    <w:pStyle w:val="141"/>
                    <w:rPr>
                      <w:rFonts w:hint="default" w:cs="Times New Roman"/>
                      <w:color w:val="auto"/>
                      <w:sz w:val="22"/>
                      <w:szCs w:val="22"/>
                      <w:lang w:val="en-US" w:eastAsia="zh-CN"/>
                    </w:rPr>
                  </w:pPr>
                  <w:r>
                    <w:rPr>
                      <w:rFonts w:hint="eastAsia" w:cs="Times New Roman"/>
                      <w:color w:val="auto"/>
                      <w:sz w:val="22"/>
                      <w:szCs w:val="22"/>
                      <w:lang w:val="en-US" w:eastAsia="zh-CN"/>
                    </w:rPr>
                    <w:t>0.19~0.23</w:t>
                  </w:r>
                </w:p>
              </w:tc>
              <w:tc>
                <w:tcPr>
                  <w:tcW w:w="1027" w:type="pct"/>
                  <w:shd w:val="clear" w:color="auto" w:fill="FFFFFF"/>
                  <w:vAlign w:val="center"/>
                </w:tcPr>
                <w:p w14:paraId="63EBD549">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20</w:t>
                  </w:r>
                </w:p>
              </w:tc>
              <w:tc>
                <w:tcPr>
                  <w:tcW w:w="989" w:type="pct"/>
                  <w:shd w:val="clear" w:color="auto" w:fill="FFFFFF"/>
                  <w:vAlign w:val="center"/>
                </w:tcPr>
                <w:p w14:paraId="62D1CBDA">
                  <w:pPr>
                    <w:pStyle w:val="141"/>
                    <w:rPr>
                      <w:rFonts w:cs="Times New Roman"/>
                      <w:color w:val="auto"/>
                      <w:sz w:val="22"/>
                      <w:szCs w:val="22"/>
                    </w:rPr>
                  </w:pPr>
                  <w:r>
                    <w:rPr>
                      <w:rFonts w:cs="Times New Roman"/>
                      <w:color w:val="auto"/>
                      <w:sz w:val="22"/>
                      <w:szCs w:val="22"/>
                    </w:rPr>
                    <w:t>达标</w:t>
                  </w:r>
                </w:p>
              </w:tc>
            </w:tr>
          </w:tbl>
          <w:p w14:paraId="5D240ACE">
            <w:pPr>
              <w:pStyle w:val="142"/>
              <w:spacing w:line="460" w:lineRule="exact"/>
              <w:rPr>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lang w:val="en-US" w:eastAsia="zh-CN"/>
              </w:rPr>
              <w:t>13  东</w:t>
            </w:r>
            <w:r>
              <w:rPr>
                <w:rFonts w:eastAsia="宋体"/>
                <w:color w:val="auto"/>
                <w:sz w:val="26"/>
                <w:szCs w:val="26"/>
              </w:rPr>
              <w:t>地块废水排放及达标情况统计表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1031"/>
              <w:gridCol w:w="2182"/>
              <w:gridCol w:w="1792"/>
              <w:gridCol w:w="1725"/>
              <w:gridCol w:w="1661"/>
            </w:tblGrid>
            <w:tr w14:paraId="6489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12" w:hRule="atLeast"/>
                <w:jc w:val="center"/>
              </w:trPr>
              <w:tc>
                <w:tcPr>
                  <w:tcW w:w="614" w:type="pct"/>
                  <w:vMerge w:val="restart"/>
                  <w:shd w:val="clear" w:color="auto" w:fill="FFFFFF"/>
                  <w:vAlign w:val="center"/>
                </w:tcPr>
                <w:p w14:paraId="6C3E1A11">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监测位置</w:t>
                  </w:r>
                </w:p>
              </w:tc>
              <w:tc>
                <w:tcPr>
                  <w:tcW w:w="1300" w:type="pct"/>
                  <w:vMerge w:val="restart"/>
                  <w:shd w:val="clear" w:color="auto" w:fill="FFFFFF"/>
                  <w:vAlign w:val="center"/>
                </w:tcPr>
                <w:p w14:paraId="47A3E218">
                  <w:pPr>
                    <w:pStyle w:val="141"/>
                    <w:rPr>
                      <w:rFonts w:cs="Times New Roman"/>
                      <w:color w:val="auto"/>
                      <w:sz w:val="22"/>
                      <w:szCs w:val="22"/>
                    </w:rPr>
                  </w:pPr>
                  <w:r>
                    <w:rPr>
                      <w:rFonts w:cs="Times New Roman"/>
                      <w:color w:val="auto"/>
                      <w:sz w:val="22"/>
                      <w:szCs w:val="22"/>
                    </w:rPr>
                    <w:t>污染因子</w:t>
                  </w:r>
                </w:p>
              </w:tc>
              <w:tc>
                <w:tcPr>
                  <w:tcW w:w="1067" w:type="pct"/>
                  <w:vMerge w:val="restart"/>
                  <w:shd w:val="clear" w:color="auto" w:fill="FFFFFF"/>
                  <w:vAlign w:val="center"/>
                </w:tcPr>
                <w:p w14:paraId="0C4D2F01">
                  <w:pPr>
                    <w:pStyle w:val="141"/>
                    <w:rPr>
                      <w:rFonts w:cs="Times New Roman"/>
                      <w:color w:val="auto"/>
                      <w:sz w:val="22"/>
                      <w:szCs w:val="22"/>
                    </w:rPr>
                  </w:pPr>
                  <w:r>
                    <w:rPr>
                      <w:rFonts w:cs="Times New Roman"/>
                      <w:color w:val="auto"/>
                      <w:sz w:val="22"/>
                      <w:szCs w:val="22"/>
                    </w:rPr>
                    <w:t>排放浓度（mg/L）</w:t>
                  </w:r>
                </w:p>
              </w:tc>
              <w:tc>
                <w:tcPr>
                  <w:tcW w:w="1027" w:type="pct"/>
                  <w:vMerge w:val="restart"/>
                  <w:shd w:val="clear" w:color="auto" w:fill="FFFFFF"/>
                  <w:vAlign w:val="center"/>
                </w:tcPr>
                <w:p w14:paraId="09912652">
                  <w:pPr>
                    <w:pStyle w:val="141"/>
                    <w:rPr>
                      <w:rFonts w:cs="Times New Roman"/>
                      <w:color w:val="auto"/>
                      <w:sz w:val="22"/>
                      <w:szCs w:val="22"/>
                    </w:rPr>
                  </w:pPr>
                  <w:r>
                    <w:rPr>
                      <w:rFonts w:cs="Times New Roman"/>
                      <w:color w:val="auto"/>
                      <w:sz w:val="22"/>
                      <w:szCs w:val="22"/>
                    </w:rPr>
                    <w:t>排放标准（mg/L）</w:t>
                  </w:r>
                </w:p>
              </w:tc>
              <w:tc>
                <w:tcPr>
                  <w:tcW w:w="989" w:type="pct"/>
                  <w:vMerge w:val="restart"/>
                  <w:shd w:val="clear" w:color="auto" w:fill="FFFFFF"/>
                  <w:vAlign w:val="center"/>
                </w:tcPr>
                <w:p w14:paraId="1C8FEAF2">
                  <w:pPr>
                    <w:pStyle w:val="141"/>
                    <w:rPr>
                      <w:rFonts w:cs="Times New Roman"/>
                      <w:color w:val="auto"/>
                      <w:sz w:val="22"/>
                      <w:szCs w:val="22"/>
                    </w:rPr>
                  </w:pPr>
                  <w:r>
                    <w:rPr>
                      <w:rFonts w:cs="Times New Roman"/>
                      <w:color w:val="auto"/>
                      <w:sz w:val="22"/>
                      <w:szCs w:val="22"/>
                    </w:rPr>
                    <w:t>达标情况</w:t>
                  </w:r>
                </w:p>
              </w:tc>
            </w:tr>
            <w:tr w14:paraId="397B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614" w:type="pct"/>
                  <w:vMerge w:val="continue"/>
                  <w:shd w:val="clear" w:color="auto" w:fill="FFFFFF"/>
                  <w:vAlign w:val="center"/>
                </w:tcPr>
                <w:p w14:paraId="3E61A62E">
                  <w:pPr>
                    <w:pStyle w:val="141"/>
                    <w:rPr>
                      <w:rFonts w:cs="Times New Roman"/>
                      <w:color w:val="auto"/>
                      <w:sz w:val="22"/>
                      <w:szCs w:val="22"/>
                    </w:rPr>
                  </w:pPr>
                </w:p>
              </w:tc>
              <w:tc>
                <w:tcPr>
                  <w:tcW w:w="1300" w:type="pct"/>
                  <w:vMerge w:val="continue"/>
                  <w:shd w:val="clear" w:color="auto" w:fill="FFFFFF"/>
                  <w:vAlign w:val="center"/>
                </w:tcPr>
                <w:p w14:paraId="37E1A2F6">
                  <w:pPr>
                    <w:pStyle w:val="141"/>
                    <w:rPr>
                      <w:rFonts w:cs="Times New Roman"/>
                      <w:color w:val="auto"/>
                      <w:sz w:val="22"/>
                      <w:szCs w:val="22"/>
                    </w:rPr>
                  </w:pPr>
                </w:p>
              </w:tc>
              <w:tc>
                <w:tcPr>
                  <w:tcW w:w="1067" w:type="pct"/>
                  <w:vMerge w:val="continue"/>
                  <w:shd w:val="clear" w:color="auto" w:fill="FFFFFF"/>
                  <w:vAlign w:val="center"/>
                </w:tcPr>
                <w:p w14:paraId="420C0AF2">
                  <w:pPr>
                    <w:pStyle w:val="141"/>
                    <w:rPr>
                      <w:rFonts w:cs="Times New Roman"/>
                      <w:color w:val="auto"/>
                      <w:sz w:val="22"/>
                      <w:szCs w:val="22"/>
                    </w:rPr>
                  </w:pPr>
                </w:p>
              </w:tc>
              <w:tc>
                <w:tcPr>
                  <w:tcW w:w="1027" w:type="pct"/>
                  <w:vMerge w:val="continue"/>
                  <w:shd w:val="clear" w:color="auto" w:fill="FFFFFF"/>
                  <w:vAlign w:val="center"/>
                </w:tcPr>
                <w:p w14:paraId="181A6ECF">
                  <w:pPr>
                    <w:pStyle w:val="141"/>
                    <w:rPr>
                      <w:rFonts w:cs="Times New Roman"/>
                      <w:color w:val="auto"/>
                      <w:sz w:val="22"/>
                      <w:szCs w:val="22"/>
                    </w:rPr>
                  </w:pPr>
                </w:p>
              </w:tc>
              <w:tc>
                <w:tcPr>
                  <w:tcW w:w="989" w:type="pct"/>
                  <w:vMerge w:val="continue"/>
                  <w:shd w:val="clear" w:color="auto" w:fill="FFFFFF"/>
                  <w:vAlign w:val="center"/>
                </w:tcPr>
                <w:p w14:paraId="07840F5F">
                  <w:pPr>
                    <w:pStyle w:val="141"/>
                    <w:rPr>
                      <w:rFonts w:cs="Times New Roman"/>
                      <w:color w:val="auto"/>
                      <w:sz w:val="22"/>
                      <w:szCs w:val="22"/>
                    </w:rPr>
                  </w:pPr>
                </w:p>
              </w:tc>
            </w:tr>
            <w:tr w14:paraId="727C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restart"/>
                  <w:shd w:val="clear" w:color="auto" w:fill="FFFFFF"/>
                  <w:vAlign w:val="center"/>
                </w:tcPr>
                <w:p w14:paraId="3AF6C7F1">
                  <w:pPr>
                    <w:pStyle w:val="141"/>
                    <w:rPr>
                      <w:rFonts w:hint="default" w:eastAsia="宋体" w:cs="Times New Roman"/>
                      <w:color w:val="auto"/>
                      <w:sz w:val="22"/>
                      <w:szCs w:val="22"/>
                      <w:lang w:val="en-US" w:eastAsia="zh-CN"/>
                    </w:rPr>
                  </w:pPr>
                  <w:r>
                    <w:rPr>
                      <w:rFonts w:cs="Times New Roman"/>
                      <w:color w:val="auto"/>
                      <w:sz w:val="22"/>
                      <w:szCs w:val="22"/>
                    </w:rPr>
                    <w:t>西地块</w:t>
                  </w:r>
                  <w:r>
                    <w:rPr>
                      <w:rFonts w:hint="eastAsia" w:cs="Times New Roman"/>
                      <w:color w:val="auto"/>
                      <w:sz w:val="22"/>
                      <w:szCs w:val="22"/>
                      <w:lang w:val="en-US" w:eastAsia="zh-CN"/>
                    </w:rPr>
                    <w:t>化粪池排口</w:t>
                  </w:r>
                </w:p>
              </w:tc>
              <w:tc>
                <w:tcPr>
                  <w:tcW w:w="1300" w:type="pct"/>
                  <w:shd w:val="clear" w:color="auto" w:fill="FFFFFF"/>
                  <w:vAlign w:val="center"/>
                </w:tcPr>
                <w:p w14:paraId="0701CFC4">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pH</w:t>
                  </w:r>
                </w:p>
              </w:tc>
              <w:tc>
                <w:tcPr>
                  <w:tcW w:w="1067" w:type="pct"/>
                  <w:shd w:val="clear" w:color="auto" w:fill="FFFFFF"/>
                  <w:vAlign w:val="center"/>
                </w:tcPr>
                <w:p w14:paraId="01E38860">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7.4~7.6</w:t>
                  </w:r>
                </w:p>
              </w:tc>
              <w:tc>
                <w:tcPr>
                  <w:tcW w:w="1027" w:type="pct"/>
                  <w:shd w:val="clear" w:color="auto" w:fill="FFFFFF"/>
                  <w:vAlign w:val="center"/>
                </w:tcPr>
                <w:p w14:paraId="77EF166B">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6~9</w:t>
                  </w:r>
                </w:p>
              </w:tc>
              <w:tc>
                <w:tcPr>
                  <w:tcW w:w="989" w:type="pct"/>
                  <w:shd w:val="clear" w:color="auto" w:fill="FFFFFF"/>
                  <w:vAlign w:val="center"/>
                </w:tcPr>
                <w:p w14:paraId="2E8BD1BD">
                  <w:pPr>
                    <w:pStyle w:val="141"/>
                    <w:rPr>
                      <w:rFonts w:cs="Times New Roman"/>
                      <w:color w:val="auto"/>
                      <w:sz w:val="22"/>
                      <w:szCs w:val="22"/>
                    </w:rPr>
                  </w:pPr>
                  <w:r>
                    <w:rPr>
                      <w:rFonts w:cs="Times New Roman"/>
                      <w:color w:val="auto"/>
                      <w:sz w:val="22"/>
                      <w:szCs w:val="22"/>
                    </w:rPr>
                    <w:t>达标</w:t>
                  </w:r>
                </w:p>
              </w:tc>
            </w:tr>
            <w:tr w14:paraId="5238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7B7C8ECF">
                  <w:pPr>
                    <w:pStyle w:val="141"/>
                    <w:rPr>
                      <w:rFonts w:hint="default" w:eastAsia="宋体" w:cs="Times New Roman"/>
                      <w:color w:val="auto"/>
                      <w:sz w:val="22"/>
                      <w:szCs w:val="22"/>
                      <w:lang w:val="en-US" w:eastAsia="zh-CN"/>
                    </w:rPr>
                  </w:pPr>
                </w:p>
              </w:tc>
              <w:tc>
                <w:tcPr>
                  <w:tcW w:w="1300" w:type="pct"/>
                  <w:shd w:val="clear" w:color="auto" w:fill="FFFFFF"/>
                  <w:vAlign w:val="center"/>
                </w:tcPr>
                <w:p w14:paraId="585A8AA3">
                  <w:pPr>
                    <w:pStyle w:val="141"/>
                    <w:rPr>
                      <w:rFonts w:cs="Times New Roman"/>
                      <w:color w:val="auto"/>
                      <w:sz w:val="22"/>
                      <w:szCs w:val="22"/>
                    </w:rPr>
                  </w:pPr>
                  <w:r>
                    <w:rPr>
                      <w:rFonts w:cs="Times New Roman"/>
                      <w:color w:val="auto"/>
                      <w:sz w:val="22"/>
                      <w:szCs w:val="22"/>
                    </w:rPr>
                    <w:t>氨氮</w:t>
                  </w:r>
                </w:p>
              </w:tc>
              <w:tc>
                <w:tcPr>
                  <w:tcW w:w="1067" w:type="pct"/>
                  <w:shd w:val="clear" w:color="auto" w:fill="FFFFFF"/>
                  <w:vAlign w:val="center"/>
                </w:tcPr>
                <w:p w14:paraId="4FEC2E06">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16.0~17.8</w:t>
                  </w:r>
                </w:p>
              </w:tc>
              <w:tc>
                <w:tcPr>
                  <w:tcW w:w="1027" w:type="pct"/>
                  <w:shd w:val="clear" w:color="auto" w:fill="FFFFFF"/>
                  <w:vAlign w:val="center"/>
                </w:tcPr>
                <w:p w14:paraId="40EF53E6">
                  <w:pPr>
                    <w:pStyle w:val="141"/>
                    <w:rPr>
                      <w:rFonts w:cs="Times New Roman"/>
                      <w:color w:val="auto"/>
                      <w:sz w:val="22"/>
                      <w:szCs w:val="22"/>
                    </w:rPr>
                  </w:pPr>
                  <w:r>
                    <w:rPr>
                      <w:rFonts w:cs="Times New Roman"/>
                      <w:color w:val="auto"/>
                      <w:sz w:val="22"/>
                      <w:szCs w:val="22"/>
                    </w:rPr>
                    <w:t>45</w:t>
                  </w:r>
                </w:p>
              </w:tc>
              <w:tc>
                <w:tcPr>
                  <w:tcW w:w="989" w:type="pct"/>
                  <w:shd w:val="clear" w:color="auto" w:fill="FFFFFF"/>
                  <w:vAlign w:val="center"/>
                </w:tcPr>
                <w:p w14:paraId="06115B24">
                  <w:pPr>
                    <w:pStyle w:val="141"/>
                    <w:rPr>
                      <w:rFonts w:cs="Times New Roman"/>
                      <w:color w:val="auto"/>
                      <w:sz w:val="22"/>
                      <w:szCs w:val="22"/>
                    </w:rPr>
                  </w:pPr>
                  <w:r>
                    <w:rPr>
                      <w:rFonts w:cs="Times New Roman"/>
                      <w:color w:val="auto"/>
                      <w:sz w:val="22"/>
                      <w:szCs w:val="22"/>
                    </w:rPr>
                    <w:t>达标</w:t>
                  </w:r>
                </w:p>
              </w:tc>
            </w:tr>
            <w:tr w14:paraId="2E7C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320CCCC9">
                  <w:pPr>
                    <w:pStyle w:val="141"/>
                    <w:rPr>
                      <w:rFonts w:cs="Times New Roman"/>
                      <w:color w:val="auto"/>
                      <w:sz w:val="22"/>
                      <w:szCs w:val="22"/>
                    </w:rPr>
                  </w:pPr>
                </w:p>
              </w:tc>
              <w:tc>
                <w:tcPr>
                  <w:tcW w:w="1300" w:type="pct"/>
                  <w:shd w:val="clear" w:color="auto" w:fill="FFFFFF"/>
                  <w:vAlign w:val="center"/>
                </w:tcPr>
                <w:p w14:paraId="05943BF5">
                  <w:pPr>
                    <w:pStyle w:val="141"/>
                    <w:rPr>
                      <w:rFonts w:cs="Times New Roman"/>
                      <w:color w:val="auto"/>
                      <w:sz w:val="22"/>
                      <w:szCs w:val="22"/>
                    </w:rPr>
                  </w:pPr>
                  <w:r>
                    <w:rPr>
                      <w:rFonts w:cs="Times New Roman"/>
                      <w:color w:val="auto"/>
                      <w:sz w:val="22"/>
                      <w:szCs w:val="22"/>
                    </w:rPr>
                    <w:t>悬浮物</w:t>
                  </w:r>
                </w:p>
              </w:tc>
              <w:tc>
                <w:tcPr>
                  <w:tcW w:w="1067" w:type="pct"/>
                  <w:shd w:val="clear" w:color="auto" w:fill="FFFFFF"/>
                  <w:vAlign w:val="center"/>
                </w:tcPr>
                <w:p w14:paraId="7B5DC1C2">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74~90</w:t>
                  </w:r>
                </w:p>
              </w:tc>
              <w:tc>
                <w:tcPr>
                  <w:tcW w:w="1027" w:type="pct"/>
                  <w:shd w:val="clear" w:color="auto" w:fill="FFFFFF"/>
                  <w:vAlign w:val="center"/>
                </w:tcPr>
                <w:p w14:paraId="7DAB7A82">
                  <w:pPr>
                    <w:pStyle w:val="141"/>
                    <w:rPr>
                      <w:rFonts w:cs="Times New Roman"/>
                      <w:color w:val="auto"/>
                      <w:sz w:val="22"/>
                      <w:szCs w:val="22"/>
                    </w:rPr>
                  </w:pPr>
                  <w:r>
                    <w:rPr>
                      <w:rFonts w:cs="Times New Roman"/>
                      <w:color w:val="auto"/>
                      <w:sz w:val="22"/>
                      <w:szCs w:val="22"/>
                    </w:rPr>
                    <w:t>400</w:t>
                  </w:r>
                </w:p>
              </w:tc>
              <w:tc>
                <w:tcPr>
                  <w:tcW w:w="989" w:type="pct"/>
                  <w:shd w:val="clear" w:color="auto" w:fill="FFFFFF"/>
                  <w:vAlign w:val="center"/>
                </w:tcPr>
                <w:p w14:paraId="6326C123">
                  <w:pPr>
                    <w:pStyle w:val="141"/>
                    <w:rPr>
                      <w:rFonts w:cs="Times New Roman"/>
                      <w:color w:val="auto"/>
                      <w:sz w:val="22"/>
                      <w:szCs w:val="22"/>
                    </w:rPr>
                  </w:pPr>
                  <w:r>
                    <w:rPr>
                      <w:rFonts w:cs="Times New Roman"/>
                      <w:color w:val="auto"/>
                      <w:sz w:val="22"/>
                      <w:szCs w:val="22"/>
                    </w:rPr>
                    <w:t>达标</w:t>
                  </w:r>
                </w:p>
              </w:tc>
            </w:tr>
            <w:tr w14:paraId="24B4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663DD9F1">
                  <w:pPr>
                    <w:pStyle w:val="141"/>
                    <w:rPr>
                      <w:rFonts w:cs="Times New Roman"/>
                      <w:color w:val="auto"/>
                      <w:sz w:val="22"/>
                      <w:szCs w:val="22"/>
                    </w:rPr>
                  </w:pPr>
                </w:p>
              </w:tc>
              <w:tc>
                <w:tcPr>
                  <w:tcW w:w="1300" w:type="pct"/>
                  <w:shd w:val="clear" w:color="auto" w:fill="FFFFFF"/>
                  <w:vAlign w:val="center"/>
                </w:tcPr>
                <w:p w14:paraId="54EC262E">
                  <w:pPr>
                    <w:pStyle w:val="141"/>
                    <w:rPr>
                      <w:rFonts w:cs="Times New Roman"/>
                      <w:color w:val="auto"/>
                      <w:sz w:val="22"/>
                      <w:szCs w:val="22"/>
                    </w:rPr>
                  </w:pPr>
                  <w:r>
                    <w:rPr>
                      <w:rFonts w:cs="Times New Roman"/>
                      <w:color w:val="auto"/>
                      <w:sz w:val="22"/>
                      <w:szCs w:val="22"/>
                    </w:rPr>
                    <w:t>化学需氧量</w:t>
                  </w:r>
                </w:p>
              </w:tc>
              <w:tc>
                <w:tcPr>
                  <w:tcW w:w="1067" w:type="pct"/>
                  <w:shd w:val="clear" w:color="auto" w:fill="FFFFFF"/>
                  <w:vAlign w:val="center"/>
                </w:tcPr>
                <w:p w14:paraId="5F8630D1">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401~419</w:t>
                  </w:r>
                </w:p>
              </w:tc>
              <w:tc>
                <w:tcPr>
                  <w:tcW w:w="1027" w:type="pct"/>
                  <w:shd w:val="clear" w:color="auto" w:fill="FFFFFF"/>
                  <w:vAlign w:val="center"/>
                </w:tcPr>
                <w:p w14:paraId="221812BA">
                  <w:pPr>
                    <w:pStyle w:val="141"/>
                    <w:rPr>
                      <w:rFonts w:cs="Times New Roman"/>
                      <w:color w:val="auto"/>
                      <w:sz w:val="22"/>
                      <w:szCs w:val="22"/>
                    </w:rPr>
                  </w:pPr>
                  <w:r>
                    <w:rPr>
                      <w:rFonts w:cs="Times New Roman"/>
                      <w:color w:val="auto"/>
                      <w:sz w:val="22"/>
                      <w:szCs w:val="22"/>
                    </w:rPr>
                    <w:t>500</w:t>
                  </w:r>
                </w:p>
              </w:tc>
              <w:tc>
                <w:tcPr>
                  <w:tcW w:w="989" w:type="pct"/>
                  <w:shd w:val="clear" w:color="auto" w:fill="FFFFFF"/>
                  <w:vAlign w:val="center"/>
                </w:tcPr>
                <w:p w14:paraId="2A303479">
                  <w:pPr>
                    <w:pStyle w:val="141"/>
                    <w:rPr>
                      <w:rFonts w:cs="Times New Roman"/>
                      <w:color w:val="auto"/>
                      <w:sz w:val="22"/>
                      <w:szCs w:val="22"/>
                    </w:rPr>
                  </w:pPr>
                  <w:r>
                    <w:rPr>
                      <w:rFonts w:cs="Times New Roman"/>
                      <w:color w:val="auto"/>
                      <w:sz w:val="22"/>
                      <w:szCs w:val="22"/>
                    </w:rPr>
                    <w:t>达标</w:t>
                  </w:r>
                </w:p>
              </w:tc>
            </w:tr>
            <w:tr w14:paraId="2F6F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14" w:type="pct"/>
                  <w:vMerge w:val="continue"/>
                  <w:shd w:val="clear" w:color="auto" w:fill="FFFFFF"/>
                  <w:vAlign w:val="center"/>
                </w:tcPr>
                <w:p w14:paraId="3EFEA323">
                  <w:pPr>
                    <w:pStyle w:val="141"/>
                    <w:rPr>
                      <w:rFonts w:cs="Times New Roman"/>
                      <w:color w:val="auto"/>
                      <w:sz w:val="22"/>
                      <w:szCs w:val="22"/>
                    </w:rPr>
                  </w:pPr>
                </w:p>
              </w:tc>
              <w:tc>
                <w:tcPr>
                  <w:tcW w:w="1300" w:type="pct"/>
                  <w:shd w:val="clear" w:color="auto" w:fill="FFFFFF"/>
                  <w:vAlign w:val="center"/>
                </w:tcPr>
                <w:p w14:paraId="502DFE89">
                  <w:pPr>
                    <w:pStyle w:val="141"/>
                    <w:rPr>
                      <w:rFonts w:cs="Times New Roman"/>
                      <w:color w:val="auto"/>
                      <w:sz w:val="22"/>
                      <w:szCs w:val="22"/>
                    </w:rPr>
                  </w:pPr>
                  <w:r>
                    <w:rPr>
                      <w:rFonts w:cs="Times New Roman"/>
                      <w:color w:val="auto"/>
                      <w:sz w:val="22"/>
                      <w:szCs w:val="22"/>
                    </w:rPr>
                    <w:t>五日生化需氧量</w:t>
                  </w:r>
                </w:p>
              </w:tc>
              <w:tc>
                <w:tcPr>
                  <w:tcW w:w="1067" w:type="pct"/>
                  <w:shd w:val="clear" w:color="auto" w:fill="FFFFFF"/>
                  <w:vAlign w:val="center"/>
                </w:tcPr>
                <w:p w14:paraId="4C90D6BA">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84.9~92.0</w:t>
                  </w:r>
                </w:p>
              </w:tc>
              <w:tc>
                <w:tcPr>
                  <w:tcW w:w="1027" w:type="pct"/>
                  <w:shd w:val="clear" w:color="auto" w:fill="FFFFFF"/>
                  <w:vAlign w:val="center"/>
                </w:tcPr>
                <w:p w14:paraId="22EA1701">
                  <w:pPr>
                    <w:pStyle w:val="141"/>
                    <w:rPr>
                      <w:rFonts w:cs="Times New Roman"/>
                      <w:color w:val="auto"/>
                      <w:sz w:val="22"/>
                      <w:szCs w:val="22"/>
                    </w:rPr>
                  </w:pPr>
                  <w:r>
                    <w:rPr>
                      <w:rFonts w:cs="Times New Roman"/>
                      <w:color w:val="auto"/>
                      <w:sz w:val="22"/>
                      <w:szCs w:val="22"/>
                    </w:rPr>
                    <w:t>300</w:t>
                  </w:r>
                </w:p>
              </w:tc>
              <w:tc>
                <w:tcPr>
                  <w:tcW w:w="989" w:type="pct"/>
                  <w:shd w:val="clear" w:color="auto" w:fill="FFFFFF"/>
                  <w:vAlign w:val="center"/>
                </w:tcPr>
                <w:p w14:paraId="40C95EA4">
                  <w:pPr>
                    <w:pStyle w:val="141"/>
                    <w:rPr>
                      <w:rFonts w:cs="Times New Roman"/>
                      <w:color w:val="auto"/>
                      <w:sz w:val="22"/>
                      <w:szCs w:val="22"/>
                    </w:rPr>
                  </w:pPr>
                  <w:r>
                    <w:rPr>
                      <w:rFonts w:cs="Times New Roman"/>
                      <w:color w:val="auto"/>
                      <w:sz w:val="22"/>
                      <w:szCs w:val="22"/>
                    </w:rPr>
                    <w:t>达标</w:t>
                  </w:r>
                </w:p>
              </w:tc>
            </w:tr>
            <w:tr w14:paraId="1462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5189D709">
                  <w:pPr>
                    <w:pStyle w:val="141"/>
                    <w:rPr>
                      <w:rFonts w:cs="Times New Roman"/>
                      <w:color w:val="auto"/>
                      <w:sz w:val="22"/>
                      <w:szCs w:val="22"/>
                    </w:rPr>
                  </w:pPr>
                </w:p>
              </w:tc>
              <w:tc>
                <w:tcPr>
                  <w:tcW w:w="1300" w:type="pct"/>
                  <w:shd w:val="clear" w:color="auto" w:fill="FFFFFF"/>
                  <w:vAlign w:val="center"/>
                </w:tcPr>
                <w:p w14:paraId="37811B56">
                  <w:pPr>
                    <w:pStyle w:val="141"/>
                    <w:rPr>
                      <w:rFonts w:cs="Times New Roman"/>
                      <w:color w:val="auto"/>
                      <w:sz w:val="22"/>
                      <w:szCs w:val="22"/>
                    </w:rPr>
                  </w:pPr>
                  <w:r>
                    <w:rPr>
                      <w:rFonts w:cs="Times New Roman"/>
                      <w:color w:val="auto"/>
                      <w:sz w:val="22"/>
                      <w:szCs w:val="22"/>
                    </w:rPr>
                    <w:t>动植物油</w:t>
                  </w:r>
                </w:p>
              </w:tc>
              <w:tc>
                <w:tcPr>
                  <w:tcW w:w="1067" w:type="pct"/>
                  <w:shd w:val="clear" w:color="auto" w:fill="FFFFFF"/>
                  <w:vAlign w:val="center"/>
                </w:tcPr>
                <w:p w14:paraId="3105B270">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0.07~0.13</w:t>
                  </w:r>
                </w:p>
              </w:tc>
              <w:tc>
                <w:tcPr>
                  <w:tcW w:w="1027" w:type="pct"/>
                  <w:shd w:val="clear" w:color="auto" w:fill="FFFFFF"/>
                  <w:vAlign w:val="center"/>
                </w:tcPr>
                <w:p w14:paraId="56F3043E">
                  <w:pPr>
                    <w:pStyle w:val="141"/>
                    <w:rPr>
                      <w:rFonts w:cs="Times New Roman"/>
                      <w:color w:val="auto"/>
                      <w:sz w:val="22"/>
                      <w:szCs w:val="22"/>
                    </w:rPr>
                  </w:pPr>
                  <w:r>
                    <w:rPr>
                      <w:rFonts w:cs="Times New Roman"/>
                      <w:color w:val="auto"/>
                      <w:sz w:val="22"/>
                      <w:szCs w:val="22"/>
                    </w:rPr>
                    <w:t>100</w:t>
                  </w:r>
                </w:p>
              </w:tc>
              <w:tc>
                <w:tcPr>
                  <w:tcW w:w="989" w:type="pct"/>
                  <w:shd w:val="clear" w:color="auto" w:fill="FFFFFF"/>
                  <w:vAlign w:val="center"/>
                </w:tcPr>
                <w:p w14:paraId="48437158">
                  <w:pPr>
                    <w:pStyle w:val="141"/>
                    <w:rPr>
                      <w:rFonts w:cs="Times New Roman"/>
                      <w:color w:val="auto"/>
                      <w:sz w:val="22"/>
                      <w:szCs w:val="22"/>
                    </w:rPr>
                  </w:pPr>
                  <w:r>
                    <w:rPr>
                      <w:rFonts w:cs="Times New Roman"/>
                      <w:color w:val="auto"/>
                      <w:sz w:val="22"/>
                      <w:szCs w:val="22"/>
                    </w:rPr>
                    <w:t>达标</w:t>
                  </w:r>
                </w:p>
              </w:tc>
            </w:tr>
            <w:tr w14:paraId="40D1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4" w:type="pct"/>
                  <w:vMerge w:val="continue"/>
                  <w:shd w:val="clear" w:color="auto" w:fill="FFFFFF"/>
                  <w:vAlign w:val="center"/>
                </w:tcPr>
                <w:p w14:paraId="46986238">
                  <w:pPr>
                    <w:pStyle w:val="141"/>
                    <w:rPr>
                      <w:rFonts w:cs="Times New Roman"/>
                      <w:color w:val="auto"/>
                      <w:sz w:val="22"/>
                      <w:szCs w:val="22"/>
                    </w:rPr>
                  </w:pPr>
                </w:p>
              </w:tc>
              <w:tc>
                <w:tcPr>
                  <w:tcW w:w="1300" w:type="pct"/>
                  <w:shd w:val="clear" w:color="auto" w:fill="FFFFFF"/>
                  <w:vAlign w:val="center"/>
                </w:tcPr>
                <w:p w14:paraId="1F14FE8D">
                  <w:pPr>
                    <w:pStyle w:val="141"/>
                    <w:rPr>
                      <w:rFonts w:hint="eastAsia" w:eastAsia="宋体" w:cs="Times New Roman"/>
                      <w:color w:val="auto"/>
                      <w:sz w:val="22"/>
                      <w:szCs w:val="22"/>
                      <w:lang w:eastAsia="zh-CN"/>
                    </w:rPr>
                  </w:pPr>
                  <w:r>
                    <w:rPr>
                      <w:rFonts w:hint="eastAsia" w:cs="Times New Roman"/>
                      <w:color w:val="auto"/>
                      <w:sz w:val="22"/>
                      <w:szCs w:val="22"/>
                      <w:lang w:val="en-US" w:eastAsia="zh-CN"/>
                    </w:rPr>
                    <w:t>石油类</w:t>
                  </w:r>
                </w:p>
              </w:tc>
              <w:tc>
                <w:tcPr>
                  <w:tcW w:w="1067" w:type="pct"/>
                  <w:shd w:val="clear" w:color="auto" w:fill="FFFFFF"/>
                  <w:vAlign w:val="center"/>
                </w:tcPr>
                <w:p w14:paraId="207AA581">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0.11~0.15</w:t>
                  </w:r>
                </w:p>
              </w:tc>
              <w:tc>
                <w:tcPr>
                  <w:tcW w:w="1027" w:type="pct"/>
                  <w:shd w:val="clear" w:color="auto" w:fill="FFFFFF"/>
                  <w:vAlign w:val="center"/>
                </w:tcPr>
                <w:p w14:paraId="6038D60F">
                  <w:pPr>
                    <w:pStyle w:val="141"/>
                    <w:rPr>
                      <w:rFonts w:hint="default" w:eastAsia="宋体" w:cs="Times New Roman"/>
                      <w:color w:val="auto"/>
                      <w:sz w:val="22"/>
                      <w:szCs w:val="22"/>
                      <w:lang w:val="en-US" w:eastAsia="zh-CN"/>
                    </w:rPr>
                  </w:pPr>
                  <w:r>
                    <w:rPr>
                      <w:rFonts w:hint="eastAsia" w:cs="Times New Roman"/>
                      <w:color w:val="auto"/>
                      <w:sz w:val="22"/>
                      <w:szCs w:val="22"/>
                      <w:lang w:val="en-US" w:eastAsia="zh-CN"/>
                    </w:rPr>
                    <w:t>20</w:t>
                  </w:r>
                </w:p>
              </w:tc>
              <w:tc>
                <w:tcPr>
                  <w:tcW w:w="989" w:type="pct"/>
                  <w:shd w:val="clear" w:color="auto" w:fill="FFFFFF"/>
                  <w:vAlign w:val="center"/>
                </w:tcPr>
                <w:p w14:paraId="30D46827">
                  <w:pPr>
                    <w:pStyle w:val="141"/>
                    <w:rPr>
                      <w:rFonts w:cs="Times New Roman"/>
                      <w:color w:val="auto"/>
                      <w:sz w:val="22"/>
                      <w:szCs w:val="22"/>
                    </w:rPr>
                  </w:pPr>
                  <w:r>
                    <w:rPr>
                      <w:rFonts w:cs="Times New Roman"/>
                      <w:color w:val="auto"/>
                      <w:sz w:val="22"/>
                      <w:szCs w:val="22"/>
                    </w:rPr>
                    <w:t>达标</w:t>
                  </w:r>
                </w:p>
              </w:tc>
            </w:tr>
          </w:tbl>
          <w:p w14:paraId="61B838C9">
            <w:pPr>
              <w:pStyle w:val="82"/>
              <w:spacing w:line="480" w:lineRule="exact"/>
              <w:ind w:firstLine="520"/>
              <w:rPr>
                <w:rFonts w:hint="eastAsia" w:eastAsia="宋体"/>
                <w:color w:val="auto"/>
                <w:kern w:val="0"/>
                <w:szCs w:val="26"/>
                <w:lang w:eastAsia="zh-CN"/>
              </w:rPr>
            </w:pPr>
            <w:r>
              <w:rPr>
                <w:rFonts w:hint="eastAsia"/>
                <w:color w:val="auto"/>
                <w:kern w:val="0"/>
                <w:szCs w:val="26"/>
              </w:rPr>
              <w:t>（</w:t>
            </w:r>
            <w:r>
              <w:rPr>
                <w:rFonts w:hint="eastAsia"/>
                <w:color w:val="auto"/>
                <w:kern w:val="0"/>
                <w:szCs w:val="26"/>
                <w:lang w:val="en-US" w:eastAsia="zh-CN"/>
              </w:rPr>
              <w:t>3</w:t>
            </w:r>
            <w:r>
              <w:rPr>
                <w:rFonts w:hint="eastAsia"/>
                <w:color w:val="auto"/>
                <w:kern w:val="0"/>
                <w:szCs w:val="26"/>
              </w:rPr>
              <w:t>）</w:t>
            </w:r>
            <w:r>
              <w:rPr>
                <w:rFonts w:hint="eastAsia"/>
                <w:color w:val="auto"/>
                <w:kern w:val="0"/>
                <w:szCs w:val="26"/>
                <w:lang w:val="en-US" w:eastAsia="zh-CN"/>
              </w:rPr>
              <w:t>噪声</w:t>
            </w:r>
          </w:p>
          <w:p w14:paraId="5D23BE32">
            <w:pPr>
              <w:spacing w:line="500" w:lineRule="exact"/>
              <w:ind w:firstLine="480"/>
              <w:rPr>
                <w:bCs/>
                <w:color w:val="auto"/>
                <w:sz w:val="26"/>
                <w:szCs w:val="26"/>
              </w:rPr>
            </w:pPr>
            <w:r>
              <w:rPr>
                <w:bCs/>
                <w:color w:val="auto"/>
                <w:sz w:val="26"/>
                <w:szCs w:val="26"/>
              </w:rPr>
              <w:t>通过</w:t>
            </w:r>
            <w:r>
              <w:rPr>
                <w:rFonts w:hint="eastAsia"/>
                <w:bCs/>
                <w:color w:val="auto"/>
                <w:sz w:val="26"/>
                <w:szCs w:val="26"/>
              </w:rPr>
              <w:t>合理布局、</w:t>
            </w:r>
            <w:r>
              <w:rPr>
                <w:bCs/>
                <w:color w:val="auto"/>
                <w:sz w:val="26"/>
                <w:szCs w:val="26"/>
              </w:rPr>
              <w:t>选取低噪声、低振动设备、对设备基础进行减震处理；加强设备的维护与管理等措施处理后，对环境的影响较小；</w:t>
            </w:r>
            <w:r>
              <w:rPr>
                <w:rFonts w:hint="eastAsia"/>
                <w:bCs/>
                <w:color w:val="auto"/>
                <w:sz w:val="26"/>
                <w:szCs w:val="26"/>
              </w:rPr>
              <w:t>根据</w:t>
            </w:r>
            <w:r>
              <w:rPr>
                <w:rFonts w:hint="eastAsia"/>
                <w:bCs/>
                <w:color w:val="auto"/>
                <w:sz w:val="26"/>
                <w:szCs w:val="26"/>
                <w:lang w:val="en-US" w:eastAsia="zh-CN"/>
              </w:rPr>
              <w:t>根据重型电驱桥项目验收监测报告（厦美[2024]第YS141号）中对厂界噪声的监测结果可知，昼间夜间厂界噪声能满足《工业企业厂界环境噪声排放标准（GB12348-2008）3类标准。</w:t>
            </w:r>
          </w:p>
          <w:p w14:paraId="70DB6E66">
            <w:pPr>
              <w:spacing w:line="500" w:lineRule="exact"/>
              <w:ind w:firstLine="480"/>
              <w:rPr>
                <w:bCs/>
                <w:color w:val="auto"/>
                <w:sz w:val="26"/>
                <w:szCs w:val="26"/>
              </w:rPr>
            </w:pPr>
            <w:r>
              <w:rPr>
                <w:rFonts w:hint="eastAsia"/>
                <w:bCs/>
                <w:color w:val="auto"/>
                <w:sz w:val="26"/>
                <w:szCs w:val="26"/>
                <w:lang w:eastAsia="zh-CN"/>
              </w:rPr>
              <w:t>（</w:t>
            </w:r>
            <w:r>
              <w:rPr>
                <w:rFonts w:hint="eastAsia"/>
                <w:bCs/>
                <w:color w:val="auto"/>
                <w:sz w:val="26"/>
                <w:szCs w:val="26"/>
                <w:lang w:val="en-US" w:eastAsia="zh-CN"/>
              </w:rPr>
              <w:t>4</w:t>
            </w:r>
            <w:r>
              <w:rPr>
                <w:rFonts w:hint="eastAsia"/>
                <w:bCs/>
                <w:color w:val="auto"/>
                <w:sz w:val="26"/>
                <w:szCs w:val="26"/>
                <w:lang w:eastAsia="zh-CN"/>
              </w:rPr>
              <w:t>）</w:t>
            </w:r>
            <w:r>
              <w:rPr>
                <w:bCs/>
                <w:color w:val="auto"/>
                <w:sz w:val="26"/>
                <w:szCs w:val="26"/>
              </w:rPr>
              <w:t>固废</w:t>
            </w:r>
          </w:p>
          <w:p w14:paraId="04F29A82">
            <w:pPr>
              <w:spacing w:line="500" w:lineRule="exact"/>
              <w:ind w:firstLine="480"/>
              <w:rPr>
                <w:bCs/>
                <w:color w:val="auto"/>
                <w:sz w:val="26"/>
                <w:szCs w:val="26"/>
              </w:rPr>
            </w:pPr>
            <w:r>
              <w:rPr>
                <w:rFonts w:hint="eastAsia"/>
                <w:bCs/>
                <w:color w:val="auto"/>
                <w:sz w:val="26"/>
                <w:szCs w:val="26"/>
                <w:lang w:val="en-US" w:eastAsia="zh-CN"/>
              </w:rPr>
              <w:t>重型电驱桥</w:t>
            </w:r>
            <w:r>
              <w:rPr>
                <w:bCs/>
                <w:color w:val="auto"/>
                <w:sz w:val="26"/>
                <w:szCs w:val="26"/>
              </w:rPr>
              <w:t>项目固废主要为一般固废、危险废物和生活垃圾。一般固体废物主要为：废包装材料、废零部件等</w:t>
            </w:r>
            <w:r>
              <w:rPr>
                <w:rFonts w:hint="eastAsia"/>
                <w:bCs/>
                <w:color w:val="auto"/>
                <w:sz w:val="26"/>
                <w:szCs w:val="26"/>
              </w:rPr>
              <w:t>；</w:t>
            </w:r>
            <w:r>
              <w:rPr>
                <w:bCs/>
                <w:color w:val="auto"/>
                <w:sz w:val="26"/>
                <w:szCs w:val="26"/>
              </w:rPr>
              <w:t>危险废物主要为：废包装桶/瓶、废抹布、废机油及含油棉纱、手套、废防冻液。公司现有项目固体废物产生量及排放情况见</w:t>
            </w:r>
            <w:r>
              <w:rPr>
                <w:rFonts w:hint="eastAsia"/>
                <w:bCs/>
                <w:color w:val="auto"/>
                <w:sz w:val="26"/>
                <w:szCs w:val="26"/>
              </w:rPr>
              <w:t>表2.13-14。</w:t>
            </w:r>
          </w:p>
          <w:p w14:paraId="27B181EC">
            <w:pPr>
              <w:pStyle w:val="142"/>
              <w:spacing w:line="460" w:lineRule="exact"/>
              <w:rPr>
                <w:rFonts w:eastAsia="宋体"/>
                <w:color w:val="auto"/>
                <w:sz w:val="26"/>
                <w:szCs w:val="26"/>
              </w:rPr>
            </w:pPr>
            <w:r>
              <w:rPr>
                <w:rFonts w:eastAsia="宋体"/>
                <w:color w:val="auto"/>
                <w:sz w:val="26"/>
                <w:szCs w:val="26"/>
              </w:rPr>
              <w:t>表2.1</w:t>
            </w:r>
            <w:r>
              <w:rPr>
                <w:rFonts w:hint="eastAsia" w:eastAsia="宋体"/>
                <w:color w:val="auto"/>
                <w:sz w:val="26"/>
                <w:szCs w:val="26"/>
              </w:rPr>
              <w:t>3</w:t>
            </w:r>
            <w:r>
              <w:rPr>
                <w:rFonts w:eastAsia="宋体"/>
                <w:color w:val="auto"/>
                <w:sz w:val="26"/>
                <w:szCs w:val="26"/>
              </w:rPr>
              <w:t>-</w:t>
            </w:r>
            <w:r>
              <w:rPr>
                <w:rFonts w:hint="eastAsia" w:eastAsia="宋体"/>
                <w:color w:val="auto"/>
                <w:sz w:val="26"/>
                <w:szCs w:val="26"/>
              </w:rPr>
              <w:t>14</w:t>
            </w:r>
            <w:r>
              <w:rPr>
                <w:rFonts w:hint="eastAsia" w:eastAsia="宋体"/>
                <w:color w:val="auto"/>
                <w:sz w:val="26"/>
                <w:szCs w:val="26"/>
                <w:lang w:val="en-US" w:eastAsia="zh-CN"/>
              </w:rPr>
              <w:t xml:space="preserve">  重型电驱桥项目</w:t>
            </w:r>
            <w:r>
              <w:rPr>
                <w:rFonts w:eastAsia="宋体"/>
                <w:color w:val="auto"/>
                <w:sz w:val="26"/>
                <w:szCs w:val="26"/>
              </w:rPr>
              <w:t>固体废弃物产生及排放情况一览表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553"/>
              <w:gridCol w:w="1879"/>
              <w:gridCol w:w="751"/>
              <w:gridCol w:w="1396"/>
              <w:gridCol w:w="808"/>
              <w:gridCol w:w="830"/>
            </w:tblGrid>
            <w:tr w14:paraId="6001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tcBorders>
                    <w:top w:val="single" w:color="auto" w:sz="4" w:space="0"/>
                    <w:left w:val="single" w:color="auto" w:sz="4" w:space="0"/>
                    <w:bottom w:val="single" w:color="auto" w:sz="4" w:space="0"/>
                    <w:right w:val="single" w:color="auto" w:sz="4" w:space="0"/>
                  </w:tcBorders>
                  <w:vAlign w:val="center"/>
                </w:tcPr>
                <w:p w14:paraId="6D7BC88B">
                  <w:pPr>
                    <w:widowControl/>
                    <w:jc w:val="center"/>
                    <w:textAlignment w:val="center"/>
                    <w:rPr>
                      <w:color w:val="auto"/>
                      <w:kern w:val="0"/>
                      <w:sz w:val="22"/>
                      <w:szCs w:val="22"/>
                      <w:lang w:bidi="ar"/>
                    </w:rPr>
                  </w:pPr>
                  <w:r>
                    <w:rPr>
                      <w:rFonts w:hint="eastAsia"/>
                      <w:color w:val="auto"/>
                      <w:kern w:val="0"/>
                      <w:sz w:val="22"/>
                      <w:szCs w:val="22"/>
                      <w:lang w:bidi="ar"/>
                    </w:rPr>
                    <w:t>固废名称</w:t>
                  </w:r>
                </w:p>
              </w:tc>
              <w:tc>
                <w:tcPr>
                  <w:tcW w:w="1553" w:type="dxa"/>
                  <w:tcBorders>
                    <w:top w:val="single" w:color="auto" w:sz="4" w:space="0"/>
                    <w:left w:val="nil"/>
                    <w:bottom w:val="single" w:color="auto" w:sz="4" w:space="0"/>
                    <w:right w:val="single" w:color="auto" w:sz="4" w:space="0"/>
                  </w:tcBorders>
                  <w:vAlign w:val="center"/>
                </w:tcPr>
                <w:p w14:paraId="73A3C4BB">
                  <w:pPr>
                    <w:widowControl/>
                    <w:jc w:val="center"/>
                    <w:textAlignment w:val="center"/>
                    <w:rPr>
                      <w:rFonts w:hint="eastAsia"/>
                      <w:color w:val="auto"/>
                      <w:kern w:val="0"/>
                      <w:sz w:val="22"/>
                      <w:szCs w:val="22"/>
                      <w:lang w:bidi="ar"/>
                    </w:rPr>
                  </w:pPr>
                  <w:r>
                    <w:rPr>
                      <w:rFonts w:hint="eastAsia"/>
                      <w:color w:val="auto"/>
                      <w:kern w:val="0"/>
                      <w:sz w:val="22"/>
                      <w:szCs w:val="22"/>
                      <w:lang w:bidi="ar"/>
                    </w:rPr>
                    <w:t>废物代码</w:t>
                  </w:r>
                </w:p>
              </w:tc>
              <w:tc>
                <w:tcPr>
                  <w:tcW w:w="1879" w:type="dxa"/>
                  <w:tcBorders>
                    <w:top w:val="single" w:color="auto" w:sz="4" w:space="0"/>
                    <w:left w:val="nil"/>
                    <w:bottom w:val="single" w:color="auto" w:sz="4" w:space="0"/>
                    <w:right w:val="single" w:color="auto" w:sz="4" w:space="0"/>
                  </w:tcBorders>
                  <w:vAlign w:val="center"/>
                </w:tcPr>
                <w:p w14:paraId="0559B651">
                  <w:pPr>
                    <w:widowControl/>
                    <w:jc w:val="center"/>
                    <w:textAlignment w:val="center"/>
                    <w:rPr>
                      <w:color w:val="auto"/>
                      <w:kern w:val="0"/>
                      <w:sz w:val="22"/>
                      <w:szCs w:val="22"/>
                      <w:lang w:bidi="ar"/>
                    </w:rPr>
                  </w:pPr>
                  <w:r>
                    <w:rPr>
                      <w:rFonts w:hint="eastAsia"/>
                      <w:color w:val="auto"/>
                      <w:kern w:val="0"/>
                      <w:sz w:val="22"/>
                      <w:szCs w:val="22"/>
                      <w:lang w:bidi="ar"/>
                    </w:rPr>
                    <w:t>贮存方式</w:t>
                  </w:r>
                </w:p>
              </w:tc>
              <w:tc>
                <w:tcPr>
                  <w:tcW w:w="751" w:type="dxa"/>
                  <w:tcBorders>
                    <w:top w:val="single" w:color="auto" w:sz="4" w:space="0"/>
                    <w:left w:val="nil"/>
                    <w:bottom w:val="single" w:color="auto" w:sz="4" w:space="0"/>
                    <w:right w:val="single" w:color="auto" w:sz="4" w:space="0"/>
                  </w:tcBorders>
                  <w:vAlign w:val="center"/>
                </w:tcPr>
                <w:p w14:paraId="0B7D62C7">
                  <w:pPr>
                    <w:widowControl/>
                    <w:jc w:val="center"/>
                    <w:textAlignment w:val="center"/>
                    <w:rPr>
                      <w:color w:val="auto"/>
                      <w:kern w:val="0"/>
                      <w:sz w:val="22"/>
                      <w:szCs w:val="22"/>
                      <w:lang w:bidi="ar"/>
                    </w:rPr>
                  </w:pPr>
                  <w:r>
                    <w:rPr>
                      <w:rFonts w:hint="eastAsia"/>
                      <w:color w:val="auto"/>
                      <w:kern w:val="0"/>
                      <w:sz w:val="22"/>
                      <w:szCs w:val="22"/>
                      <w:lang w:bidi="ar"/>
                    </w:rPr>
                    <w:t>利用处置方式</w:t>
                  </w:r>
                </w:p>
              </w:tc>
              <w:tc>
                <w:tcPr>
                  <w:tcW w:w="1396" w:type="dxa"/>
                  <w:tcBorders>
                    <w:top w:val="single" w:color="auto" w:sz="4" w:space="0"/>
                    <w:left w:val="nil"/>
                    <w:bottom w:val="single" w:color="auto" w:sz="4" w:space="0"/>
                    <w:right w:val="single" w:color="auto" w:sz="4" w:space="0"/>
                  </w:tcBorders>
                  <w:vAlign w:val="center"/>
                </w:tcPr>
                <w:p w14:paraId="13419512">
                  <w:pPr>
                    <w:widowControl/>
                    <w:jc w:val="center"/>
                    <w:textAlignment w:val="center"/>
                    <w:rPr>
                      <w:color w:val="auto"/>
                      <w:kern w:val="0"/>
                      <w:sz w:val="22"/>
                      <w:szCs w:val="22"/>
                      <w:lang w:bidi="ar"/>
                    </w:rPr>
                  </w:pPr>
                  <w:r>
                    <w:rPr>
                      <w:rFonts w:hint="eastAsia"/>
                      <w:color w:val="auto"/>
                      <w:kern w:val="0"/>
                      <w:sz w:val="22"/>
                      <w:szCs w:val="22"/>
                      <w:lang w:bidi="ar"/>
                    </w:rPr>
                    <w:t>去向</w:t>
                  </w:r>
                </w:p>
              </w:tc>
              <w:tc>
                <w:tcPr>
                  <w:tcW w:w="808" w:type="dxa"/>
                  <w:tcBorders>
                    <w:top w:val="single" w:color="auto" w:sz="4" w:space="0"/>
                    <w:left w:val="nil"/>
                    <w:bottom w:val="single" w:color="auto" w:sz="4" w:space="0"/>
                    <w:right w:val="single" w:color="auto" w:sz="4" w:space="0"/>
                  </w:tcBorders>
                  <w:vAlign w:val="center"/>
                </w:tcPr>
                <w:p w14:paraId="1EFF0AD8">
                  <w:pPr>
                    <w:widowControl/>
                    <w:jc w:val="center"/>
                    <w:textAlignment w:val="center"/>
                    <w:rPr>
                      <w:color w:val="auto"/>
                      <w:kern w:val="0"/>
                      <w:sz w:val="22"/>
                      <w:szCs w:val="22"/>
                      <w:lang w:bidi="ar"/>
                    </w:rPr>
                  </w:pPr>
                  <w:r>
                    <w:rPr>
                      <w:rFonts w:hint="eastAsia"/>
                      <w:color w:val="auto"/>
                      <w:kern w:val="0"/>
                      <w:sz w:val="22"/>
                      <w:szCs w:val="22"/>
                      <w:lang w:bidi="ar"/>
                    </w:rPr>
                    <w:t>处置量（t/a）</w:t>
                  </w:r>
                </w:p>
              </w:tc>
              <w:tc>
                <w:tcPr>
                  <w:tcW w:w="830" w:type="dxa"/>
                  <w:tcBorders>
                    <w:top w:val="single" w:color="auto" w:sz="4" w:space="0"/>
                    <w:left w:val="nil"/>
                    <w:bottom w:val="single" w:color="auto" w:sz="4" w:space="0"/>
                    <w:right w:val="single" w:color="auto" w:sz="4" w:space="0"/>
                  </w:tcBorders>
                  <w:vAlign w:val="center"/>
                </w:tcPr>
                <w:p w14:paraId="664F2E73">
                  <w:pPr>
                    <w:widowControl/>
                    <w:jc w:val="center"/>
                    <w:textAlignment w:val="center"/>
                    <w:rPr>
                      <w:color w:val="auto"/>
                      <w:kern w:val="0"/>
                      <w:sz w:val="22"/>
                      <w:szCs w:val="22"/>
                      <w:lang w:bidi="ar"/>
                    </w:rPr>
                  </w:pPr>
                  <w:r>
                    <w:rPr>
                      <w:rFonts w:hint="eastAsia"/>
                      <w:color w:val="auto"/>
                      <w:kern w:val="0"/>
                      <w:sz w:val="22"/>
                      <w:szCs w:val="22"/>
                      <w:lang w:bidi="ar"/>
                    </w:rPr>
                    <w:t>排放量（t/a）</w:t>
                  </w:r>
                </w:p>
              </w:tc>
            </w:tr>
            <w:tr w14:paraId="5C27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tcBorders>
                    <w:top w:val="single" w:color="auto" w:sz="4" w:space="0"/>
                    <w:left w:val="single" w:color="auto" w:sz="4" w:space="0"/>
                    <w:bottom w:val="single" w:color="auto" w:sz="4" w:space="0"/>
                    <w:right w:val="single" w:color="auto" w:sz="4" w:space="0"/>
                  </w:tcBorders>
                  <w:vAlign w:val="center"/>
                </w:tcPr>
                <w:p w14:paraId="20CCDBA5">
                  <w:pPr>
                    <w:widowControl/>
                    <w:jc w:val="center"/>
                    <w:textAlignment w:val="center"/>
                    <w:rPr>
                      <w:color w:val="auto"/>
                      <w:kern w:val="0"/>
                      <w:sz w:val="22"/>
                      <w:szCs w:val="22"/>
                      <w:lang w:bidi="ar"/>
                    </w:rPr>
                  </w:pPr>
                  <w:r>
                    <w:rPr>
                      <w:rFonts w:hint="eastAsia"/>
                      <w:color w:val="auto"/>
                      <w:kern w:val="0"/>
                      <w:sz w:val="22"/>
                      <w:szCs w:val="22"/>
                      <w:lang w:bidi="ar"/>
                    </w:rPr>
                    <w:t>废包装材料、废零部件</w:t>
                  </w:r>
                </w:p>
              </w:tc>
              <w:tc>
                <w:tcPr>
                  <w:tcW w:w="1553" w:type="dxa"/>
                  <w:tcBorders>
                    <w:top w:val="single" w:color="auto" w:sz="4" w:space="0"/>
                    <w:left w:val="nil"/>
                    <w:bottom w:val="single" w:color="auto" w:sz="4" w:space="0"/>
                    <w:right w:val="single" w:color="auto" w:sz="4" w:space="0"/>
                  </w:tcBorders>
                  <w:vAlign w:val="center"/>
                </w:tcPr>
                <w:p w14:paraId="7306FE2F">
                  <w:pPr>
                    <w:widowControl/>
                    <w:jc w:val="center"/>
                    <w:rPr>
                      <w:rFonts w:hint="eastAsia"/>
                      <w:color w:val="auto"/>
                      <w:kern w:val="0"/>
                      <w:sz w:val="22"/>
                      <w:szCs w:val="22"/>
                      <w:lang w:bidi="ar"/>
                    </w:rPr>
                  </w:pPr>
                  <w:r>
                    <w:rPr>
                      <w:rFonts w:hint="eastAsia"/>
                      <w:bCs/>
                      <w:color w:val="auto"/>
                      <w:kern w:val="0"/>
                      <w:sz w:val="21"/>
                      <w:szCs w:val="21"/>
                      <w:highlight w:val="none"/>
                    </w:rPr>
                    <w:t>900-999-99</w:t>
                  </w:r>
                </w:p>
              </w:tc>
              <w:tc>
                <w:tcPr>
                  <w:tcW w:w="1879" w:type="dxa"/>
                  <w:tcBorders>
                    <w:top w:val="single" w:color="auto" w:sz="4" w:space="0"/>
                    <w:left w:val="nil"/>
                    <w:bottom w:val="single" w:color="auto" w:sz="4" w:space="0"/>
                    <w:right w:val="single" w:color="auto" w:sz="4" w:space="0"/>
                  </w:tcBorders>
                  <w:vAlign w:val="center"/>
                </w:tcPr>
                <w:p w14:paraId="7132D4AD">
                  <w:pPr>
                    <w:widowControl/>
                    <w:jc w:val="center"/>
                    <w:textAlignment w:val="center"/>
                    <w:rPr>
                      <w:color w:val="auto"/>
                      <w:kern w:val="0"/>
                      <w:sz w:val="22"/>
                      <w:szCs w:val="22"/>
                      <w:lang w:bidi="ar"/>
                    </w:rPr>
                  </w:pPr>
                  <w:r>
                    <w:rPr>
                      <w:rFonts w:hint="eastAsia"/>
                      <w:color w:val="auto"/>
                      <w:kern w:val="0"/>
                      <w:sz w:val="22"/>
                      <w:szCs w:val="22"/>
                      <w:lang w:bidi="ar"/>
                    </w:rPr>
                    <w:t>存放于垃圾站</w:t>
                  </w:r>
                </w:p>
              </w:tc>
              <w:tc>
                <w:tcPr>
                  <w:tcW w:w="751" w:type="dxa"/>
                  <w:tcBorders>
                    <w:top w:val="single" w:color="auto" w:sz="4" w:space="0"/>
                    <w:left w:val="nil"/>
                    <w:bottom w:val="single" w:color="auto" w:sz="4" w:space="0"/>
                    <w:right w:val="single" w:color="auto" w:sz="4" w:space="0"/>
                  </w:tcBorders>
                  <w:vAlign w:val="center"/>
                </w:tcPr>
                <w:p w14:paraId="787DA52E">
                  <w:pPr>
                    <w:widowControl/>
                    <w:jc w:val="center"/>
                    <w:textAlignment w:val="center"/>
                    <w:rPr>
                      <w:color w:val="auto"/>
                      <w:kern w:val="0"/>
                      <w:sz w:val="22"/>
                      <w:szCs w:val="22"/>
                      <w:lang w:bidi="ar"/>
                    </w:rPr>
                  </w:pPr>
                  <w:r>
                    <w:rPr>
                      <w:rFonts w:hint="eastAsia"/>
                      <w:color w:val="auto"/>
                      <w:kern w:val="0"/>
                      <w:sz w:val="22"/>
                      <w:szCs w:val="22"/>
                      <w:lang w:bidi="ar"/>
                    </w:rPr>
                    <w:t>回收</w:t>
                  </w:r>
                </w:p>
              </w:tc>
              <w:tc>
                <w:tcPr>
                  <w:tcW w:w="1396" w:type="dxa"/>
                  <w:tcBorders>
                    <w:top w:val="single" w:color="auto" w:sz="4" w:space="0"/>
                    <w:left w:val="nil"/>
                    <w:bottom w:val="single" w:color="auto" w:sz="4" w:space="0"/>
                    <w:right w:val="single" w:color="auto" w:sz="4" w:space="0"/>
                  </w:tcBorders>
                  <w:vAlign w:val="center"/>
                </w:tcPr>
                <w:p w14:paraId="1D2E7D32">
                  <w:pPr>
                    <w:widowControl/>
                    <w:jc w:val="center"/>
                    <w:textAlignment w:val="center"/>
                    <w:rPr>
                      <w:color w:val="auto"/>
                      <w:kern w:val="0"/>
                      <w:sz w:val="22"/>
                      <w:szCs w:val="22"/>
                      <w:lang w:bidi="ar"/>
                    </w:rPr>
                  </w:pPr>
                  <w:r>
                    <w:rPr>
                      <w:rFonts w:hint="eastAsia"/>
                      <w:color w:val="auto"/>
                      <w:kern w:val="0"/>
                      <w:sz w:val="22"/>
                      <w:szCs w:val="22"/>
                      <w:lang w:bidi="ar"/>
                    </w:rPr>
                    <w:t>废品回收站</w:t>
                  </w:r>
                </w:p>
              </w:tc>
              <w:tc>
                <w:tcPr>
                  <w:tcW w:w="808" w:type="dxa"/>
                  <w:tcBorders>
                    <w:top w:val="single" w:color="auto" w:sz="4" w:space="0"/>
                    <w:left w:val="nil"/>
                    <w:bottom w:val="single" w:color="auto" w:sz="4" w:space="0"/>
                    <w:right w:val="single" w:color="auto" w:sz="4" w:space="0"/>
                  </w:tcBorders>
                  <w:vAlign w:val="center"/>
                </w:tcPr>
                <w:p w14:paraId="3345C744">
                  <w:pPr>
                    <w:widowControl/>
                    <w:jc w:val="center"/>
                    <w:textAlignment w:val="center"/>
                    <w:rPr>
                      <w:color w:val="auto"/>
                      <w:kern w:val="0"/>
                      <w:sz w:val="22"/>
                      <w:szCs w:val="22"/>
                      <w:lang w:bidi="ar"/>
                    </w:rPr>
                  </w:pPr>
                  <w:r>
                    <w:rPr>
                      <w:rFonts w:hint="eastAsia"/>
                      <w:color w:val="auto"/>
                      <w:kern w:val="0"/>
                      <w:sz w:val="22"/>
                      <w:szCs w:val="22"/>
                      <w:lang w:bidi="ar"/>
                    </w:rPr>
                    <w:t>20.0</w:t>
                  </w:r>
                </w:p>
              </w:tc>
              <w:tc>
                <w:tcPr>
                  <w:tcW w:w="830" w:type="dxa"/>
                  <w:tcBorders>
                    <w:top w:val="single" w:color="auto" w:sz="4" w:space="0"/>
                    <w:left w:val="nil"/>
                    <w:bottom w:val="single" w:color="auto" w:sz="4" w:space="0"/>
                    <w:right w:val="single" w:color="auto" w:sz="4" w:space="0"/>
                  </w:tcBorders>
                  <w:vAlign w:val="center"/>
                </w:tcPr>
                <w:p w14:paraId="2C802F96">
                  <w:pPr>
                    <w:widowControl/>
                    <w:jc w:val="center"/>
                    <w:textAlignment w:val="center"/>
                    <w:rPr>
                      <w:color w:val="auto"/>
                      <w:kern w:val="0"/>
                      <w:sz w:val="22"/>
                      <w:szCs w:val="22"/>
                      <w:lang w:bidi="ar"/>
                    </w:rPr>
                  </w:pPr>
                  <w:r>
                    <w:rPr>
                      <w:rFonts w:hint="eastAsia"/>
                      <w:color w:val="auto"/>
                      <w:kern w:val="0"/>
                      <w:sz w:val="22"/>
                      <w:szCs w:val="22"/>
                      <w:lang w:bidi="ar"/>
                    </w:rPr>
                    <w:t>0</w:t>
                  </w:r>
                </w:p>
              </w:tc>
            </w:tr>
            <w:tr w14:paraId="02DF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4FAB7F10">
                  <w:pPr>
                    <w:widowControl/>
                    <w:jc w:val="center"/>
                    <w:textAlignment w:val="center"/>
                    <w:rPr>
                      <w:color w:val="auto"/>
                      <w:kern w:val="0"/>
                      <w:sz w:val="22"/>
                      <w:szCs w:val="22"/>
                      <w:lang w:bidi="ar"/>
                    </w:rPr>
                  </w:pPr>
                  <w:r>
                    <w:rPr>
                      <w:rFonts w:hint="eastAsia"/>
                      <w:color w:val="auto"/>
                      <w:kern w:val="0"/>
                      <w:sz w:val="22"/>
                      <w:szCs w:val="22"/>
                      <w:lang w:bidi="ar"/>
                    </w:rPr>
                    <w:t>劳保用品</w:t>
                  </w:r>
                </w:p>
              </w:tc>
              <w:tc>
                <w:tcPr>
                  <w:tcW w:w="1553" w:type="dxa"/>
                  <w:vAlign w:val="center"/>
                </w:tcPr>
                <w:p w14:paraId="2180CDD9">
                  <w:pPr>
                    <w:widowControl/>
                    <w:jc w:val="center"/>
                    <w:rPr>
                      <w:rFonts w:hint="eastAsia"/>
                      <w:color w:val="auto"/>
                      <w:kern w:val="0"/>
                      <w:sz w:val="22"/>
                      <w:szCs w:val="22"/>
                      <w:lang w:bidi="ar"/>
                    </w:rPr>
                  </w:pPr>
                  <w:r>
                    <w:rPr>
                      <w:rFonts w:hint="eastAsia"/>
                      <w:bCs/>
                      <w:color w:val="auto"/>
                      <w:kern w:val="0"/>
                      <w:sz w:val="21"/>
                      <w:szCs w:val="21"/>
                      <w:highlight w:val="none"/>
                    </w:rPr>
                    <w:t>900-999-99</w:t>
                  </w:r>
                </w:p>
              </w:tc>
              <w:tc>
                <w:tcPr>
                  <w:tcW w:w="1879" w:type="dxa"/>
                  <w:vAlign w:val="center"/>
                </w:tcPr>
                <w:p w14:paraId="42BF3C75">
                  <w:pPr>
                    <w:widowControl/>
                    <w:jc w:val="center"/>
                    <w:textAlignment w:val="center"/>
                    <w:rPr>
                      <w:color w:val="auto"/>
                      <w:kern w:val="0"/>
                      <w:sz w:val="22"/>
                      <w:szCs w:val="22"/>
                      <w:lang w:bidi="ar"/>
                    </w:rPr>
                  </w:pPr>
                  <w:r>
                    <w:rPr>
                      <w:rFonts w:hint="eastAsia"/>
                      <w:color w:val="auto"/>
                      <w:kern w:val="0"/>
                      <w:sz w:val="22"/>
                      <w:szCs w:val="22"/>
                      <w:lang w:bidi="ar"/>
                    </w:rPr>
                    <w:t>暂存于一般固废间</w:t>
                  </w:r>
                </w:p>
              </w:tc>
              <w:tc>
                <w:tcPr>
                  <w:tcW w:w="751" w:type="dxa"/>
                  <w:vAlign w:val="center"/>
                </w:tcPr>
                <w:p w14:paraId="316A1D6A">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2248D365">
                  <w:pPr>
                    <w:widowControl/>
                    <w:jc w:val="center"/>
                    <w:textAlignment w:val="center"/>
                    <w:rPr>
                      <w:color w:val="auto"/>
                      <w:kern w:val="0"/>
                      <w:sz w:val="22"/>
                      <w:szCs w:val="22"/>
                      <w:lang w:bidi="ar"/>
                    </w:rPr>
                  </w:pPr>
                  <w:r>
                    <w:rPr>
                      <w:rFonts w:hint="eastAsia"/>
                      <w:color w:val="auto"/>
                      <w:kern w:val="0"/>
                      <w:sz w:val="22"/>
                      <w:szCs w:val="22"/>
                      <w:lang w:bidi="ar"/>
                    </w:rPr>
                    <w:t>第三方资质单位</w:t>
                  </w:r>
                </w:p>
              </w:tc>
              <w:tc>
                <w:tcPr>
                  <w:tcW w:w="808" w:type="dxa"/>
                  <w:vAlign w:val="center"/>
                </w:tcPr>
                <w:p w14:paraId="76D7EB93">
                  <w:pPr>
                    <w:widowControl/>
                    <w:jc w:val="center"/>
                    <w:textAlignment w:val="center"/>
                    <w:rPr>
                      <w:color w:val="auto"/>
                      <w:kern w:val="0"/>
                      <w:sz w:val="22"/>
                      <w:szCs w:val="22"/>
                      <w:lang w:bidi="ar"/>
                    </w:rPr>
                  </w:pPr>
                  <w:r>
                    <w:rPr>
                      <w:rFonts w:hint="eastAsia"/>
                      <w:color w:val="auto"/>
                      <w:kern w:val="0"/>
                      <w:sz w:val="22"/>
                      <w:szCs w:val="22"/>
                      <w:lang w:bidi="ar"/>
                    </w:rPr>
                    <w:t>2.0</w:t>
                  </w:r>
                </w:p>
              </w:tc>
              <w:tc>
                <w:tcPr>
                  <w:tcW w:w="830" w:type="dxa"/>
                  <w:vAlign w:val="center"/>
                </w:tcPr>
                <w:p w14:paraId="150BEEB2">
                  <w:pPr>
                    <w:widowControl/>
                    <w:jc w:val="center"/>
                    <w:textAlignment w:val="center"/>
                    <w:rPr>
                      <w:color w:val="auto"/>
                      <w:kern w:val="0"/>
                      <w:sz w:val="22"/>
                      <w:szCs w:val="22"/>
                      <w:lang w:bidi="ar"/>
                    </w:rPr>
                  </w:pPr>
                  <w:r>
                    <w:rPr>
                      <w:rFonts w:hint="eastAsia"/>
                      <w:color w:val="auto"/>
                      <w:kern w:val="0"/>
                      <w:sz w:val="22"/>
                      <w:szCs w:val="22"/>
                      <w:lang w:bidi="ar"/>
                    </w:rPr>
                    <w:t>0</w:t>
                  </w:r>
                </w:p>
              </w:tc>
            </w:tr>
            <w:tr w14:paraId="4274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6C7E1D01">
                  <w:pPr>
                    <w:widowControl/>
                    <w:jc w:val="center"/>
                    <w:textAlignment w:val="center"/>
                    <w:rPr>
                      <w:color w:val="auto"/>
                      <w:kern w:val="0"/>
                      <w:sz w:val="22"/>
                      <w:szCs w:val="22"/>
                      <w:lang w:bidi="ar"/>
                    </w:rPr>
                  </w:pPr>
                  <w:r>
                    <w:rPr>
                      <w:rFonts w:hint="eastAsia"/>
                      <w:color w:val="auto"/>
                      <w:kern w:val="0"/>
                      <w:sz w:val="22"/>
                      <w:szCs w:val="22"/>
                      <w:lang w:bidi="ar"/>
                    </w:rPr>
                    <w:t>废包装桶/瓶</w:t>
                  </w:r>
                </w:p>
              </w:tc>
              <w:tc>
                <w:tcPr>
                  <w:tcW w:w="1553" w:type="dxa"/>
                  <w:vAlign w:val="center"/>
                </w:tcPr>
                <w:p w14:paraId="180558D3">
                  <w:pPr>
                    <w:widowControl/>
                    <w:jc w:val="center"/>
                    <w:rPr>
                      <w:rFonts w:hint="eastAsia"/>
                      <w:color w:val="auto"/>
                      <w:kern w:val="0"/>
                      <w:sz w:val="22"/>
                      <w:szCs w:val="22"/>
                      <w:lang w:bidi="ar"/>
                    </w:rPr>
                  </w:pPr>
                  <w:r>
                    <w:rPr>
                      <w:rFonts w:hint="eastAsia"/>
                      <w:bCs/>
                      <w:color w:val="auto"/>
                      <w:kern w:val="0"/>
                      <w:sz w:val="21"/>
                      <w:szCs w:val="21"/>
                      <w:highlight w:val="none"/>
                    </w:rPr>
                    <w:t>HW49（900-041-49）</w:t>
                  </w:r>
                </w:p>
              </w:tc>
              <w:tc>
                <w:tcPr>
                  <w:tcW w:w="1879" w:type="dxa"/>
                  <w:vAlign w:val="center"/>
                </w:tcPr>
                <w:p w14:paraId="51BD7152">
                  <w:pPr>
                    <w:widowControl/>
                    <w:jc w:val="center"/>
                    <w:textAlignment w:val="center"/>
                    <w:rPr>
                      <w:rFonts w:hint="eastAsia" w:eastAsia="宋体"/>
                      <w:color w:val="auto"/>
                      <w:kern w:val="0"/>
                      <w:sz w:val="22"/>
                      <w:szCs w:val="22"/>
                      <w:lang w:eastAsia="zh-CN" w:bidi="ar"/>
                    </w:rPr>
                  </w:pPr>
                  <w:r>
                    <w:rPr>
                      <w:rFonts w:hint="eastAsia"/>
                      <w:color w:val="auto"/>
                      <w:kern w:val="0"/>
                      <w:sz w:val="22"/>
                      <w:szCs w:val="22"/>
                      <w:lang w:bidi="ar"/>
                    </w:rPr>
                    <w:t>盖严桶/瓶盖，暂存放于</w:t>
                  </w:r>
                  <w:r>
                    <w:rPr>
                      <w:rFonts w:hint="eastAsia"/>
                      <w:color w:val="auto"/>
                      <w:kern w:val="0"/>
                      <w:sz w:val="22"/>
                      <w:szCs w:val="22"/>
                      <w:lang w:eastAsia="zh-CN" w:bidi="ar"/>
                    </w:rPr>
                    <w:t>危废贮存库</w:t>
                  </w:r>
                </w:p>
              </w:tc>
              <w:tc>
                <w:tcPr>
                  <w:tcW w:w="751" w:type="dxa"/>
                  <w:vAlign w:val="center"/>
                </w:tcPr>
                <w:p w14:paraId="2B5ED549">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5A9CB6AF">
                  <w:pPr>
                    <w:widowControl/>
                    <w:jc w:val="center"/>
                    <w:textAlignment w:val="center"/>
                    <w:rPr>
                      <w:color w:val="auto"/>
                      <w:kern w:val="0"/>
                      <w:sz w:val="22"/>
                      <w:szCs w:val="22"/>
                      <w:lang w:bidi="ar"/>
                    </w:rPr>
                  </w:pPr>
                  <w:r>
                    <w:rPr>
                      <w:rFonts w:hint="eastAsia"/>
                      <w:color w:val="auto"/>
                      <w:kern w:val="0"/>
                      <w:sz w:val="22"/>
                      <w:szCs w:val="22"/>
                      <w:lang w:bidi="ar"/>
                    </w:rPr>
                    <w:t>第三方资质单位</w:t>
                  </w:r>
                </w:p>
              </w:tc>
              <w:tc>
                <w:tcPr>
                  <w:tcW w:w="808" w:type="dxa"/>
                  <w:vAlign w:val="center"/>
                </w:tcPr>
                <w:p w14:paraId="7722D97D">
                  <w:pPr>
                    <w:widowControl/>
                    <w:jc w:val="center"/>
                    <w:textAlignment w:val="center"/>
                    <w:rPr>
                      <w:color w:val="auto"/>
                      <w:kern w:val="0"/>
                      <w:sz w:val="22"/>
                      <w:szCs w:val="22"/>
                      <w:lang w:bidi="ar"/>
                    </w:rPr>
                  </w:pPr>
                  <w:r>
                    <w:rPr>
                      <w:rFonts w:hint="eastAsia"/>
                      <w:color w:val="auto"/>
                      <w:kern w:val="0"/>
                      <w:sz w:val="22"/>
                      <w:szCs w:val="22"/>
                      <w:lang w:bidi="ar"/>
                    </w:rPr>
                    <w:t>3.0</w:t>
                  </w:r>
                </w:p>
              </w:tc>
              <w:tc>
                <w:tcPr>
                  <w:tcW w:w="830" w:type="dxa"/>
                  <w:vAlign w:val="center"/>
                </w:tcPr>
                <w:p w14:paraId="46E20E00">
                  <w:pPr>
                    <w:widowControl/>
                    <w:jc w:val="center"/>
                    <w:textAlignment w:val="center"/>
                    <w:rPr>
                      <w:color w:val="auto"/>
                      <w:kern w:val="0"/>
                      <w:sz w:val="22"/>
                      <w:szCs w:val="22"/>
                      <w:lang w:bidi="ar"/>
                    </w:rPr>
                  </w:pPr>
                  <w:r>
                    <w:rPr>
                      <w:rFonts w:hint="eastAsia"/>
                      <w:color w:val="auto"/>
                      <w:kern w:val="0"/>
                      <w:sz w:val="22"/>
                      <w:szCs w:val="22"/>
                      <w:lang w:bidi="ar"/>
                    </w:rPr>
                    <w:t>0</w:t>
                  </w:r>
                </w:p>
              </w:tc>
            </w:tr>
            <w:tr w14:paraId="28F4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2D53D45F">
                  <w:pPr>
                    <w:widowControl/>
                    <w:jc w:val="center"/>
                    <w:textAlignment w:val="center"/>
                    <w:rPr>
                      <w:color w:val="auto"/>
                      <w:kern w:val="0"/>
                      <w:sz w:val="22"/>
                      <w:szCs w:val="22"/>
                      <w:lang w:bidi="ar"/>
                    </w:rPr>
                  </w:pPr>
                  <w:r>
                    <w:rPr>
                      <w:rFonts w:hint="eastAsia"/>
                      <w:color w:val="auto"/>
                      <w:kern w:val="0"/>
                      <w:sz w:val="22"/>
                      <w:szCs w:val="22"/>
                      <w:lang w:bidi="ar"/>
                    </w:rPr>
                    <w:t>化学沾染物</w:t>
                  </w:r>
                </w:p>
              </w:tc>
              <w:tc>
                <w:tcPr>
                  <w:tcW w:w="1553" w:type="dxa"/>
                  <w:vAlign w:val="center"/>
                </w:tcPr>
                <w:p w14:paraId="01EBA46F">
                  <w:pPr>
                    <w:widowControl/>
                    <w:jc w:val="center"/>
                    <w:rPr>
                      <w:rFonts w:hint="eastAsia"/>
                      <w:color w:val="auto"/>
                      <w:kern w:val="0"/>
                      <w:sz w:val="22"/>
                      <w:szCs w:val="22"/>
                      <w:lang w:bidi="ar"/>
                    </w:rPr>
                  </w:pPr>
                  <w:r>
                    <w:rPr>
                      <w:rFonts w:hint="eastAsia"/>
                      <w:bCs/>
                      <w:color w:val="auto"/>
                      <w:kern w:val="0"/>
                      <w:sz w:val="21"/>
                      <w:szCs w:val="21"/>
                      <w:highlight w:val="none"/>
                    </w:rPr>
                    <w:t>HW49（900-041-49）</w:t>
                  </w:r>
                </w:p>
              </w:tc>
              <w:tc>
                <w:tcPr>
                  <w:tcW w:w="1879" w:type="dxa"/>
                  <w:vAlign w:val="center"/>
                </w:tcPr>
                <w:p w14:paraId="6F9BFAB2">
                  <w:pPr>
                    <w:widowControl/>
                    <w:jc w:val="center"/>
                    <w:textAlignment w:val="center"/>
                    <w:rPr>
                      <w:color w:val="auto"/>
                      <w:kern w:val="0"/>
                      <w:sz w:val="22"/>
                      <w:szCs w:val="22"/>
                      <w:lang w:bidi="ar"/>
                    </w:rPr>
                  </w:pPr>
                  <w:r>
                    <w:rPr>
                      <w:rFonts w:hint="eastAsia"/>
                      <w:color w:val="auto"/>
                      <w:kern w:val="0"/>
                      <w:sz w:val="22"/>
                      <w:szCs w:val="22"/>
                      <w:lang w:bidi="ar"/>
                    </w:rPr>
                    <w:t>采用密闭桶收集后分类暂存于</w:t>
                  </w:r>
                  <w:r>
                    <w:rPr>
                      <w:rFonts w:hint="eastAsia"/>
                      <w:color w:val="auto"/>
                      <w:kern w:val="0"/>
                      <w:sz w:val="22"/>
                      <w:szCs w:val="22"/>
                      <w:lang w:eastAsia="zh-CN" w:bidi="ar"/>
                    </w:rPr>
                    <w:t>危废贮存库</w:t>
                  </w:r>
                  <w:r>
                    <w:rPr>
                      <w:rFonts w:hint="eastAsia"/>
                      <w:color w:val="auto"/>
                      <w:kern w:val="0"/>
                      <w:sz w:val="22"/>
                      <w:szCs w:val="22"/>
                      <w:lang w:bidi="ar"/>
                    </w:rPr>
                    <w:t>内</w:t>
                  </w:r>
                </w:p>
              </w:tc>
              <w:tc>
                <w:tcPr>
                  <w:tcW w:w="751" w:type="dxa"/>
                  <w:vAlign w:val="center"/>
                </w:tcPr>
                <w:p w14:paraId="2CF19115">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136DA8FC">
                  <w:pPr>
                    <w:widowControl/>
                    <w:jc w:val="center"/>
                    <w:textAlignment w:val="center"/>
                    <w:rPr>
                      <w:color w:val="auto"/>
                      <w:kern w:val="0"/>
                      <w:sz w:val="22"/>
                      <w:szCs w:val="22"/>
                      <w:lang w:bidi="ar"/>
                    </w:rPr>
                  </w:pPr>
                  <w:r>
                    <w:rPr>
                      <w:rFonts w:hint="eastAsia"/>
                      <w:color w:val="auto"/>
                      <w:kern w:val="0"/>
                      <w:sz w:val="22"/>
                      <w:szCs w:val="22"/>
                      <w:lang w:bidi="ar"/>
                    </w:rPr>
                    <w:t>第三方资质单位</w:t>
                  </w:r>
                </w:p>
              </w:tc>
              <w:tc>
                <w:tcPr>
                  <w:tcW w:w="808" w:type="dxa"/>
                  <w:vAlign w:val="center"/>
                </w:tcPr>
                <w:p w14:paraId="4CE825FC">
                  <w:pPr>
                    <w:widowControl/>
                    <w:jc w:val="center"/>
                    <w:textAlignment w:val="center"/>
                    <w:rPr>
                      <w:color w:val="auto"/>
                      <w:kern w:val="0"/>
                      <w:sz w:val="22"/>
                      <w:szCs w:val="22"/>
                      <w:lang w:bidi="ar"/>
                    </w:rPr>
                  </w:pPr>
                  <w:r>
                    <w:rPr>
                      <w:rFonts w:hint="eastAsia"/>
                      <w:color w:val="auto"/>
                      <w:kern w:val="0"/>
                      <w:sz w:val="22"/>
                      <w:szCs w:val="22"/>
                      <w:lang w:bidi="ar"/>
                    </w:rPr>
                    <w:t>2.0</w:t>
                  </w:r>
                </w:p>
              </w:tc>
              <w:tc>
                <w:tcPr>
                  <w:tcW w:w="830" w:type="dxa"/>
                  <w:vAlign w:val="center"/>
                </w:tcPr>
                <w:p w14:paraId="6A5C2E39">
                  <w:pPr>
                    <w:widowControl/>
                    <w:jc w:val="center"/>
                    <w:textAlignment w:val="center"/>
                    <w:rPr>
                      <w:color w:val="auto"/>
                      <w:kern w:val="0"/>
                      <w:sz w:val="22"/>
                      <w:szCs w:val="22"/>
                      <w:lang w:bidi="ar"/>
                    </w:rPr>
                  </w:pPr>
                  <w:r>
                    <w:rPr>
                      <w:rFonts w:hint="eastAsia"/>
                      <w:color w:val="auto"/>
                      <w:kern w:val="0"/>
                      <w:sz w:val="22"/>
                      <w:szCs w:val="22"/>
                      <w:lang w:bidi="ar"/>
                    </w:rPr>
                    <w:t>0</w:t>
                  </w:r>
                </w:p>
              </w:tc>
            </w:tr>
            <w:tr w14:paraId="742B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6270F2C2">
                  <w:pPr>
                    <w:widowControl/>
                    <w:jc w:val="center"/>
                    <w:textAlignment w:val="center"/>
                    <w:rPr>
                      <w:color w:val="auto"/>
                      <w:kern w:val="0"/>
                      <w:sz w:val="22"/>
                      <w:szCs w:val="22"/>
                      <w:lang w:bidi="ar"/>
                    </w:rPr>
                  </w:pPr>
                  <w:r>
                    <w:rPr>
                      <w:rFonts w:hint="eastAsia"/>
                      <w:color w:val="auto"/>
                      <w:kern w:val="0"/>
                      <w:sz w:val="22"/>
                      <w:szCs w:val="22"/>
                      <w:lang w:bidi="ar"/>
                    </w:rPr>
                    <w:t>废机油</w:t>
                  </w:r>
                </w:p>
              </w:tc>
              <w:tc>
                <w:tcPr>
                  <w:tcW w:w="1553" w:type="dxa"/>
                  <w:vAlign w:val="center"/>
                </w:tcPr>
                <w:p w14:paraId="7C2E5954">
                  <w:pPr>
                    <w:widowControl/>
                    <w:jc w:val="center"/>
                    <w:rPr>
                      <w:rFonts w:hint="eastAsia"/>
                      <w:color w:val="auto"/>
                      <w:kern w:val="0"/>
                      <w:sz w:val="22"/>
                      <w:szCs w:val="22"/>
                      <w:lang w:bidi="ar"/>
                    </w:rPr>
                  </w:pPr>
                  <w:r>
                    <w:rPr>
                      <w:rFonts w:hint="eastAsia" w:ascii="Times New Roman" w:hAnsi="Times New Roman" w:cs="Times New Roman" w:eastAsiaTheme="minorEastAsia"/>
                      <w:color w:val="auto"/>
                      <w:kern w:val="0"/>
                      <w:sz w:val="21"/>
                      <w:szCs w:val="21"/>
                      <w:lang w:bidi="ar"/>
                    </w:rPr>
                    <w:t>HW08（900-214-08）</w:t>
                  </w:r>
                </w:p>
              </w:tc>
              <w:tc>
                <w:tcPr>
                  <w:tcW w:w="1879" w:type="dxa"/>
                  <w:vAlign w:val="center"/>
                </w:tcPr>
                <w:p w14:paraId="4CE2C178">
                  <w:pPr>
                    <w:widowControl/>
                    <w:jc w:val="center"/>
                    <w:textAlignment w:val="center"/>
                    <w:rPr>
                      <w:color w:val="auto"/>
                      <w:kern w:val="0"/>
                      <w:sz w:val="22"/>
                      <w:szCs w:val="22"/>
                      <w:lang w:bidi="ar"/>
                    </w:rPr>
                  </w:pPr>
                  <w:r>
                    <w:rPr>
                      <w:rFonts w:hint="eastAsia"/>
                      <w:color w:val="auto"/>
                      <w:kern w:val="0"/>
                      <w:sz w:val="22"/>
                      <w:szCs w:val="22"/>
                      <w:lang w:bidi="ar"/>
                    </w:rPr>
                    <w:t>盖严瓶盖后转移至</w:t>
                  </w:r>
                  <w:r>
                    <w:rPr>
                      <w:rFonts w:hint="eastAsia"/>
                      <w:color w:val="auto"/>
                      <w:kern w:val="0"/>
                      <w:sz w:val="22"/>
                      <w:szCs w:val="22"/>
                      <w:lang w:eastAsia="zh-CN" w:bidi="ar"/>
                    </w:rPr>
                    <w:t>危废贮存库</w:t>
                  </w:r>
                  <w:r>
                    <w:rPr>
                      <w:rFonts w:hint="eastAsia"/>
                      <w:color w:val="auto"/>
                      <w:kern w:val="0"/>
                      <w:sz w:val="22"/>
                      <w:szCs w:val="22"/>
                      <w:lang w:bidi="ar"/>
                    </w:rPr>
                    <w:t>专用容器中</w:t>
                  </w:r>
                </w:p>
              </w:tc>
              <w:tc>
                <w:tcPr>
                  <w:tcW w:w="751" w:type="dxa"/>
                  <w:vAlign w:val="center"/>
                </w:tcPr>
                <w:p w14:paraId="2195A8E8">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68353921">
                  <w:pPr>
                    <w:widowControl/>
                    <w:jc w:val="center"/>
                    <w:textAlignment w:val="center"/>
                    <w:rPr>
                      <w:color w:val="auto"/>
                      <w:kern w:val="0"/>
                      <w:sz w:val="22"/>
                      <w:szCs w:val="22"/>
                      <w:lang w:bidi="ar"/>
                    </w:rPr>
                  </w:pPr>
                  <w:r>
                    <w:rPr>
                      <w:rFonts w:hint="eastAsia"/>
                      <w:color w:val="auto"/>
                      <w:kern w:val="0"/>
                      <w:sz w:val="22"/>
                      <w:szCs w:val="22"/>
                      <w:lang w:bidi="ar"/>
                    </w:rPr>
                    <w:t>第三方资质单位</w:t>
                  </w:r>
                </w:p>
              </w:tc>
              <w:tc>
                <w:tcPr>
                  <w:tcW w:w="808" w:type="dxa"/>
                  <w:vAlign w:val="center"/>
                </w:tcPr>
                <w:p w14:paraId="5237D047">
                  <w:pPr>
                    <w:widowControl/>
                    <w:jc w:val="center"/>
                    <w:textAlignment w:val="center"/>
                    <w:rPr>
                      <w:color w:val="auto"/>
                      <w:kern w:val="0"/>
                      <w:sz w:val="22"/>
                      <w:szCs w:val="22"/>
                      <w:lang w:bidi="ar"/>
                    </w:rPr>
                  </w:pPr>
                  <w:r>
                    <w:rPr>
                      <w:rFonts w:hint="eastAsia"/>
                      <w:color w:val="auto"/>
                      <w:kern w:val="0"/>
                      <w:sz w:val="22"/>
                      <w:szCs w:val="22"/>
                      <w:lang w:bidi="ar"/>
                    </w:rPr>
                    <w:t>10.0</w:t>
                  </w:r>
                </w:p>
              </w:tc>
              <w:tc>
                <w:tcPr>
                  <w:tcW w:w="830" w:type="dxa"/>
                  <w:vAlign w:val="center"/>
                </w:tcPr>
                <w:p w14:paraId="40CCAE36">
                  <w:pPr>
                    <w:widowControl/>
                    <w:jc w:val="center"/>
                    <w:textAlignment w:val="center"/>
                    <w:rPr>
                      <w:color w:val="auto"/>
                      <w:kern w:val="0"/>
                      <w:sz w:val="22"/>
                      <w:szCs w:val="22"/>
                      <w:lang w:bidi="ar"/>
                    </w:rPr>
                  </w:pPr>
                  <w:r>
                    <w:rPr>
                      <w:rFonts w:hint="eastAsia"/>
                      <w:color w:val="auto"/>
                      <w:kern w:val="0"/>
                      <w:sz w:val="22"/>
                      <w:szCs w:val="22"/>
                      <w:lang w:bidi="ar"/>
                    </w:rPr>
                    <w:t>0</w:t>
                  </w:r>
                </w:p>
              </w:tc>
            </w:tr>
            <w:tr w14:paraId="585B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3FE21664">
                  <w:pPr>
                    <w:widowControl/>
                    <w:jc w:val="center"/>
                    <w:textAlignment w:val="center"/>
                    <w:rPr>
                      <w:color w:val="auto"/>
                      <w:kern w:val="0"/>
                      <w:sz w:val="22"/>
                      <w:szCs w:val="22"/>
                      <w:lang w:bidi="ar"/>
                    </w:rPr>
                  </w:pPr>
                  <w:r>
                    <w:rPr>
                      <w:rFonts w:hint="eastAsia"/>
                      <w:color w:val="auto"/>
                      <w:kern w:val="0"/>
                      <w:sz w:val="22"/>
                      <w:szCs w:val="22"/>
                      <w:lang w:bidi="ar"/>
                    </w:rPr>
                    <w:t>废油桶</w:t>
                  </w:r>
                </w:p>
              </w:tc>
              <w:tc>
                <w:tcPr>
                  <w:tcW w:w="1553" w:type="dxa"/>
                  <w:vAlign w:val="center"/>
                </w:tcPr>
                <w:p w14:paraId="0A8C724B">
                  <w:pPr>
                    <w:widowControl/>
                    <w:jc w:val="center"/>
                    <w:rPr>
                      <w:rFonts w:hint="eastAsia"/>
                      <w:color w:val="auto"/>
                      <w:kern w:val="0"/>
                      <w:sz w:val="22"/>
                      <w:szCs w:val="22"/>
                      <w:lang w:bidi="ar"/>
                    </w:rPr>
                  </w:pPr>
                  <w:r>
                    <w:rPr>
                      <w:rFonts w:hint="eastAsia"/>
                      <w:bCs/>
                      <w:color w:val="auto"/>
                      <w:kern w:val="0"/>
                      <w:sz w:val="21"/>
                      <w:szCs w:val="21"/>
                      <w:highlight w:val="none"/>
                    </w:rPr>
                    <w:t>HW08（</w:t>
                  </w:r>
                  <w:r>
                    <w:rPr>
                      <w:rFonts w:eastAsiaTheme="minorEastAsia"/>
                      <w:color w:val="auto"/>
                      <w:kern w:val="0"/>
                      <w:sz w:val="21"/>
                      <w:szCs w:val="21"/>
                      <w:lang w:bidi="ar"/>
                    </w:rPr>
                    <w:t>900-249-08</w:t>
                  </w:r>
                  <w:r>
                    <w:rPr>
                      <w:rFonts w:hint="eastAsia"/>
                      <w:bCs/>
                      <w:color w:val="auto"/>
                      <w:kern w:val="0"/>
                      <w:sz w:val="21"/>
                      <w:szCs w:val="21"/>
                      <w:highlight w:val="none"/>
                    </w:rPr>
                    <w:t>）</w:t>
                  </w:r>
                </w:p>
              </w:tc>
              <w:tc>
                <w:tcPr>
                  <w:tcW w:w="1879" w:type="dxa"/>
                  <w:vAlign w:val="center"/>
                </w:tcPr>
                <w:p w14:paraId="7530F900">
                  <w:pPr>
                    <w:widowControl/>
                    <w:jc w:val="center"/>
                    <w:textAlignment w:val="center"/>
                    <w:rPr>
                      <w:rFonts w:hint="eastAsia" w:eastAsia="宋体"/>
                      <w:color w:val="auto"/>
                      <w:kern w:val="0"/>
                      <w:sz w:val="22"/>
                      <w:szCs w:val="22"/>
                      <w:lang w:eastAsia="zh-CN" w:bidi="ar"/>
                    </w:rPr>
                  </w:pPr>
                  <w:r>
                    <w:rPr>
                      <w:rFonts w:hint="eastAsia"/>
                      <w:color w:val="auto"/>
                      <w:kern w:val="0"/>
                      <w:sz w:val="22"/>
                      <w:szCs w:val="22"/>
                      <w:lang w:bidi="ar"/>
                    </w:rPr>
                    <w:t>密闭桶装收集，存放于</w:t>
                  </w:r>
                  <w:r>
                    <w:rPr>
                      <w:rFonts w:hint="eastAsia"/>
                      <w:color w:val="auto"/>
                      <w:kern w:val="0"/>
                      <w:sz w:val="22"/>
                      <w:szCs w:val="22"/>
                      <w:lang w:eastAsia="zh-CN" w:bidi="ar"/>
                    </w:rPr>
                    <w:t>危废贮存库</w:t>
                  </w:r>
                </w:p>
              </w:tc>
              <w:tc>
                <w:tcPr>
                  <w:tcW w:w="751" w:type="dxa"/>
                  <w:vAlign w:val="center"/>
                </w:tcPr>
                <w:p w14:paraId="7FE41C77">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06B718CE">
                  <w:pPr>
                    <w:widowControl/>
                    <w:jc w:val="center"/>
                    <w:textAlignment w:val="center"/>
                    <w:rPr>
                      <w:color w:val="auto"/>
                      <w:kern w:val="0"/>
                      <w:sz w:val="22"/>
                      <w:szCs w:val="22"/>
                      <w:lang w:bidi="ar"/>
                    </w:rPr>
                  </w:pPr>
                  <w:r>
                    <w:rPr>
                      <w:rFonts w:hint="eastAsia"/>
                      <w:color w:val="auto"/>
                      <w:kern w:val="0"/>
                      <w:sz w:val="22"/>
                      <w:szCs w:val="22"/>
                      <w:lang w:bidi="ar"/>
                    </w:rPr>
                    <w:t>第三方资质单位</w:t>
                  </w:r>
                </w:p>
              </w:tc>
              <w:tc>
                <w:tcPr>
                  <w:tcW w:w="808" w:type="dxa"/>
                  <w:vAlign w:val="center"/>
                </w:tcPr>
                <w:p w14:paraId="5FDCBD3C">
                  <w:pPr>
                    <w:widowControl/>
                    <w:jc w:val="center"/>
                    <w:textAlignment w:val="center"/>
                    <w:rPr>
                      <w:color w:val="auto"/>
                      <w:kern w:val="0"/>
                      <w:sz w:val="22"/>
                      <w:szCs w:val="22"/>
                      <w:lang w:bidi="ar"/>
                    </w:rPr>
                  </w:pPr>
                  <w:r>
                    <w:rPr>
                      <w:rFonts w:hint="eastAsia"/>
                      <w:color w:val="auto"/>
                      <w:kern w:val="0"/>
                      <w:sz w:val="22"/>
                      <w:szCs w:val="22"/>
                      <w:lang w:bidi="ar"/>
                    </w:rPr>
                    <w:t>2.0</w:t>
                  </w:r>
                </w:p>
              </w:tc>
              <w:tc>
                <w:tcPr>
                  <w:tcW w:w="830" w:type="dxa"/>
                  <w:vAlign w:val="center"/>
                </w:tcPr>
                <w:p w14:paraId="109B562A">
                  <w:pPr>
                    <w:widowControl/>
                    <w:jc w:val="center"/>
                    <w:textAlignment w:val="center"/>
                    <w:rPr>
                      <w:color w:val="auto"/>
                      <w:kern w:val="0"/>
                      <w:sz w:val="22"/>
                      <w:szCs w:val="22"/>
                      <w:lang w:bidi="ar"/>
                    </w:rPr>
                  </w:pPr>
                  <w:r>
                    <w:rPr>
                      <w:rFonts w:hint="eastAsia"/>
                      <w:color w:val="auto"/>
                      <w:kern w:val="0"/>
                      <w:sz w:val="22"/>
                      <w:szCs w:val="22"/>
                      <w:lang w:bidi="ar"/>
                    </w:rPr>
                    <w:t>0</w:t>
                  </w:r>
                </w:p>
              </w:tc>
            </w:tr>
            <w:tr w14:paraId="204F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6A5124D3">
                  <w:pPr>
                    <w:widowControl/>
                    <w:jc w:val="center"/>
                    <w:textAlignment w:val="center"/>
                    <w:rPr>
                      <w:color w:val="auto"/>
                      <w:kern w:val="0"/>
                      <w:sz w:val="22"/>
                      <w:szCs w:val="22"/>
                      <w:lang w:bidi="ar"/>
                    </w:rPr>
                  </w:pPr>
                  <w:r>
                    <w:rPr>
                      <w:rFonts w:hint="eastAsia"/>
                      <w:color w:val="auto"/>
                      <w:kern w:val="0"/>
                      <w:sz w:val="22"/>
                      <w:szCs w:val="22"/>
                      <w:lang w:bidi="ar"/>
                    </w:rPr>
                    <w:t>废蓄电池</w:t>
                  </w:r>
                </w:p>
              </w:tc>
              <w:tc>
                <w:tcPr>
                  <w:tcW w:w="1553" w:type="dxa"/>
                  <w:vAlign w:val="center"/>
                </w:tcPr>
                <w:p w14:paraId="3B57D12C">
                  <w:pPr>
                    <w:widowControl/>
                    <w:jc w:val="center"/>
                    <w:rPr>
                      <w:rFonts w:hint="eastAsia"/>
                      <w:bCs/>
                      <w:color w:val="auto"/>
                      <w:kern w:val="0"/>
                      <w:sz w:val="21"/>
                      <w:szCs w:val="21"/>
                      <w:highlight w:val="none"/>
                      <w:lang w:val="en-US" w:eastAsia="zh-CN"/>
                    </w:rPr>
                  </w:pPr>
                  <w:r>
                    <w:rPr>
                      <w:rFonts w:hint="eastAsia"/>
                      <w:bCs/>
                      <w:color w:val="auto"/>
                      <w:kern w:val="0"/>
                      <w:sz w:val="21"/>
                      <w:szCs w:val="21"/>
                      <w:highlight w:val="none"/>
                      <w:lang w:val="en-US" w:eastAsia="zh-CN"/>
                    </w:rPr>
                    <w:t>HW31</w:t>
                  </w:r>
                </w:p>
                <w:p w14:paraId="721D6711">
                  <w:pPr>
                    <w:widowControl/>
                    <w:jc w:val="center"/>
                    <w:rPr>
                      <w:rFonts w:hint="eastAsia"/>
                      <w:color w:val="auto"/>
                      <w:kern w:val="0"/>
                      <w:sz w:val="22"/>
                      <w:szCs w:val="22"/>
                      <w:lang w:bidi="ar"/>
                    </w:rPr>
                  </w:pPr>
                  <w:r>
                    <w:rPr>
                      <w:rFonts w:hint="eastAsia"/>
                      <w:bCs/>
                      <w:color w:val="auto"/>
                      <w:kern w:val="0"/>
                      <w:sz w:val="21"/>
                      <w:szCs w:val="21"/>
                      <w:highlight w:val="none"/>
                      <w:lang w:val="en-US" w:eastAsia="zh-CN"/>
                    </w:rPr>
                    <w:t>(900-052-31)</w:t>
                  </w:r>
                </w:p>
              </w:tc>
              <w:tc>
                <w:tcPr>
                  <w:tcW w:w="1879" w:type="dxa"/>
                  <w:vAlign w:val="center"/>
                </w:tcPr>
                <w:p w14:paraId="2A16C366">
                  <w:pPr>
                    <w:widowControl/>
                    <w:jc w:val="center"/>
                    <w:textAlignment w:val="center"/>
                    <w:rPr>
                      <w:rFonts w:hint="eastAsia" w:eastAsia="宋体"/>
                      <w:color w:val="auto"/>
                      <w:kern w:val="0"/>
                      <w:sz w:val="22"/>
                      <w:szCs w:val="22"/>
                      <w:lang w:eastAsia="zh-CN" w:bidi="ar"/>
                    </w:rPr>
                  </w:pPr>
                  <w:r>
                    <w:rPr>
                      <w:rFonts w:hint="eastAsia"/>
                      <w:color w:val="auto"/>
                      <w:kern w:val="0"/>
                      <w:sz w:val="22"/>
                      <w:szCs w:val="22"/>
                      <w:lang w:bidi="ar"/>
                    </w:rPr>
                    <w:t>密闭桶装收集，存放于</w:t>
                  </w:r>
                  <w:r>
                    <w:rPr>
                      <w:rFonts w:hint="eastAsia"/>
                      <w:color w:val="auto"/>
                      <w:kern w:val="0"/>
                      <w:sz w:val="22"/>
                      <w:szCs w:val="22"/>
                      <w:lang w:eastAsia="zh-CN" w:bidi="ar"/>
                    </w:rPr>
                    <w:t>危废贮存库</w:t>
                  </w:r>
                </w:p>
              </w:tc>
              <w:tc>
                <w:tcPr>
                  <w:tcW w:w="751" w:type="dxa"/>
                  <w:vAlign w:val="center"/>
                </w:tcPr>
                <w:p w14:paraId="21B4415F">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50AB4016">
                  <w:pPr>
                    <w:widowControl/>
                    <w:jc w:val="center"/>
                    <w:textAlignment w:val="center"/>
                    <w:rPr>
                      <w:color w:val="auto"/>
                      <w:kern w:val="0"/>
                      <w:sz w:val="22"/>
                      <w:szCs w:val="22"/>
                      <w:lang w:bidi="ar"/>
                    </w:rPr>
                  </w:pPr>
                  <w:r>
                    <w:rPr>
                      <w:rFonts w:hint="eastAsia"/>
                      <w:color w:val="auto"/>
                      <w:kern w:val="0"/>
                      <w:sz w:val="22"/>
                      <w:szCs w:val="22"/>
                      <w:lang w:bidi="ar"/>
                    </w:rPr>
                    <w:t>第三方资质单位</w:t>
                  </w:r>
                </w:p>
              </w:tc>
              <w:tc>
                <w:tcPr>
                  <w:tcW w:w="808" w:type="dxa"/>
                  <w:vAlign w:val="center"/>
                </w:tcPr>
                <w:p w14:paraId="4D1D2717">
                  <w:pPr>
                    <w:widowControl/>
                    <w:jc w:val="center"/>
                    <w:textAlignment w:val="center"/>
                    <w:rPr>
                      <w:color w:val="auto"/>
                      <w:kern w:val="0"/>
                      <w:sz w:val="22"/>
                      <w:szCs w:val="22"/>
                      <w:lang w:bidi="ar"/>
                    </w:rPr>
                  </w:pPr>
                  <w:r>
                    <w:rPr>
                      <w:rFonts w:hint="eastAsia"/>
                      <w:color w:val="auto"/>
                      <w:kern w:val="0"/>
                      <w:sz w:val="22"/>
                      <w:szCs w:val="22"/>
                      <w:lang w:bidi="ar"/>
                    </w:rPr>
                    <w:t>2.0</w:t>
                  </w:r>
                </w:p>
              </w:tc>
              <w:tc>
                <w:tcPr>
                  <w:tcW w:w="830" w:type="dxa"/>
                  <w:vAlign w:val="center"/>
                </w:tcPr>
                <w:p w14:paraId="3BFE3C41">
                  <w:pPr>
                    <w:widowControl/>
                    <w:jc w:val="center"/>
                    <w:textAlignment w:val="center"/>
                    <w:rPr>
                      <w:color w:val="auto"/>
                      <w:kern w:val="0"/>
                      <w:sz w:val="22"/>
                      <w:szCs w:val="22"/>
                      <w:lang w:bidi="ar"/>
                    </w:rPr>
                  </w:pPr>
                  <w:r>
                    <w:rPr>
                      <w:rFonts w:hint="eastAsia"/>
                      <w:color w:val="auto"/>
                      <w:kern w:val="0"/>
                      <w:sz w:val="22"/>
                      <w:szCs w:val="22"/>
                      <w:lang w:bidi="ar"/>
                    </w:rPr>
                    <w:t>0</w:t>
                  </w:r>
                </w:p>
              </w:tc>
            </w:tr>
            <w:tr w14:paraId="3552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76C0C874">
                  <w:pPr>
                    <w:widowControl/>
                    <w:jc w:val="center"/>
                    <w:textAlignment w:val="center"/>
                    <w:rPr>
                      <w:color w:val="auto"/>
                      <w:kern w:val="0"/>
                      <w:sz w:val="22"/>
                      <w:szCs w:val="22"/>
                      <w:lang w:bidi="ar"/>
                    </w:rPr>
                  </w:pPr>
                  <w:r>
                    <w:rPr>
                      <w:rFonts w:hint="eastAsia"/>
                      <w:color w:val="auto"/>
                      <w:kern w:val="0"/>
                      <w:sz w:val="22"/>
                      <w:szCs w:val="22"/>
                      <w:lang w:bidi="ar"/>
                    </w:rPr>
                    <w:t>废灯管</w:t>
                  </w:r>
                </w:p>
              </w:tc>
              <w:tc>
                <w:tcPr>
                  <w:tcW w:w="1553" w:type="dxa"/>
                  <w:vAlign w:val="center"/>
                </w:tcPr>
                <w:p w14:paraId="45EF517C">
                  <w:pPr>
                    <w:widowControl/>
                    <w:jc w:val="center"/>
                    <w:rPr>
                      <w:rFonts w:hint="eastAsia"/>
                      <w:bCs/>
                      <w:color w:val="auto"/>
                      <w:kern w:val="0"/>
                      <w:sz w:val="21"/>
                      <w:szCs w:val="21"/>
                      <w:highlight w:val="none"/>
                    </w:rPr>
                  </w:pPr>
                  <w:r>
                    <w:rPr>
                      <w:rFonts w:hint="eastAsia"/>
                      <w:bCs/>
                      <w:color w:val="auto"/>
                      <w:kern w:val="0"/>
                      <w:sz w:val="21"/>
                      <w:szCs w:val="21"/>
                      <w:highlight w:val="none"/>
                    </w:rPr>
                    <w:t>HW29</w:t>
                  </w:r>
                </w:p>
                <w:p w14:paraId="569E111A">
                  <w:pPr>
                    <w:widowControl/>
                    <w:jc w:val="center"/>
                    <w:rPr>
                      <w:rFonts w:hint="eastAsia"/>
                      <w:color w:val="auto"/>
                      <w:kern w:val="0"/>
                      <w:sz w:val="22"/>
                      <w:szCs w:val="22"/>
                      <w:lang w:bidi="ar"/>
                    </w:rPr>
                  </w:pPr>
                  <w:r>
                    <w:rPr>
                      <w:rFonts w:hint="eastAsia"/>
                      <w:bCs/>
                      <w:color w:val="auto"/>
                      <w:kern w:val="0"/>
                      <w:sz w:val="21"/>
                      <w:szCs w:val="21"/>
                      <w:highlight w:val="none"/>
                      <w:lang w:val="en-US" w:eastAsia="zh-CN"/>
                    </w:rPr>
                    <w:t>(900-023-28)</w:t>
                  </w:r>
                </w:p>
              </w:tc>
              <w:tc>
                <w:tcPr>
                  <w:tcW w:w="1879" w:type="dxa"/>
                  <w:vAlign w:val="center"/>
                </w:tcPr>
                <w:p w14:paraId="2EDE02A1">
                  <w:pPr>
                    <w:widowControl/>
                    <w:jc w:val="center"/>
                    <w:textAlignment w:val="center"/>
                    <w:rPr>
                      <w:rFonts w:hint="eastAsia" w:eastAsia="宋体"/>
                      <w:color w:val="auto"/>
                      <w:kern w:val="0"/>
                      <w:sz w:val="22"/>
                      <w:szCs w:val="22"/>
                      <w:lang w:eastAsia="zh-CN" w:bidi="ar"/>
                    </w:rPr>
                  </w:pPr>
                  <w:r>
                    <w:rPr>
                      <w:rFonts w:hint="eastAsia"/>
                      <w:color w:val="auto"/>
                      <w:kern w:val="0"/>
                      <w:sz w:val="22"/>
                      <w:szCs w:val="22"/>
                      <w:lang w:bidi="ar"/>
                    </w:rPr>
                    <w:t>密闭桶装收集，存放于</w:t>
                  </w:r>
                  <w:r>
                    <w:rPr>
                      <w:rFonts w:hint="eastAsia"/>
                      <w:color w:val="auto"/>
                      <w:kern w:val="0"/>
                      <w:sz w:val="22"/>
                      <w:szCs w:val="22"/>
                      <w:lang w:eastAsia="zh-CN" w:bidi="ar"/>
                    </w:rPr>
                    <w:t>危废贮存库</w:t>
                  </w:r>
                </w:p>
              </w:tc>
              <w:tc>
                <w:tcPr>
                  <w:tcW w:w="751" w:type="dxa"/>
                  <w:vAlign w:val="center"/>
                </w:tcPr>
                <w:p w14:paraId="38EC38A9">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72C854A1">
                  <w:pPr>
                    <w:widowControl/>
                    <w:jc w:val="center"/>
                    <w:textAlignment w:val="center"/>
                    <w:rPr>
                      <w:color w:val="auto"/>
                      <w:kern w:val="0"/>
                      <w:sz w:val="22"/>
                      <w:szCs w:val="22"/>
                      <w:lang w:bidi="ar"/>
                    </w:rPr>
                  </w:pPr>
                  <w:r>
                    <w:rPr>
                      <w:rFonts w:hint="eastAsia"/>
                      <w:color w:val="auto"/>
                      <w:kern w:val="0"/>
                      <w:sz w:val="22"/>
                      <w:szCs w:val="22"/>
                      <w:lang w:bidi="ar"/>
                    </w:rPr>
                    <w:t>第三方资质单位</w:t>
                  </w:r>
                </w:p>
              </w:tc>
              <w:tc>
                <w:tcPr>
                  <w:tcW w:w="808" w:type="dxa"/>
                  <w:vAlign w:val="center"/>
                </w:tcPr>
                <w:p w14:paraId="3345E1BF">
                  <w:pPr>
                    <w:widowControl/>
                    <w:jc w:val="center"/>
                    <w:textAlignment w:val="center"/>
                    <w:rPr>
                      <w:color w:val="auto"/>
                      <w:kern w:val="0"/>
                      <w:sz w:val="22"/>
                      <w:szCs w:val="22"/>
                      <w:lang w:bidi="ar"/>
                    </w:rPr>
                  </w:pPr>
                  <w:r>
                    <w:rPr>
                      <w:rFonts w:hint="eastAsia"/>
                      <w:color w:val="auto"/>
                      <w:kern w:val="0"/>
                      <w:sz w:val="22"/>
                      <w:szCs w:val="22"/>
                      <w:lang w:bidi="ar"/>
                    </w:rPr>
                    <w:t>1.0</w:t>
                  </w:r>
                </w:p>
              </w:tc>
              <w:tc>
                <w:tcPr>
                  <w:tcW w:w="830" w:type="dxa"/>
                  <w:vAlign w:val="center"/>
                </w:tcPr>
                <w:p w14:paraId="1DECE37C">
                  <w:pPr>
                    <w:widowControl/>
                    <w:jc w:val="center"/>
                    <w:textAlignment w:val="center"/>
                    <w:rPr>
                      <w:color w:val="auto"/>
                      <w:kern w:val="0"/>
                      <w:sz w:val="22"/>
                      <w:szCs w:val="22"/>
                      <w:lang w:bidi="ar"/>
                    </w:rPr>
                  </w:pPr>
                  <w:r>
                    <w:rPr>
                      <w:rFonts w:hint="eastAsia"/>
                      <w:color w:val="auto"/>
                      <w:kern w:val="0"/>
                      <w:sz w:val="22"/>
                      <w:szCs w:val="22"/>
                      <w:lang w:bidi="ar"/>
                    </w:rPr>
                    <w:t>0</w:t>
                  </w:r>
                </w:p>
              </w:tc>
            </w:tr>
            <w:tr w14:paraId="2F50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2C7DD5EA">
                  <w:pPr>
                    <w:widowControl/>
                    <w:jc w:val="center"/>
                    <w:textAlignment w:val="center"/>
                    <w:rPr>
                      <w:color w:val="auto"/>
                      <w:kern w:val="0"/>
                      <w:sz w:val="22"/>
                      <w:szCs w:val="22"/>
                      <w:lang w:bidi="ar"/>
                    </w:rPr>
                  </w:pPr>
                  <w:r>
                    <w:rPr>
                      <w:rFonts w:hint="eastAsia"/>
                      <w:color w:val="auto"/>
                      <w:kern w:val="0"/>
                      <w:sz w:val="22"/>
                      <w:szCs w:val="22"/>
                      <w:lang w:bidi="ar"/>
                    </w:rPr>
                    <w:t>废防冻液</w:t>
                  </w:r>
                </w:p>
              </w:tc>
              <w:tc>
                <w:tcPr>
                  <w:tcW w:w="1553" w:type="dxa"/>
                  <w:vAlign w:val="center"/>
                </w:tcPr>
                <w:p w14:paraId="01D59F23">
                  <w:pPr>
                    <w:widowControl/>
                    <w:jc w:val="center"/>
                    <w:rPr>
                      <w:rFonts w:hint="eastAsia"/>
                      <w:color w:val="auto"/>
                      <w:kern w:val="0"/>
                      <w:sz w:val="22"/>
                      <w:szCs w:val="22"/>
                      <w:lang w:bidi="ar"/>
                    </w:rPr>
                  </w:pPr>
                  <w:r>
                    <w:rPr>
                      <w:rFonts w:hint="eastAsia" w:ascii="Times New Roman" w:hAnsi="Times New Roman" w:eastAsia="宋体" w:cs="Times New Roman"/>
                      <w:bCs/>
                      <w:color w:val="auto"/>
                      <w:kern w:val="0"/>
                      <w:sz w:val="21"/>
                      <w:szCs w:val="21"/>
                      <w:highlight w:val="none"/>
                      <w:lang w:val="en-US" w:eastAsia="zh-CN"/>
                    </w:rPr>
                    <w:t>HW06（900-402-06）</w:t>
                  </w:r>
                </w:p>
              </w:tc>
              <w:tc>
                <w:tcPr>
                  <w:tcW w:w="1879" w:type="dxa"/>
                  <w:vAlign w:val="center"/>
                </w:tcPr>
                <w:p w14:paraId="278870E5">
                  <w:pPr>
                    <w:widowControl/>
                    <w:jc w:val="center"/>
                    <w:textAlignment w:val="center"/>
                    <w:rPr>
                      <w:rFonts w:hint="eastAsia" w:eastAsia="宋体"/>
                      <w:color w:val="auto"/>
                      <w:kern w:val="0"/>
                      <w:sz w:val="22"/>
                      <w:szCs w:val="22"/>
                      <w:lang w:eastAsia="zh-CN" w:bidi="ar"/>
                    </w:rPr>
                  </w:pPr>
                  <w:r>
                    <w:rPr>
                      <w:rFonts w:hint="eastAsia"/>
                      <w:color w:val="auto"/>
                      <w:kern w:val="0"/>
                      <w:sz w:val="22"/>
                      <w:szCs w:val="22"/>
                      <w:lang w:bidi="ar"/>
                    </w:rPr>
                    <w:t>密闭桶装收集，存放于</w:t>
                  </w:r>
                  <w:r>
                    <w:rPr>
                      <w:rFonts w:hint="eastAsia"/>
                      <w:color w:val="auto"/>
                      <w:kern w:val="0"/>
                      <w:sz w:val="22"/>
                      <w:szCs w:val="22"/>
                      <w:lang w:eastAsia="zh-CN" w:bidi="ar"/>
                    </w:rPr>
                    <w:t>危废贮存库</w:t>
                  </w:r>
                </w:p>
              </w:tc>
              <w:tc>
                <w:tcPr>
                  <w:tcW w:w="751" w:type="dxa"/>
                  <w:vAlign w:val="center"/>
                </w:tcPr>
                <w:p w14:paraId="53C6D2CF">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6A4A8020">
                  <w:pPr>
                    <w:widowControl/>
                    <w:jc w:val="center"/>
                    <w:textAlignment w:val="center"/>
                    <w:rPr>
                      <w:color w:val="auto"/>
                      <w:kern w:val="0"/>
                      <w:sz w:val="22"/>
                      <w:szCs w:val="22"/>
                      <w:lang w:bidi="ar"/>
                    </w:rPr>
                  </w:pPr>
                  <w:r>
                    <w:rPr>
                      <w:rFonts w:hint="eastAsia"/>
                      <w:color w:val="auto"/>
                      <w:kern w:val="0"/>
                      <w:sz w:val="22"/>
                      <w:szCs w:val="22"/>
                      <w:lang w:bidi="ar"/>
                    </w:rPr>
                    <w:t>第三方资质单位</w:t>
                  </w:r>
                </w:p>
              </w:tc>
              <w:tc>
                <w:tcPr>
                  <w:tcW w:w="808" w:type="dxa"/>
                  <w:vAlign w:val="center"/>
                </w:tcPr>
                <w:p w14:paraId="53C672A0">
                  <w:pPr>
                    <w:widowControl/>
                    <w:jc w:val="center"/>
                    <w:textAlignment w:val="center"/>
                    <w:rPr>
                      <w:color w:val="auto"/>
                      <w:kern w:val="0"/>
                      <w:sz w:val="22"/>
                      <w:szCs w:val="22"/>
                      <w:lang w:bidi="ar"/>
                    </w:rPr>
                  </w:pPr>
                  <w:r>
                    <w:rPr>
                      <w:rFonts w:hint="eastAsia"/>
                      <w:color w:val="auto"/>
                      <w:kern w:val="0"/>
                      <w:sz w:val="22"/>
                      <w:szCs w:val="22"/>
                      <w:lang w:bidi="ar"/>
                    </w:rPr>
                    <w:t>5.0</w:t>
                  </w:r>
                </w:p>
              </w:tc>
              <w:tc>
                <w:tcPr>
                  <w:tcW w:w="830" w:type="dxa"/>
                  <w:vAlign w:val="center"/>
                </w:tcPr>
                <w:p w14:paraId="6A7D1B92">
                  <w:pPr>
                    <w:widowControl/>
                    <w:jc w:val="center"/>
                    <w:textAlignment w:val="center"/>
                    <w:rPr>
                      <w:color w:val="auto"/>
                      <w:kern w:val="0"/>
                      <w:sz w:val="22"/>
                      <w:szCs w:val="22"/>
                      <w:lang w:bidi="ar"/>
                    </w:rPr>
                  </w:pPr>
                  <w:r>
                    <w:rPr>
                      <w:rFonts w:hint="eastAsia"/>
                      <w:color w:val="auto"/>
                      <w:kern w:val="0"/>
                      <w:sz w:val="22"/>
                      <w:szCs w:val="22"/>
                      <w:lang w:bidi="ar"/>
                    </w:rPr>
                    <w:t>0</w:t>
                  </w:r>
                </w:p>
              </w:tc>
            </w:tr>
            <w:tr w14:paraId="6372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0E5215BD">
                  <w:pPr>
                    <w:widowControl/>
                    <w:jc w:val="center"/>
                    <w:textAlignment w:val="center"/>
                    <w:rPr>
                      <w:color w:val="auto"/>
                      <w:kern w:val="0"/>
                      <w:sz w:val="22"/>
                      <w:szCs w:val="22"/>
                      <w:lang w:bidi="ar"/>
                    </w:rPr>
                  </w:pPr>
                  <w:r>
                    <w:rPr>
                      <w:rFonts w:hint="eastAsia"/>
                      <w:color w:val="auto"/>
                      <w:kern w:val="0"/>
                      <w:sz w:val="22"/>
                      <w:szCs w:val="22"/>
                      <w:lang w:bidi="ar"/>
                    </w:rPr>
                    <w:t>餐厨垃圾</w:t>
                  </w:r>
                </w:p>
              </w:tc>
              <w:tc>
                <w:tcPr>
                  <w:tcW w:w="1553" w:type="dxa"/>
                  <w:vAlign w:val="center"/>
                </w:tcPr>
                <w:p w14:paraId="4CD42912">
                  <w:pPr>
                    <w:widowControl/>
                    <w:jc w:val="center"/>
                    <w:rPr>
                      <w:rFonts w:hint="eastAsia"/>
                      <w:color w:val="auto"/>
                      <w:kern w:val="0"/>
                      <w:sz w:val="22"/>
                      <w:szCs w:val="22"/>
                      <w:lang w:bidi="ar"/>
                    </w:rPr>
                  </w:pPr>
                  <w:r>
                    <w:rPr>
                      <w:rFonts w:hint="eastAsia"/>
                      <w:bCs/>
                      <w:color w:val="auto"/>
                      <w:kern w:val="0"/>
                      <w:sz w:val="21"/>
                      <w:szCs w:val="21"/>
                      <w:highlight w:val="none"/>
                      <w:lang w:val="en-US" w:eastAsia="zh-CN"/>
                    </w:rPr>
                    <w:t>/</w:t>
                  </w:r>
                </w:p>
              </w:tc>
              <w:tc>
                <w:tcPr>
                  <w:tcW w:w="1879" w:type="dxa"/>
                  <w:vAlign w:val="center"/>
                </w:tcPr>
                <w:p w14:paraId="4EE624BF">
                  <w:pPr>
                    <w:widowControl/>
                    <w:jc w:val="center"/>
                    <w:textAlignment w:val="center"/>
                    <w:rPr>
                      <w:color w:val="auto"/>
                      <w:kern w:val="0"/>
                      <w:sz w:val="22"/>
                      <w:szCs w:val="22"/>
                      <w:lang w:bidi="ar"/>
                    </w:rPr>
                  </w:pPr>
                  <w:r>
                    <w:rPr>
                      <w:rFonts w:hint="eastAsia"/>
                      <w:color w:val="auto"/>
                      <w:kern w:val="0"/>
                      <w:sz w:val="22"/>
                      <w:szCs w:val="22"/>
                      <w:lang w:bidi="ar"/>
                    </w:rPr>
                    <w:t>专用垃圾箱收集，垃圾站</w:t>
                  </w:r>
                </w:p>
              </w:tc>
              <w:tc>
                <w:tcPr>
                  <w:tcW w:w="751" w:type="dxa"/>
                  <w:vAlign w:val="center"/>
                </w:tcPr>
                <w:p w14:paraId="0B58BC2C">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6D122480">
                  <w:pPr>
                    <w:widowControl/>
                    <w:jc w:val="center"/>
                    <w:textAlignment w:val="center"/>
                    <w:rPr>
                      <w:color w:val="auto"/>
                      <w:kern w:val="0"/>
                      <w:sz w:val="22"/>
                      <w:szCs w:val="22"/>
                      <w:lang w:bidi="ar"/>
                    </w:rPr>
                  </w:pPr>
                  <w:r>
                    <w:rPr>
                      <w:color w:val="auto"/>
                      <w:kern w:val="0"/>
                      <w:sz w:val="22"/>
                      <w:szCs w:val="22"/>
                      <w:lang w:bidi="ar"/>
                    </w:rPr>
                    <w:t>交由市政环卫部门处理</w:t>
                  </w:r>
                </w:p>
              </w:tc>
              <w:tc>
                <w:tcPr>
                  <w:tcW w:w="808" w:type="dxa"/>
                  <w:vAlign w:val="center"/>
                </w:tcPr>
                <w:p w14:paraId="621FDC30">
                  <w:pPr>
                    <w:widowControl/>
                    <w:jc w:val="center"/>
                    <w:textAlignment w:val="center"/>
                    <w:rPr>
                      <w:color w:val="auto"/>
                      <w:kern w:val="0"/>
                      <w:sz w:val="22"/>
                      <w:szCs w:val="22"/>
                      <w:lang w:bidi="ar"/>
                    </w:rPr>
                  </w:pPr>
                  <w:r>
                    <w:rPr>
                      <w:rFonts w:hint="eastAsia"/>
                      <w:color w:val="auto"/>
                      <w:kern w:val="0"/>
                      <w:sz w:val="22"/>
                      <w:szCs w:val="22"/>
                      <w:lang w:bidi="ar"/>
                    </w:rPr>
                    <w:t>4.125</w:t>
                  </w:r>
                </w:p>
              </w:tc>
              <w:tc>
                <w:tcPr>
                  <w:tcW w:w="830" w:type="dxa"/>
                  <w:vAlign w:val="center"/>
                </w:tcPr>
                <w:p w14:paraId="3597929A">
                  <w:pPr>
                    <w:widowControl/>
                    <w:jc w:val="center"/>
                    <w:textAlignment w:val="center"/>
                    <w:rPr>
                      <w:color w:val="auto"/>
                      <w:kern w:val="0"/>
                      <w:sz w:val="22"/>
                      <w:szCs w:val="22"/>
                      <w:lang w:bidi="ar"/>
                    </w:rPr>
                  </w:pPr>
                  <w:r>
                    <w:rPr>
                      <w:rFonts w:hint="eastAsia"/>
                      <w:color w:val="auto"/>
                      <w:kern w:val="0"/>
                      <w:sz w:val="22"/>
                      <w:szCs w:val="22"/>
                      <w:lang w:bidi="ar"/>
                    </w:rPr>
                    <w:t>0</w:t>
                  </w:r>
                </w:p>
              </w:tc>
            </w:tr>
            <w:tr w14:paraId="25C6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459C485E">
                  <w:pPr>
                    <w:widowControl/>
                    <w:jc w:val="center"/>
                    <w:textAlignment w:val="center"/>
                    <w:rPr>
                      <w:color w:val="auto"/>
                      <w:kern w:val="0"/>
                      <w:sz w:val="22"/>
                      <w:szCs w:val="22"/>
                      <w:lang w:bidi="ar"/>
                    </w:rPr>
                  </w:pPr>
                  <w:r>
                    <w:rPr>
                      <w:rFonts w:hint="eastAsia"/>
                      <w:color w:val="auto"/>
                      <w:kern w:val="0"/>
                      <w:sz w:val="22"/>
                      <w:szCs w:val="22"/>
                      <w:lang w:bidi="ar"/>
                    </w:rPr>
                    <w:t>生活垃圾</w:t>
                  </w:r>
                </w:p>
              </w:tc>
              <w:tc>
                <w:tcPr>
                  <w:tcW w:w="1553" w:type="dxa"/>
                  <w:vAlign w:val="center"/>
                </w:tcPr>
                <w:p w14:paraId="6426A015">
                  <w:pPr>
                    <w:widowControl/>
                    <w:jc w:val="center"/>
                    <w:rPr>
                      <w:rFonts w:hint="eastAsia"/>
                      <w:color w:val="auto"/>
                      <w:kern w:val="0"/>
                      <w:sz w:val="22"/>
                      <w:szCs w:val="22"/>
                      <w:lang w:bidi="ar"/>
                    </w:rPr>
                  </w:pPr>
                  <w:r>
                    <w:rPr>
                      <w:rFonts w:hint="eastAsia"/>
                      <w:bCs/>
                      <w:color w:val="auto"/>
                      <w:kern w:val="0"/>
                      <w:sz w:val="21"/>
                      <w:szCs w:val="21"/>
                      <w:highlight w:val="none"/>
                      <w:lang w:val="en-US" w:eastAsia="zh-CN"/>
                    </w:rPr>
                    <w:t>/</w:t>
                  </w:r>
                </w:p>
              </w:tc>
              <w:tc>
                <w:tcPr>
                  <w:tcW w:w="1879" w:type="dxa"/>
                  <w:vAlign w:val="center"/>
                </w:tcPr>
                <w:p w14:paraId="17EC1E0B">
                  <w:pPr>
                    <w:widowControl/>
                    <w:jc w:val="center"/>
                    <w:textAlignment w:val="center"/>
                    <w:rPr>
                      <w:color w:val="auto"/>
                      <w:kern w:val="0"/>
                      <w:sz w:val="22"/>
                      <w:szCs w:val="22"/>
                      <w:lang w:bidi="ar"/>
                    </w:rPr>
                  </w:pPr>
                  <w:r>
                    <w:rPr>
                      <w:rFonts w:hint="eastAsia"/>
                      <w:color w:val="auto"/>
                      <w:kern w:val="0"/>
                      <w:sz w:val="22"/>
                      <w:szCs w:val="22"/>
                      <w:lang w:bidi="ar"/>
                    </w:rPr>
                    <w:t>垃圾箱收集，垃圾站</w:t>
                  </w:r>
                </w:p>
              </w:tc>
              <w:tc>
                <w:tcPr>
                  <w:tcW w:w="751" w:type="dxa"/>
                  <w:vAlign w:val="center"/>
                </w:tcPr>
                <w:p w14:paraId="69851534">
                  <w:pPr>
                    <w:widowControl/>
                    <w:jc w:val="center"/>
                    <w:textAlignment w:val="center"/>
                    <w:rPr>
                      <w:color w:val="auto"/>
                      <w:kern w:val="0"/>
                      <w:sz w:val="22"/>
                      <w:szCs w:val="22"/>
                      <w:lang w:bidi="ar"/>
                    </w:rPr>
                  </w:pPr>
                  <w:r>
                    <w:rPr>
                      <w:rFonts w:hint="eastAsia"/>
                      <w:color w:val="auto"/>
                      <w:kern w:val="0"/>
                      <w:sz w:val="22"/>
                      <w:szCs w:val="22"/>
                      <w:lang w:bidi="ar"/>
                    </w:rPr>
                    <w:t>委托处置</w:t>
                  </w:r>
                </w:p>
              </w:tc>
              <w:tc>
                <w:tcPr>
                  <w:tcW w:w="1396" w:type="dxa"/>
                  <w:vAlign w:val="center"/>
                </w:tcPr>
                <w:p w14:paraId="7A38BA2C">
                  <w:pPr>
                    <w:widowControl/>
                    <w:jc w:val="center"/>
                    <w:textAlignment w:val="center"/>
                    <w:rPr>
                      <w:color w:val="auto"/>
                      <w:kern w:val="0"/>
                      <w:sz w:val="22"/>
                      <w:szCs w:val="22"/>
                      <w:lang w:bidi="ar"/>
                    </w:rPr>
                  </w:pPr>
                  <w:r>
                    <w:rPr>
                      <w:color w:val="auto"/>
                      <w:kern w:val="0"/>
                      <w:sz w:val="22"/>
                      <w:szCs w:val="22"/>
                      <w:lang w:bidi="ar"/>
                    </w:rPr>
                    <w:t>交由市政环卫部门处理</w:t>
                  </w:r>
                </w:p>
              </w:tc>
              <w:tc>
                <w:tcPr>
                  <w:tcW w:w="808" w:type="dxa"/>
                  <w:vAlign w:val="center"/>
                </w:tcPr>
                <w:p w14:paraId="2BE83DCD">
                  <w:pPr>
                    <w:widowControl/>
                    <w:jc w:val="center"/>
                    <w:textAlignment w:val="center"/>
                    <w:rPr>
                      <w:color w:val="auto"/>
                      <w:kern w:val="0"/>
                      <w:sz w:val="22"/>
                      <w:szCs w:val="22"/>
                      <w:lang w:bidi="ar"/>
                    </w:rPr>
                  </w:pPr>
                  <w:r>
                    <w:rPr>
                      <w:rFonts w:hint="eastAsia"/>
                      <w:color w:val="auto"/>
                      <w:kern w:val="0"/>
                      <w:sz w:val="22"/>
                      <w:szCs w:val="22"/>
                      <w:lang w:bidi="ar"/>
                    </w:rPr>
                    <w:t>8.25</w:t>
                  </w:r>
                </w:p>
              </w:tc>
              <w:tc>
                <w:tcPr>
                  <w:tcW w:w="830" w:type="dxa"/>
                  <w:vAlign w:val="center"/>
                </w:tcPr>
                <w:p w14:paraId="06E1CD1F">
                  <w:pPr>
                    <w:widowControl/>
                    <w:jc w:val="center"/>
                    <w:textAlignment w:val="center"/>
                    <w:rPr>
                      <w:color w:val="auto"/>
                      <w:kern w:val="0"/>
                      <w:sz w:val="22"/>
                      <w:szCs w:val="22"/>
                      <w:lang w:bidi="ar"/>
                    </w:rPr>
                  </w:pPr>
                  <w:r>
                    <w:rPr>
                      <w:rFonts w:hint="eastAsia"/>
                      <w:color w:val="auto"/>
                      <w:kern w:val="0"/>
                      <w:sz w:val="22"/>
                      <w:szCs w:val="22"/>
                      <w:lang w:bidi="ar"/>
                    </w:rPr>
                    <w:t>0</w:t>
                  </w:r>
                </w:p>
              </w:tc>
            </w:tr>
          </w:tbl>
          <w:p w14:paraId="0407E5B3">
            <w:pPr>
              <w:pStyle w:val="136"/>
              <w:spacing w:line="460" w:lineRule="exact"/>
              <w:ind w:firstLine="520"/>
              <w:rPr>
                <w:color w:val="auto"/>
                <w:sz w:val="26"/>
                <w:szCs w:val="26"/>
              </w:rPr>
            </w:pPr>
            <w:r>
              <w:rPr>
                <w:color w:val="auto"/>
                <w:sz w:val="26"/>
                <w:szCs w:val="26"/>
              </w:rPr>
              <w:t>由表可知，博世氢动力系统（重庆）有限公司固体废弃物均得到了妥善处置，未造成二次污染。</w:t>
            </w:r>
          </w:p>
          <w:p w14:paraId="6F5CDA24">
            <w:pPr>
              <w:pStyle w:val="82"/>
              <w:spacing w:line="460" w:lineRule="exact"/>
              <w:ind w:firstLine="522"/>
              <w:rPr>
                <w:rFonts w:hint="default" w:ascii="Times New Roman" w:hAnsi="Times New Roman" w:eastAsia="宋体" w:cs="Times New Roman"/>
                <w:b/>
                <w:color w:val="auto"/>
                <w:lang w:val="en-US" w:eastAsia="zh-CN"/>
              </w:rPr>
            </w:pPr>
            <w:r>
              <w:rPr>
                <w:rFonts w:ascii="Times New Roman" w:hAnsi="Times New Roman" w:eastAsia="宋体" w:cs="Times New Roman"/>
                <w:b/>
                <w:color w:val="auto"/>
              </w:rPr>
              <w:t>2.1</w:t>
            </w:r>
            <w:r>
              <w:rPr>
                <w:rFonts w:hint="eastAsia" w:ascii="Times New Roman" w:hAnsi="Times New Roman" w:eastAsia="宋体" w:cs="Times New Roman"/>
                <w:b/>
                <w:color w:val="auto"/>
              </w:rPr>
              <w:t>4</w:t>
            </w:r>
            <w:r>
              <w:rPr>
                <w:rFonts w:hint="eastAsia" w:ascii="Times New Roman" w:hAnsi="Times New Roman" w:eastAsia="宋体" w:cs="Times New Roman"/>
                <w:b/>
                <w:color w:val="auto"/>
                <w:lang w:val="en-US" w:eastAsia="zh-CN"/>
              </w:rPr>
              <w:t>污染物排放量统计</w:t>
            </w:r>
          </w:p>
          <w:p w14:paraId="34E12FB0">
            <w:pPr>
              <w:pStyle w:val="136"/>
              <w:spacing w:line="460" w:lineRule="exact"/>
              <w:ind w:firstLine="520"/>
              <w:rPr>
                <w:rFonts w:hint="eastAsia"/>
                <w:color w:val="auto"/>
                <w:sz w:val="26"/>
                <w:szCs w:val="26"/>
                <w:lang w:val="en-US" w:eastAsia="zh-CN"/>
              </w:rPr>
            </w:pPr>
            <w:r>
              <w:rPr>
                <w:rFonts w:hint="eastAsia"/>
                <w:b w:val="0"/>
                <w:bCs w:val="0"/>
                <w:color w:val="auto"/>
                <w:sz w:val="26"/>
                <w:szCs w:val="26"/>
                <w:lang w:val="en-US" w:eastAsia="zh-CN"/>
              </w:rPr>
              <w:t>根据厂区</w:t>
            </w:r>
            <w:r>
              <w:rPr>
                <w:color w:val="auto"/>
                <w:sz w:val="26"/>
                <w:szCs w:val="26"/>
              </w:rPr>
              <w:t>氢燃料电池研发检测生产产线建设项目</w:t>
            </w:r>
            <w:r>
              <w:rPr>
                <w:rFonts w:hint="eastAsia"/>
                <w:color w:val="auto"/>
                <w:sz w:val="26"/>
                <w:szCs w:val="26"/>
                <w:lang w:val="en-US" w:eastAsia="zh-CN"/>
              </w:rPr>
              <w:t>环评及验收报告核算数据、</w:t>
            </w:r>
            <w:r>
              <w:rPr>
                <w:rFonts w:hint="eastAsia"/>
                <w:color w:val="auto"/>
                <w:sz w:val="26"/>
                <w:szCs w:val="26"/>
              </w:rPr>
              <w:t>重型电驱桥项目环评</w:t>
            </w:r>
            <w:r>
              <w:rPr>
                <w:rFonts w:hint="eastAsia"/>
                <w:color w:val="auto"/>
                <w:sz w:val="26"/>
                <w:szCs w:val="26"/>
                <w:lang w:val="en-US" w:eastAsia="zh-CN"/>
              </w:rPr>
              <w:t>数据，核算全厂废气、废水和固废“三废”的排放统计汇总见下表。</w:t>
            </w:r>
          </w:p>
          <w:p w14:paraId="1D82EF03">
            <w:pPr>
              <w:pStyle w:val="142"/>
              <w:spacing w:line="460" w:lineRule="exact"/>
              <w:rPr>
                <w:rFonts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rPr>
              <w:t>表</w:t>
            </w:r>
            <w:r>
              <w:rPr>
                <w:rFonts w:ascii="Times New Roman" w:hAnsi="Times New Roman" w:eastAsia="宋体" w:cs="Times New Roman"/>
                <w:color w:val="auto"/>
                <w:sz w:val="26"/>
                <w:szCs w:val="26"/>
              </w:rPr>
              <w:t>2.</w:t>
            </w:r>
            <w:r>
              <w:rPr>
                <w:rFonts w:hint="eastAsia" w:ascii="Times New Roman" w:hAnsi="Times New Roman" w:eastAsia="宋体" w:cs="Times New Roman"/>
                <w:color w:val="auto"/>
                <w:sz w:val="26"/>
                <w:szCs w:val="26"/>
                <w:lang w:val="en-US" w:eastAsia="zh-CN"/>
              </w:rPr>
              <w:t>14</w:t>
            </w:r>
            <w:r>
              <w:rPr>
                <w:rFonts w:ascii="Times New Roman" w:hAnsi="Times New Roman" w:eastAsia="宋体" w:cs="Times New Roman"/>
                <w:color w:val="auto"/>
                <w:sz w:val="26"/>
                <w:szCs w:val="26"/>
              </w:rPr>
              <w:t>-1</w:t>
            </w:r>
            <w:r>
              <w:rPr>
                <w:rFonts w:hint="eastAsia" w:eastAsia="宋体" w:cs="Times New Roman"/>
                <w:color w:val="auto"/>
                <w:sz w:val="26"/>
                <w:szCs w:val="26"/>
                <w:lang w:val="en-US" w:eastAsia="zh-CN"/>
              </w:rPr>
              <w:t xml:space="preserve">  </w:t>
            </w:r>
            <w:r>
              <w:rPr>
                <w:rFonts w:hint="eastAsia" w:ascii="Times New Roman" w:hAnsi="Times New Roman" w:eastAsia="宋体" w:cs="Times New Roman"/>
                <w:color w:val="auto"/>
                <w:sz w:val="26"/>
                <w:szCs w:val="26"/>
              </w:rPr>
              <w:t>现有工程污染物排放总量一览表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234"/>
              <w:gridCol w:w="1972"/>
              <w:gridCol w:w="2455"/>
            </w:tblGrid>
            <w:tr w14:paraId="0490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30" w:type="pct"/>
                  <w:vAlign w:val="center"/>
                </w:tcPr>
                <w:p w14:paraId="4318106B">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项目</w:t>
                  </w:r>
                </w:p>
              </w:tc>
              <w:tc>
                <w:tcPr>
                  <w:tcW w:w="1331" w:type="pct"/>
                  <w:vAlign w:val="center"/>
                </w:tcPr>
                <w:p w14:paraId="0D3AB9E8">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污染物</w:t>
                  </w:r>
                </w:p>
              </w:tc>
              <w:tc>
                <w:tcPr>
                  <w:tcW w:w="1175" w:type="pct"/>
                  <w:vAlign w:val="center"/>
                </w:tcPr>
                <w:p w14:paraId="20FAB560">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单位</w:t>
                  </w:r>
                </w:p>
              </w:tc>
              <w:tc>
                <w:tcPr>
                  <w:tcW w:w="1462" w:type="pct"/>
                  <w:vAlign w:val="center"/>
                </w:tcPr>
                <w:p w14:paraId="4D0CF147">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排放量</w:t>
                  </w:r>
                </w:p>
              </w:tc>
            </w:tr>
            <w:tr w14:paraId="41CF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0" w:type="pct"/>
                  <w:vAlign w:val="center"/>
                </w:tcPr>
                <w:p w14:paraId="11E9B4D2">
                  <w:pPr>
                    <w:widowControl/>
                    <w:jc w:val="center"/>
                    <w:textAlignment w:val="center"/>
                    <w:rPr>
                      <w:rFonts w:hint="eastAsia" w:ascii="Times New Roman" w:hAnsi="Times New Roman" w:eastAsia="宋体" w:cs="Times New Roman"/>
                      <w:color w:val="auto"/>
                      <w:kern w:val="0"/>
                      <w:sz w:val="22"/>
                      <w:szCs w:val="22"/>
                      <w:lang w:val="en-US" w:eastAsia="zh-CN" w:bidi="ar"/>
                    </w:rPr>
                  </w:pPr>
                  <w:r>
                    <w:rPr>
                      <w:rFonts w:hint="eastAsia" w:ascii="Times New Roman" w:hAnsi="Times New Roman" w:eastAsia="宋体" w:cs="Times New Roman"/>
                      <w:color w:val="auto"/>
                      <w:kern w:val="0"/>
                      <w:sz w:val="22"/>
                      <w:szCs w:val="22"/>
                      <w:lang w:val="en-US" w:eastAsia="zh-CN" w:bidi="ar"/>
                    </w:rPr>
                    <w:t>废气</w:t>
                  </w:r>
                </w:p>
              </w:tc>
              <w:tc>
                <w:tcPr>
                  <w:tcW w:w="1331" w:type="pct"/>
                  <w:vAlign w:val="center"/>
                </w:tcPr>
                <w:p w14:paraId="4DCAA6D8">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颗粒物</w:t>
                  </w:r>
                </w:p>
              </w:tc>
              <w:tc>
                <w:tcPr>
                  <w:tcW w:w="1175" w:type="pct"/>
                  <w:vAlign w:val="center"/>
                </w:tcPr>
                <w:p w14:paraId="726F7C0A">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1462" w:type="pct"/>
                  <w:vAlign w:val="center"/>
                </w:tcPr>
                <w:p w14:paraId="39F68817">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ascii="Times New Roman" w:hAnsi="Times New Roman" w:eastAsia="宋体" w:cs="Times New Roman"/>
                      <w:color w:val="auto"/>
                      <w:kern w:val="0"/>
                      <w:sz w:val="22"/>
                      <w:szCs w:val="22"/>
                      <w:lang w:val="en-US" w:eastAsia="zh-CN" w:bidi="ar"/>
                    </w:rPr>
                    <w:t>0.003</w:t>
                  </w:r>
                </w:p>
              </w:tc>
            </w:tr>
            <w:tr w14:paraId="130B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30" w:type="pct"/>
                  <w:vMerge w:val="restart"/>
                  <w:vAlign w:val="center"/>
                </w:tcPr>
                <w:p w14:paraId="5691873C">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废水</w:t>
                  </w:r>
                </w:p>
              </w:tc>
              <w:tc>
                <w:tcPr>
                  <w:tcW w:w="1331" w:type="pct"/>
                  <w:vAlign w:val="center"/>
                </w:tcPr>
                <w:p w14:paraId="27FDE689">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废水量</w:t>
                  </w:r>
                </w:p>
              </w:tc>
              <w:tc>
                <w:tcPr>
                  <w:tcW w:w="1175" w:type="pct"/>
                  <w:vAlign w:val="center"/>
                </w:tcPr>
                <w:p w14:paraId="5281D229">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万m</w:t>
                  </w:r>
                  <w:r>
                    <w:rPr>
                      <w:rFonts w:hint="eastAsia" w:ascii="Times New Roman" w:hAnsi="Times New Roman" w:eastAsia="宋体" w:cs="Times New Roman"/>
                      <w:color w:val="auto"/>
                      <w:kern w:val="0"/>
                      <w:sz w:val="22"/>
                      <w:szCs w:val="22"/>
                      <w:vertAlign w:val="superscript"/>
                      <w:lang w:bidi="ar"/>
                    </w:rPr>
                    <w:t>3</w:t>
                  </w:r>
                  <w:r>
                    <w:rPr>
                      <w:rFonts w:hint="eastAsia" w:ascii="Times New Roman" w:hAnsi="Times New Roman" w:eastAsia="宋体" w:cs="Times New Roman"/>
                      <w:color w:val="auto"/>
                      <w:kern w:val="0"/>
                      <w:sz w:val="22"/>
                      <w:szCs w:val="22"/>
                      <w:lang w:bidi="ar"/>
                    </w:rPr>
                    <w:t>/a</w:t>
                  </w:r>
                </w:p>
              </w:tc>
              <w:tc>
                <w:tcPr>
                  <w:tcW w:w="1462" w:type="pct"/>
                  <w:vAlign w:val="center"/>
                </w:tcPr>
                <w:p w14:paraId="5968582B">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color w:val="auto"/>
                      <w:kern w:val="0"/>
                      <w:sz w:val="22"/>
                      <w:szCs w:val="22"/>
                      <w:lang w:val="en-US" w:eastAsia="zh-CN" w:bidi="ar"/>
                    </w:rPr>
                    <w:t>1.1957</w:t>
                  </w:r>
                </w:p>
              </w:tc>
            </w:tr>
            <w:tr w14:paraId="467C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0" w:type="pct"/>
                  <w:vMerge w:val="continue"/>
                  <w:vAlign w:val="center"/>
                </w:tcPr>
                <w:p w14:paraId="3355A9F6">
                  <w:pPr>
                    <w:widowControl/>
                    <w:jc w:val="center"/>
                    <w:textAlignment w:val="center"/>
                    <w:rPr>
                      <w:rFonts w:hint="eastAsia" w:ascii="Times New Roman" w:hAnsi="Times New Roman" w:eastAsia="宋体" w:cs="Times New Roman"/>
                      <w:color w:val="auto"/>
                      <w:kern w:val="0"/>
                      <w:sz w:val="22"/>
                      <w:szCs w:val="22"/>
                      <w:lang w:bidi="ar"/>
                    </w:rPr>
                  </w:pPr>
                </w:p>
              </w:tc>
              <w:tc>
                <w:tcPr>
                  <w:tcW w:w="1331" w:type="pct"/>
                  <w:vAlign w:val="center"/>
                </w:tcPr>
                <w:p w14:paraId="7866110A">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COD</w:t>
                  </w:r>
                </w:p>
              </w:tc>
              <w:tc>
                <w:tcPr>
                  <w:tcW w:w="1175" w:type="pct"/>
                  <w:vAlign w:val="center"/>
                </w:tcPr>
                <w:p w14:paraId="7EA8A231">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2455" w:type="dxa"/>
                  <w:vAlign w:val="center"/>
                </w:tcPr>
                <w:p w14:paraId="266331DB">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5.978 </w:t>
                  </w:r>
                </w:p>
              </w:tc>
            </w:tr>
            <w:tr w14:paraId="1CE5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0" w:type="pct"/>
                  <w:vMerge w:val="continue"/>
                  <w:vAlign w:val="center"/>
                </w:tcPr>
                <w:p w14:paraId="2CD698C0">
                  <w:pPr>
                    <w:widowControl/>
                    <w:jc w:val="center"/>
                    <w:textAlignment w:val="center"/>
                    <w:rPr>
                      <w:rFonts w:hint="eastAsia" w:ascii="Times New Roman" w:hAnsi="Times New Roman" w:eastAsia="宋体" w:cs="Times New Roman"/>
                      <w:color w:val="auto"/>
                      <w:kern w:val="0"/>
                      <w:sz w:val="22"/>
                      <w:szCs w:val="22"/>
                      <w:lang w:bidi="ar"/>
                    </w:rPr>
                  </w:pPr>
                </w:p>
              </w:tc>
              <w:tc>
                <w:tcPr>
                  <w:tcW w:w="1331" w:type="pct"/>
                  <w:vAlign w:val="center"/>
                </w:tcPr>
                <w:p w14:paraId="3FAEC71B">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BOD</w:t>
                  </w:r>
                  <w:r>
                    <w:rPr>
                      <w:rFonts w:hint="eastAsia" w:ascii="Times New Roman" w:hAnsi="Times New Roman" w:eastAsia="宋体" w:cs="Times New Roman"/>
                      <w:color w:val="auto"/>
                      <w:kern w:val="0"/>
                      <w:sz w:val="22"/>
                      <w:szCs w:val="22"/>
                      <w:vertAlign w:val="subscript"/>
                      <w:lang w:bidi="ar"/>
                    </w:rPr>
                    <w:t>5</w:t>
                  </w:r>
                </w:p>
              </w:tc>
              <w:tc>
                <w:tcPr>
                  <w:tcW w:w="1175" w:type="pct"/>
                  <w:vAlign w:val="center"/>
                </w:tcPr>
                <w:p w14:paraId="2F1929FB">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2455" w:type="dxa"/>
                  <w:vAlign w:val="center"/>
                </w:tcPr>
                <w:p w14:paraId="736C4D7C">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3.587 </w:t>
                  </w:r>
                </w:p>
              </w:tc>
            </w:tr>
            <w:tr w14:paraId="4D91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0" w:type="pct"/>
                  <w:vMerge w:val="continue"/>
                  <w:vAlign w:val="center"/>
                </w:tcPr>
                <w:p w14:paraId="2AF6FCCC">
                  <w:pPr>
                    <w:widowControl/>
                    <w:jc w:val="center"/>
                    <w:textAlignment w:val="center"/>
                    <w:rPr>
                      <w:rFonts w:hint="eastAsia" w:ascii="Times New Roman" w:hAnsi="Times New Roman" w:eastAsia="宋体" w:cs="Times New Roman"/>
                      <w:color w:val="auto"/>
                      <w:kern w:val="0"/>
                      <w:sz w:val="22"/>
                      <w:szCs w:val="22"/>
                      <w:lang w:bidi="ar"/>
                    </w:rPr>
                  </w:pPr>
                </w:p>
              </w:tc>
              <w:tc>
                <w:tcPr>
                  <w:tcW w:w="1331" w:type="pct"/>
                  <w:vAlign w:val="center"/>
                </w:tcPr>
                <w:p w14:paraId="604CF061">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SS</w:t>
                  </w:r>
                </w:p>
              </w:tc>
              <w:tc>
                <w:tcPr>
                  <w:tcW w:w="1175" w:type="pct"/>
                  <w:vAlign w:val="center"/>
                </w:tcPr>
                <w:p w14:paraId="02AEA404">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2455" w:type="dxa"/>
                  <w:vAlign w:val="center"/>
                </w:tcPr>
                <w:p w14:paraId="00D6DAB7">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4.783 </w:t>
                  </w:r>
                </w:p>
              </w:tc>
            </w:tr>
            <w:tr w14:paraId="04BA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0" w:type="pct"/>
                  <w:vMerge w:val="continue"/>
                  <w:vAlign w:val="center"/>
                </w:tcPr>
                <w:p w14:paraId="59589FD0">
                  <w:pPr>
                    <w:widowControl/>
                    <w:jc w:val="center"/>
                    <w:textAlignment w:val="center"/>
                    <w:rPr>
                      <w:rFonts w:hint="eastAsia" w:ascii="Times New Roman" w:hAnsi="Times New Roman" w:eastAsia="宋体" w:cs="Times New Roman"/>
                      <w:color w:val="auto"/>
                      <w:kern w:val="0"/>
                      <w:sz w:val="22"/>
                      <w:szCs w:val="22"/>
                      <w:lang w:bidi="ar"/>
                    </w:rPr>
                  </w:pPr>
                </w:p>
              </w:tc>
              <w:tc>
                <w:tcPr>
                  <w:tcW w:w="1331" w:type="pct"/>
                  <w:vAlign w:val="center"/>
                </w:tcPr>
                <w:p w14:paraId="37F7CE3F">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氨氮</w:t>
                  </w:r>
                </w:p>
              </w:tc>
              <w:tc>
                <w:tcPr>
                  <w:tcW w:w="1175" w:type="pct"/>
                  <w:vAlign w:val="center"/>
                </w:tcPr>
                <w:p w14:paraId="38B01F01">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2455" w:type="dxa"/>
                  <w:vAlign w:val="center"/>
                </w:tcPr>
                <w:p w14:paraId="57A23437">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0.538 </w:t>
                  </w:r>
                </w:p>
              </w:tc>
            </w:tr>
            <w:tr w14:paraId="70D7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0" w:type="pct"/>
                  <w:vMerge w:val="continue"/>
                  <w:vAlign w:val="center"/>
                </w:tcPr>
                <w:p w14:paraId="281E572B">
                  <w:pPr>
                    <w:widowControl/>
                    <w:jc w:val="center"/>
                    <w:textAlignment w:val="center"/>
                    <w:rPr>
                      <w:rFonts w:hint="eastAsia" w:ascii="Times New Roman" w:hAnsi="Times New Roman" w:eastAsia="宋体" w:cs="Times New Roman"/>
                      <w:color w:val="auto"/>
                      <w:kern w:val="0"/>
                      <w:sz w:val="22"/>
                      <w:szCs w:val="22"/>
                      <w:lang w:bidi="ar"/>
                    </w:rPr>
                  </w:pPr>
                </w:p>
              </w:tc>
              <w:tc>
                <w:tcPr>
                  <w:tcW w:w="1331" w:type="pct"/>
                  <w:vAlign w:val="center"/>
                </w:tcPr>
                <w:p w14:paraId="2F02DA79">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动植物油</w:t>
                  </w:r>
                </w:p>
              </w:tc>
              <w:tc>
                <w:tcPr>
                  <w:tcW w:w="1175" w:type="pct"/>
                  <w:vAlign w:val="center"/>
                </w:tcPr>
                <w:p w14:paraId="1B84233C">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2455" w:type="dxa"/>
                  <w:vAlign w:val="center"/>
                </w:tcPr>
                <w:p w14:paraId="37486F04">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0.418 </w:t>
                  </w:r>
                </w:p>
              </w:tc>
            </w:tr>
            <w:tr w14:paraId="2FC5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0" w:type="pct"/>
                  <w:vMerge w:val="restart"/>
                  <w:vAlign w:val="center"/>
                </w:tcPr>
                <w:p w14:paraId="7E34D777">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固废（产生量）</w:t>
                  </w:r>
                </w:p>
              </w:tc>
              <w:tc>
                <w:tcPr>
                  <w:tcW w:w="1331" w:type="pct"/>
                  <w:vAlign w:val="center"/>
                </w:tcPr>
                <w:p w14:paraId="4C3ADF0D">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危险固废</w:t>
                  </w:r>
                </w:p>
              </w:tc>
              <w:tc>
                <w:tcPr>
                  <w:tcW w:w="1175" w:type="pct"/>
                  <w:vAlign w:val="center"/>
                </w:tcPr>
                <w:p w14:paraId="098BC214">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1462" w:type="pct"/>
                  <w:vAlign w:val="center"/>
                </w:tcPr>
                <w:p w14:paraId="51A13043">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ascii="Times New Roman" w:hAnsi="Times New Roman" w:eastAsia="宋体" w:cs="Times New Roman"/>
                      <w:color w:val="auto"/>
                      <w:kern w:val="0"/>
                      <w:sz w:val="22"/>
                      <w:szCs w:val="22"/>
                      <w:lang w:val="en-US" w:eastAsia="zh-CN" w:bidi="ar"/>
                    </w:rPr>
                    <w:t>29.536</w:t>
                  </w:r>
                </w:p>
              </w:tc>
            </w:tr>
            <w:tr w14:paraId="5870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0" w:type="pct"/>
                  <w:vMerge w:val="continue"/>
                  <w:vAlign w:val="center"/>
                </w:tcPr>
                <w:p w14:paraId="421864EA">
                  <w:pPr>
                    <w:widowControl/>
                    <w:jc w:val="center"/>
                    <w:textAlignment w:val="center"/>
                    <w:rPr>
                      <w:rFonts w:hint="eastAsia" w:ascii="Times New Roman" w:hAnsi="Times New Roman" w:eastAsia="宋体" w:cs="Times New Roman"/>
                      <w:color w:val="auto"/>
                      <w:kern w:val="0"/>
                      <w:sz w:val="22"/>
                      <w:szCs w:val="22"/>
                      <w:lang w:bidi="ar"/>
                    </w:rPr>
                  </w:pPr>
                </w:p>
              </w:tc>
              <w:tc>
                <w:tcPr>
                  <w:tcW w:w="1331" w:type="pct"/>
                  <w:vAlign w:val="center"/>
                </w:tcPr>
                <w:p w14:paraId="3CE444D7">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一般工业固废</w:t>
                  </w:r>
                </w:p>
              </w:tc>
              <w:tc>
                <w:tcPr>
                  <w:tcW w:w="1175" w:type="pct"/>
                  <w:vAlign w:val="center"/>
                </w:tcPr>
                <w:p w14:paraId="1C31D229">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1462" w:type="pct"/>
                  <w:vAlign w:val="center"/>
                </w:tcPr>
                <w:p w14:paraId="3E583182">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ascii="Times New Roman" w:hAnsi="Times New Roman" w:eastAsia="宋体" w:cs="Times New Roman"/>
                      <w:color w:val="auto"/>
                      <w:kern w:val="0"/>
                      <w:sz w:val="22"/>
                      <w:szCs w:val="22"/>
                      <w:lang w:val="en-US" w:eastAsia="zh-CN" w:bidi="ar"/>
                    </w:rPr>
                    <w:t>43.8</w:t>
                  </w:r>
                </w:p>
              </w:tc>
            </w:tr>
            <w:tr w14:paraId="0C16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0" w:type="pct"/>
                  <w:vMerge w:val="continue"/>
                  <w:vAlign w:val="center"/>
                </w:tcPr>
                <w:p w14:paraId="5DD83A60">
                  <w:pPr>
                    <w:widowControl/>
                    <w:jc w:val="center"/>
                    <w:textAlignment w:val="center"/>
                    <w:rPr>
                      <w:rFonts w:hint="eastAsia" w:ascii="Times New Roman" w:hAnsi="Times New Roman" w:eastAsia="宋体" w:cs="Times New Roman"/>
                      <w:color w:val="auto"/>
                      <w:kern w:val="0"/>
                      <w:sz w:val="22"/>
                      <w:szCs w:val="22"/>
                      <w:lang w:bidi="ar"/>
                    </w:rPr>
                  </w:pPr>
                </w:p>
              </w:tc>
              <w:tc>
                <w:tcPr>
                  <w:tcW w:w="1331" w:type="pct"/>
                  <w:vAlign w:val="center"/>
                </w:tcPr>
                <w:p w14:paraId="4B44686A">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生活垃圾</w:t>
                  </w:r>
                </w:p>
              </w:tc>
              <w:tc>
                <w:tcPr>
                  <w:tcW w:w="1175" w:type="pct"/>
                  <w:vAlign w:val="center"/>
                </w:tcPr>
                <w:p w14:paraId="1A6687CC">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1462" w:type="pct"/>
                  <w:vAlign w:val="center"/>
                </w:tcPr>
                <w:p w14:paraId="6A74560D">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ascii="Times New Roman" w:hAnsi="Times New Roman" w:eastAsia="宋体" w:cs="Times New Roman"/>
                      <w:color w:val="auto"/>
                      <w:kern w:val="0"/>
                      <w:sz w:val="22"/>
                      <w:szCs w:val="22"/>
                      <w:lang w:val="en-US" w:eastAsia="zh-CN" w:bidi="ar"/>
                    </w:rPr>
                    <w:t>27.75</w:t>
                  </w:r>
                </w:p>
              </w:tc>
            </w:tr>
            <w:tr w14:paraId="2583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0" w:type="pct"/>
                  <w:vMerge w:val="continue"/>
                  <w:vAlign w:val="center"/>
                </w:tcPr>
                <w:p w14:paraId="2AFC6262">
                  <w:pPr>
                    <w:widowControl/>
                    <w:jc w:val="center"/>
                    <w:textAlignment w:val="center"/>
                    <w:rPr>
                      <w:rFonts w:hint="eastAsia" w:ascii="Times New Roman" w:hAnsi="Times New Roman" w:eastAsia="宋体" w:cs="Times New Roman"/>
                      <w:color w:val="auto"/>
                      <w:kern w:val="0"/>
                      <w:sz w:val="22"/>
                      <w:szCs w:val="22"/>
                      <w:lang w:bidi="ar"/>
                    </w:rPr>
                  </w:pPr>
                </w:p>
              </w:tc>
              <w:tc>
                <w:tcPr>
                  <w:tcW w:w="1331" w:type="pct"/>
                  <w:vAlign w:val="center"/>
                </w:tcPr>
                <w:p w14:paraId="782D4FEE">
                  <w:pPr>
                    <w:widowControl/>
                    <w:jc w:val="center"/>
                    <w:textAlignment w:val="center"/>
                    <w:rPr>
                      <w:rFonts w:hint="eastAsia" w:ascii="Times New Roman" w:hAnsi="Times New Roman" w:eastAsia="宋体" w:cs="Times New Roman"/>
                      <w:color w:val="auto"/>
                      <w:kern w:val="0"/>
                      <w:sz w:val="22"/>
                      <w:szCs w:val="22"/>
                      <w:lang w:val="en-US" w:eastAsia="zh-CN" w:bidi="ar"/>
                    </w:rPr>
                  </w:pPr>
                  <w:r>
                    <w:rPr>
                      <w:rFonts w:hint="eastAsia" w:ascii="Times New Roman" w:hAnsi="Times New Roman" w:eastAsia="宋体" w:cs="Times New Roman"/>
                      <w:color w:val="auto"/>
                      <w:kern w:val="0"/>
                      <w:sz w:val="22"/>
                      <w:szCs w:val="22"/>
                      <w:lang w:val="en-US" w:eastAsia="zh-CN" w:bidi="ar"/>
                    </w:rPr>
                    <w:t>餐厨垃圾</w:t>
                  </w:r>
                </w:p>
              </w:tc>
              <w:tc>
                <w:tcPr>
                  <w:tcW w:w="1175" w:type="pct"/>
                  <w:vAlign w:val="center"/>
                </w:tcPr>
                <w:p w14:paraId="0A51E25C">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t/a</w:t>
                  </w:r>
                </w:p>
              </w:tc>
              <w:tc>
                <w:tcPr>
                  <w:tcW w:w="1462" w:type="pct"/>
                  <w:vAlign w:val="center"/>
                </w:tcPr>
                <w:p w14:paraId="163A74A3">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ascii="Times New Roman" w:hAnsi="Times New Roman" w:eastAsia="宋体" w:cs="Times New Roman"/>
                      <w:color w:val="auto"/>
                      <w:kern w:val="0"/>
                      <w:sz w:val="22"/>
                      <w:szCs w:val="22"/>
                      <w:lang w:val="en-US" w:eastAsia="zh-CN" w:bidi="ar"/>
                    </w:rPr>
                    <w:t>23.625</w:t>
                  </w:r>
                </w:p>
              </w:tc>
            </w:tr>
          </w:tbl>
          <w:p w14:paraId="03345F65">
            <w:pPr>
              <w:pStyle w:val="82"/>
              <w:spacing w:line="460" w:lineRule="exact"/>
              <w:ind w:firstLine="522"/>
              <w:rPr>
                <w:rFonts w:ascii="Times New Roman" w:hAnsi="Times New Roman" w:eastAsia="宋体" w:cs="Times New Roman"/>
                <w:b/>
                <w:color w:val="auto"/>
              </w:rPr>
            </w:pPr>
            <w:r>
              <w:rPr>
                <w:rFonts w:ascii="Times New Roman" w:hAnsi="Times New Roman" w:eastAsia="宋体" w:cs="Times New Roman"/>
                <w:b/>
                <w:color w:val="auto"/>
              </w:rPr>
              <w:t>2.1</w:t>
            </w:r>
            <w:r>
              <w:rPr>
                <w:rFonts w:hint="eastAsia" w:ascii="Times New Roman" w:hAnsi="Times New Roman" w:eastAsia="宋体" w:cs="Times New Roman"/>
                <w:b/>
                <w:color w:val="auto"/>
                <w:lang w:val="en-US" w:eastAsia="zh-CN"/>
              </w:rPr>
              <w:t>5</w:t>
            </w:r>
            <w:r>
              <w:rPr>
                <w:rFonts w:ascii="Times New Roman" w:hAnsi="Times New Roman" w:eastAsia="宋体" w:cs="Times New Roman"/>
                <w:b/>
                <w:color w:val="auto"/>
              </w:rPr>
              <w:t>现有</w:t>
            </w:r>
            <w:r>
              <w:rPr>
                <w:rFonts w:hint="eastAsia" w:ascii="Times New Roman" w:hAnsi="Times New Roman" w:eastAsia="宋体" w:cs="Times New Roman"/>
                <w:b/>
                <w:color w:val="auto"/>
                <w:lang w:val="en-US" w:eastAsia="zh-CN"/>
              </w:rPr>
              <w:t>项目</w:t>
            </w:r>
            <w:r>
              <w:rPr>
                <w:rFonts w:ascii="Times New Roman" w:hAnsi="Times New Roman" w:eastAsia="宋体" w:cs="Times New Roman"/>
                <w:b/>
                <w:color w:val="auto"/>
              </w:rPr>
              <w:t>环境</w:t>
            </w:r>
            <w:r>
              <w:rPr>
                <w:rFonts w:hint="eastAsia" w:ascii="Times New Roman" w:hAnsi="Times New Roman" w:eastAsia="宋体" w:cs="Times New Roman"/>
                <w:b/>
                <w:color w:val="auto"/>
              </w:rPr>
              <w:t>监测情况</w:t>
            </w:r>
          </w:p>
          <w:p w14:paraId="40B1E239">
            <w:pPr>
              <w:pStyle w:val="136"/>
              <w:spacing w:line="460" w:lineRule="exact"/>
              <w:ind w:firstLine="520"/>
              <w:rPr>
                <w:color w:val="auto"/>
                <w:sz w:val="26"/>
                <w:szCs w:val="26"/>
              </w:rPr>
            </w:pPr>
            <w:r>
              <w:rPr>
                <w:rFonts w:hint="eastAsia"/>
                <w:color w:val="auto"/>
                <w:sz w:val="26"/>
                <w:szCs w:val="26"/>
                <w:lang w:eastAsia="zh-Hans"/>
              </w:rPr>
              <w:t>根据调查</w:t>
            </w:r>
            <w:r>
              <w:rPr>
                <w:color w:val="auto"/>
                <w:sz w:val="26"/>
                <w:szCs w:val="26"/>
                <w:lang w:eastAsia="zh-Hans"/>
              </w:rPr>
              <w:t>，</w:t>
            </w:r>
            <w:r>
              <w:rPr>
                <w:rFonts w:hint="eastAsia"/>
                <w:color w:val="auto"/>
                <w:sz w:val="26"/>
                <w:szCs w:val="26"/>
                <w:lang w:val="en-US" w:eastAsia="zh-CN"/>
              </w:rPr>
              <w:t>企业</w:t>
            </w:r>
            <w:r>
              <w:rPr>
                <w:rFonts w:hint="eastAsia"/>
                <w:color w:val="auto"/>
                <w:sz w:val="26"/>
                <w:szCs w:val="26"/>
              </w:rPr>
              <w:t>已取得</w:t>
            </w:r>
            <w:r>
              <w:rPr>
                <w:rFonts w:hint="eastAsia"/>
                <w:color w:val="auto"/>
                <w:sz w:val="26"/>
                <w:szCs w:val="26"/>
                <w:lang w:eastAsia="zh-Hans"/>
              </w:rPr>
              <w:t>排污许可证</w:t>
            </w:r>
            <w:r>
              <w:rPr>
                <w:color w:val="auto"/>
                <w:sz w:val="26"/>
                <w:szCs w:val="26"/>
                <w:lang w:eastAsia="zh-Hans"/>
              </w:rPr>
              <w:t>（</w:t>
            </w:r>
            <w:r>
              <w:rPr>
                <w:rFonts w:hint="eastAsia"/>
                <w:color w:val="auto"/>
                <w:sz w:val="26"/>
                <w:szCs w:val="26"/>
                <w:lang w:eastAsia="zh-Hans"/>
              </w:rPr>
              <w:t>编号</w:t>
            </w:r>
            <w:r>
              <w:rPr>
                <w:color w:val="auto"/>
                <w:sz w:val="26"/>
                <w:szCs w:val="26"/>
              </w:rPr>
              <w:t>91500107MA61QANH34002U）</w:t>
            </w:r>
            <w:r>
              <w:rPr>
                <w:rFonts w:hint="eastAsia"/>
                <w:color w:val="auto"/>
                <w:sz w:val="26"/>
                <w:szCs w:val="26"/>
                <w:lang w:eastAsia="zh-CN"/>
              </w:rPr>
              <w:t>，</w:t>
            </w:r>
            <w:r>
              <w:rPr>
                <w:rFonts w:hint="eastAsia"/>
                <w:color w:val="auto"/>
                <w:sz w:val="26"/>
                <w:szCs w:val="26"/>
                <w:lang w:val="en-US" w:eastAsia="zh-CN"/>
              </w:rPr>
              <w:t>企业</w:t>
            </w:r>
            <w:r>
              <w:rPr>
                <w:rFonts w:hint="eastAsia"/>
                <w:color w:val="auto"/>
                <w:sz w:val="26"/>
                <w:szCs w:val="26"/>
              </w:rPr>
              <w:t>按照</w:t>
            </w:r>
            <w:r>
              <w:rPr>
                <w:rFonts w:hint="eastAsia"/>
                <w:color w:val="auto"/>
                <w:sz w:val="26"/>
                <w:szCs w:val="26"/>
                <w:lang w:eastAsia="zh-Hans"/>
              </w:rPr>
              <w:t>相关规定进行自行监测并填报</w:t>
            </w:r>
            <w:r>
              <w:rPr>
                <w:color w:val="auto"/>
                <w:sz w:val="26"/>
                <w:szCs w:val="26"/>
              </w:rPr>
              <w:t>排污许可证执行报告</w:t>
            </w:r>
            <w:r>
              <w:rPr>
                <w:rFonts w:hint="eastAsia"/>
                <w:color w:val="auto"/>
                <w:sz w:val="26"/>
                <w:szCs w:val="26"/>
                <w:lang w:eastAsia="zh-CN"/>
              </w:rPr>
              <w:t>：</w:t>
            </w:r>
            <w:r>
              <w:rPr>
                <w:rFonts w:hint="eastAsia"/>
                <w:color w:val="auto"/>
                <w:sz w:val="26"/>
                <w:szCs w:val="26"/>
                <w:lang w:val="en-US" w:eastAsia="zh-CN"/>
              </w:rPr>
              <w:t>项目噪声、废水每季度监测一次</w:t>
            </w:r>
            <w:r>
              <w:rPr>
                <w:rFonts w:hint="eastAsia"/>
                <w:color w:val="auto"/>
                <w:sz w:val="26"/>
                <w:szCs w:val="26"/>
                <w:lang w:eastAsia="zh-CN"/>
              </w:rPr>
              <w:t>，</w:t>
            </w:r>
            <w:r>
              <w:rPr>
                <w:rFonts w:hint="eastAsia"/>
                <w:color w:val="auto"/>
                <w:sz w:val="26"/>
                <w:szCs w:val="26"/>
                <w:lang w:val="en-US" w:eastAsia="zh-CN"/>
              </w:rPr>
              <w:t>有组织废气食堂油烟及非甲烷总烃、无组织废气非甲烷总烃按照每年监测一次，最近一次自行监测时间为2024年12月9日</w:t>
            </w:r>
            <w:r>
              <w:rPr>
                <w:rFonts w:hint="eastAsia"/>
                <w:color w:val="auto"/>
                <w:sz w:val="26"/>
                <w:szCs w:val="26"/>
              </w:rPr>
              <w:t>。</w:t>
            </w:r>
          </w:p>
          <w:p w14:paraId="6500D4EF">
            <w:pPr>
              <w:pStyle w:val="82"/>
              <w:spacing w:line="460" w:lineRule="exact"/>
              <w:ind w:firstLine="522"/>
              <w:rPr>
                <w:b/>
                <w:color w:val="auto"/>
              </w:rPr>
            </w:pPr>
            <w:r>
              <w:rPr>
                <w:b/>
                <w:color w:val="auto"/>
              </w:rPr>
              <w:t>2.1</w:t>
            </w:r>
            <w:r>
              <w:rPr>
                <w:rFonts w:hint="eastAsia"/>
                <w:b/>
                <w:color w:val="auto"/>
                <w:lang w:val="en-US" w:eastAsia="zh-CN"/>
              </w:rPr>
              <w:t>6</w:t>
            </w:r>
            <w:r>
              <w:rPr>
                <w:b/>
                <w:color w:val="auto"/>
              </w:rPr>
              <w:t>企业现有环境问题及整改方案</w:t>
            </w:r>
          </w:p>
          <w:p w14:paraId="56AC4512">
            <w:pPr>
              <w:pStyle w:val="136"/>
              <w:spacing w:line="460" w:lineRule="exact"/>
              <w:ind w:firstLine="520"/>
              <w:rPr>
                <w:b/>
                <w:color w:val="auto"/>
              </w:rPr>
            </w:pPr>
            <w:r>
              <w:rPr>
                <w:rFonts w:hint="eastAsia"/>
                <w:color w:val="auto"/>
                <w:sz w:val="26"/>
                <w:szCs w:val="26"/>
              </w:rPr>
              <w:t>目前，“</w:t>
            </w:r>
            <w:r>
              <w:rPr>
                <w:color w:val="auto"/>
                <w:sz w:val="26"/>
                <w:szCs w:val="26"/>
              </w:rPr>
              <w:t>氢燃料电池研发检测生产产线建设项目</w:t>
            </w:r>
            <w:r>
              <w:rPr>
                <w:rFonts w:hint="eastAsia"/>
                <w:color w:val="auto"/>
                <w:sz w:val="26"/>
                <w:szCs w:val="26"/>
              </w:rPr>
              <w:t>”</w:t>
            </w:r>
            <w:r>
              <w:rPr>
                <w:rFonts w:hint="eastAsia"/>
                <w:color w:val="auto"/>
                <w:sz w:val="26"/>
                <w:szCs w:val="26"/>
                <w:lang w:eastAsia="zh-CN"/>
              </w:rPr>
              <w:t>、</w:t>
            </w:r>
            <w:r>
              <w:rPr>
                <w:rFonts w:hint="eastAsia"/>
                <w:color w:val="auto"/>
                <w:sz w:val="26"/>
                <w:szCs w:val="26"/>
              </w:rPr>
              <w:t>“重型电驱桥项目”</w:t>
            </w:r>
            <w:r>
              <w:rPr>
                <w:rFonts w:hint="eastAsia"/>
                <w:color w:val="auto"/>
                <w:sz w:val="26"/>
                <w:szCs w:val="26"/>
                <w:lang w:val="en-US" w:eastAsia="zh-CN"/>
              </w:rPr>
              <w:t>均已</w:t>
            </w:r>
            <w:r>
              <w:rPr>
                <w:rFonts w:hint="eastAsia"/>
                <w:color w:val="auto"/>
                <w:sz w:val="26"/>
                <w:szCs w:val="26"/>
              </w:rPr>
              <w:t>完成验收，</w:t>
            </w:r>
            <w:r>
              <w:rPr>
                <w:rFonts w:hint="eastAsia"/>
                <w:color w:val="auto"/>
                <w:sz w:val="26"/>
                <w:szCs w:val="26"/>
                <w:lang w:val="en-US" w:eastAsia="zh-CN"/>
              </w:rPr>
              <w:t>企业</w:t>
            </w:r>
            <w:r>
              <w:rPr>
                <w:color w:val="auto"/>
                <w:sz w:val="26"/>
                <w:szCs w:val="26"/>
              </w:rPr>
              <w:t>各项环保措施运行情况良好，生产至今未发生过环保投诉或突发环境事件。企业在</w:t>
            </w:r>
            <w:r>
              <w:rPr>
                <w:rFonts w:hint="eastAsia"/>
                <w:color w:val="auto"/>
                <w:sz w:val="26"/>
                <w:szCs w:val="26"/>
              </w:rPr>
              <w:t>建设、</w:t>
            </w:r>
            <w:r>
              <w:rPr>
                <w:color w:val="auto"/>
                <w:sz w:val="26"/>
                <w:szCs w:val="26"/>
              </w:rPr>
              <w:t>运营过程中应加强危废管理，按照要求严格落实危险废物的收集、暂存和处置措施</w:t>
            </w:r>
            <w:r>
              <w:rPr>
                <w:rFonts w:hint="eastAsia"/>
                <w:color w:val="auto"/>
                <w:sz w:val="26"/>
                <w:szCs w:val="26"/>
              </w:rPr>
              <w:t>。</w:t>
            </w:r>
          </w:p>
        </w:tc>
      </w:tr>
    </w:tbl>
    <w:p w14:paraId="033E1641">
      <w:pPr>
        <w:pStyle w:val="27"/>
        <w:jc w:val="center"/>
        <w:rPr>
          <w:rFonts w:ascii="黑体" w:hAnsi="黑体" w:eastAsia="黑体"/>
          <w:snapToGrid w:val="0"/>
          <w:sz w:val="36"/>
          <w:szCs w:val="36"/>
        </w:rPr>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83E39EE">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4B5BE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00" w:type="dxa"/>
            <w:vAlign w:val="center"/>
          </w:tcPr>
          <w:p w14:paraId="20997803">
            <w:pPr>
              <w:adjustRightInd w:val="0"/>
              <w:snapToGrid w:val="0"/>
              <w:jc w:val="center"/>
              <w:rPr>
                <w:rFonts w:ascii="宋体" w:hAnsi="宋体" w:cs="宋体"/>
                <w:kern w:val="0"/>
                <w:sz w:val="26"/>
              </w:rPr>
            </w:pPr>
            <w:r>
              <w:rPr>
                <w:rFonts w:hint="eastAsia" w:ascii="宋体" w:hAnsi="宋体" w:cs="宋体"/>
                <w:kern w:val="0"/>
                <w:sz w:val="26"/>
              </w:rPr>
              <w:t>区域</w:t>
            </w:r>
          </w:p>
          <w:p w14:paraId="05864CC6">
            <w:pPr>
              <w:adjustRightInd w:val="0"/>
              <w:snapToGrid w:val="0"/>
              <w:jc w:val="center"/>
              <w:rPr>
                <w:rFonts w:ascii="宋体" w:hAnsi="宋体" w:cs="宋体"/>
                <w:kern w:val="0"/>
                <w:sz w:val="26"/>
              </w:rPr>
            </w:pPr>
            <w:r>
              <w:rPr>
                <w:rFonts w:hint="eastAsia" w:ascii="宋体" w:hAnsi="宋体" w:cs="宋体"/>
                <w:kern w:val="0"/>
                <w:sz w:val="26"/>
              </w:rPr>
              <w:t>环境</w:t>
            </w:r>
          </w:p>
          <w:p w14:paraId="62451131">
            <w:pPr>
              <w:adjustRightInd w:val="0"/>
              <w:snapToGrid w:val="0"/>
              <w:jc w:val="center"/>
              <w:rPr>
                <w:rFonts w:ascii="宋体" w:hAnsi="宋体" w:cs="宋体"/>
                <w:kern w:val="0"/>
                <w:sz w:val="26"/>
              </w:rPr>
            </w:pPr>
            <w:r>
              <w:rPr>
                <w:rFonts w:hint="eastAsia" w:ascii="宋体" w:hAnsi="宋体" w:cs="宋体"/>
                <w:kern w:val="0"/>
                <w:sz w:val="26"/>
              </w:rPr>
              <w:t>质量</w:t>
            </w:r>
          </w:p>
          <w:p w14:paraId="505215E2">
            <w:pPr>
              <w:adjustRightInd w:val="0"/>
              <w:snapToGrid w:val="0"/>
              <w:jc w:val="center"/>
              <w:rPr>
                <w:rFonts w:ascii="宋体" w:hAnsi="宋体" w:cs="宋体"/>
                <w:kern w:val="0"/>
                <w:sz w:val="26"/>
              </w:rPr>
            </w:pPr>
            <w:r>
              <w:rPr>
                <w:rFonts w:hint="eastAsia" w:ascii="宋体" w:hAnsi="宋体" w:cs="宋体"/>
                <w:kern w:val="0"/>
                <w:sz w:val="26"/>
              </w:rPr>
              <w:t>现状</w:t>
            </w:r>
          </w:p>
        </w:tc>
        <w:tc>
          <w:tcPr>
            <w:tcW w:w="8190" w:type="dxa"/>
            <w:vAlign w:val="center"/>
          </w:tcPr>
          <w:p w14:paraId="6CE0E484">
            <w:pPr>
              <w:pStyle w:val="82"/>
              <w:spacing w:line="460" w:lineRule="exact"/>
              <w:ind w:firstLine="522"/>
              <w:rPr>
                <w:b/>
              </w:rPr>
            </w:pPr>
            <w:r>
              <w:rPr>
                <w:rFonts w:hint="eastAsia"/>
                <w:b/>
              </w:rPr>
              <w:t>3</w:t>
            </w:r>
            <w:r>
              <w:rPr>
                <w:b/>
              </w:rPr>
              <w:t>.1大气环境质量现状</w:t>
            </w:r>
          </w:p>
          <w:p w14:paraId="131BBBCD">
            <w:pPr>
              <w:pStyle w:val="82"/>
              <w:ind w:firstLine="520"/>
            </w:pPr>
            <w:r>
              <w:rPr>
                <w:rFonts w:hint="eastAsia"/>
              </w:rPr>
              <w:t>根据重庆市人民政府《关于印发重庆市环境空气质量功能区划分规定的通知》（渝府发〔2016〕19号），项目所在地九龙坡区环境空气功能区划为二类区，环境空气质量执行《环境空气质量标准》（GB3095-2012）二级标准。</w:t>
            </w:r>
          </w:p>
          <w:p w14:paraId="647348BF">
            <w:pPr>
              <w:pStyle w:val="82"/>
              <w:ind w:firstLine="520"/>
              <w:rPr>
                <w:rFonts w:hint="eastAsia"/>
                <w:b/>
                <w:bCs w:val="0"/>
              </w:rPr>
            </w:pPr>
            <w:r>
              <w:rPr>
                <w:rFonts w:hint="eastAsia"/>
                <w:color w:val="000000" w:themeColor="text1"/>
                <w14:textFill>
                  <w14:solidFill>
                    <w14:schemeClr w14:val="tx1"/>
                  </w14:solidFill>
                </w14:textFill>
              </w:rPr>
              <w:t>（1）常规污染物</w:t>
            </w:r>
          </w:p>
          <w:p w14:paraId="3087C36D">
            <w:pPr>
              <w:pStyle w:val="82"/>
              <w:ind w:firstLine="520"/>
            </w:pPr>
            <w:r>
              <w:rPr>
                <w:rFonts w:hint="eastAsia"/>
              </w:rPr>
              <w:t>本次评价引用《2023年重庆市生态环境状况公报》中的数据和结论，项目所在区域环境九龙坡区空气质量现状评价详见表3.2-1。</w:t>
            </w:r>
          </w:p>
          <w:p w14:paraId="02702224">
            <w:pPr>
              <w:pStyle w:val="142"/>
              <w:spacing w:line="460" w:lineRule="exact"/>
              <w:rPr>
                <w:rFonts w:eastAsia="宋体"/>
                <w:sz w:val="26"/>
                <w:szCs w:val="26"/>
              </w:rPr>
            </w:pPr>
            <w:r>
              <w:rPr>
                <w:rFonts w:eastAsia="宋体"/>
                <w:sz w:val="26"/>
                <w:szCs w:val="26"/>
              </w:rPr>
              <w:t>表3</w:t>
            </w:r>
            <w:r>
              <w:rPr>
                <w:rFonts w:hint="eastAsia" w:eastAsia="宋体"/>
                <w:sz w:val="26"/>
                <w:szCs w:val="26"/>
              </w:rPr>
              <w:t>.1-1</w:t>
            </w:r>
            <w:r>
              <w:rPr>
                <w:rFonts w:hint="eastAsia" w:eastAsia="宋体"/>
                <w:sz w:val="26"/>
                <w:szCs w:val="26"/>
                <w:lang w:val="en-US" w:eastAsia="zh-CN"/>
              </w:rPr>
              <w:t xml:space="preserve">  </w:t>
            </w:r>
            <w:r>
              <w:rPr>
                <w:rFonts w:hint="eastAsia" w:eastAsia="宋体"/>
                <w:sz w:val="26"/>
                <w:szCs w:val="26"/>
              </w:rPr>
              <w:t>基本污染物环境质量现状</w:t>
            </w:r>
          </w:p>
          <w:tbl>
            <w:tblPr>
              <w:tblStyle w:val="3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89"/>
              <w:gridCol w:w="1467"/>
              <w:gridCol w:w="1273"/>
              <w:gridCol w:w="1192"/>
              <w:gridCol w:w="894"/>
              <w:gridCol w:w="940"/>
            </w:tblGrid>
            <w:tr w14:paraId="0080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375" w:type="pct"/>
                  <w:vAlign w:val="center"/>
                </w:tcPr>
                <w:p w14:paraId="18725F46">
                  <w:pPr>
                    <w:widowControl/>
                    <w:jc w:val="center"/>
                    <w:rPr>
                      <w:kern w:val="0"/>
                      <w:sz w:val="22"/>
                      <w:szCs w:val="22"/>
                    </w:rPr>
                  </w:pPr>
                  <w:r>
                    <w:rPr>
                      <w:rFonts w:hint="eastAsia"/>
                      <w:kern w:val="0"/>
                      <w:sz w:val="22"/>
                      <w:szCs w:val="22"/>
                    </w:rPr>
                    <w:t>年评价指标</w:t>
                  </w:r>
                </w:p>
              </w:tc>
              <w:tc>
                <w:tcPr>
                  <w:tcW w:w="921" w:type="pct"/>
                  <w:vAlign w:val="center"/>
                </w:tcPr>
                <w:p w14:paraId="214933CB">
                  <w:pPr>
                    <w:widowControl/>
                    <w:jc w:val="center"/>
                    <w:rPr>
                      <w:kern w:val="0"/>
                      <w:sz w:val="22"/>
                      <w:szCs w:val="22"/>
                    </w:rPr>
                  </w:pPr>
                  <w:r>
                    <w:rPr>
                      <w:rFonts w:hint="eastAsia"/>
                      <w:kern w:val="0"/>
                      <w:sz w:val="22"/>
                      <w:szCs w:val="22"/>
                    </w:rPr>
                    <w:t>污染物</w:t>
                  </w:r>
                </w:p>
              </w:tc>
              <w:tc>
                <w:tcPr>
                  <w:tcW w:w="799" w:type="pct"/>
                  <w:vAlign w:val="center"/>
                </w:tcPr>
                <w:p w14:paraId="40A428E9">
                  <w:pPr>
                    <w:widowControl/>
                    <w:jc w:val="center"/>
                    <w:rPr>
                      <w:kern w:val="0"/>
                      <w:sz w:val="22"/>
                      <w:szCs w:val="22"/>
                    </w:rPr>
                  </w:pPr>
                  <w:r>
                    <w:rPr>
                      <w:rFonts w:hint="eastAsia"/>
                      <w:kern w:val="0"/>
                      <w:sz w:val="22"/>
                      <w:szCs w:val="22"/>
                    </w:rPr>
                    <w:t>评价标准µg/m</w:t>
                  </w:r>
                  <w:r>
                    <w:rPr>
                      <w:rFonts w:hint="eastAsia"/>
                      <w:kern w:val="0"/>
                      <w:sz w:val="22"/>
                      <w:szCs w:val="22"/>
                      <w:vertAlign w:val="superscript"/>
                    </w:rPr>
                    <w:t>3</w:t>
                  </w:r>
                </w:p>
              </w:tc>
              <w:tc>
                <w:tcPr>
                  <w:tcW w:w="748" w:type="pct"/>
                  <w:vAlign w:val="center"/>
                </w:tcPr>
                <w:p w14:paraId="325228A7">
                  <w:pPr>
                    <w:widowControl/>
                    <w:jc w:val="center"/>
                    <w:rPr>
                      <w:kern w:val="0"/>
                      <w:sz w:val="22"/>
                      <w:szCs w:val="22"/>
                    </w:rPr>
                  </w:pPr>
                  <w:r>
                    <w:rPr>
                      <w:rFonts w:hint="eastAsia"/>
                      <w:kern w:val="0"/>
                      <w:sz w:val="22"/>
                      <w:szCs w:val="22"/>
                    </w:rPr>
                    <w:t>现状浓度µg/m</w:t>
                  </w:r>
                  <w:r>
                    <w:rPr>
                      <w:rFonts w:hint="eastAsia"/>
                      <w:kern w:val="0"/>
                      <w:sz w:val="22"/>
                      <w:szCs w:val="22"/>
                      <w:vertAlign w:val="superscript"/>
                    </w:rPr>
                    <w:t>3</w:t>
                  </w:r>
                </w:p>
              </w:tc>
              <w:tc>
                <w:tcPr>
                  <w:tcW w:w="562" w:type="pct"/>
                  <w:vAlign w:val="center"/>
                </w:tcPr>
                <w:p w14:paraId="50EF859E">
                  <w:pPr>
                    <w:widowControl/>
                    <w:jc w:val="center"/>
                    <w:rPr>
                      <w:kern w:val="0"/>
                      <w:sz w:val="22"/>
                      <w:szCs w:val="22"/>
                    </w:rPr>
                  </w:pPr>
                  <w:r>
                    <w:rPr>
                      <w:rFonts w:hint="eastAsia"/>
                      <w:kern w:val="0"/>
                      <w:sz w:val="22"/>
                      <w:szCs w:val="22"/>
                    </w:rPr>
                    <w:t>占标率%</w:t>
                  </w:r>
                </w:p>
              </w:tc>
              <w:tc>
                <w:tcPr>
                  <w:tcW w:w="591" w:type="pct"/>
                  <w:vAlign w:val="center"/>
                </w:tcPr>
                <w:p w14:paraId="72D1B9F6">
                  <w:pPr>
                    <w:widowControl/>
                    <w:jc w:val="center"/>
                    <w:rPr>
                      <w:kern w:val="0"/>
                      <w:sz w:val="22"/>
                      <w:szCs w:val="22"/>
                    </w:rPr>
                  </w:pPr>
                  <w:r>
                    <w:rPr>
                      <w:rFonts w:hint="eastAsia"/>
                      <w:kern w:val="0"/>
                      <w:sz w:val="22"/>
                      <w:szCs w:val="22"/>
                    </w:rPr>
                    <w:t>达标情况</w:t>
                  </w:r>
                </w:p>
              </w:tc>
            </w:tr>
            <w:tr w14:paraId="6A5A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3" w:hRule="atLeast"/>
                <w:jc w:val="center"/>
              </w:trPr>
              <w:tc>
                <w:tcPr>
                  <w:tcW w:w="1375" w:type="pct"/>
                  <w:vAlign w:val="center"/>
                </w:tcPr>
                <w:p w14:paraId="0587F238">
                  <w:pPr>
                    <w:widowControl/>
                    <w:jc w:val="center"/>
                    <w:rPr>
                      <w:kern w:val="0"/>
                      <w:sz w:val="22"/>
                      <w:szCs w:val="22"/>
                    </w:rPr>
                  </w:pPr>
                  <w:r>
                    <w:rPr>
                      <w:rFonts w:hint="eastAsia"/>
                      <w:kern w:val="0"/>
                      <w:sz w:val="22"/>
                      <w:szCs w:val="22"/>
                    </w:rPr>
                    <w:t>年平均质量浓度</w:t>
                  </w:r>
                </w:p>
              </w:tc>
              <w:tc>
                <w:tcPr>
                  <w:tcW w:w="921" w:type="pct"/>
                  <w:vAlign w:val="center"/>
                </w:tcPr>
                <w:p w14:paraId="157F2BB0">
                  <w:pPr>
                    <w:widowControl/>
                    <w:jc w:val="center"/>
                    <w:rPr>
                      <w:kern w:val="0"/>
                      <w:sz w:val="22"/>
                      <w:szCs w:val="22"/>
                    </w:rPr>
                  </w:pPr>
                  <w:r>
                    <w:rPr>
                      <w:rFonts w:hint="eastAsia"/>
                      <w:kern w:val="0"/>
                      <w:sz w:val="22"/>
                      <w:szCs w:val="22"/>
                    </w:rPr>
                    <w:t>SO</w:t>
                  </w:r>
                  <w:r>
                    <w:rPr>
                      <w:rFonts w:hint="eastAsia"/>
                      <w:kern w:val="0"/>
                      <w:sz w:val="22"/>
                      <w:szCs w:val="22"/>
                      <w:vertAlign w:val="subscript"/>
                    </w:rPr>
                    <w:t>2</w:t>
                  </w:r>
                </w:p>
              </w:tc>
              <w:tc>
                <w:tcPr>
                  <w:tcW w:w="799" w:type="pct"/>
                  <w:vAlign w:val="center"/>
                </w:tcPr>
                <w:p w14:paraId="284973FF">
                  <w:pPr>
                    <w:widowControl/>
                    <w:jc w:val="center"/>
                    <w:rPr>
                      <w:kern w:val="0"/>
                      <w:sz w:val="22"/>
                      <w:szCs w:val="22"/>
                    </w:rPr>
                  </w:pPr>
                  <w:r>
                    <w:rPr>
                      <w:rFonts w:hint="eastAsia"/>
                      <w:kern w:val="0"/>
                      <w:sz w:val="22"/>
                      <w:szCs w:val="22"/>
                    </w:rPr>
                    <w:t>60</w:t>
                  </w:r>
                </w:p>
              </w:tc>
              <w:tc>
                <w:tcPr>
                  <w:tcW w:w="748" w:type="pct"/>
                  <w:vAlign w:val="center"/>
                </w:tcPr>
                <w:p w14:paraId="766F6D32">
                  <w:pPr>
                    <w:widowControl/>
                    <w:jc w:val="center"/>
                    <w:rPr>
                      <w:kern w:val="0"/>
                      <w:sz w:val="22"/>
                      <w:szCs w:val="22"/>
                    </w:rPr>
                  </w:pPr>
                  <w:r>
                    <w:rPr>
                      <w:rFonts w:hint="eastAsia"/>
                      <w:kern w:val="0"/>
                      <w:sz w:val="22"/>
                      <w:szCs w:val="22"/>
                    </w:rPr>
                    <w:t>8</w:t>
                  </w:r>
                </w:p>
              </w:tc>
              <w:tc>
                <w:tcPr>
                  <w:tcW w:w="562" w:type="pct"/>
                  <w:vAlign w:val="center"/>
                </w:tcPr>
                <w:p w14:paraId="5EEA49F9">
                  <w:pPr>
                    <w:widowControl/>
                    <w:jc w:val="center"/>
                    <w:rPr>
                      <w:kern w:val="0"/>
                      <w:sz w:val="22"/>
                      <w:szCs w:val="22"/>
                    </w:rPr>
                  </w:pPr>
                  <w:r>
                    <w:rPr>
                      <w:rFonts w:hint="eastAsia"/>
                      <w:kern w:val="0"/>
                      <w:sz w:val="22"/>
                      <w:szCs w:val="22"/>
                    </w:rPr>
                    <w:t>13.33</w:t>
                  </w:r>
                </w:p>
              </w:tc>
              <w:tc>
                <w:tcPr>
                  <w:tcW w:w="591" w:type="pct"/>
                  <w:vAlign w:val="center"/>
                </w:tcPr>
                <w:p w14:paraId="267B4257">
                  <w:pPr>
                    <w:widowControl/>
                    <w:jc w:val="center"/>
                    <w:rPr>
                      <w:kern w:val="0"/>
                      <w:sz w:val="22"/>
                      <w:szCs w:val="22"/>
                    </w:rPr>
                  </w:pPr>
                  <w:r>
                    <w:rPr>
                      <w:rFonts w:hint="eastAsia"/>
                      <w:kern w:val="0"/>
                      <w:sz w:val="22"/>
                      <w:szCs w:val="22"/>
                    </w:rPr>
                    <w:t>达标</w:t>
                  </w:r>
                </w:p>
              </w:tc>
            </w:tr>
            <w:tr w14:paraId="7D526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1375" w:type="pct"/>
                </w:tcPr>
                <w:p w14:paraId="7625FF31">
                  <w:pPr>
                    <w:widowControl/>
                    <w:jc w:val="center"/>
                    <w:rPr>
                      <w:kern w:val="0"/>
                      <w:sz w:val="22"/>
                      <w:szCs w:val="22"/>
                    </w:rPr>
                  </w:pPr>
                  <w:r>
                    <w:rPr>
                      <w:rFonts w:hint="eastAsia"/>
                      <w:kern w:val="0"/>
                      <w:sz w:val="22"/>
                      <w:szCs w:val="22"/>
                    </w:rPr>
                    <w:t>年平均质量浓度</w:t>
                  </w:r>
                </w:p>
              </w:tc>
              <w:tc>
                <w:tcPr>
                  <w:tcW w:w="921" w:type="pct"/>
                  <w:vAlign w:val="center"/>
                </w:tcPr>
                <w:p w14:paraId="5562F04B">
                  <w:pPr>
                    <w:widowControl/>
                    <w:jc w:val="center"/>
                    <w:rPr>
                      <w:kern w:val="0"/>
                      <w:sz w:val="22"/>
                      <w:szCs w:val="22"/>
                    </w:rPr>
                  </w:pPr>
                  <w:r>
                    <w:rPr>
                      <w:rFonts w:hint="eastAsia"/>
                      <w:kern w:val="0"/>
                      <w:sz w:val="22"/>
                      <w:szCs w:val="22"/>
                    </w:rPr>
                    <w:t>NO</w:t>
                  </w:r>
                  <w:r>
                    <w:rPr>
                      <w:rFonts w:hint="eastAsia"/>
                      <w:kern w:val="0"/>
                      <w:sz w:val="22"/>
                      <w:szCs w:val="22"/>
                      <w:vertAlign w:val="subscript"/>
                    </w:rPr>
                    <w:t>2</w:t>
                  </w:r>
                </w:p>
              </w:tc>
              <w:tc>
                <w:tcPr>
                  <w:tcW w:w="799" w:type="pct"/>
                  <w:vAlign w:val="center"/>
                </w:tcPr>
                <w:p w14:paraId="0FD1652B">
                  <w:pPr>
                    <w:widowControl/>
                    <w:jc w:val="center"/>
                    <w:rPr>
                      <w:kern w:val="0"/>
                      <w:sz w:val="22"/>
                      <w:szCs w:val="22"/>
                    </w:rPr>
                  </w:pPr>
                  <w:r>
                    <w:rPr>
                      <w:rFonts w:hint="eastAsia"/>
                      <w:kern w:val="0"/>
                      <w:sz w:val="22"/>
                      <w:szCs w:val="22"/>
                    </w:rPr>
                    <w:t>40</w:t>
                  </w:r>
                </w:p>
              </w:tc>
              <w:tc>
                <w:tcPr>
                  <w:tcW w:w="748" w:type="pct"/>
                  <w:vAlign w:val="center"/>
                </w:tcPr>
                <w:p w14:paraId="113597CE">
                  <w:pPr>
                    <w:widowControl/>
                    <w:jc w:val="center"/>
                    <w:rPr>
                      <w:kern w:val="0"/>
                      <w:sz w:val="22"/>
                      <w:szCs w:val="22"/>
                    </w:rPr>
                  </w:pPr>
                  <w:r>
                    <w:rPr>
                      <w:rFonts w:hint="eastAsia"/>
                      <w:kern w:val="0"/>
                      <w:sz w:val="22"/>
                      <w:szCs w:val="22"/>
                    </w:rPr>
                    <w:t>42</w:t>
                  </w:r>
                </w:p>
              </w:tc>
              <w:tc>
                <w:tcPr>
                  <w:tcW w:w="562" w:type="pct"/>
                  <w:vAlign w:val="center"/>
                </w:tcPr>
                <w:p w14:paraId="6F7F93D9">
                  <w:pPr>
                    <w:widowControl/>
                    <w:jc w:val="center"/>
                    <w:rPr>
                      <w:kern w:val="0"/>
                      <w:sz w:val="22"/>
                      <w:szCs w:val="22"/>
                    </w:rPr>
                  </w:pPr>
                  <w:r>
                    <w:rPr>
                      <w:rFonts w:hint="eastAsia"/>
                      <w:kern w:val="0"/>
                      <w:sz w:val="22"/>
                      <w:szCs w:val="22"/>
                    </w:rPr>
                    <w:t>105.00</w:t>
                  </w:r>
                </w:p>
              </w:tc>
              <w:tc>
                <w:tcPr>
                  <w:tcW w:w="591" w:type="pct"/>
                  <w:vAlign w:val="center"/>
                </w:tcPr>
                <w:p w14:paraId="0E99551C">
                  <w:pPr>
                    <w:widowControl/>
                    <w:jc w:val="center"/>
                    <w:rPr>
                      <w:kern w:val="0"/>
                      <w:sz w:val="22"/>
                      <w:szCs w:val="22"/>
                    </w:rPr>
                  </w:pPr>
                  <w:r>
                    <w:rPr>
                      <w:rFonts w:hint="eastAsia"/>
                      <w:kern w:val="0"/>
                      <w:sz w:val="22"/>
                      <w:szCs w:val="22"/>
                    </w:rPr>
                    <w:t>不达标</w:t>
                  </w:r>
                </w:p>
              </w:tc>
            </w:tr>
            <w:tr w14:paraId="118BB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1375" w:type="pct"/>
                </w:tcPr>
                <w:p w14:paraId="5A82AF7D">
                  <w:pPr>
                    <w:widowControl/>
                    <w:jc w:val="center"/>
                    <w:rPr>
                      <w:kern w:val="0"/>
                      <w:sz w:val="22"/>
                      <w:szCs w:val="22"/>
                    </w:rPr>
                  </w:pPr>
                  <w:r>
                    <w:rPr>
                      <w:rFonts w:hint="eastAsia"/>
                      <w:kern w:val="0"/>
                      <w:sz w:val="22"/>
                      <w:szCs w:val="22"/>
                    </w:rPr>
                    <w:t>年平均质量浓度</w:t>
                  </w:r>
                </w:p>
              </w:tc>
              <w:tc>
                <w:tcPr>
                  <w:tcW w:w="921" w:type="pct"/>
                  <w:vAlign w:val="center"/>
                </w:tcPr>
                <w:p w14:paraId="369C89BB">
                  <w:pPr>
                    <w:widowControl/>
                    <w:jc w:val="center"/>
                    <w:rPr>
                      <w:kern w:val="0"/>
                      <w:sz w:val="22"/>
                      <w:szCs w:val="22"/>
                    </w:rPr>
                  </w:pPr>
                  <w:r>
                    <w:rPr>
                      <w:rFonts w:hint="eastAsia"/>
                      <w:kern w:val="0"/>
                      <w:sz w:val="22"/>
                      <w:szCs w:val="22"/>
                    </w:rPr>
                    <w:t>PM</w:t>
                  </w:r>
                  <w:r>
                    <w:rPr>
                      <w:rFonts w:hint="eastAsia"/>
                      <w:kern w:val="0"/>
                      <w:sz w:val="22"/>
                      <w:szCs w:val="22"/>
                      <w:vertAlign w:val="subscript"/>
                    </w:rPr>
                    <w:t>10</w:t>
                  </w:r>
                </w:p>
              </w:tc>
              <w:tc>
                <w:tcPr>
                  <w:tcW w:w="799" w:type="pct"/>
                  <w:vAlign w:val="center"/>
                </w:tcPr>
                <w:p w14:paraId="79880B85">
                  <w:pPr>
                    <w:widowControl/>
                    <w:jc w:val="center"/>
                    <w:rPr>
                      <w:kern w:val="0"/>
                      <w:sz w:val="22"/>
                      <w:szCs w:val="22"/>
                    </w:rPr>
                  </w:pPr>
                  <w:r>
                    <w:rPr>
                      <w:rFonts w:hint="eastAsia"/>
                      <w:kern w:val="0"/>
                      <w:sz w:val="22"/>
                      <w:szCs w:val="22"/>
                    </w:rPr>
                    <w:t>70</w:t>
                  </w:r>
                </w:p>
              </w:tc>
              <w:tc>
                <w:tcPr>
                  <w:tcW w:w="748" w:type="pct"/>
                  <w:vAlign w:val="center"/>
                </w:tcPr>
                <w:p w14:paraId="0ACDD97A">
                  <w:pPr>
                    <w:widowControl/>
                    <w:jc w:val="center"/>
                    <w:rPr>
                      <w:kern w:val="0"/>
                      <w:sz w:val="22"/>
                      <w:szCs w:val="22"/>
                    </w:rPr>
                  </w:pPr>
                  <w:r>
                    <w:rPr>
                      <w:rFonts w:hint="eastAsia"/>
                      <w:kern w:val="0"/>
                      <w:sz w:val="22"/>
                      <w:szCs w:val="22"/>
                    </w:rPr>
                    <w:t>60</w:t>
                  </w:r>
                </w:p>
              </w:tc>
              <w:tc>
                <w:tcPr>
                  <w:tcW w:w="562" w:type="pct"/>
                  <w:vAlign w:val="center"/>
                </w:tcPr>
                <w:p w14:paraId="26FE9E2E">
                  <w:pPr>
                    <w:widowControl/>
                    <w:jc w:val="center"/>
                    <w:rPr>
                      <w:kern w:val="0"/>
                      <w:sz w:val="22"/>
                      <w:szCs w:val="22"/>
                    </w:rPr>
                  </w:pPr>
                  <w:r>
                    <w:rPr>
                      <w:rFonts w:hint="eastAsia"/>
                      <w:kern w:val="0"/>
                      <w:sz w:val="22"/>
                      <w:szCs w:val="22"/>
                    </w:rPr>
                    <w:t>85.71</w:t>
                  </w:r>
                </w:p>
              </w:tc>
              <w:tc>
                <w:tcPr>
                  <w:tcW w:w="591" w:type="pct"/>
                  <w:vAlign w:val="center"/>
                </w:tcPr>
                <w:p w14:paraId="275C4DB3">
                  <w:pPr>
                    <w:widowControl/>
                    <w:jc w:val="center"/>
                    <w:rPr>
                      <w:kern w:val="0"/>
                      <w:sz w:val="22"/>
                      <w:szCs w:val="22"/>
                    </w:rPr>
                  </w:pPr>
                  <w:r>
                    <w:rPr>
                      <w:rFonts w:hint="eastAsia"/>
                      <w:kern w:val="0"/>
                      <w:sz w:val="22"/>
                      <w:szCs w:val="22"/>
                    </w:rPr>
                    <w:t>达标</w:t>
                  </w:r>
                </w:p>
              </w:tc>
            </w:tr>
            <w:tr w14:paraId="67473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1375" w:type="pct"/>
                </w:tcPr>
                <w:p w14:paraId="16F0B8DF">
                  <w:pPr>
                    <w:widowControl/>
                    <w:jc w:val="center"/>
                    <w:rPr>
                      <w:kern w:val="0"/>
                      <w:sz w:val="22"/>
                      <w:szCs w:val="22"/>
                    </w:rPr>
                  </w:pPr>
                  <w:r>
                    <w:rPr>
                      <w:rFonts w:hint="eastAsia"/>
                      <w:kern w:val="0"/>
                      <w:sz w:val="22"/>
                      <w:szCs w:val="22"/>
                    </w:rPr>
                    <w:t>年平均质量浓度</w:t>
                  </w:r>
                </w:p>
              </w:tc>
              <w:tc>
                <w:tcPr>
                  <w:tcW w:w="921" w:type="pct"/>
                  <w:vAlign w:val="center"/>
                </w:tcPr>
                <w:p w14:paraId="30C879E7">
                  <w:pPr>
                    <w:widowControl/>
                    <w:jc w:val="center"/>
                    <w:rPr>
                      <w:kern w:val="0"/>
                      <w:sz w:val="22"/>
                      <w:szCs w:val="22"/>
                    </w:rPr>
                  </w:pPr>
                  <w:r>
                    <w:rPr>
                      <w:rFonts w:hint="eastAsia"/>
                      <w:kern w:val="0"/>
                      <w:sz w:val="22"/>
                      <w:szCs w:val="22"/>
                    </w:rPr>
                    <w:t>PM</w:t>
                  </w:r>
                  <w:r>
                    <w:rPr>
                      <w:rFonts w:hint="eastAsia"/>
                      <w:kern w:val="0"/>
                      <w:sz w:val="22"/>
                      <w:szCs w:val="22"/>
                      <w:vertAlign w:val="subscript"/>
                    </w:rPr>
                    <w:t>2.5</w:t>
                  </w:r>
                </w:p>
              </w:tc>
              <w:tc>
                <w:tcPr>
                  <w:tcW w:w="799" w:type="pct"/>
                  <w:vAlign w:val="center"/>
                </w:tcPr>
                <w:p w14:paraId="59EB7645">
                  <w:pPr>
                    <w:widowControl/>
                    <w:jc w:val="center"/>
                    <w:rPr>
                      <w:kern w:val="0"/>
                      <w:sz w:val="22"/>
                      <w:szCs w:val="22"/>
                    </w:rPr>
                  </w:pPr>
                  <w:r>
                    <w:rPr>
                      <w:rFonts w:hint="eastAsia"/>
                      <w:kern w:val="0"/>
                      <w:sz w:val="22"/>
                      <w:szCs w:val="22"/>
                    </w:rPr>
                    <w:t>35</w:t>
                  </w:r>
                </w:p>
              </w:tc>
              <w:tc>
                <w:tcPr>
                  <w:tcW w:w="748" w:type="pct"/>
                  <w:vAlign w:val="center"/>
                </w:tcPr>
                <w:p w14:paraId="5D02C630">
                  <w:pPr>
                    <w:widowControl/>
                    <w:jc w:val="center"/>
                    <w:rPr>
                      <w:kern w:val="0"/>
                      <w:sz w:val="22"/>
                      <w:szCs w:val="22"/>
                    </w:rPr>
                  </w:pPr>
                  <w:r>
                    <w:rPr>
                      <w:rFonts w:hint="eastAsia"/>
                      <w:kern w:val="0"/>
                      <w:sz w:val="22"/>
                      <w:szCs w:val="22"/>
                    </w:rPr>
                    <w:t>36</w:t>
                  </w:r>
                </w:p>
              </w:tc>
              <w:tc>
                <w:tcPr>
                  <w:tcW w:w="562" w:type="pct"/>
                  <w:vAlign w:val="center"/>
                </w:tcPr>
                <w:p w14:paraId="2E7FD1CD">
                  <w:pPr>
                    <w:widowControl/>
                    <w:jc w:val="center"/>
                    <w:rPr>
                      <w:kern w:val="0"/>
                      <w:sz w:val="22"/>
                      <w:szCs w:val="22"/>
                    </w:rPr>
                  </w:pPr>
                  <w:r>
                    <w:rPr>
                      <w:rFonts w:hint="eastAsia"/>
                      <w:kern w:val="0"/>
                      <w:sz w:val="22"/>
                      <w:szCs w:val="22"/>
                    </w:rPr>
                    <w:t>102.86</w:t>
                  </w:r>
                </w:p>
              </w:tc>
              <w:tc>
                <w:tcPr>
                  <w:tcW w:w="591" w:type="pct"/>
                  <w:vAlign w:val="center"/>
                </w:tcPr>
                <w:p w14:paraId="1D9EF232">
                  <w:pPr>
                    <w:widowControl/>
                    <w:jc w:val="center"/>
                    <w:rPr>
                      <w:kern w:val="0"/>
                      <w:sz w:val="22"/>
                      <w:szCs w:val="22"/>
                    </w:rPr>
                  </w:pPr>
                  <w:r>
                    <w:rPr>
                      <w:rFonts w:hint="eastAsia"/>
                      <w:kern w:val="0"/>
                      <w:sz w:val="22"/>
                      <w:szCs w:val="22"/>
                    </w:rPr>
                    <w:t>不达标</w:t>
                  </w:r>
                </w:p>
              </w:tc>
            </w:tr>
            <w:tr w14:paraId="3B4E1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1375" w:type="pct"/>
                  <w:vAlign w:val="center"/>
                </w:tcPr>
                <w:p w14:paraId="4B5535B7">
                  <w:pPr>
                    <w:widowControl/>
                    <w:jc w:val="center"/>
                    <w:rPr>
                      <w:kern w:val="0"/>
                      <w:sz w:val="22"/>
                      <w:szCs w:val="22"/>
                    </w:rPr>
                  </w:pPr>
                  <w:r>
                    <w:rPr>
                      <w:rFonts w:hint="eastAsia"/>
                      <w:kern w:val="0"/>
                      <w:sz w:val="22"/>
                      <w:szCs w:val="22"/>
                    </w:rPr>
                    <w:t>日均浓度的第95百分位数</w:t>
                  </w:r>
                </w:p>
              </w:tc>
              <w:tc>
                <w:tcPr>
                  <w:tcW w:w="921" w:type="pct"/>
                  <w:vAlign w:val="center"/>
                </w:tcPr>
                <w:p w14:paraId="7BEC1761">
                  <w:pPr>
                    <w:widowControl/>
                    <w:jc w:val="center"/>
                    <w:rPr>
                      <w:kern w:val="0"/>
                      <w:sz w:val="22"/>
                      <w:szCs w:val="22"/>
                    </w:rPr>
                  </w:pPr>
                  <w:r>
                    <w:rPr>
                      <w:rFonts w:hint="eastAsia"/>
                      <w:kern w:val="0"/>
                      <w:sz w:val="22"/>
                      <w:szCs w:val="22"/>
                    </w:rPr>
                    <w:t>CO（mg/m</w:t>
                  </w:r>
                  <w:r>
                    <w:rPr>
                      <w:rFonts w:hint="eastAsia"/>
                      <w:kern w:val="0"/>
                      <w:sz w:val="22"/>
                      <w:szCs w:val="22"/>
                      <w:vertAlign w:val="superscript"/>
                    </w:rPr>
                    <w:t>3</w:t>
                  </w:r>
                  <w:r>
                    <w:rPr>
                      <w:rFonts w:hint="eastAsia"/>
                      <w:kern w:val="0"/>
                      <w:sz w:val="22"/>
                      <w:szCs w:val="22"/>
                    </w:rPr>
                    <w:t>）</w:t>
                  </w:r>
                </w:p>
              </w:tc>
              <w:tc>
                <w:tcPr>
                  <w:tcW w:w="799" w:type="pct"/>
                  <w:vAlign w:val="center"/>
                </w:tcPr>
                <w:p w14:paraId="77298CE4">
                  <w:pPr>
                    <w:widowControl/>
                    <w:jc w:val="center"/>
                    <w:rPr>
                      <w:kern w:val="0"/>
                      <w:sz w:val="22"/>
                      <w:szCs w:val="22"/>
                    </w:rPr>
                  </w:pPr>
                  <w:r>
                    <w:rPr>
                      <w:rFonts w:hint="eastAsia"/>
                      <w:kern w:val="0"/>
                      <w:sz w:val="22"/>
                      <w:szCs w:val="22"/>
                    </w:rPr>
                    <w:t>4</w:t>
                  </w:r>
                </w:p>
              </w:tc>
              <w:tc>
                <w:tcPr>
                  <w:tcW w:w="748" w:type="pct"/>
                  <w:vAlign w:val="center"/>
                </w:tcPr>
                <w:p w14:paraId="2F2E49C4">
                  <w:pPr>
                    <w:widowControl/>
                    <w:jc w:val="center"/>
                    <w:rPr>
                      <w:kern w:val="0"/>
                      <w:sz w:val="22"/>
                      <w:szCs w:val="22"/>
                    </w:rPr>
                  </w:pPr>
                  <w:r>
                    <w:rPr>
                      <w:rFonts w:hint="eastAsia"/>
                      <w:kern w:val="0"/>
                      <w:sz w:val="22"/>
                      <w:szCs w:val="22"/>
                    </w:rPr>
                    <w:t>1.5</w:t>
                  </w:r>
                </w:p>
              </w:tc>
              <w:tc>
                <w:tcPr>
                  <w:tcW w:w="562" w:type="pct"/>
                  <w:vAlign w:val="center"/>
                </w:tcPr>
                <w:p w14:paraId="16C70B75">
                  <w:pPr>
                    <w:widowControl/>
                    <w:jc w:val="center"/>
                    <w:rPr>
                      <w:kern w:val="0"/>
                      <w:sz w:val="22"/>
                      <w:szCs w:val="22"/>
                    </w:rPr>
                  </w:pPr>
                  <w:r>
                    <w:rPr>
                      <w:rFonts w:hint="eastAsia"/>
                      <w:kern w:val="0"/>
                      <w:sz w:val="22"/>
                      <w:szCs w:val="22"/>
                    </w:rPr>
                    <w:t>37.50</w:t>
                  </w:r>
                </w:p>
              </w:tc>
              <w:tc>
                <w:tcPr>
                  <w:tcW w:w="591" w:type="pct"/>
                  <w:vAlign w:val="center"/>
                </w:tcPr>
                <w:p w14:paraId="266C0474">
                  <w:pPr>
                    <w:widowControl/>
                    <w:jc w:val="center"/>
                    <w:rPr>
                      <w:kern w:val="0"/>
                      <w:sz w:val="22"/>
                      <w:szCs w:val="22"/>
                    </w:rPr>
                  </w:pPr>
                  <w:r>
                    <w:rPr>
                      <w:rFonts w:hint="eastAsia"/>
                      <w:kern w:val="0"/>
                      <w:sz w:val="22"/>
                      <w:szCs w:val="22"/>
                    </w:rPr>
                    <w:t>达标</w:t>
                  </w:r>
                </w:p>
              </w:tc>
            </w:tr>
            <w:tr w14:paraId="5F0B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7" w:hRule="atLeast"/>
                <w:jc w:val="center"/>
              </w:trPr>
              <w:tc>
                <w:tcPr>
                  <w:tcW w:w="1375" w:type="pct"/>
                  <w:vAlign w:val="center"/>
                </w:tcPr>
                <w:p w14:paraId="4285E805">
                  <w:pPr>
                    <w:widowControl/>
                    <w:jc w:val="center"/>
                    <w:rPr>
                      <w:kern w:val="0"/>
                      <w:sz w:val="22"/>
                      <w:szCs w:val="22"/>
                    </w:rPr>
                  </w:pPr>
                  <w:r>
                    <w:rPr>
                      <w:rFonts w:hint="eastAsia"/>
                      <w:kern w:val="0"/>
                      <w:sz w:val="22"/>
                      <w:szCs w:val="22"/>
                    </w:rPr>
                    <w:t>日最大8h平均浓度的第90百分位数</w:t>
                  </w:r>
                </w:p>
              </w:tc>
              <w:tc>
                <w:tcPr>
                  <w:tcW w:w="921" w:type="pct"/>
                  <w:vAlign w:val="center"/>
                </w:tcPr>
                <w:p w14:paraId="1E180346">
                  <w:pPr>
                    <w:widowControl/>
                    <w:jc w:val="center"/>
                    <w:rPr>
                      <w:kern w:val="0"/>
                      <w:sz w:val="22"/>
                      <w:szCs w:val="22"/>
                    </w:rPr>
                  </w:pPr>
                  <w:r>
                    <w:rPr>
                      <w:rFonts w:hint="eastAsia"/>
                      <w:kern w:val="0"/>
                      <w:sz w:val="22"/>
                      <w:szCs w:val="22"/>
                    </w:rPr>
                    <w:t>O</w:t>
                  </w:r>
                  <w:r>
                    <w:rPr>
                      <w:rFonts w:hint="eastAsia"/>
                      <w:kern w:val="0"/>
                      <w:sz w:val="22"/>
                      <w:szCs w:val="22"/>
                      <w:vertAlign w:val="subscript"/>
                    </w:rPr>
                    <w:t>3</w:t>
                  </w:r>
                </w:p>
              </w:tc>
              <w:tc>
                <w:tcPr>
                  <w:tcW w:w="799" w:type="pct"/>
                  <w:vAlign w:val="center"/>
                </w:tcPr>
                <w:p w14:paraId="535915FC">
                  <w:pPr>
                    <w:widowControl/>
                    <w:jc w:val="center"/>
                    <w:rPr>
                      <w:kern w:val="0"/>
                      <w:sz w:val="22"/>
                      <w:szCs w:val="22"/>
                    </w:rPr>
                  </w:pPr>
                  <w:r>
                    <w:rPr>
                      <w:rFonts w:hint="eastAsia"/>
                      <w:kern w:val="0"/>
                      <w:sz w:val="22"/>
                      <w:szCs w:val="22"/>
                    </w:rPr>
                    <w:t>160</w:t>
                  </w:r>
                </w:p>
              </w:tc>
              <w:tc>
                <w:tcPr>
                  <w:tcW w:w="748" w:type="pct"/>
                  <w:vAlign w:val="center"/>
                </w:tcPr>
                <w:p w14:paraId="0B508A30">
                  <w:pPr>
                    <w:widowControl/>
                    <w:jc w:val="center"/>
                    <w:rPr>
                      <w:kern w:val="0"/>
                      <w:sz w:val="22"/>
                      <w:szCs w:val="22"/>
                    </w:rPr>
                  </w:pPr>
                  <w:r>
                    <w:rPr>
                      <w:rFonts w:hint="eastAsia"/>
                      <w:kern w:val="0"/>
                      <w:sz w:val="22"/>
                      <w:szCs w:val="22"/>
                    </w:rPr>
                    <w:t>152</w:t>
                  </w:r>
                </w:p>
              </w:tc>
              <w:tc>
                <w:tcPr>
                  <w:tcW w:w="562" w:type="pct"/>
                  <w:vAlign w:val="center"/>
                </w:tcPr>
                <w:p w14:paraId="394BF334">
                  <w:pPr>
                    <w:widowControl/>
                    <w:jc w:val="center"/>
                    <w:rPr>
                      <w:kern w:val="0"/>
                      <w:sz w:val="22"/>
                      <w:szCs w:val="22"/>
                    </w:rPr>
                  </w:pPr>
                  <w:r>
                    <w:rPr>
                      <w:rFonts w:hint="eastAsia"/>
                      <w:kern w:val="0"/>
                      <w:sz w:val="22"/>
                      <w:szCs w:val="22"/>
                    </w:rPr>
                    <w:t>95.00</w:t>
                  </w:r>
                </w:p>
              </w:tc>
              <w:tc>
                <w:tcPr>
                  <w:tcW w:w="591" w:type="pct"/>
                  <w:vAlign w:val="center"/>
                </w:tcPr>
                <w:p w14:paraId="50DFB50A">
                  <w:pPr>
                    <w:widowControl/>
                    <w:jc w:val="center"/>
                    <w:rPr>
                      <w:kern w:val="0"/>
                      <w:sz w:val="22"/>
                      <w:szCs w:val="22"/>
                    </w:rPr>
                  </w:pPr>
                  <w:r>
                    <w:rPr>
                      <w:rFonts w:hint="eastAsia"/>
                      <w:kern w:val="0"/>
                      <w:sz w:val="22"/>
                      <w:szCs w:val="22"/>
                    </w:rPr>
                    <w:t>达标</w:t>
                  </w:r>
                </w:p>
              </w:tc>
            </w:tr>
          </w:tbl>
          <w:p w14:paraId="6AB7779C">
            <w:pPr>
              <w:pStyle w:val="82"/>
              <w:ind w:firstLine="520"/>
              <w:rPr>
                <w:rFonts w:hint="eastAsia"/>
              </w:rPr>
            </w:pPr>
            <w:r>
              <w:rPr>
                <w:rFonts w:hint="eastAsia"/>
              </w:rPr>
              <w:t>由上表可知，2023年重庆市九龙坡区环境空气中可吸入颗粒物（PM</w:t>
            </w:r>
            <w:r>
              <w:rPr>
                <w:rFonts w:hint="eastAsia"/>
                <w:vertAlign w:val="subscript"/>
              </w:rPr>
              <w:t>10</w:t>
            </w:r>
            <w:r>
              <w:rPr>
                <w:rFonts w:hint="eastAsia"/>
              </w:rPr>
              <w:t>）、二氧化硫（SO</w:t>
            </w:r>
            <w:r>
              <w:rPr>
                <w:rFonts w:hint="eastAsia"/>
                <w:vertAlign w:val="subscript"/>
              </w:rPr>
              <w:t>2</w:t>
            </w:r>
            <w:r>
              <w:rPr>
                <w:rFonts w:hint="eastAsia"/>
              </w:rPr>
              <w:t>）、臭氧（O</w:t>
            </w:r>
            <w:r>
              <w:rPr>
                <w:rFonts w:hint="eastAsia"/>
                <w:vertAlign w:val="subscript"/>
              </w:rPr>
              <w:t>3</w:t>
            </w:r>
            <w:r>
              <w:rPr>
                <w:rFonts w:hint="eastAsia"/>
              </w:rPr>
              <w:t>）和一氧化碳（CO）浓度达到《环境空气质量标准》（GB3095-2012）二级标准，二氧化氮（NO</w:t>
            </w:r>
            <w:r>
              <w:rPr>
                <w:rFonts w:hint="eastAsia"/>
                <w:vertAlign w:val="subscript"/>
              </w:rPr>
              <w:t>2</w:t>
            </w:r>
            <w:r>
              <w:rPr>
                <w:rFonts w:hint="eastAsia"/>
              </w:rPr>
              <w:t>）、细颗粒物（PM</w:t>
            </w:r>
            <w:r>
              <w:rPr>
                <w:rFonts w:hint="eastAsia"/>
                <w:vertAlign w:val="subscript"/>
              </w:rPr>
              <w:t>2.5</w:t>
            </w:r>
            <w:r>
              <w:rPr>
                <w:rFonts w:hint="eastAsia"/>
              </w:rPr>
              <w:t>）未能达到《环境空气质量标准》（GB3095-2012）二级标准。项目所在评价区域为环境空气质量不达标区。</w:t>
            </w:r>
          </w:p>
          <w:p w14:paraId="6BC4FF07">
            <w:pPr>
              <w:pStyle w:val="82"/>
              <w:ind w:firstLine="520"/>
              <w:rPr>
                <w:rFonts w:hint="eastAsia" w:eastAsia="宋体"/>
                <w:lang w:eastAsia="zh-CN"/>
              </w:rPr>
            </w:pPr>
            <w:r>
              <w:rPr>
                <w:rFonts w:hint="eastAsia"/>
              </w:rPr>
              <w:t>根据《重庆市生态环境状况公报》（202</w:t>
            </w:r>
            <w:r>
              <w:rPr>
                <w:rFonts w:hint="eastAsia"/>
                <w:lang w:val="en-US" w:eastAsia="zh-CN"/>
              </w:rPr>
              <w:t>3</w:t>
            </w:r>
            <w:r>
              <w:rPr>
                <w:rFonts w:hint="eastAsia"/>
              </w:rPr>
              <w:t>年），重庆将采取一系列措施，减少主要大气污染物排放量，主要包含</w:t>
            </w:r>
            <w:r>
              <w:rPr>
                <w:rFonts w:hint="eastAsia"/>
                <w:lang w:val="en-US" w:eastAsia="zh-CN"/>
              </w:rPr>
              <w:t>以柴油车整治和纯电动车推广为重点深化</w:t>
            </w:r>
            <w:r>
              <w:rPr>
                <w:rFonts w:hint="default"/>
                <w:lang w:val="en-US" w:eastAsia="zh-CN"/>
              </w:rPr>
              <w:t>交通污染控制</w:t>
            </w:r>
            <w:r>
              <w:rPr>
                <w:rFonts w:hint="eastAsia"/>
                <w:lang w:val="en-US" w:eastAsia="zh-CN"/>
              </w:rPr>
              <w:t>；以工业废气深度治理为重点深化工业污染</w:t>
            </w:r>
            <w:r>
              <w:rPr>
                <w:rFonts w:hint="default"/>
                <w:lang w:val="en-US" w:eastAsia="zh-CN"/>
              </w:rPr>
              <w:t>控制</w:t>
            </w:r>
            <w:r>
              <w:rPr>
                <w:rFonts w:hint="eastAsia"/>
                <w:lang w:val="en-US" w:eastAsia="zh-CN"/>
              </w:rPr>
              <w:t xml:space="preserve">；以绿色示范创建和落实 </w:t>
            </w:r>
            <w:r>
              <w:rPr>
                <w:rFonts w:hint="default"/>
                <w:lang w:val="en-US" w:eastAsia="zh-CN"/>
              </w:rPr>
              <w:t>“ 十项规定 ” 为重点深化扬尘污染控制</w:t>
            </w:r>
            <w:r>
              <w:rPr>
                <w:rFonts w:hint="eastAsia"/>
                <w:lang w:val="en-US" w:eastAsia="zh-CN"/>
              </w:rPr>
              <w:t>；以餐饮油烟、露天焚烧管控为重点深化生</w:t>
            </w:r>
            <w:r>
              <w:rPr>
                <w:rFonts w:hint="default"/>
                <w:lang w:val="en-US" w:eastAsia="zh-CN"/>
              </w:rPr>
              <w:t>活污染控制</w:t>
            </w:r>
            <w:r>
              <w:rPr>
                <w:rFonts w:hint="eastAsia"/>
                <w:lang w:val="en-US" w:eastAsia="zh-CN"/>
              </w:rPr>
              <w:t>；以督导帮扶和区域联防联控为重点提高</w:t>
            </w:r>
            <w:r>
              <w:rPr>
                <w:rFonts w:hint="default"/>
                <w:lang w:val="en-US" w:eastAsia="zh-CN"/>
              </w:rPr>
              <w:t>污染应对能力</w:t>
            </w:r>
            <w:r>
              <w:rPr>
                <w:rFonts w:hint="eastAsia"/>
              </w:rPr>
              <w:t>。在执行相应的整治措施后，可改善区域环境</w:t>
            </w:r>
            <w:r>
              <w:rPr>
                <w:rFonts w:hint="eastAsia"/>
                <w:lang w:eastAsia="zh-CN"/>
              </w:rPr>
              <w:t>。</w:t>
            </w:r>
          </w:p>
          <w:p w14:paraId="520D8A4C">
            <w:pPr>
              <w:pStyle w:val="82"/>
              <w:ind w:firstLine="520"/>
              <w:rPr>
                <w:color w:val="000000" w:themeColor="text1"/>
                <w14:textFill>
                  <w14:solidFill>
                    <w14:schemeClr w14:val="tx1"/>
                  </w14:solidFill>
                </w14:textFill>
              </w:rPr>
            </w:pPr>
            <w:r>
              <w:rPr>
                <w:rFonts w:hint="eastAsia"/>
                <w:color w:val="000000" w:themeColor="text1"/>
                <w14:textFill>
                  <w14:solidFill>
                    <w14:schemeClr w14:val="tx1"/>
                  </w14:solidFill>
                </w14:textFill>
              </w:rPr>
              <w:t>（2）其他污染物</w:t>
            </w:r>
          </w:p>
          <w:p w14:paraId="4F189DA3">
            <w:pPr>
              <w:pStyle w:val="82"/>
              <w:ind w:firstLine="52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本项目大气特征污染物为非甲烷总烃，本次评价引用“重庆港庆测控技术有限公司”港庆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监</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字【2022】第06117-HP号环境质量现状监测中对西彭工业园区规划居住用地陶家片区（编号为G</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）点位的环境空气监测数据，监测点位位于项目北侧2000米处，监测时间为202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年6月30日-2022年7月6日，引用监测数据时间不超过3年，故引用监测数据有效</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引用监测布点见附图5。</w:t>
            </w:r>
          </w:p>
          <w:p w14:paraId="62478447">
            <w:pPr>
              <w:pStyle w:val="12"/>
              <w:keepNext/>
              <w:spacing w:beforeLines="0"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污染物环境质量现状</w:t>
            </w:r>
            <w:r>
              <w:rPr>
                <w:rFonts w:hint="eastAsia"/>
                <w:color w:val="000000" w:themeColor="text1"/>
                <w14:textFill>
                  <w14:solidFill>
                    <w14:schemeClr w14:val="tx1"/>
                  </w14:solidFill>
                </w14:textFill>
              </w:rPr>
              <w:t>（监测结果）表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51"/>
              <w:gridCol w:w="814"/>
              <w:gridCol w:w="1197"/>
              <w:gridCol w:w="1533"/>
              <w:gridCol w:w="1275"/>
              <w:gridCol w:w="713"/>
              <w:gridCol w:w="643"/>
            </w:tblGrid>
            <w:tr w14:paraId="476A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311615B0">
                  <w:pPr>
                    <w:widowControl/>
                    <w:jc w:val="center"/>
                    <w:rPr>
                      <w:kern w:val="0"/>
                      <w:sz w:val="22"/>
                      <w:szCs w:val="22"/>
                    </w:rPr>
                  </w:pPr>
                  <w:r>
                    <w:rPr>
                      <w:rFonts w:hint="eastAsia"/>
                      <w:kern w:val="0"/>
                      <w:sz w:val="22"/>
                      <w:szCs w:val="22"/>
                    </w:rPr>
                    <w:t>点位名称</w:t>
                  </w:r>
                </w:p>
              </w:tc>
              <w:tc>
                <w:tcPr>
                  <w:tcW w:w="851" w:type="dxa"/>
                  <w:vAlign w:val="center"/>
                </w:tcPr>
                <w:p w14:paraId="6FE5F786">
                  <w:pPr>
                    <w:widowControl/>
                    <w:jc w:val="center"/>
                    <w:rPr>
                      <w:kern w:val="0"/>
                      <w:sz w:val="22"/>
                      <w:szCs w:val="22"/>
                    </w:rPr>
                  </w:pPr>
                  <w:r>
                    <w:rPr>
                      <w:rFonts w:hint="eastAsia"/>
                      <w:kern w:val="0"/>
                      <w:sz w:val="22"/>
                      <w:szCs w:val="22"/>
                    </w:rPr>
                    <w:t>污染物</w:t>
                  </w:r>
                </w:p>
              </w:tc>
              <w:tc>
                <w:tcPr>
                  <w:tcW w:w="814" w:type="dxa"/>
                  <w:vAlign w:val="center"/>
                </w:tcPr>
                <w:p w14:paraId="2B4CD591">
                  <w:pPr>
                    <w:widowControl/>
                    <w:jc w:val="center"/>
                    <w:rPr>
                      <w:kern w:val="0"/>
                      <w:sz w:val="22"/>
                      <w:szCs w:val="22"/>
                    </w:rPr>
                  </w:pPr>
                  <w:r>
                    <w:rPr>
                      <w:rFonts w:hint="eastAsia"/>
                      <w:kern w:val="0"/>
                      <w:sz w:val="22"/>
                      <w:szCs w:val="22"/>
                    </w:rPr>
                    <w:t>监测时段</w:t>
                  </w:r>
                </w:p>
              </w:tc>
              <w:tc>
                <w:tcPr>
                  <w:tcW w:w="1197" w:type="dxa"/>
                  <w:vAlign w:val="center"/>
                </w:tcPr>
                <w:p w14:paraId="15F22D75">
                  <w:pPr>
                    <w:widowControl/>
                    <w:jc w:val="center"/>
                    <w:rPr>
                      <w:kern w:val="0"/>
                      <w:sz w:val="22"/>
                      <w:szCs w:val="22"/>
                    </w:rPr>
                  </w:pPr>
                  <w:r>
                    <w:rPr>
                      <w:rFonts w:hint="eastAsia"/>
                      <w:kern w:val="0"/>
                      <w:sz w:val="22"/>
                      <w:szCs w:val="22"/>
                    </w:rPr>
                    <w:t>评价标准（mg/m</w:t>
                  </w:r>
                  <w:r>
                    <w:rPr>
                      <w:rFonts w:hint="eastAsia"/>
                      <w:kern w:val="0"/>
                      <w:sz w:val="22"/>
                      <w:szCs w:val="22"/>
                      <w:vertAlign w:val="superscript"/>
                    </w:rPr>
                    <w:t>3</w:t>
                  </w:r>
                  <w:r>
                    <w:rPr>
                      <w:rFonts w:hint="eastAsia"/>
                      <w:kern w:val="0"/>
                      <w:sz w:val="22"/>
                      <w:szCs w:val="22"/>
                    </w:rPr>
                    <w:t>）</w:t>
                  </w:r>
                </w:p>
              </w:tc>
              <w:tc>
                <w:tcPr>
                  <w:tcW w:w="1533" w:type="dxa"/>
                  <w:vAlign w:val="center"/>
                </w:tcPr>
                <w:p w14:paraId="2BFE21F8">
                  <w:pPr>
                    <w:widowControl/>
                    <w:jc w:val="center"/>
                    <w:rPr>
                      <w:kern w:val="0"/>
                      <w:sz w:val="22"/>
                      <w:szCs w:val="22"/>
                    </w:rPr>
                  </w:pPr>
                  <w:r>
                    <w:rPr>
                      <w:rFonts w:hint="eastAsia"/>
                      <w:kern w:val="0"/>
                      <w:sz w:val="22"/>
                      <w:szCs w:val="22"/>
                    </w:rPr>
                    <w:t>监测浓度范围（mg/m</w:t>
                  </w:r>
                  <w:r>
                    <w:rPr>
                      <w:rFonts w:hint="eastAsia"/>
                      <w:kern w:val="0"/>
                      <w:sz w:val="22"/>
                      <w:szCs w:val="22"/>
                      <w:vertAlign w:val="superscript"/>
                    </w:rPr>
                    <w:t>3</w:t>
                  </w:r>
                  <w:r>
                    <w:rPr>
                      <w:rFonts w:hint="eastAsia"/>
                      <w:kern w:val="0"/>
                      <w:sz w:val="22"/>
                      <w:szCs w:val="22"/>
                    </w:rPr>
                    <w:t>）</w:t>
                  </w:r>
                </w:p>
              </w:tc>
              <w:tc>
                <w:tcPr>
                  <w:tcW w:w="1275" w:type="dxa"/>
                  <w:vAlign w:val="center"/>
                </w:tcPr>
                <w:p w14:paraId="4B55A8B8">
                  <w:pPr>
                    <w:widowControl/>
                    <w:jc w:val="center"/>
                    <w:rPr>
                      <w:kern w:val="0"/>
                      <w:sz w:val="22"/>
                      <w:szCs w:val="22"/>
                    </w:rPr>
                  </w:pPr>
                  <w:r>
                    <w:rPr>
                      <w:rFonts w:hint="eastAsia"/>
                      <w:kern w:val="0"/>
                      <w:sz w:val="22"/>
                      <w:szCs w:val="22"/>
                    </w:rPr>
                    <w:t>最大浓度占标率（%）</w:t>
                  </w:r>
                </w:p>
              </w:tc>
              <w:tc>
                <w:tcPr>
                  <w:tcW w:w="713" w:type="dxa"/>
                  <w:vAlign w:val="center"/>
                </w:tcPr>
                <w:p w14:paraId="06A6C2A4">
                  <w:pPr>
                    <w:widowControl/>
                    <w:jc w:val="center"/>
                    <w:rPr>
                      <w:kern w:val="0"/>
                      <w:sz w:val="22"/>
                      <w:szCs w:val="22"/>
                    </w:rPr>
                  </w:pPr>
                  <w:r>
                    <w:rPr>
                      <w:rFonts w:hint="eastAsia"/>
                      <w:kern w:val="0"/>
                      <w:sz w:val="22"/>
                      <w:szCs w:val="22"/>
                    </w:rPr>
                    <w:t>超标率</w:t>
                  </w:r>
                </w:p>
              </w:tc>
              <w:tc>
                <w:tcPr>
                  <w:tcW w:w="643" w:type="dxa"/>
                  <w:vAlign w:val="center"/>
                </w:tcPr>
                <w:p w14:paraId="0D828D77">
                  <w:pPr>
                    <w:widowControl/>
                    <w:jc w:val="center"/>
                    <w:rPr>
                      <w:kern w:val="0"/>
                      <w:sz w:val="22"/>
                      <w:szCs w:val="22"/>
                    </w:rPr>
                  </w:pPr>
                  <w:r>
                    <w:rPr>
                      <w:rFonts w:hint="eastAsia"/>
                      <w:kern w:val="0"/>
                      <w:sz w:val="22"/>
                      <w:szCs w:val="22"/>
                    </w:rPr>
                    <w:t>达标情况</w:t>
                  </w:r>
                </w:p>
              </w:tc>
            </w:tr>
            <w:tr w14:paraId="6ACF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5A2FA438">
                  <w:pPr>
                    <w:widowControl/>
                    <w:jc w:val="center"/>
                    <w:rPr>
                      <w:kern w:val="0"/>
                      <w:sz w:val="22"/>
                      <w:szCs w:val="22"/>
                    </w:rPr>
                  </w:pPr>
                  <w:r>
                    <w:rPr>
                      <w:rFonts w:hint="eastAsia"/>
                      <w:kern w:val="0"/>
                      <w:sz w:val="22"/>
                      <w:szCs w:val="22"/>
                    </w:rPr>
                    <w:t>规划居住用地陶家片区</w:t>
                  </w:r>
                </w:p>
              </w:tc>
              <w:tc>
                <w:tcPr>
                  <w:tcW w:w="851" w:type="dxa"/>
                  <w:vAlign w:val="center"/>
                </w:tcPr>
                <w:p w14:paraId="3789873F">
                  <w:pPr>
                    <w:widowControl/>
                    <w:jc w:val="center"/>
                    <w:rPr>
                      <w:kern w:val="0"/>
                      <w:sz w:val="22"/>
                      <w:szCs w:val="22"/>
                    </w:rPr>
                  </w:pPr>
                  <w:r>
                    <w:rPr>
                      <w:rFonts w:hint="eastAsia"/>
                      <w:kern w:val="0"/>
                      <w:sz w:val="22"/>
                      <w:szCs w:val="22"/>
                    </w:rPr>
                    <w:t>非甲烷总</w:t>
                  </w:r>
                </w:p>
                <w:p w14:paraId="7BC5E80E">
                  <w:pPr>
                    <w:widowControl/>
                    <w:jc w:val="center"/>
                    <w:rPr>
                      <w:kern w:val="0"/>
                      <w:sz w:val="22"/>
                      <w:szCs w:val="22"/>
                    </w:rPr>
                  </w:pPr>
                  <w:r>
                    <w:rPr>
                      <w:rFonts w:hint="eastAsia"/>
                      <w:kern w:val="0"/>
                      <w:sz w:val="22"/>
                      <w:szCs w:val="22"/>
                    </w:rPr>
                    <w:t>烃</w:t>
                  </w:r>
                </w:p>
              </w:tc>
              <w:tc>
                <w:tcPr>
                  <w:tcW w:w="814" w:type="dxa"/>
                  <w:vAlign w:val="center"/>
                </w:tcPr>
                <w:p w14:paraId="5A531660">
                  <w:pPr>
                    <w:widowControl/>
                    <w:jc w:val="center"/>
                    <w:rPr>
                      <w:kern w:val="0"/>
                      <w:sz w:val="22"/>
                      <w:szCs w:val="22"/>
                    </w:rPr>
                  </w:pPr>
                  <w:r>
                    <w:rPr>
                      <w:rFonts w:hint="eastAsia"/>
                      <w:kern w:val="0"/>
                      <w:sz w:val="22"/>
                      <w:szCs w:val="22"/>
                    </w:rPr>
                    <w:t>1小时</w:t>
                  </w:r>
                </w:p>
                <w:p w14:paraId="6115E1C1">
                  <w:pPr>
                    <w:widowControl/>
                    <w:jc w:val="center"/>
                    <w:rPr>
                      <w:kern w:val="0"/>
                      <w:sz w:val="22"/>
                      <w:szCs w:val="22"/>
                    </w:rPr>
                  </w:pPr>
                  <w:r>
                    <w:rPr>
                      <w:rFonts w:hint="eastAsia"/>
                      <w:kern w:val="0"/>
                      <w:sz w:val="22"/>
                      <w:szCs w:val="22"/>
                    </w:rPr>
                    <w:t>平均</w:t>
                  </w:r>
                </w:p>
              </w:tc>
              <w:tc>
                <w:tcPr>
                  <w:tcW w:w="1197" w:type="dxa"/>
                  <w:vAlign w:val="center"/>
                </w:tcPr>
                <w:p w14:paraId="3FFE04C7">
                  <w:pPr>
                    <w:widowControl/>
                    <w:jc w:val="center"/>
                    <w:rPr>
                      <w:kern w:val="0"/>
                      <w:sz w:val="22"/>
                      <w:szCs w:val="22"/>
                    </w:rPr>
                  </w:pPr>
                  <w:r>
                    <w:rPr>
                      <w:rFonts w:hint="eastAsia"/>
                      <w:kern w:val="0"/>
                      <w:sz w:val="22"/>
                      <w:szCs w:val="22"/>
                    </w:rPr>
                    <w:t>2.0</w:t>
                  </w:r>
                </w:p>
              </w:tc>
              <w:tc>
                <w:tcPr>
                  <w:tcW w:w="1533" w:type="dxa"/>
                  <w:vAlign w:val="center"/>
                </w:tcPr>
                <w:p w14:paraId="27A77721">
                  <w:pPr>
                    <w:widowControl/>
                    <w:jc w:val="center"/>
                    <w:rPr>
                      <w:kern w:val="0"/>
                      <w:sz w:val="22"/>
                      <w:szCs w:val="22"/>
                    </w:rPr>
                  </w:pPr>
                  <w:r>
                    <w:rPr>
                      <w:rFonts w:hint="eastAsia"/>
                      <w:kern w:val="0"/>
                      <w:sz w:val="22"/>
                      <w:szCs w:val="22"/>
                    </w:rPr>
                    <w:t>0.63~0.77</w:t>
                  </w:r>
                </w:p>
              </w:tc>
              <w:tc>
                <w:tcPr>
                  <w:tcW w:w="1275" w:type="dxa"/>
                  <w:vAlign w:val="center"/>
                </w:tcPr>
                <w:p w14:paraId="12206DCE">
                  <w:pPr>
                    <w:widowControl/>
                    <w:jc w:val="center"/>
                    <w:rPr>
                      <w:kern w:val="0"/>
                      <w:sz w:val="22"/>
                      <w:szCs w:val="22"/>
                    </w:rPr>
                  </w:pPr>
                  <w:r>
                    <w:rPr>
                      <w:rFonts w:hint="eastAsia"/>
                      <w:kern w:val="0"/>
                      <w:sz w:val="22"/>
                      <w:szCs w:val="22"/>
                    </w:rPr>
                    <w:t>38.5</w:t>
                  </w:r>
                </w:p>
              </w:tc>
              <w:tc>
                <w:tcPr>
                  <w:tcW w:w="713" w:type="dxa"/>
                  <w:vAlign w:val="center"/>
                </w:tcPr>
                <w:p w14:paraId="34C98F18">
                  <w:pPr>
                    <w:widowControl/>
                    <w:jc w:val="center"/>
                    <w:rPr>
                      <w:kern w:val="0"/>
                      <w:sz w:val="22"/>
                      <w:szCs w:val="22"/>
                    </w:rPr>
                  </w:pPr>
                  <w:r>
                    <w:rPr>
                      <w:rFonts w:hint="eastAsia"/>
                      <w:kern w:val="0"/>
                      <w:sz w:val="22"/>
                      <w:szCs w:val="22"/>
                    </w:rPr>
                    <w:t>/</w:t>
                  </w:r>
                </w:p>
              </w:tc>
              <w:tc>
                <w:tcPr>
                  <w:tcW w:w="643" w:type="dxa"/>
                  <w:vAlign w:val="center"/>
                </w:tcPr>
                <w:p w14:paraId="17E1D182">
                  <w:pPr>
                    <w:widowControl/>
                    <w:jc w:val="center"/>
                    <w:rPr>
                      <w:kern w:val="0"/>
                      <w:sz w:val="22"/>
                      <w:szCs w:val="22"/>
                    </w:rPr>
                  </w:pPr>
                  <w:r>
                    <w:rPr>
                      <w:rFonts w:hint="eastAsia"/>
                      <w:kern w:val="0"/>
                      <w:sz w:val="22"/>
                      <w:szCs w:val="22"/>
                    </w:rPr>
                    <w:t>达标</w:t>
                  </w:r>
                </w:p>
              </w:tc>
            </w:tr>
          </w:tbl>
          <w:p w14:paraId="74F41329">
            <w:pPr>
              <w:pStyle w:val="82"/>
              <w:ind w:firstLine="522"/>
              <w:rPr>
                <w:b/>
              </w:rPr>
            </w:pPr>
            <w:r>
              <w:rPr>
                <w:rFonts w:hint="eastAsia"/>
                <w:color w:val="000000" w:themeColor="text1"/>
                <w14:textFill>
                  <w14:solidFill>
                    <w14:schemeClr w14:val="tx1"/>
                  </w14:solidFill>
                </w14:textFill>
              </w:rPr>
              <w:t>根据上表统计结果分析，非甲烷总烃满足河北省地方标准《环境空气质量标准非甲烷总烃》（DB13/1577-2012）中二级标准要求。</w:t>
            </w:r>
          </w:p>
          <w:p w14:paraId="44887C48">
            <w:pPr>
              <w:pStyle w:val="82"/>
              <w:ind w:firstLine="522"/>
              <w:rPr>
                <w:b/>
              </w:rPr>
            </w:pPr>
            <w:r>
              <w:rPr>
                <w:b/>
              </w:rPr>
              <w:t>3.2地表水环境质量现状</w:t>
            </w:r>
          </w:p>
          <w:p w14:paraId="7BB687AF">
            <w:pPr>
              <w:pStyle w:val="82"/>
              <w:ind w:firstLine="520"/>
              <w:rPr>
                <w:color w:val="auto"/>
              </w:rPr>
            </w:pPr>
            <w:r>
              <w:rPr>
                <w:rFonts w:hint="eastAsia"/>
              </w:rPr>
              <w:t>根据《重庆市人民政府批转重庆市地表水环境功能类别调整方案的通知》渝府发[2012]4号）规定，项目所在区域长江新瓦房—大溪河口段水域范围属II类水域，大溪河口~明月沱段属III类水域。根据《建设项</w:t>
            </w:r>
            <w:r>
              <w:rPr>
                <w:rFonts w:hint="eastAsia"/>
                <w:color w:val="auto"/>
              </w:rPr>
              <w:t>目环境影响报告表编制技术指南（污染影响类）（试行）》，地表水环境质量现状“生态环境主管部门发布的水环境质量数据”，故本次选取202</w:t>
            </w:r>
            <w:r>
              <w:rPr>
                <w:rFonts w:hint="eastAsia"/>
                <w:color w:val="auto"/>
                <w:lang w:val="en-US" w:eastAsia="zh-CN"/>
              </w:rPr>
              <w:t>5</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10</w:t>
            </w:r>
            <w:r>
              <w:rPr>
                <w:rFonts w:hint="eastAsia"/>
                <w:color w:val="auto"/>
              </w:rPr>
              <w:t>日重庆市生态环境局网站公布的2024年</w:t>
            </w:r>
            <w:r>
              <w:rPr>
                <w:rFonts w:hint="eastAsia"/>
                <w:color w:val="auto"/>
                <w:lang w:val="en-US" w:eastAsia="zh-CN"/>
              </w:rPr>
              <w:t>12</w:t>
            </w:r>
            <w:r>
              <w:rPr>
                <w:rFonts w:hint="eastAsia"/>
                <w:color w:val="auto"/>
              </w:rPr>
              <w:t>月重庆市水环境质量状况，不再对地表水现状进行补充监测。根据2024年</w:t>
            </w:r>
            <w:r>
              <w:rPr>
                <w:rFonts w:hint="eastAsia"/>
                <w:color w:val="auto"/>
                <w:lang w:val="en-US" w:eastAsia="zh-CN"/>
              </w:rPr>
              <w:t>12</w:t>
            </w:r>
            <w:r>
              <w:rPr>
                <w:rFonts w:hint="eastAsia"/>
                <w:color w:val="auto"/>
              </w:rPr>
              <w:t>月重庆市水环境质量状况可知：项目所在区域长江段丰收坝水质满足II类水域标准要求</w:t>
            </w:r>
            <w:r>
              <w:rPr>
                <w:color w:val="auto"/>
              </w:rPr>
              <w:t>。</w:t>
            </w:r>
          </w:p>
          <w:p w14:paraId="012CDE96">
            <w:pPr>
              <w:pStyle w:val="82"/>
              <w:ind w:firstLine="522"/>
              <w:rPr>
                <w:b/>
                <w:color w:val="auto"/>
              </w:rPr>
            </w:pPr>
            <w:r>
              <w:rPr>
                <w:b/>
                <w:color w:val="auto"/>
              </w:rPr>
              <w:t>3.3声环境现状</w:t>
            </w:r>
          </w:p>
          <w:p w14:paraId="3A7895F9">
            <w:pPr>
              <w:pStyle w:val="82"/>
              <w:ind w:firstLine="520"/>
            </w:pPr>
            <w:r>
              <w:rPr>
                <w:rFonts w:hint="eastAsia"/>
                <w:color w:val="auto"/>
              </w:rPr>
              <w:t>根据《声环境功能区划技术规范》（GB/T15190-2014）、《重庆市中心城区声环境功能区划分方案</w:t>
            </w:r>
            <w:r>
              <w:rPr>
                <w:rFonts w:hint="eastAsia"/>
                <w:color w:val="auto"/>
                <w:lang w:eastAsia="zh-CN"/>
              </w:rPr>
              <w:t>（</w:t>
            </w:r>
            <w:r>
              <w:rPr>
                <w:rFonts w:hint="eastAsia"/>
                <w:color w:val="auto"/>
              </w:rPr>
              <w:t>2023年</w:t>
            </w:r>
            <w:r>
              <w:rPr>
                <w:rFonts w:hint="eastAsia"/>
                <w:color w:val="auto"/>
                <w:lang w:eastAsia="zh-CN"/>
              </w:rPr>
              <w:t>）</w:t>
            </w:r>
            <w:r>
              <w:rPr>
                <w:rFonts w:hint="eastAsia"/>
                <w:color w:val="auto"/>
              </w:rPr>
              <w:t>》，项目所在地属于3类声环境功能区，且厂界外周边</w:t>
            </w:r>
            <w:r>
              <w:rPr>
                <w:color w:val="auto"/>
              </w:rPr>
              <w:t>50</w:t>
            </w:r>
            <w:r>
              <w:rPr>
                <w:rFonts w:hint="eastAsia"/>
                <w:color w:val="auto"/>
              </w:rPr>
              <w:t>米范围内不存在声环境保护目标，</w:t>
            </w:r>
            <w:r>
              <w:rPr>
                <w:color w:val="auto"/>
                <w:szCs w:val="21"/>
              </w:rPr>
              <w:t>按照</w:t>
            </w:r>
            <w:r>
              <w:rPr>
                <w:color w:val="auto"/>
              </w:rPr>
              <w:t>报告表编制技术指南要求</w:t>
            </w:r>
            <w:r>
              <w:rPr>
                <w:rFonts w:hint="eastAsia"/>
                <w:color w:val="auto"/>
              </w:rPr>
              <w:t>，本次评价不对声环境质量</w:t>
            </w:r>
            <w:r>
              <w:rPr>
                <w:rFonts w:hint="eastAsia"/>
              </w:rPr>
              <w:t>现状进行监测。</w:t>
            </w:r>
          </w:p>
          <w:p w14:paraId="5776DB09">
            <w:pPr>
              <w:pStyle w:val="82"/>
              <w:ind w:firstLine="522"/>
              <w:rPr>
                <w:b/>
              </w:rPr>
            </w:pPr>
            <w:r>
              <w:rPr>
                <w:rFonts w:hint="eastAsia"/>
                <w:b/>
              </w:rPr>
              <w:t>3</w:t>
            </w:r>
            <w:r>
              <w:rPr>
                <w:b/>
              </w:rPr>
              <w:t>.4地下水</w:t>
            </w:r>
            <w:r>
              <w:rPr>
                <w:rFonts w:hint="eastAsia"/>
                <w:b/>
              </w:rPr>
              <w:t>、</w:t>
            </w:r>
            <w:r>
              <w:rPr>
                <w:b/>
              </w:rPr>
              <w:t>土壤环境质量现状</w:t>
            </w:r>
          </w:p>
          <w:p w14:paraId="6B63545F">
            <w:pPr>
              <w:pStyle w:val="82"/>
              <w:ind w:firstLine="520"/>
            </w:pPr>
            <w:r>
              <w:rPr>
                <w:rFonts w:hint="eastAsia"/>
              </w:rPr>
              <w:t>本项目原辅材料暂存间、</w:t>
            </w:r>
            <w:r>
              <w:rPr>
                <w:rFonts w:hint="eastAsia"/>
                <w:lang w:eastAsia="zh-CN"/>
              </w:rPr>
              <w:t>危废贮存库</w:t>
            </w:r>
            <w:r>
              <w:rPr>
                <w:rFonts w:hint="eastAsia"/>
              </w:rPr>
              <w:t>设置有截流沟和收集池，地面采取了防腐防渗措施，正常情况下不会对地下水、土壤环境造成影响，无影响途径。因此不对地下水、土壤环境开展现状监测和评价。</w:t>
            </w:r>
          </w:p>
          <w:p w14:paraId="39E8B9A6">
            <w:pPr>
              <w:pStyle w:val="82"/>
              <w:ind w:firstLine="522"/>
              <w:rPr>
                <w:b/>
              </w:rPr>
            </w:pPr>
            <w:r>
              <w:rPr>
                <w:rFonts w:hint="eastAsia"/>
                <w:b/>
              </w:rPr>
              <w:t>3</w:t>
            </w:r>
            <w:r>
              <w:rPr>
                <w:b/>
              </w:rPr>
              <w:t>.5</w:t>
            </w:r>
            <w:r>
              <w:rPr>
                <w:rFonts w:hint="eastAsia"/>
                <w:b/>
              </w:rPr>
              <w:t>生态环境现状</w:t>
            </w:r>
          </w:p>
          <w:p w14:paraId="5D28FF39">
            <w:pPr>
              <w:pStyle w:val="82"/>
              <w:ind w:firstLine="520"/>
            </w:pPr>
            <w:r>
              <w:rPr>
                <w:rFonts w:hint="eastAsia"/>
              </w:rPr>
              <w:t>本项目位于重庆市西彭园区陶家组团内，且用地范围内不涉及生态环境保护目标，因此可不进行生态现状调查。</w:t>
            </w:r>
          </w:p>
        </w:tc>
      </w:tr>
      <w:tr w14:paraId="570AB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45DDBBDA">
            <w:pPr>
              <w:adjustRightInd w:val="0"/>
              <w:snapToGrid w:val="0"/>
              <w:jc w:val="center"/>
              <w:rPr>
                <w:rFonts w:ascii="宋体" w:hAnsi="宋体" w:cs="宋体"/>
                <w:kern w:val="0"/>
                <w:sz w:val="26"/>
              </w:rPr>
            </w:pPr>
            <w:r>
              <w:rPr>
                <w:rFonts w:hint="eastAsia" w:ascii="宋体" w:hAnsi="宋体" w:cs="宋体"/>
                <w:kern w:val="0"/>
                <w:sz w:val="26"/>
              </w:rPr>
              <w:t>环境</w:t>
            </w:r>
          </w:p>
          <w:p w14:paraId="2582ABE6">
            <w:pPr>
              <w:adjustRightInd w:val="0"/>
              <w:snapToGrid w:val="0"/>
              <w:jc w:val="center"/>
              <w:rPr>
                <w:rFonts w:ascii="宋体" w:hAnsi="宋体" w:cs="宋体"/>
                <w:kern w:val="0"/>
                <w:sz w:val="26"/>
              </w:rPr>
            </w:pPr>
            <w:r>
              <w:rPr>
                <w:rFonts w:hint="eastAsia" w:ascii="宋体" w:hAnsi="宋体" w:cs="宋体"/>
                <w:kern w:val="0"/>
                <w:sz w:val="26"/>
              </w:rPr>
              <w:t>保护</w:t>
            </w:r>
          </w:p>
          <w:p w14:paraId="4C8637CB">
            <w:pPr>
              <w:adjustRightInd w:val="0"/>
              <w:snapToGrid w:val="0"/>
              <w:jc w:val="center"/>
              <w:rPr>
                <w:rFonts w:ascii="宋体" w:hAnsi="宋体" w:cs="宋体"/>
                <w:kern w:val="0"/>
                <w:sz w:val="26"/>
              </w:rPr>
            </w:pPr>
            <w:r>
              <w:rPr>
                <w:rFonts w:hint="eastAsia" w:ascii="宋体" w:hAnsi="宋体" w:cs="宋体"/>
                <w:kern w:val="0"/>
                <w:sz w:val="26"/>
              </w:rPr>
              <w:t>目标</w:t>
            </w:r>
          </w:p>
        </w:tc>
        <w:tc>
          <w:tcPr>
            <w:tcW w:w="8190" w:type="dxa"/>
            <w:vAlign w:val="center"/>
          </w:tcPr>
          <w:p w14:paraId="67ED2E20">
            <w:pPr>
              <w:pStyle w:val="82"/>
              <w:ind w:firstLine="522"/>
              <w:rPr>
                <w:b/>
              </w:rPr>
            </w:pPr>
            <w:r>
              <w:rPr>
                <w:rFonts w:hint="eastAsia"/>
                <w:b/>
              </w:rPr>
              <w:t>3</w:t>
            </w:r>
            <w:r>
              <w:rPr>
                <w:b/>
              </w:rPr>
              <w:t>.</w:t>
            </w:r>
            <w:r>
              <w:rPr>
                <w:rFonts w:hint="eastAsia"/>
                <w:b/>
              </w:rPr>
              <w:t>6环境保护目标</w:t>
            </w:r>
          </w:p>
          <w:p w14:paraId="57A648D4">
            <w:pPr>
              <w:pStyle w:val="82"/>
              <w:ind w:firstLine="520"/>
            </w:pPr>
            <w:r>
              <w:rPr>
                <w:rFonts w:hint="eastAsia"/>
              </w:rPr>
              <w:t>项目位于重庆市西彭园区陶家组团内，厂区四周紧邻地块规划土地利用性质有工业用地、农林用地等，无居住用地、教育用地等环境保护目标（见附图4）。经查阅相关资料，本项目工程评价范围内不涉及自然保护区、风景名胜区、森林公园、地质公园、世界遗产地等环境敏感区，项目周边主要为工业企业。结合《建设项目环境影响报告表编制技术指南（污染影响类）（试行）》的要求，统计项目环境保护目标分布情况如下：</w:t>
            </w:r>
          </w:p>
          <w:p w14:paraId="4ED758C4">
            <w:pPr>
              <w:pStyle w:val="82"/>
              <w:ind w:firstLine="520"/>
            </w:pPr>
            <w:r>
              <w:rPr>
                <w:rFonts w:hint="eastAsia"/>
              </w:rPr>
              <w:t>（1）</w:t>
            </w:r>
            <w:r>
              <w:t>大气环境</w:t>
            </w:r>
            <w:r>
              <w:rPr>
                <w:rFonts w:hint="eastAsia"/>
              </w:rPr>
              <w:t>保护目标：项目</w:t>
            </w:r>
            <w:r>
              <w:t>厂界</w:t>
            </w:r>
            <w:r>
              <w:rPr>
                <w:rFonts w:hint="eastAsia"/>
              </w:rPr>
              <w:t>外5</w:t>
            </w:r>
            <w:r>
              <w:t>00m范围内</w:t>
            </w:r>
            <w:r>
              <w:rPr>
                <w:rFonts w:hint="eastAsia"/>
              </w:rPr>
              <w:t>分布有散居农户（见表3.6-1），无自然保护区、风景名胜区等其他保护目标分布，无规划的大气环境环保目标</w:t>
            </w:r>
            <w:r>
              <w:t>。</w:t>
            </w:r>
          </w:p>
          <w:p w14:paraId="195A02C2">
            <w:pPr>
              <w:pStyle w:val="82"/>
              <w:ind w:firstLine="520"/>
            </w:pPr>
            <w:r>
              <w:rPr>
                <w:rFonts w:hint="eastAsia"/>
              </w:rPr>
              <w:t>（2）地表水环境保护目标：经调查，项目不涉及地表水环境保护目标。</w:t>
            </w:r>
          </w:p>
          <w:p w14:paraId="52DF448F">
            <w:pPr>
              <w:pStyle w:val="82"/>
              <w:ind w:firstLine="520"/>
            </w:pPr>
            <w:r>
              <w:rPr>
                <w:rFonts w:hint="eastAsia"/>
              </w:rPr>
              <w:t>（3）</w:t>
            </w:r>
            <w:r>
              <w:t>声环境</w:t>
            </w:r>
            <w:r>
              <w:rPr>
                <w:rFonts w:hint="eastAsia"/>
              </w:rPr>
              <w:t>保护目标：根据现场踏勘，项目</w:t>
            </w:r>
            <w:r>
              <w:t>厂界外50</w:t>
            </w:r>
            <w:r>
              <w:rPr>
                <w:rFonts w:hint="eastAsia"/>
              </w:rPr>
              <w:t>m</w:t>
            </w:r>
            <w:r>
              <w:t>范围内无声环境保护目标分布。</w:t>
            </w:r>
          </w:p>
          <w:p w14:paraId="7A49043A">
            <w:pPr>
              <w:pStyle w:val="82"/>
              <w:ind w:firstLine="520"/>
            </w:pPr>
            <w:r>
              <w:rPr>
                <w:rFonts w:hint="eastAsia"/>
              </w:rPr>
              <w:t>（4）</w:t>
            </w:r>
            <w:r>
              <w:t>地下水环境</w:t>
            </w:r>
            <w:r>
              <w:rPr>
                <w:rFonts w:hint="eastAsia"/>
              </w:rPr>
              <w:t>：</w:t>
            </w:r>
            <w:r>
              <w:t>厂界外500</w:t>
            </w:r>
            <w:r>
              <w:rPr>
                <w:rFonts w:hint="eastAsia"/>
              </w:rPr>
              <w:t>m</w:t>
            </w:r>
            <w:r>
              <w:t>范围内</w:t>
            </w:r>
            <w:r>
              <w:rPr>
                <w:rFonts w:hint="eastAsia"/>
              </w:rPr>
              <w:t>无</w:t>
            </w:r>
            <w:r>
              <w:t>地下水集中式饮用水水源和热水、矿泉水、温泉等特殊地下水资源分布</w:t>
            </w:r>
            <w:r>
              <w:rPr>
                <w:rFonts w:hint="eastAsia"/>
              </w:rPr>
              <w:t>，</w:t>
            </w:r>
            <w:r>
              <w:t>无地下水环境保护目标。</w:t>
            </w:r>
          </w:p>
          <w:p w14:paraId="5307EA09">
            <w:pPr>
              <w:pStyle w:val="82"/>
              <w:ind w:firstLine="520"/>
            </w:pPr>
            <w:r>
              <w:rPr>
                <w:rFonts w:hint="eastAsia"/>
              </w:rPr>
              <w:t>（5）</w:t>
            </w:r>
            <w:r>
              <w:t>生态环境</w:t>
            </w:r>
            <w:r>
              <w:rPr>
                <w:rFonts w:hint="eastAsia"/>
              </w:rPr>
              <w:t>：项目不涉及生态保护红线，不涉及特殊生态敏感区和重要生态敏感区。</w:t>
            </w:r>
          </w:p>
          <w:p w14:paraId="4D52BE29">
            <w:pPr>
              <w:pStyle w:val="12"/>
              <w:spacing w:before="120"/>
              <w:rPr>
                <w:rFonts w:ascii="宋体" w:hAnsi="宋体"/>
                <w:szCs w:val="26"/>
              </w:rPr>
            </w:pPr>
            <w:r>
              <w:rPr>
                <w:rFonts w:hint="eastAsia" w:ascii="宋体" w:hAnsi="宋体"/>
              </w:rPr>
              <w:t>表</w:t>
            </w:r>
            <w:r>
              <w:t>3.</w:t>
            </w:r>
            <w:r>
              <w:rPr>
                <w:rFonts w:hint="eastAsia"/>
              </w:rPr>
              <w:t>6-1</w:t>
            </w:r>
            <w:r>
              <w:rPr>
                <w:rFonts w:hint="eastAsia"/>
                <w:lang w:val="en-US" w:eastAsia="zh-CN"/>
              </w:rPr>
              <w:t xml:space="preserve">  </w:t>
            </w:r>
            <w:r>
              <w:rPr>
                <w:rFonts w:hint="eastAsia" w:ascii="宋体" w:hAnsi="宋体"/>
              </w:rPr>
              <w:t>项目环境保护目标情况一览表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9"/>
              <w:gridCol w:w="1126"/>
              <w:gridCol w:w="674"/>
              <w:gridCol w:w="1530"/>
              <w:gridCol w:w="970"/>
              <w:gridCol w:w="1185"/>
            </w:tblGrid>
            <w:tr w14:paraId="3BEA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8" w:type="pct"/>
                  <w:vMerge w:val="restart"/>
                  <w:tcBorders>
                    <w:top w:val="single" w:color="auto" w:sz="4" w:space="0"/>
                    <w:left w:val="single" w:color="auto" w:sz="4" w:space="0"/>
                    <w:bottom w:val="single" w:color="auto" w:sz="4" w:space="0"/>
                    <w:right w:val="single" w:color="auto" w:sz="4" w:space="0"/>
                  </w:tcBorders>
                  <w:vAlign w:val="center"/>
                </w:tcPr>
                <w:p w14:paraId="734B2320">
                  <w:pPr>
                    <w:pStyle w:val="41"/>
                    <w:spacing w:line="320" w:lineRule="exact"/>
                    <w:rPr>
                      <w:sz w:val="22"/>
                      <w:szCs w:val="22"/>
                    </w:rPr>
                  </w:pPr>
                  <w:r>
                    <w:rPr>
                      <w:sz w:val="22"/>
                      <w:szCs w:val="22"/>
                    </w:rPr>
                    <w:t>名称</w:t>
                  </w:r>
                </w:p>
              </w:tc>
              <w:tc>
                <w:tcPr>
                  <w:tcW w:w="1453" w:type="pct"/>
                  <w:gridSpan w:val="2"/>
                  <w:tcBorders>
                    <w:top w:val="single" w:color="auto" w:sz="4" w:space="0"/>
                    <w:left w:val="nil"/>
                    <w:bottom w:val="single" w:color="auto" w:sz="4" w:space="0"/>
                    <w:right w:val="single" w:color="auto" w:sz="4" w:space="0"/>
                  </w:tcBorders>
                  <w:vAlign w:val="center"/>
                </w:tcPr>
                <w:p w14:paraId="1523741F">
                  <w:pPr>
                    <w:pStyle w:val="41"/>
                    <w:spacing w:line="320" w:lineRule="exact"/>
                    <w:rPr>
                      <w:sz w:val="22"/>
                      <w:szCs w:val="22"/>
                    </w:rPr>
                  </w:pPr>
                  <w:r>
                    <w:rPr>
                      <w:sz w:val="22"/>
                      <w:szCs w:val="22"/>
                    </w:rPr>
                    <w:t>坐标/m</w:t>
                  </w:r>
                </w:p>
              </w:tc>
              <w:tc>
                <w:tcPr>
                  <w:tcW w:w="423" w:type="pct"/>
                  <w:vMerge w:val="restart"/>
                  <w:tcBorders>
                    <w:top w:val="single" w:color="auto" w:sz="4" w:space="0"/>
                    <w:left w:val="nil"/>
                    <w:bottom w:val="single" w:color="auto" w:sz="4" w:space="0"/>
                    <w:right w:val="single" w:color="auto" w:sz="4" w:space="0"/>
                  </w:tcBorders>
                  <w:vAlign w:val="center"/>
                </w:tcPr>
                <w:p w14:paraId="7A59892C">
                  <w:pPr>
                    <w:pStyle w:val="41"/>
                    <w:spacing w:line="320" w:lineRule="exact"/>
                    <w:rPr>
                      <w:sz w:val="22"/>
                      <w:szCs w:val="22"/>
                    </w:rPr>
                  </w:pPr>
                  <w:r>
                    <w:rPr>
                      <w:sz w:val="22"/>
                      <w:szCs w:val="22"/>
                    </w:rPr>
                    <w:t>保护对象</w:t>
                  </w:r>
                </w:p>
              </w:tc>
              <w:tc>
                <w:tcPr>
                  <w:tcW w:w="960" w:type="pct"/>
                  <w:vMerge w:val="restart"/>
                  <w:tcBorders>
                    <w:top w:val="single" w:color="auto" w:sz="4" w:space="0"/>
                    <w:left w:val="nil"/>
                    <w:bottom w:val="single" w:color="auto" w:sz="4" w:space="0"/>
                    <w:right w:val="single" w:color="auto" w:sz="4" w:space="0"/>
                  </w:tcBorders>
                  <w:vAlign w:val="center"/>
                </w:tcPr>
                <w:p w14:paraId="4B5F3406">
                  <w:pPr>
                    <w:pStyle w:val="41"/>
                    <w:spacing w:line="320" w:lineRule="exact"/>
                    <w:rPr>
                      <w:sz w:val="22"/>
                      <w:szCs w:val="22"/>
                    </w:rPr>
                  </w:pPr>
                  <w:r>
                    <w:rPr>
                      <w:sz w:val="22"/>
                      <w:szCs w:val="22"/>
                    </w:rPr>
                    <w:t>保护内容</w:t>
                  </w:r>
                </w:p>
              </w:tc>
              <w:tc>
                <w:tcPr>
                  <w:tcW w:w="609" w:type="pct"/>
                  <w:vMerge w:val="restart"/>
                  <w:tcBorders>
                    <w:top w:val="single" w:color="auto" w:sz="4" w:space="0"/>
                    <w:left w:val="nil"/>
                    <w:bottom w:val="single" w:color="auto" w:sz="4" w:space="0"/>
                    <w:right w:val="single" w:color="auto" w:sz="4" w:space="0"/>
                  </w:tcBorders>
                  <w:vAlign w:val="center"/>
                </w:tcPr>
                <w:p w14:paraId="705DBD2F">
                  <w:pPr>
                    <w:pStyle w:val="41"/>
                    <w:spacing w:line="320" w:lineRule="exact"/>
                    <w:rPr>
                      <w:sz w:val="22"/>
                      <w:szCs w:val="22"/>
                    </w:rPr>
                  </w:pPr>
                  <w:r>
                    <w:rPr>
                      <w:sz w:val="22"/>
                      <w:szCs w:val="22"/>
                    </w:rPr>
                    <w:t>相对厂址方位</w:t>
                  </w:r>
                </w:p>
              </w:tc>
              <w:tc>
                <w:tcPr>
                  <w:tcW w:w="744" w:type="pct"/>
                  <w:vMerge w:val="restart"/>
                  <w:tcBorders>
                    <w:top w:val="single" w:color="auto" w:sz="4" w:space="0"/>
                    <w:left w:val="nil"/>
                    <w:bottom w:val="single" w:color="auto" w:sz="4" w:space="0"/>
                    <w:right w:val="single" w:color="auto" w:sz="4" w:space="0"/>
                  </w:tcBorders>
                  <w:vAlign w:val="center"/>
                </w:tcPr>
                <w:p w14:paraId="4040751D">
                  <w:pPr>
                    <w:pStyle w:val="41"/>
                    <w:spacing w:line="320" w:lineRule="exact"/>
                    <w:rPr>
                      <w:sz w:val="22"/>
                      <w:szCs w:val="22"/>
                    </w:rPr>
                  </w:pPr>
                  <w:r>
                    <w:rPr>
                      <w:sz w:val="22"/>
                      <w:szCs w:val="22"/>
                    </w:rPr>
                    <w:t>相对厂界距离（m）</w:t>
                  </w:r>
                </w:p>
              </w:tc>
            </w:tr>
            <w:tr w14:paraId="323A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8" w:type="pct"/>
                  <w:vMerge w:val="continue"/>
                  <w:tcBorders>
                    <w:top w:val="single" w:color="auto" w:sz="4" w:space="0"/>
                    <w:left w:val="single" w:color="auto" w:sz="4" w:space="0"/>
                    <w:bottom w:val="single" w:color="auto" w:sz="4" w:space="0"/>
                    <w:right w:val="single" w:color="auto" w:sz="4" w:space="0"/>
                  </w:tcBorders>
                  <w:vAlign w:val="center"/>
                </w:tcPr>
                <w:p w14:paraId="5AF73477">
                  <w:pPr>
                    <w:widowControl/>
                    <w:spacing w:line="320" w:lineRule="exact"/>
                    <w:jc w:val="left"/>
                    <w:rPr>
                      <w:sz w:val="22"/>
                      <w:szCs w:val="22"/>
                    </w:rPr>
                  </w:pPr>
                </w:p>
              </w:tc>
              <w:tc>
                <w:tcPr>
                  <w:tcW w:w="746" w:type="pct"/>
                  <w:tcBorders>
                    <w:top w:val="single" w:color="auto" w:sz="4" w:space="0"/>
                    <w:left w:val="nil"/>
                    <w:bottom w:val="single" w:color="auto" w:sz="4" w:space="0"/>
                    <w:right w:val="single" w:color="auto" w:sz="4" w:space="0"/>
                  </w:tcBorders>
                  <w:vAlign w:val="center"/>
                </w:tcPr>
                <w:p w14:paraId="1318AB27">
                  <w:pPr>
                    <w:pStyle w:val="41"/>
                    <w:spacing w:line="320" w:lineRule="exact"/>
                    <w:rPr>
                      <w:sz w:val="22"/>
                      <w:szCs w:val="22"/>
                    </w:rPr>
                  </w:pPr>
                  <w:r>
                    <w:rPr>
                      <w:sz w:val="22"/>
                      <w:szCs w:val="22"/>
                    </w:rPr>
                    <w:t>经度（东）</w:t>
                  </w:r>
                </w:p>
              </w:tc>
              <w:tc>
                <w:tcPr>
                  <w:tcW w:w="707" w:type="pct"/>
                  <w:tcBorders>
                    <w:top w:val="single" w:color="auto" w:sz="4" w:space="0"/>
                    <w:left w:val="nil"/>
                    <w:bottom w:val="single" w:color="auto" w:sz="4" w:space="0"/>
                    <w:right w:val="single" w:color="auto" w:sz="4" w:space="0"/>
                  </w:tcBorders>
                  <w:vAlign w:val="center"/>
                </w:tcPr>
                <w:p w14:paraId="7ACBAD48">
                  <w:pPr>
                    <w:pStyle w:val="41"/>
                    <w:spacing w:line="320" w:lineRule="exact"/>
                    <w:rPr>
                      <w:sz w:val="22"/>
                      <w:szCs w:val="22"/>
                    </w:rPr>
                  </w:pPr>
                  <w:r>
                    <w:rPr>
                      <w:sz w:val="22"/>
                      <w:szCs w:val="22"/>
                    </w:rPr>
                    <w:t>纬度（北）</w:t>
                  </w:r>
                </w:p>
              </w:tc>
              <w:tc>
                <w:tcPr>
                  <w:tcW w:w="423" w:type="pct"/>
                  <w:vMerge w:val="continue"/>
                  <w:tcBorders>
                    <w:top w:val="single" w:color="auto" w:sz="4" w:space="0"/>
                    <w:left w:val="nil"/>
                    <w:bottom w:val="single" w:color="auto" w:sz="4" w:space="0"/>
                    <w:right w:val="single" w:color="auto" w:sz="4" w:space="0"/>
                  </w:tcBorders>
                  <w:vAlign w:val="center"/>
                </w:tcPr>
                <w:p w14:paraId="7ACF891A">
                  <w:pPr>
                    <w:widowControl/>
                    <w:spacing w:line="320" w:lineRule="exact"/>
                    <w:jc w:val="left"/>
                    <w:rPr>
                      <w:sz w:val="22"/>
                      <w:szCs w:val="22"/>
                    </w:rPr>
                  </w:pPr>
                </w:p>
              </w:tc>
              <w:tc>
                <w:tcPr>
                  <w:tcW w:w="960" w:type="pct"/>
                  <w:vMerge w:val="continue"/>
                  <w:tcBorders>
                    <w:top w:val="single" w:color="auto" w:sz="4" w:space="0"/>
                    <w:left w:val="nil"/>
                    <w:bottom w:val="single" w:color="auto" w:sz="4" w:space="0"/>
                    <w:right w:val="single" w:color="auto" w:sz="4" w:space="0"/>
                  </w:tcBorders>
                  <w:vAlign w:val="center"/>
                </w:tcPr>
                <w:p w14:paraId="0F00477B">
                  <w:pPr>
                    <w:widowControl/>
                    <w:spacing w:line="320" w:lineRule="exact"/>
                    <w:jc w:val="left"/>
                    <w:rPr>
                      <w:sz w:val="22"/>
                      <w:szCs w:val="22"/>
                    </w:rPr>
                  </w:pPr>
                </w:p>
              </w:tc>
              <w:tc>
                <w:tcPr>
                  <w:tcW w:w="609" w:type="pct"/>
                  <w:vMerge w:val="continue"/>
                  <w:tcBorders>
                    <w:top w:val="single" w:color="auto" w:sz="4" w:space="0"/>
                    <w:left w:val="nil"/>
                    <w:bottom w:val="single" w:color="auto" w:sz="4" w:space="0"/>
                    <w:right w:val="single" w:color="auto" w:sz="4" w:space="0"/>
                  </w:tcBorders>
                  <w:vAlign w:val="center"/>
                </w:tcPr>
                <w:p w14:paraId="20E2F703">
                  <w:pPr>
                    <w:widowControl/>
                    <w:spacing w:line="320" w:lineRule="exact"/>
                    <w:jc w:val="left"/>
                    <w:rPr>
                      <w:sz w:val="22"/>
                      <w:szCs w:val="22"/>
                    </w:rPr>
                  </w:pPr>
                </w:p>
              </w:tc>
              <w:tc>
                <w:tcPr>
                  <w:tcW w:w="744" w:type="pct"/>
                  <w:vMerge w:val="continue"/>
                  <w:tcBorders>
                    <w:top w:val="single" w:color="auto" w:sz="4" w:space="0"/>
                    <w:left w:val="nil"/>
                    <w:bottom w:val="single" w:color="auto" w:sz="4" w:space="0"/>
                    <w:right w:val="single" w:color="auto" w:sz="4" w:space="0"/>
                  </w:tcBorders>
                  <w:vAlign w:val="center"/>
                </w:tcPr>
                <w:p w14:paraId="72AD5C5B">
                  <w:pPr>
                    <w:widowControl/>
                    <w:spacing w:line="320" w:lineRule="exact"/>
                    <w:jc w:val="left"/>
                    <w:rPr>
                      <w:sz w:val="22"/>
                      <w:szCs w:val="22"/>
                    </w:rPr>
                  </w:pPr>
                </w:p>
              </w:tc>
            </w:tr>
            <w:tr w14:paraId="751F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14:paraId="46806E9A">
                  <w:pPr>
                    <w:pStyle w:val="41"/>
                    <w:spacing w:line="320" w:lineRule="exact"/>
                    <w:rPr>
                      <w:sz w:val="22"/>
                      <w:szCs w:val="22"/>
                    </w:rPr>
                  </w:pPr>
                  <w:r>
                    <w:rPr>
                      <w:sz w:val="22"/>
                      <w:szCs w:val="22"/>
                    </w:rPr>
                    <w:t>1</w:t>
                  </w:r>
                  <w:r>
                    <w:rPr>
                      <w:sz w:val="22"/>
                      <w:szCs w:val="22"/>
                      <w:vertAlign w:val="superscript"/>
                    </w:rPr>
                    <w:t>#</w:t>
                  </w:r>
                  <w:r>
                    <w:rPr>
                      <w:sz w:val="22"/>
                      <w:szCs w:val="22"/>
                    </w:rPr>
                    <w:t>散居农户</w:t>
                  </w:r>
                </w:p>
              </w:tc>
              <w:tc>
                <w:tcPr>
                  <w:tcW w:w="1189" w:type="dxa"/>
                  <w:tcBorders>
                    <w:top w:val="single" w:color="auto" w:sz="4" w:space="0"/>
                    <w:left w:val="nil"/>
                    <w:bottom w:val="single" w:color="auto" w:sz="4" w:space="0"/>
                    <w:right w:val="single" w:color="auto" w:sz="4" w:space="0"/>
                  </w:tcBorders>
                  <w:vAlign w:val="center"/>
                </w:tcPr>
                <w:p w14:paraId="6CF5586B">
                  <w:pPr>
                    <w:pStyle w:val="41"/>
                    <w:spacing w:line="320" w:lineRule="exact"/>
                    <w:rPr>
                      <w:sz w:val="22"/>
                      <w:szCs w:val="22"/>
                    </w:rPr>
                  </w:pPr>
                  <w:r>
                    <w:rPr>
                      <w:rFonts w:hint="eastAsia"/>
                      <w:sz w:val="22"/>
                      <w:szCs w:val="22"/>
                    </w:rPr>
                    <w:t>106.357</w:t>
                  </w:r>
                </w:p>
              </w:tc>
              <w:tc>
                <w:tcPr>
                  <w:tcW w:w="1126" w:type="dxa"/>
                  <w:tcBorders>
                    <w:top w:val="single" w:color="auto" w:sz="4" w:space="0"/>
                    <w:left w:val="nil"/>
                    <w:bottom w:val="single" w:color="auto" w:sz="4" w:space="0"/>
                    <w:right w:val="single" w:color="auto" w:sz="4" w:space="0"/>
                  </w:tcBorders>
                  <w:vAlign w:val="center"/>
                </w:tcPr>
                <w:p w14:paraId="25DDEDC0">
                  <w:pPr>
                    <w:pStyle w:val="41"/>
                    <w:spacing w:line="320" w:lineRule="exact"/>
                    <w:rPr>
                      <w:sz w:val="22"/>
                      <w:szCs w:val="22"/>
                    </w:rPr>
                  </w:pPr>
                  <w:r>
                    <w:rPr>
                      <w:rFonts w:hint="eastAsia"/>
                      <w:sz w:val="22"/>
                      <w:szCs w:val="22"/>
                    </w:rPr>
                    <w:t>29.359</w:t>
                  </w:r>
                </w:p>
              </w:tc>
              <w:tc>
                <w:tcPr>
                  <w:tcW w:w="674" w:type="dxa"/>
                  <w:tcBorders>
                    <w:top w:val="single" w:color="auto" w:sz="4" w:space="0"/>
                    <w:left w:val="nil"/>
                    <w:bottom w:val="single" w:color="auto" w:sz="4" w:space="0"/>
                    <w:right w:val="single" w:color="auto" w:sz="4" w:space="0"/>
                  </w:tcBorders>
                  <w:vAlign w:val="center"/>
                </w:tcPr>
                <w:p w14:paraId="79C023F6">
                  <w:pPr>
                    <w:pStyle w:val="41"/>
                    <w:spacing w:line="320" w:lineRule="exact"/>
                    <w:rPr>
                      <w:sz w:val="22"/>
                      <w:szCs w:val="22"/>
                    </w:rPr>
                  </w:pPr>
                  <w:r>
                    <w:rPr>
                      <w:sz w:val="22"/>
                      <w:szCs w:val="22"/>
                    </w:rPr>
                    <w:t>农户</w:t>
                  </w:r>
                </w:p>
              </w:tc>
              <w:tc>
                <w:tcPr>
                  <w:tcW w:w="1530" w:type="dxa"/>
                  <w:tcBorders>
                    <w:top w:val="single" w:color="auto" w:sz="4" w:space="0"/>
                    <w:left w:val="nil"/>
                    <w:bottom w:val="single" w:color="auto" w:sz="4" w:space="0"/>
                    <w:right w:val="single" w:color="auto" w:sz="4" w:space="0"/>
                  </w:tcBorders>
                  <w:vAlign w:val="center"/>
                </w:tcPr>
                <w:p w14:paraId="509ADC1A">
                  <w:pPr>
                    <w:pStyle w:val="41"/>
                    <w:spacing w:line="320" w:lineRule="exact"/>
                    <w:rPr>
                      <w:sz w:val="22"/>
                      <w:szCs w:val="22"/>
                    </w:rPr>
                  </w:pPr>
                  <w:r>
                    <w:rPr>
                      <w:sz w:val="22"/>
                      <w:szCs w:val="22"/>
                    </w:rPr>
                    <w:t>约1户</w:t>
                  </w:r>
                  <w:r>
                    <w:rPr>
                      <w:rFonts w:hint="eastAsia"/>
                      <w:sz w:val="22"/>
                      <w:szCs w:val="22"/>
                    </w:rPr>
                    <w:t>2</w:t>
                  </w:r>
                  <w:r>
                    <w:rPr>
                      <w:sz w:val="22"/>
                      <w:szCs w:val="22"/>
                    </w:rPr>
                    <w:t>人</w:t>
                  </w:r>
                </w:p>
              </w:tc>
              <w:tc>
                <w:tcPr>
                  <w:tcW w:w="970" w:type="dxa"/>
                  <w:tcBorders>
                    <w:top w:val="single" w:color="auto" w:sz="4" w:space="0"/>
                    <w:left w:val="nil"/>
                    <w:bottom w:val="single" w:color="auto" w:sz="4" w:space="0"/>
                    <w:right w:val="single" w:color="auto" w:sz="4" w:space="0"/>
                  </w:tcBorders>
                  <w:vAlign w:val="center"/>
                </w:tcPr>
                <w:p w14:paraId="5052D56B">
                  <w:pPr>
                    <w:pStyle w:val="41"/>
                    <w:spacing w:line="320" w:lineRule="exact"/>
                    <w:rPr>
                      <w:sz w:val="22"/>
                      <w:szCs w:val="22"/>
                    </w:rPr>
                  </w:pPr>
                  <w:r>
                    <w:rPr>
                      <w:rFonts w:hint="eastAsia"/>
                      <w:sz w:val="22"/>
                      <w:szCs w:val="22"/>
                    </w:rPr>
                    <w:t>N</w:t>
                  </w:r>
                </w:p>
              </w:tc>
              <w:tc>
                <w:tcPr>
                  <w:tcW w:w="1185" w:type="dxa"/>
                  <w:tcBorders>
                    <w:top w:val="single" w:color="auto" w:sz="4" w:space="0"/>
                    <w:left w:val="nil"/>
                    <w:bottom w:val="single" w:color="auto" w:sz="4" w:space="0"/>
                    <w:right w:val="single" w:color="auto" w:sz="4" w:space="0"/>
                  </w:tcBorders>
                  <w:vAlign w:val="center"/>
                </w:tcPr>
                <w:p w14:paraId="6B1AB82E">
                  <w:pPr>
                    <w:pStyle w:val="41"/>
                    <w:spacing w:line="320" w:lineRule="exact"/>
                    <w:rPr>
                      <w:sz w:val="22"/>
                      <w:szCs w:val="22"/>
                    </w:rPr>
                  </w:pPr>
                  <w:r>
                    <w:rPr>
                      <w:sz w:val="22"/>
                      <w:szCs w:val="22"/>
                    </w:rPr>
                    <w:t>120</w:t>
                  </w:r>
                </w:p>
              </w:tc>
            </w:tr>
            <w:tr w14:paraId="639C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14:paraId="6D759F44">
                  <w:pPr>
                    <w:pStyle w:val="41"/>
                    <w:spacing w:line="320" w:lineRule="exact"/>
                    <w:rPr>
                      <w:sz w:val="22"/>
                      <w:szCs w:val="22"/>
                    </w:rPr>
                  </w:pPr>
                  <w:r>
                    <w:rPr>
                      <w:rFonts w:hint="eastAsia"/>
                      <w:sz w:val="22"/>
                      <w:szCs w:val="22"/>
                    </w:rPr>
                    <w:t>2</w:t>
                  </w:r>
                  <w:r>
                    <w:rPr>
                      <w:sz w:val="22"/>
                      <w:szCs w:val="22"/>
                    </w:rPr>
                    <w:t>#</w:t>
                  </w:r>
                  <w:r>
                    <w:rPr>
                      <w:rFonts w:hint="eastAsia"/>
                      <w:sz w:val="22"/>
                      <w:szCs w:val="22"/>
                    </w:rPr>
                    <w:t>友爱村散住居民</w:t>
                  </w:r>
                </w:p>
              </w:tc>
              <w:tc>
                <w:tcPr>
                  <w:tcW w:w="1189" w:type="dxa"/>
                  <w:tcBorders>
                    <w:top w:val="single" w:color="auto" w:sz="4" w:space="0"/>
                    <w:left w:val="nil"/>
                    <w:bottom w:val="single" w:color="auto" w:sz="4" w:space="0"/>
                    <w:right w:val="single" w:color="auto" w:sz="4" w:space="0"/>
                  </w:tcBorders>
                  <w:vAlign w:val="center"/>
                </w:tcPr>
                <w:p w14:paraId="614A2BD6">
                  <w:pPr>
                    <w:pStyle w:val="41"/>
                    <w:spacing w:line="320" w:lineRule="exact"/>
                    <w:rPr>
                      <w:sz w:val="22"/>
                      <w:szCs w:val="22"/>
                    </w:rPr>
                  </w:pPr>
                  <w:r>
                    <w:rPr>
                      <w:rFonts w:hint="eastAsia"/>
                      <w:sz w:val="22"/>
                      <w:szCs w:val="22"/>
                    </w:rPr>
                    <w:t>106.354</w:t>
                  </w:r>
                </w:p>
              </w:tc>
              <w:tc>
                <w:tcPr>
                  <w:tcW w:w="1126" w:type="dxa"/>
                  <w:tcBorders>
                    <w:top w:val="single" w:color="auto" w:sz="4" w:space="0"/>
                    <w:left w:val="nil"/>
                    <w:bottom w:val="single" w:color="auto" w:sz="4" w:space="0"/>
                    <w:right w:val="single" w:color="auto" w:sz="4" w:space="0"/>
                  </w:tcBorders>
                  <w:vAlign w:val="center"/>
                </w:tcPr>
                <w:p w14:paraId="6B6442C8">
                  <w:pPr>
                    <w:pStyle w:val="41"/>
                    <w:spacing w:line="320" w:lineRule="exact"/>
                    <w:rPr>
                      <w:sz w:val="22"/>
                      <w:szCs w:val="22"/>
                    </w:rPr>
                  </w:pPr>
                  <w:r>
                    <w:rPr>
                      <w:rFonts w:hint="eastAsia"/>
                      <w:sz w:val="22"/>
                      <w:szCs w:val="22"/>
                    </w:rPr>
                    <w:t>29.358</w:t>
                  </w:r>
                </w:p>
              </w:tc>
              <w:tc>
                <w:tcPr>
                  <w:tcW w:w="674" w:type="dxa"/>
                  <w:tcBorders>
                    <w:top w:val="single" w:color="auto" w:sz="4" w:space="0"/>
                    <w:left w:val="nil"/>
                    <w:bottom w:val="single" w:color="auto" w:sz="4" w:space="0"/>
                    <w:right w:val="single" w:color="auto" w:sz="4" w:space="0"/>
                  </w:tcBorders>
                  <w:vAlign w:val="center"/>
                </w:tcPr>
                <w:p w14:paraId="3A7947D0">
                  <w:pPr>
                    <w:pStyle w:val="41"/>
                    <w:spacing w:line="320" w:lineRule="exact"/>
                    <w:rPr>
                      <w:sz w:val="22"/>
                      <w:szCs w:val="22"/>
                    </w:rPr>
                  </w:pPr>
                  <w:r>
                    <w:rPr>
                      <w:rFonts w:hint="eastAsia"/>
                      <w:sz w:val="22"/>
                      <w:szCs w:val="22"/>
                    </w:rPr>
                    <w:t>农户</w:t>
                  </w:r>
                </w:p>
              </w:tc>
              <w:tc>
                <w:tcPr>
                  <w:tcW w:w="1530" w:type="dxa"/>
                  <w:tcBorders>
                    <w:top w:val="single" w:color="auto" w:sz="4" w:space="0"/>
                    <w:left w:val="nil"/>
                    <w:bottom w:val="single" w:color="auto" w:sz="4" w:space="0"/>
                    <w:right w:val="single" w:color="auto" w:sz="4" w:space="0"/>
                  </w:tcBorders>
                  <w:vAlign w:val="center"/>
                </w:tcPr>
                <w:p w14:paraId="655098E2">
                  <w:pPr>
                    <w:pStyle w:val="41"/>
                    <w:spacing w:line="320" w:lineRule="exact"/>
                    <w:rPr>
                      <w:sz w:val="22"/>
                      <w:szCs w:val="22"/>
                    </w:rPr>
                  </w:pPr>
                  <w:r>
                    <w:rPr>
                      <w:sz w:val="22"/>
                      <w:szCs w:val="22"/>
                    </w:rPr>
                    <w:t>约</w:t>
                  </w:r>
                  <w:r>
                    <w:rPr>
                      <w:rFonts w:hint="eastAsia"/>
                      <w:sz w:val="22"/>
                      <w:szCs w:val="22"/>
                    </w:rPr>
                    <w:t>45</w:t>
                  </w:r>
                  <w:r>
                    <w:rPr>
                      <w:sz w:val="22"/>
                      <w:szCs w:val="22"/>
                    </w:rPr>
                    <w:t>户</w:t>
                  </w:r>
                  <w:r>
                    <w:rPr>
                      <w:rFonts w:hint="eastAsia"/>
                      <w:sz w:val="22"/>
                      <w:szCs w:val="22"/>
                    </w:rPr>
                    <w:t>145</w:t>
                  </w:r>
                  <w:r>
                    <w:rPr>
                      <w:sz w:val="22"/>
                      <w:szCs w:val="22"/>
                    </w:rPr>
                    <w:t>人</w:t>
                  </w:r>
                </w:p>
              </w:tc>
              <w:tc>
                <w:tcPr>
                  <w:tcW w:w="970" w:type="dxa"/>
                  <w:tcBorders>
                    <w:top w:val="single" w:color="auto" w:sz="4" w:space="0"/>
                    <w:left w:val="nil"/>
                    <w:bottom w:val="single" w:color="auto" w:sz="4" w:space="0"/>
                    <w:right w:val="single" w:color="auto" w:sz="4" w:space="0"/>
                  </w:tcBorders>
                  <w:vAlign w:val="center"/>
                </w:tcPr>
                <w:p w14:paraId="281F0AEE">
                  <w:pPr>
                    <w:pStyle w:val="41"/>
                    <w:spacing w:line="320" w:lineRule="exact"/>
                    <w:rPr>
                      <w:sz w:val="22"/>
                      <w:szCs w:val="22"/>
                    </w:rPr>
                  </w:pPr>
                  <w:r>
                    <w:rPr>
                      <w:rFonts w:hint="eastAsia"/>
                      <w:sz w:val="22"/>
                      <w:szCs w:val="22"/>
                    </w:rPr>
                    <w:t>W、NW</w:t>
                  </w:r>
                </w:p>
              </w:tc>
              <w:tc>
                <w:tcPr>
                  <w:tcW w:w="1185" w:type="dxa"/>
                  <w:tcBorders>
                    <w:top w:val="single" w:color="auto" w:sz="4" w:space="0"/>
                    <w:left w:val="nil"/>
                    <w:bottom w:val="single" w:color="auto" w:sz="4" w:space="0"/>
                    <w:right w:val="single" w:color="auto" w:sz="4" w:space="0"/>
                  </w:tcBorders>
                  <w:vAlign w:val="center"/>
                </w:tcPr>
                <w:p w14:paraId="301DF272">
                  <w:pPr>
                    <w:pStyle w:val="41"/>
                    <w:spacing w:line="320" w:lineRule="exact"/>
                    <w:rPr>
                      <w:sz w:val="22"/>
                      <w:szCs w:val="22"/>
                    </w:rPr>
                  </w:pPr>
                  <w:r>
                    <w:rPr>
                      <w:rFonts w:hint="eastAsia"/>
                      <w:sz w:val="22"/>
                      <w:szCs w:val="22"/>
                    </w:rPr>
                    <w:t>128~500</w:t>
                  </w:r>
                </w:p>
              </w:tc>
            </w:tr>
            <w:tr w14:paraId="13B9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14:paraId="14E9D208">
                  <w:pPr>
                    <w:pStyle w:val="41"/>
                    <w:spacing w:line="320" w:lineRule="exact"/>
                    <w:rPr>
                      <w:sz w:val="22"/>
                      <w:szCs w:val="22"/>
                    </w:rPr>
                  </w:pPr>
                  <w:r>
                    <w:rPr>
                      <w:rFonts w:hint="eastAsia"/>
                      <w:sz w:val="22"/>
                      <w:szCs w:val="22"/>
                    </w:rPr>
                    <w:t>3#石堡村散住居民</w:t>
                  </w:r>
                </w:p>
              </w:tc>
              <w:tc>
                <w:tcPr>
                  <w:tcW w:w="1189" w:type="dxa"/>
                  <w:tcBorders>
                    <w:top w:val="single" w:color="auto" w:sz="4" w:space="0"/>
                    <w:left w:val="nil"/>
                    <w:bottom w:val="single" w:color="auto" w:sz="4" w:space="0"/>
                    <w:right w:val="single" w:color="auto" w:sz="4" w:space="0"/>
                  </w:tcBorders>
                  <w:vAlign w:val="center"/>
                </w:tcPr>
                <w:p w14:paraId="40FCBC5B">
                  <w:pPr>
                    <w:pStyle w:val="41"/>
                    <w:spacing w:line="320" w:lineRule="exact"/>
                    <w:rPr>
                      <w:sz w:val="22"/>
                      <w:szCs w:val="22"/>
                    </w:rPr>
                  </w:pPr>
                  <w:r>
                    <w:rPr>
                      <w:rFonts w:hint="eastAsia"/>
                      <w:sz w:val="22"/>
                      <w:szCs w:val="22"/>
                    </w:rPr>
                    <w:t>106.364</w:t>
                  </w:r>
                </w:p>
              </w:tc>
              <w:tc>
                <w:tcPr>
                  <w:tcW w:w="1126" w:type="dxa"/>
                  <w:tcBorders>
                    <w:top w:val="single" w:color="auto" w:sz="4" w:space="0"/>
                    <w:left w:val="nil"/>
                    <w:bottom w:val="single" w:color="auto" w:sz="4" w:space="0"/>
                    <w:right w:val="single" w:color="auto" w:sz="4" w:space="0"/>
                  </w:tcBorders>
                  <w:vAlign w:val="center"/>
                </w:tcPr>
                <w:p w14:paraId="6D907292">
                  <w:pPr>
                    <w:pStyle w:val="41"/>
                    <w:spacing w:line="320" w:lineRule="exact"/>
                    <w:rPr>
                      <w:sz w:val="22"/>
                      <w:szCs w:val="22"/>
                    </w:rPr>
                  </w:pPr>
                  <w:r>
                    <w:rPr>
                      <w:rFonts w:hint="eastAsia"/>
                      <w:sz w:val="22"/>
                      <w:szCs w:val="22"/>
                    </w:rPr>
                    <w:t>29.356</w:t>
                  </w:r>
                </w:p>
              </w:tc>
              <w:tc>
                <w:tcPr>
                  <w:tcW w:w="674" w:type="dxa"/>
                  <w:tcBorders>
                    <w:top w:val="single" w:color="auto" w:sz="4" w:space="0"/>
                    <w:left w:val="nil"/>
                    <w:bottom w:val="single" w:color="auto" w:sz="4" w:space="0"/>
                    <w:right w:val="single" w:color="auto" w:sz="4" w:space="0"/>
                  </w:tcBorders>
                  <w:vAlign w:val="center"/>
                </w:tcPr>
                <w:p w14:paraId="20425C51">
                  <w:pPr>
                    <w:pStyle w:val="41"/>
                    <w:spacing w:line="320" w:lineRule="exact"/>
                    <w:rPr>
                      <w:sz w:val="22"/>
                      <w:szCs w:val="22"/>
                    </w:rPr>
                  </w:pPr>
                  <w:r>
                    <w:rPr>
                      <w:rFonts w:hint="eastAsia"/>
                      <w:sz w:val="22"/>
                      <w:szCs w:val="22"/>
                    </w:rPr>
                    <w:t>农户</w:t>
                  </w:r>
                </w:p>
              </w:tc>
              <w:tc>
                <w:tcPr>
                  <w:tcW w:w="1530" w:type="dxa"/>
                  <w:tcBorders>
                    <w:top w:val="single" w:color="auto" w:sz="4" w:space="0"/>
                    <w:left w:val="nil"/>
                    <w:bottom w:val="single" w:color="auto" w:sz="4" w:space="0"/>
                    <w:right w:val="single" w:color="auto" w:sz="4" w:space="0"/>
                  </w:tcBorders>
                  <w:vAlign w:val="center"/>
                </w:tcPr>
                <w:p w14:paraId="0C36E639">
                  <w:pPr>
                    <w:pStyle w:val="41"/>
                    <w:spacing w:line="320" w:lineRule="exact"/>
                    <w:rPr>
                      <w:sz w:val="22"/>
                      <w:szCs w:val="22"/>
                    </w:rPr>
                  </w:pPr>
                  <w:r>
                    <w:rPr>
                      <w:sz w:val="22"/>
                      <w:szCs w:val="22"/>
                    </w:rPr>
                    <w:t>约</w:t>
                  </w:r>
                  <w:r>
                    <w:rPr>
                      <w:rFonts w:hint="eastAsia"/>
                      <w:sz w:val="22"/>
                      <w:szCs w:val="22"/>
                    </w:rPr>
                    <w:t>15</w:t>
                  </w:r>
                  <w:r>
                    <w:rPr>
                      <w:sz w:val="22"/>
                      <w:szCs w:val="22"/>
                    </w:rPr>
                    <w:t>户</w:t>
                  </w:r>
                  <w:r>
                    <w:rPr>
                      <w:rFonts w:hint="eastAsia"/>
                      <w:sz w:val="22"/>
                      <w:szCs w:val="22"/>
                    </w:rPr>
                    <w:t>50</w:t>
                  </w:r>
                  <w:r>
                    <w:rPr>
                      <w:sz w:val="22"/>
                      <w:szCs w:val="22"/>
                    </w:rPr>
                    <w:t>人</w:t>
                  </w:r>
                </w:p>
              </w:tc>
              <w:tc>
                <w:tcPr>
                  <w:tcW w:w="970" w:type="dxa"/>
                  <w:tcBorders>
                    <w:top w:val="single" w:color="auto" w:sz="4" w:space="0"/>
                    <w:left w:val="nil"/>
                    <w:bottom w:val="single" w:color="auto" w:sz="4" w:space="0"/>
                    <w:right w:val="single" w:color="auto" w:sz="4" w:space="0"/>
                  </w:tcBorders>
                  <w:vAlign w:val="center"/>
                </w:tcPr>
                <w:p w14:paraId="30088916">
                  <w:pPr>
                    <w:pStyle w:val="41"/>
                    <w:spacing w:line="320" w:lineRule="exact"/>
                    <w:rPr>
                      <w:sz w:val="22"/>
                      <w:szCs w:val="22"/>
                    </w:rPr>
                  </w:pPr>
                  <w:r>
                    <w:rPr>
                      <w:rFonts w:hint="eastAsia"/>
                      <w:sz w:val="22"/>
                      <w:szCs w:val="22"/>
                    </w:rPr>
                    <w:t>E、NE</w:t>
                  </w:r>
                </w:p>
              </w:tc>
              <w:tc>
                <w:tcPr>
                  <w:tcW w:w="1185" w:type="dxa"/>
                  <w:tcBorders>
                    <w:top w:val="single" w:color="auto" w:sz="4" w:space="0"/>
                    <w:left w:val="nil"/>
                    <w:bottom w:val="single" w:color="auto" w:sz="4" w:space="0"/>
                    <w:right w:val="single" w:color="auto" w:sz="4" w:space="0"/>
                  </w:tcBorders>
                  <w:vAlign w:val="center"/>
                </w:tcPr>
                <w:p w14:paraId="5EBADAED">
                  <w:pPr>
                    <w:pStyle w:val="41"/>
                    <w:spacing w:line="320" w:lineRule="exact"/>
                    <w:rPr>
                      <w:sz w:val="22"/>
                      <w:szCs w:val="22"/>
                    </w:rPr>
                  </w:pPr>
                  <w:r>
                    <w:rPr>
                      <w:rFonts w:hint="eastAsia"/>
                      <w:sz w:val="22"/>
                      <w:szCs w:val="22"/>
                    </w:rPr>
                    <w:t>130~500</w:t>
                  </w:r>
                </w:p>
              </w:tc>
            </w:tr>
            <w:tr w14:paraId="7513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14:paraId="668537DF">
                  <w:pPr>
                    <w:pStyle w:val="41"/>
                    <w:spacing w:line="320" w:lineRule="exact"/>
                    <w:rPr>
                      <w:sz w:val="22"/>
                      <w:szCs w:val="22"/>
                    </w:rPr>
                  </w:pPr>
                  <w:r>
                    <w:rPr>
                      <w:rFonts w:hint="eastAsia"/>
                      <w:sz w:val="22"/>
                      <w:szCs w:val="22"/>
                    </w:rPr>
                    <w:t>4#柏杨湾散住居民</w:t>
                  </w:r>
                </w:p>
              </w:tc>
              <w:tc>
                <w:tcPr>
                  <w:tcW w:w="1189" w:type="dxa"/>
                  <w:tcBorders>
                    <w:top w:val="single" w:color="auto" w:sz="4" w:space="0"/>
                    <w:left w:val="nil"/>
                    <w:bottom w:val="single" w:color="auto" w:sz="4" w:space="0"/>
                    <w:right w:val="single" w:color="auto" w:sz="4" w:space="0"/>
                  </w:tcBorders>
                  <w:vAlign w:val="center"/>
                </w:tcPr>
                <w:p w14:paraId="55D63A15">
                  <w:pPr>
                    <w:pStyle w:val="41"/>
                    <w:spacing w:line="320" w:lineRule="exact"/>
                    <w:rPr>
                      <w:sz w:val="22"/>
                      <w:szCs w:val="22"/>
                    </w:rPr>
                  </w:pPr>
                  <w:r>
                    <w:rPr>
                      <w:rFonts w:hint="eastAsia"/>
                      <w:sz w:val="22"/>
                      <w:szCs w:val="22"/>
                    </w:rPr>
                    <w:t>106.366</w:t>
                  </w:r>
                </w:p>
              </w:tc>
              <w:tc>
                <w:tcPr>
                  <w:tcW w:w="1126" w:type="dxa"/>
                  <w:tcBorders>
                    <w:top w:val="single" w:color="auto" w:sz="4" w:space="0"/>
                    <w:left w:val="nil"/>
                    <w:bottom w:val="single" w:color="auto" w:sz="4" w:space="0"/>
                    <w:right w:val="single" w:color="auto" w:sz="4" w:space="0"/>
                  </w:tcBorders>
                  <w:vAlign w:val="center"/>
                </w:tcPr>
                <w:p w14:paraId="22135071">
                  <w:pPr>
                    <w:pStyle w:val="41"/>
                    <w:spacing w:line="320" w:lineRule="exact"/>
                    <w:rPr>
                      <w:sz w:val="22"/>
                      <w:szCs w:val="22"/>
                    </w:rPr>
                  </w:pPr>
                  <w:r>
                    <w:rPr>
                      <w:rFonts w:hint="eastAsia"/>
                      <w:sz w:val="22"/>
                      <w:szCs w:val="22"/>
                    </w:rPr>
                    <w:t>29.352</w:t>
                  </w:r>
                </w:p>
              </w:tc>
              <w:tc>
                <w:tcPr>
                  <w:tcW w:w="674" w:type="dxa"/>
                  <w:tcBorders>
                    <w:top w:val="single" w:color="auto" w:sz="4" w:space="0"/>
                    <w:left w:val="nil"/>
                    <w:bottom w:val="single" w:color="auto" w:sz="4" w:space="0"/>
                    <w:right w:val="single" w:color="auto" w:sz="4" w:space="0"/>
                  </w:tcBorders>
                  <w:vAlign w:val="center"/>
                </w:tcPr>
                <w:p w14:paraId="3E63D658">
                  <w:pPr>
                    <w:pStyle w:val="41"/>
                    <w:spacing w:line="320" w:lineRule="exact"/>
                    <w:rPr>
                      <w:sz w:val="22"/>
                      <w:szCs w:val="22"/>
                    </w:rPr>
                  </w:pPr>
                  <w:r>
                    <w:rPr>
                      <w:rFonts w:hint="eastAsia"/>
                      <w:sz w:val="22"/>
                      <w:szCs w:val="22"/>
                    </w:rPr>
                    <w:t>农户</w:t>
                  </w:r>
                </w:p>
              </w:tc>
              <w:tc>
                <w:tcPr>
                  <w:tcW w:w="1530" w:type="dxa"/>
                  <w:tcBorders>
                    <w:top w:val="single" w:color="auto" w:sz="4" w:space="0"/>
                    <w:left w:val="nil"/>
                    <w:bottom w:val="single" w:color="auto" w:sz="4" w:space="0"/>
                    <w:right w:val="single" w:color="auto" w:sz="4" w:space="0"/>
                  </w:tcBorders>
                  <w:vAlign w:val="center"/>
                </w:tcPr>
                <w:p w14:paraId="38D817D4">
                  <w:pPr>
                    <w:pStyle w:val="41"/>
                    <w:spacing w:line="320" w:lineRule="exact"/>
                    <w:rPr>
                      <w:sz w:val="22"/>
                      <w:szCs w:val="22"/>
                    </w:rPr>
                  </w:pPr>
                  <w:r>
                    <w:rPr>
                      <w:sz w:val="22"/>
                      <w:szCs w:val="22"/>
                    </w:rPr>
                    <w:t>约</w:t>
                  </w:r>
                  <w:r>
                    <w:rPr>
                      <w:rFonts w:hint="eastAsia"/>
                      <w:sz w:val="22"/>
                      <w:szCs w:val="22"/>
                    </w:rPr>
                    <w:t>3</w:t>
                  </w:r>
                  <w:r>
                    <w:rPr>
                      <w:sz w:val="22"/>
                      <w:szCs w:val="22"/>
                    </w:rPr>
                    <w:t>户</w:t>
                  </w:r>
                  <w:r>
                    <w:rPr>
                      <w:rFonts w:hint="eastAsia"/>
                      <w:sz w:val="22"/>
                      <w:szCs w:val="22"/>
                    </w:rPr>
                    <w:t>7</w:t>
                  </w:r>
                  <w:r>
                    <w:rPr>
                      <w:sz w:val="22"/>
                      <w:szCs w:val="22"/>
                    </w:rPr>
                    <w:t>人</w:t>
                  </w:r>
                </w:p>
              </w:tc>
              <w:tc>
                <w:tcPr>
                  <w:tcW w:w="970" w:type="dxa"/>
                  <w:tcBorders>
                    <w:top w:val="single" w:color="auto" w:sz="4" w:space="0"/>
                    <w:left w:val="nil"/>
                    <w:bottom w:val="single" w:color="auto" w:sz="4" w:space="0"/>
                    <w:right w:val="single" w:color="auto" w:sz="4" w:space="0"/>
                  </w:tcBorders>
                  <w:vAlign w:val="center"/>
                </w:tcPr>
                <w:p w14:paraId="24C5D940">
                  <w:pPr>
                    <w:pStyle w:val="41"/>
                    <w:spacing w:line="320" w:lineRule="exact"/>
                    <w:rPr>
                      <w:sz w:val="22"/>
                      <w:szCs w:val="22"/>
                    </w:rPr>
                  </w:pPr>
                  <w:r>
                    <w:rPr>
                      <w:rFonts w:hint="eastAsia"/>
                      <w:sz w:val="22"/>
                      <w:szCs w:val="22"/>
                    </w:rPr>
                    <w:t>SE</w:t>
                  </w:r>
                </w:p>
              </w:tc>
              <w:tc>
                <w:tcPr>
                  <w:tcW w:w="1185" w:type="dxa"/>
                  <w:tcBorders>
                    <w:top w:val="single" w:color="auto" w:sz="4" w:space="0"/>
                    <w:left w:val="nil"/>
                    <w:bottom w:val="single" w:color="auto" w:sz="4" w:space="0"/>
                    <w:right w:val="single" w:color="auto" w:sz="4" w:space="0"/>
                  </w:tcBorders>
                  <w:vAlign w:val="center"/>
                </w:tcPr>
                <w:p w14:paraId="25656153">
                  <w:pPr>
                    <w:pStyle w:val="41"/>
                    <w:spacing w:line="320" w:lineRule="exact"/>
                    <w:rPr>
                      <w:sz w:val="22"/>
                      <w:szCs w:val="22"/>
                    </w:rPr>
                  </w:pPr>
                  <w:r>
                    <w:rPr>
                      <w:rFonts w:hint="eastAsia"/>
                      <w:sz w:val="22"/>
                      <w:szCs w:val="22"/>
                    </w:rPr>
                    <w:t>494~500</w:t>
                  </w:r>
                </w:p>
              </w:tc>
            </w:tr>
          </w:tbl>
          <w:p w14:paraId="7AAAADCB">
            <w:pPr>
              <w:pStyle w:val="12"/>
              <w:spacing w:before="120"/>
              <w:rPr>
                <w:rFonts w:ascii="宋体" w:hAnsi="宋体" w:cs="宋体"/>
                <w:kern w:val="0"/>
                <w:szCs w:val="21"/>
              </w:rPr>
            </w:pPr>
          </w:p>
        </w:tc>
      </w:tr>
      <w:tr w14:paraId="0B59D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Mar>
              <w:left w:w="28" w:type="dxa"/>
              <w:right w:w="28" w:type="dxa"/>
            </w:tcMar>
            <w:vAlign w:val="center"/>
          </w:tcPr>
          <w:p w14:paraId="13380C7C">
            <w:pPr>
              <w:adjustRightInd w:val="0"/>
              <w:snapToGrid w:val="0"/>
              <w:jc w:val="center"/>
              <w:rPr>
                <w:rFonts w:ascii="宋体" w:hAnsi="宋体" w:cs="宋体"/>
                <w:kern w:val="0"/>
                <w:sz w:val="26"/>
              </w:rPr>
            </w:pPr>
            <w:r>
              <w:rPr>
                <w:rFonts w:hint="eastAsia" w:ascii="宋体" w:hAnsi="宋体" w:cs="宋体"/>
                <w:kern w:val="0"/>
                <w:sz w:val="26"/>
              </w:rPr>
              <w:t>污染</w:t>
            </w:r>
          </w:p>
          <w:p w14:paraId="3A92CF9B">
            <w:pPr>
              <w:adjustRightInd w:val="0"/>
              <w:snapToGrid w:val="0"/>
              <w:jc w:val="center"/>
              <w:rPr>
                <w:rFonts w:ascii="宋体" w:hAnsi="宋体" w:cs="宋体"/>
                <w:kern w:val="0"/>
                <w:sz w:val="26"/>
              </w:rPr>
            </w:pPr>
            <w:r>
              <w:rPr>
                <w:rFonts w:hint="eastAsia" w:ascii="宋体" w:hAnsi="宋体" w:cs="宋体"/>
                <w:kern w:val="0"/>
                <w:sz w:val="26"/>
              </w:rPr>
              <w:t>物排</w:t>
            </w:r>
          </w:p>
          <w:p w14:paraId="2E378ACD">
            <w:pPr>
              <w:adjustRightInd w:val="0"/>
              <w:snapToGrid w:val="0"/>
              <w:jc w:val="center"/>
              <w:rPr>
                <w:rFonts w:ascii="宋体" w:hAnsi="宋体" w:cs="宋体"/>
                <w:kern w:val="0"/>
                <w:sz w:val="26"/>
              </w:rPr>
            </w:pPr>
            <w:r>
              <w:rPr>
                <w:rFonts w:hint="eastAsia" w:ascii="宋体" w:hAnsi="宋体" w:cs="宋体"/>
                <w:kern w:val="0"/>
                <w:sz w:val="26"/>
              </w:rPr>
              <w:t>放控</w:t>
            </w:r>
          </w:p>
          <w:p w14:paraId="69F7B2AE">
            <w:pPr>
              <w:adjustRightInd w:val="0"/>
              <w:snapToGrid w:val="0"/>
              <w:jc w:val="center"/>
              <w:rPr>
                <w:rFonts w:ascii="宋体" w:hAnsi="宋体" w:cs="宋体"/>
                <w:kern w:val="0"/>
                <w:sz w:val="26"/>
              </w:rPr>
            </w:pPr>
            <w:r>
              <w:rPr>
                <w:rFonts w:hint="eastAsia" w:ascii="宋体" w:hAnsi="宋体" w:cs="宋体"/>
                <w:kern w:val="0"/>
                <w:sz w:val="26"/>
              </w:rPr>
              <w:t>制标</w:t>
            </w:r>
          </w:p>
          <w:p w14:paraId="53EFF963">
            <w:pPr>
              <w:adjustRightInd w:val="0"/>
              <w:snapToGrid w:val="0"/>
              <w:jc w:val="center"/>
              <w:rPr>
                <w:rFonts w:ascii="宋体" w:hAnsi="宋体" w:cs="宋体"/>
                <w:kern w:val="0"/>
                <w:sz w:val="26"/>
              </w:rPr>
            </w:pPr>
            <w:r>
              <w:rPr>
                <w:rFonts w:hint="eastAsia" w:ascii="宋体" w:hAnsi="宋体" w:cs="宋体"/>
                <w:kern w:val="0"/>
                <w:sz w:val="26"/>
              </w:rPr>
              <w:t>准</w:t>
            </w:r>
          </w:p>
        </w:tc>
        <w:tc>
          <w:tcPr>
            <w:tcW w:w="8190" w:type="dxa"/>
            <w:vAlign w:val="center"/>
          </w:tcPr>
          <w:p w14:paraId="02C8265A">
            <w:pPr>
              <w:pStyle w:val="82"/>
              <w:ind w:firstLine="522"/>
              <w:rPr>
                <w:b/>
              </w:rPr>
            </w:pPr>
            <w:r>
              <w:rPr>
                <w:rFonts w:hint="eastAsia"/>
                <w:b/>
              </w:rPr>
              <w:t>3</w:t>
            </w:r>
            <w:r>
              <w:rPr>
                <w:b/>
              </w:rPr>
              <w:t>.</w:t>
            </w:r>
            <w:r>
              <w:rPr>
                <w:rFonts w:hint="eastAsia"/>
                <w:b/>
              </w:rPr>
              <w:t>7污染物排放控制标准</w:t>
            </w:r>
          </w:p>
          <w:p w14:paraId="12C69F12">
            <w:pPr>
              <w:pStyle w:val="82"/>
              <w:ind w:firstLine="520"/>
              <w:rPr>
                <w:rFonts w:eastAsia="黑体"/>
              </w:rPr>
            </w:pPr>
            <w:r>
              <w:rPr>
                <w:rFonts w:hint="eastAsia"/>
              </w:rPr>
              <w:t>（1）废水</w:t>
            </w:r>
          </w:p>
          <w:p w14:paraId="4799409E">
            <w:pPr>
              <w:pStyle w:val="82"/>
              <w:ind w:firstLine="520"/>
            </w:pPr>
            <w:r>
              <w:rPr>
                <w:rFonts w:hint="eastAsia"/>
                <w:szCs w:val="26"/>
              </w:rPr>
              <w:t>项目所处区域属于陶家工业污水处理厂（原九龙园区L分区污水处理厂）服务范围内，根据《</w:t>
            </w:r>
            <w:r>
              <w:rPr>
                <w:szCs w:val="26"/>
              </w:rPr>
              <w:t>重庆西彭工业园区规划环境影响报告书</w:t>
            </w:r>
            <w:r>
              <w:rPr>
                <w:rFonts w:hint="eastAsia"/>
                <w:szCs w:val="26"/>
              </w:rPr>
              <w:t>》（2023年），厂区污废水需处理满足《污水综合排放标准》（GB8978-1996）三级排放标准及《污水排入城镇下水道水质标准》（GB/T31962-2015）后方可排入陶家工业污水处理厂处理，经污水处理厂处理后的废水排入杨柳曲河，尾水中满足COD、NH</w:t>
            </w:r>
            <w:r>
              <w:rPr>
                <w:rFonts w:hint="eastAsia"/>
                <w:szCs w:val="26"/>
                <w:vertAlign w:val="subscript"/>
              </w:rPr>
              <w:t>3</w:t>
            </w:r>
            <w:r>
              <w:rPr>
                <w:rFonts w:hint="eastAsia"/>
                <w:szCs w:val="26"/>
              </w:rPr>
              <w:t>-N执行《地表水环境质量标准》（GB3838-2002）IV类标准，其余指标执行《城镇污水处理厂污染物排放标准》（GB18918-2002）一级A标准，具体标准值见</w:t>
            </w:r>
            <w:r>
              <w:rPr>
                <w:szCs w:val="26"/>
              </w:rPr>
              <w:t>下表</w:t>
            </w:r>
            <w:r>
              <w:rPr>
                <w:rFonts w:hint="eastAsia"/>
              </w:rPr>
              <w:t>。</w:t>
            </w:r>
          </w:p>
          <w:p w14:paraId="7BF8CC26">
            <w:pPr>
              <w:pStyle w:val="12"/>
              <w:spacing w:before="120"/>
            </w:pPr>
            <w:r>
              <w:rPr>
                <w:rFonts w:hint="eastAsia"/>
              </w:rPr>
              <w:t>表3</w:t>
            </w:r>
            <w:r>
              <w:t>.</w:t>
            </w:r>
            <w:r>
              <w:rPr>
                <w:rFonts w:hint="eastAsia"/>
              </w:rPr>
              <w:t>7</w:t>
            </w:r>
            <w:r>
              <w:t>-</w:t>
            </w:r>
            <w:r>
              <w:rPr>
                <w:rFonts w:hint="eastAsia"/>
              </w:rPr>
              <w:t>1</w:t>
            </w:r>
            <w:r>
              <w:rPr>
                <w:rFonts w:hint="eastAsia"/>
                <w:lang w:val="en-US" w:eastAsia="zh-CN"/>
              </w:rPr>
              <w:t xml:space="preserve">  </w:t>
            </w:r>
            <w:r>
              <w:rPr>
                <w:rFonts w:hint="eastAsia"/>
              </w:rPr>
              <w:t>水污染物排放标准</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433"/>
              <w:gridCol w:w="1064"/>
              <w:gridCol w:w="1137"/>
              <w:gridCol w:w="3189"/>
            </w:tblGrid>
            <w:tr w14:paraId="4AEE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14:paraId="752C1D44">
                  <w:pPr>
                    <w:pStyle w:val="41"/>
                    <w:rPr>
                      <w:sz w:val="22"/>
                      <w:szCs w:val="22"/>
                    </w:rPr>
                  </w:pPr>
                  <w:r>
                    <w:rPr>
                      <w:rFonts w:hint="eastAsia"/>
                      <w:sz w:val="22"/>
                      <w:szCs w:val="22"/>
                    </w:rPr>
                    <w:t>类别</w:t>
                  </w:r>
                </w:p>
              </w:tc>
              <w:tc>
                <w:tcPr>
                  <w:tcW w:w="899" w:type="pct"/>
                  <w:tcBorders>
                    <w:top w:val="single" w:color="auto" w:sz="4" w:space="0"/>
                    <w:left w:val="single" w:color="auto" w:sz="4" w:space="0"/>
                    <w:bottom w:val="single" w:color="auto" w:sz="4" w:space="0"/>
                    <w:right w:val="single" w:color="auto" w:sz="4" w:space="0"/>
                  </w:tcBorders>
                  <w:vAlign w:val="center"/>
                </w:tcPr>
                <w:p w14:paraId="4F01B8A0">
                  <w:pPr>
                    <w:pStyle w:val="41"/>
                    <w:rPr>
                      <w:sz w:val="22"/>
                      <w:szCs w:val="22"/>
                    </w:rPr>
                  </w:pPr>
                  <w:r>
                    <w:rPr>
                      <w:rFonts w:hint="eastAsia"/>
                      <w:sz w:val="22"/>
                      <w:szCs w:val="22"/>
                    </w:rPr>
                    <w:t>污染因子</w:t>
                  </w:r>
                </w:p>
              </w:tc>
              <w:tc>
                <w:tcPr>
                  <w:tcW w:w="668" w:type="pct"/>
                  <w:tcBorders>
                    <w:top w:val="single" w:color="auto" w:sz="4" w:space="0"/>
                    <w:left w:val="single" w:color="auto" w:sz="4" w:space="0"/>
                    <w:bottom w:val="single" w:color="auto" w:sz="4" w:space="0"/>
                    <w:right w:val="single" w:color="auto" w:sz="4" w:space="0"/>
                  </w:tcBorders>
                  <w:vAlign w:val="center"/>
                </w:tcPr>
                <w:p w14:paraId="16553578">
                  <w:pPr>
                    <w:pStyle w:val="41"/>
                    <w:rPr>
                      <w:sz w:val="22"/>
                      <w:szCs w:val="22"/>
                    </w:rPr>
                  </w:pPr>
                  <w:r>
                    <w:rPr>
                      <w:rFonts w:hint="eastAsia"/>
                      <w:sz w:val="22"/>
                      <w:szCs w:val="22"/>
                    </w:rPr>
                    <w:t>单位</w:t>
                  </w:r>
                </w:p>
              </w:tc>
              <w:tc>
                <w:tcPr>
                  <w:tcW w:w="714" w:type="pct"/>
                  <w:tcBorders>
                    <w:top w:val="single" w:color="auto" w:sz="4" w:space="0"/>
                    <w:left w:val="single" w:color="auto" w:sz="4" w:space="0"/>
                    <w:bottom w:val="single" w:color="auto" w:sz="4" w:space="0"/>
                    <w:right w:val="single" w:color="auto" w:sz="4" w:space="0"/>
                  </w:tcBorders>
                  <w:vAlign w:val="center"/>
                </w:tcPr>
                <w:p w14:paraId="68139E48">
                  <w:pPr>
                    <w:pStyle w:val="41"/>
                    <w:rPr>
                      <w:sz w:val="22"/>
                      <w:szCs w:val="22"/>
                    </w:rPr>
                  </w:pPr>
                  <w:r>
                    <w:rPr>
                      <w:sz w:val="22"/>
                      <w:szCs w:val="22"/>
                    </w:rPr>
                    <w:t>标准值</w:t>
                  </w:r>
                </w:p>
              </w:tc>
              <w:tc>
                <w:tcPr>
                  <w:tcW w:w="2002" w:type="pct"/>
                  <w:tcBorders>
                    <w:top w:val="single" w:color="auto" w:sz="4" w:space="0"/>
                    <w:left w:val="single" w:color="auto" w:sz="4" w:space="0"/>
                    <w:bottom w:val="single" w:color="auto" w:sz="4" w:space="0"/>
                    <w:right w:val="single" w:color="auto" w:sz="4" w:space="0"/>
                  </w:tcBorders>
                  <w:vAlign w:val="center"/>
                </w:tcPr>
                <w:p w14:paraId="732DBBEF">
                  <w:pPr>
                    <w:pStyle w:val="41"/>
                    <w:rPr>
                      <w:sz w:val="22"/>
                      <w:szCs w:val="22"/>
                    </w:rPr>
                  </w:pPr>
                  <w:r>
                    <w:rPr>
                      <w:rFonts w:hint="eastAsia"/>
                      <w:sz w:val="22"/>
                      <w:szCs w:val="22"/>
                    </w:rPr>
                    <w:t>标准来源</w:t>
                  </w:r>
                </w:p>
              </w:tc>
            </w:tr>
            <w:tr w14:paraId="3491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4" w:type="pct"/>
                  <w:vMerge w:val="restart"/>
                  <w:tcBorders>
                    <w:top w:val="single" w:color="auto" w:sz="4" w:space="0"/>
                    <w:left w:val="single" w:color="auto" w:sz="4" w:space="0"/>
                    <w:right w:val="single" w:color="auto" w:sz="4" w:space="0"/>
                  </w:tcBorders>
                  <w:vAlign w:val="center"/>
                </w:tcPr>
                <w:p w14:paraId="606A409F">
                  <w:pPr>
                    <w:pStyle w:val="41"/>
                    <w:rPr>
                      <w:sz w:val="22"/>
                      <w:szCs w:val="22"/>
                    </w:rPr>
                  </w:pPr>
                  <w:r>
                    <w:rPr>
                      <w:rFonts w:hint="eastAsia"/>
                      <w:sz w:val="22"/>
                      <w:szCs w:val="22"/>
                    </w:rPr>
                    <w:t>陶家工业污水处理厂接管水质要求</w:t>
                  </w:r>
                </w:p>
              </w:tc>
              <w:tc>
                <w:tcPr>
                  <w:tcW w:w="899" w:type="pct"/>
                  <w:tcBorders>
                    <w:top w:val="single" w:color="auto" w:sz="4" w:space="0"/>
                    <w:left w:val="single" w:color="auto" w:sz="4" w:space="0"/>
                    <w:bottom w:val="single" w:color="auto" w:sz="4" w:space="0"/>
                    <w:right w:val="single" w:color="auto" w:sz="4" w:space="0"/>
                  </w:tcBorders>
                  <w:vAlign w:val="center"/>
                </w:tcPr>
                <w:p w14:paraId="1F295D18">
                  <w:pPr>
                    <w:pStyle w:val="41"/>
                    <w:rPr>
                      <w:sz w:val="22"/>
                      <w:szCs w:val="22"/>
                    </w:rPr>
                  </w:pPr>
                  <w:r>
                    <w:rPr>
                      <w:rFonts w:hint="eastAsia"/>
                      <w:sz w:val="22"/>
                      <w:szCs w:val="22"/>
                    </w:rPr>
                    <w:t>pH</w:t>
                  </w:r>
                </w:p>
              </w:tc>
              <w:tc>
                <w:tcPr>
                  <w:tcW w:w="668" w:type="pct"/>
                  <w:tcBorders>
                    <w:top w:val="single" w:color="auto" w:sz="4" w:space="0"/>
                    <w:left w:val="single" w:color="auto" w:sz="4" w:space="0"/>
                    <w:bottom w:val="single" w:color="auto" w:sz="4" w:space="0"/>
                    <w:right w:val="single" w:color="auto" w:sz="4" w:space="0"/>
                  </w:tcBorders>
                  <w:vAlign w:val="center"/>
                </w:tcPr>
                <w:p w14:paraId="7AE288E6">
                  <w:pPr>
                    <w:pStyle w:val="41"/>
                    <w:rPr>
                      <w:sz w:val="22"/>
                      <w:szCs w:val="22"/>
                    </w:rPr>
                  </w:pPr>
                  <w:r>
                    <w:rPr>
                      <w:rFonts w:hint="eastAsia"/>
                      <w:sz w:val="22"/>
                      <w:szCs w:val="22"/>
                    </w:rPr>
                    <w:t>无量纲</w:t>
                  </w:r>
                </w:p>
              </w:tc>
              <w:tc>
                <w:tcPr>
                  <w:tcW w:w="714" w:type="pct"/>
                  <w:tcBorders>
                    <w:top w:val="single" w:color="auto" w:sz="4" w:space="0"/>
                    <w:left w:val="single" w:color="auto" w:sz="4" w:space="0"/>
                    <w:bottom w:val="single" w:color="auto" w:sz="4" w:space="0"/>
                    <w:right w:val="single" w:color="auto" w:sz="4" w:space="0"/>
                  </w:tcBorders>
                  <w:vAlign w:val="center"/>
                </w:tcPr>
                <w:p w14:paraId="7D0F0287">
                  <w:pPr>
                    <w:pStyle w:val="41"/>
                    <w:rPr>
                      <w:sz w:val="22"/>
                      <w:szCs w:val="22"/>
                    </w:rPr>
                  </w:pPr>
                  <w:r>
                    <w:rPr>
                      <w:rFonts w:hint="eastAsia"/>
                      <w:sz w:val="22"/>
                      <w:szCs w:val="22"/>
                    </w:rPr>
                    <w:t>6~9</w:t>
                  </w:r>
                </w:p>
              </w:tc>
              <w:tc>
                <w:tcPr>
                  <w:tcW w:w="2002" w:type="pct"/>
                  <w:vMerge w:val="restart"/>
                  <w:tcBorders>
                    <w:top w:val="single" w:color="auto" w:sz="4" w:space="0"/>
                    <w:left w:val="single" w:color="auto" w:sz="4" w:space="0"/>
                    <w:right w:val="single" w:color="auto" w:sz="4" w:space="0"/>
                  </w:tcBorders>
                  <w:vAlign w:val="center"/>
                </w:tcPr>
                <w:p w14:paraId="7571BBCC">
                  <w:pPr>
                    <w:pStyle w:val="41"/>
                    <w:rPr>
                      <w:sz w:val="22"/>
                      <w:szCs w:val="22"/>
                    </w:rPr>
                  </w:pPr>
                  <w:r>
                    <w:rPr>
                      <w:rFonts w:hint="eastAsia"/>
                      <w:sz w:val="22"/>
                      <w:szCs w:val="22"/>
                    </w:rPr>
                    <w:t>《污水综合排放标准》（GB8978-1996）三级</w:t>
                  </w:r>
                </w:p>
              </w:tc>
            </w:tr>
            <w:tr w14:paraId="4695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vMerge w:val="continue"/>
                  <w:tcBorders>
                    <w:left w:val="single" w:color="auto" w:sz="4" w:space="0"/>
                    <w:right w:val="single" w:color="auto" w:sz="4" w:space="0"/>
                  </w:tcBorders>
                  <w:vAlign w:val="center"/>
                </w:tcPr>
                <w:p w14:paraId="449C2D87">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50B61D72">
                  <w:pPr>
                    <w:pStyle w:val="41"/>
                    <w:rPr>
                      <w:sz w:val="22"/>
                      <w:szCs w:val="22"/>
                    </w:rPr>
                  </w:pPr>
                  <w:r>
                    <w:rPr>
                      <w:sz w:val="22"/>
                      <w:szCs w:val="22"/>
                    </w:rPr>
                    <w:t>COD</w:t>
                  </w:r>
                </w:p>
              </w:tc>
              <w:tc>
                <w:tcPr>
                  <w:tcW w:w="668" w:type="pct"/>
                  <w:tcBorders>
                    <w:top w:val="single" w:color="auto" w:sz="4" w:space="0"/>
                    <w:left w:val="single" w:color="auto" w:sz="4" w:space="0"/>
                    <w:bottom w:val="single" w:color="auto" w:sz="4" w:space="0"/>
                    <w:right w:val="single" w:color="auto" w:sz="4" w:space="0"/>
                  </w:tcBorders>
                  <w:vAlign w:val="center"/>
                </w:tcPr>
                <w:p w14:paraId="1FF139FE">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172B8DB5">
                  <w:pPr>
                    <w:pStyle w:val="41"/>
                    <w:rPr>
                      <w:sz w:val="22"/>
                      <w:szCs w:val="22"/>
                    </w:rPr>
                  </w:pPr>
                  <w:r>
                    <w:rPr>
                      <w:sz w:val="22"/>
                      <w:szCs w:val="22"/>
                    </w:rPr>
                    <w:t>≤</w:t>
                  </w:r>
                  <w:r>
                    <w:rPr>
                      <w:rFonts w:hint="eastAsia"/>
                      <w:sz w:val="22"/>
                      <w:szCs w:val="22"/>
                    </w:rPr>
                    <w:t>500</w:t>
                  </w:r>
                </w:p>
              </w:tc>
              <w:tc>
                <w:tcPr>
                  <w:tcW w:w="2002" w:type="pct"/>
                  <w:vMerge w:val="continue"/>
                  <w:tcBorders>
                    <w:left w:val="single" w:color="auto" w:sz="4" w:space="0"/>
                    <w:right w:val="single" w:color="auto" w:sz="4" w:space="0"/>
                  </w:tcBorders>
                  <w:vAlign w:val="center"/>
                </w:tcPr>
                <w:p w14:paraId="71BE0360">
                  <w:pPr>
                    <w:pStyle w:val="41"/>
                    <w:rPr>
                      <w:sz w:val="22"/>
                      <w:szCs w:val="22"/>
                    </w:rPr>
                  </w:pPr>
                </w:p>
              </w:tc>
            </w:tr>
            <w:tr w14:paraId="0F50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14" w:type="pct"/>
                  <w:vMerge w:val="continue"/>
                  <w:tcBorders>
                    <w:left w:val="single" w:color="auto" w:sz="4" w:space="0"/>
                    <w:right w:val="single" w:color="auto" w:sz="4" w:space="0"/>
                  </w:tcBorders>
                  <w:vAlign w:val="center"/>
                </w:tcPr>
                <w:p w14:paraId="2D5AFACB">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347CB0FE">
                  <w:pPr>
                    <w:pStyle w:val="41"/>
                    <w:rPr>
                      <w:sz w:val="22"/>
                      <w:szCs w:val="22"/>
                    </w:rPr>
                  </w:pPr>
                  <w:r>
                    <w:rPr>
                      <w:sz w:val="22"/>
                      <w:szCs w:val="22"/>
                    </w:rPr>
                    <w:t>BOD</w:t>
                  </w:r>
                  <w:r>
                    <w:rPr>
                      <w:sz w:val="22"/>
                      <w:szCs w:val="22"/>
                      <w:vertAlign w:val="subscript"/>
                    </w:rPr>
                    <w:t>5</w:t>
                  </w:r>
                </w:p>
              </w:tc>
              <w:tc>
                <w:tcPr>
                  <w:tcW w:w="668" w:type="pct"/>
                  <w:tcBorders>
                    <w:top w:val="single" w:color="auto" w:sz="4" w:space="0"/>
                    <w:left w:val="single" w:color="auto" w:sz="4" w:space="0"/>
                    <w:bottom w:val="single" w:color="auto" w:sz="4" w:space="0"/>
                    <w:right w:val="single" w:color="auto" w:sz="4" w:space="0"/>
                  </w:tcBorders>
                  <w:vAlign w:val="center"/>
                </w:tcPr>
                <w:p w14:paraId="1FDE6837">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1D464783">
                  <w:pPr>
                    <w:pStyle w:val="41"/>
                    <w:rPr>
                      <w:sz w:val="22"/>
                      <w:szCs w:val="22"/>
                    </w:rPr>
                  </w:pPr>
                  <w:r>
                    <w:rPr>
                      <w:sz w:val="22"/>
                      <w:szCs w:val="22"/>
                    </w:rPr>
                    <w:t>≤</w:t>
                  </w:r>
                  <w:r>
                    <w:rPr>
                      <w:rFonts w:hint="eastAsia"/>
                      <w:sz w:val="22"/>
                      <w:szCs w:val="22"/>
                    </w:rPr>
                    <w:t>300</w:t>
                  </w:r>
                </w:p>
              </w:tc>
              <w:tc>
                <w:tcPr>
                  <w:tcW w:w="2002" w:type="pct"/>
                  <w:vMerge w:val="continue"/>
                  <w:tcBorders>
                    <w:left w:val="single" w:color="auto" w:sz="4" w:space="0"/>
                    <w:right w:val="single" w:color="auto" w:sz="4" w:space="0"/>
                  </w:tcBorders>
                  <w:vAlign w:val="center"/>
                </w:tcPr>
                <w:p w14:paraId="03032DDB">
                  <w:pPr>
                    <w:pStyle w:val="41"/>
                    <w:rPr>
                      <w:sz w:val="22"/>
                      <w:szCs w:val="22"/>
                    </w:rPr>
                  </w:pPr>
                </w:p>
              </w:tc>
            </w:tr>
            <w:tr w14:paraId="7238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vMerge w:val="continue"/>
                  <w:tcBorders>
                    <w:left w:val="single" w:color="auto" w:sz="4" w:space="0"/>
                    <w:right w:val="single" w:color="auto" w:sz="4" w:space="0"/>
                  </w:tcBorders>
                  <w:vAlign w:val="center"/>
                </w:tcPr>
                <w:p w14:paraId="033570C5">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0A61BA5">
                  <w:pPr>
                    <w:pStyle w:val="41"/>
                    <w:rPr>
                      <w:sz w:val="22"/>
                      <w:szCs w:val="22"/>
                    </w:rPr>
                  </w:pPr>
                  <w:r>
                    <w:rPr>
                      <w:sz w:val="22"/>
                      <w:szCs w:val="22"/>
                    </w:rPr>
                    <w:t>SS</w:t>
                  </w:r>
                </w:p>
              </w:tc>
              <w:tc>
                <w:tcPr>
                  <w:tcW w:w="668" w:type="pct"/>
                  <w:tcBorders>
                    <w:top w:val="single" w:color="auto" w:sz="4" w:space="0"/>
                    <w:left w:val="single" w:color="auto" w:sz="4" w:space="0"/>
                    <w:bottom w:val="single" w:color="auto" w:sz="4" w:space="0"/>
                    <w:right w:val="single" w:color="auto" w:sz="4" w:space="0"/>
                  </w:tcBorders>
                  <w:vAlign w:val="center"/>
                </w:tcPr>
                <w:p w14:paraId="24B9BB53">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3652D7C5">
                  <w:pPr>
                    <w:pStyle w:val="41"/>
                    <w:rPr>
                      <w:sz w:val="22"/>
                      <w:szCs w:val="22"/>
                    </w:rPr>
                  </w:pPr>
                  <w:r>
                    <w:rPr>
                      <w:sz w:val="22"/>
                      <w:szCs w:val="22"/>
                    </w:rPr>
                    <w:t>≤</w:t>
                  </w:r>
                  <w:r>
                    <w:rPr>
                      <w:rFonts w:hint="eastAsia"/>
                      <w:sz w:val="22"/>
                      <w:szCs w:val="22"/>
                    </w:rPr>
                    <w:t>400</w:t>
                  </w:r>
                </w:p>
              </w:tc>
              <w:tc>
                <w:tcPr>
                  <w:tcW w:w="2002" w:type="pct"/>
                  <w:vMerge w:val="continue"/>
                  <w:tcBorders>
                    <w:left w:val="single" w:color="auto" w:sz="4" w:space="0"/>
                    <w:right w:val="single" w:color="auto" w:sz="4" w:space="0"/>
                  </w:tcBorders>
                  <w:vAlign w:val="center"/>
                </w:tcPr>
                <w:p w14:paraId="3C07176D">
                  <w:pPr>
                    <w:pStyle w:val="41"/>
                    <w:rPr>
                      <w:sz w:val="22"/>
                      <w:szCs w:val="22"/>
                    </w:rPr>
                  </w:pPr>
                </w:p>
              </w:tc>
            </w:tr>
            <w:tr w14:paraId="3DD4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vMerge w:val="continue"/>
                  <w:tcBorders>
                    <w:left w:val="single" w:color="auto" w:sz="4" w:space="0"/>
                    <w:right w:val="single" w:color="auto" w:sz="4" w:space="0"/>
                  </w:tcBorders>
                  <w:vAlign w:val="center"/>
                </w:tcPr>
                <w:p w14:paraId="174E15AD">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62AC3719">
                  <w:pPr>
                    <w:pStyle w:val="41"/>
                    <w:rPr>
                      <w:sz w:val="22"/>
                      <w:szCs w:val="22"/>
                    </w:rPr>
                  </w:pPr>
                  <w:r>
                    <w:rPr>
                      <w:rFonts w:hint="eastAsia"/>
                      <w:sz w:val="22"/>
                      <w:szCs w:val="22"/>
                    </w:rPr>
                    <w:t>动植物油</w:t>
                  </w:r>
                </w:p>
              </w:tc>
              <w:tc>
                <w:tcPr>
                  <w:tcW w:w="668" w:type="pct"/>
                  <w:tcBorders>
                    <w:top w:val="single" w:color="auto" w:sz="4" w:space="0"/>
                    <w:left w:val="single" w:color="auto" w:sz="4" w:space="0"/>
                    <w:bottom w:val="single" w:color="auto" w:sz="4" w:space="0"/>
                    <w:right w:val="single" w:color="auto" w:sz="4" w:space="0"/>
                  </w:tcBorders>
                  <w:vAlign w:val="center"/>
                </w:tcPr>
                <w:p w14:paraId="05BEE5D0">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3EF862F3">
                  <w:pPr>
                    <w:pStyle w:val="41"/>
                    <w:rPr>
                      <w:sz w:val="22"/>
                      <w:szCs w:val="22"/>
                    </w:rPr>
                  </w:pPr>
                  <w:r>
                    <w:rPr>
                      <w:sz w:val="22"/>
                      <w:szCs w:val="22"/>
                    </w:rPr>
                    <w:t>≤</w:t>
                  </w:r>
                  <w:r>
                    <w:rPr>
                      <w:rFonts w:hint="eastAsia"/>
                      <w:sz w:val="22"/>
                      <w:szCs w:val="22"/>
                    </w:rPr>
                    <w:t>100</w:t>
                  </w:r>
                </w:p>
              </w:tc>
              <w:tc>
                <w:tcPr>
                  <w:tcW w:w="2002" w:type="pct"/>
                  <w:vMerge w:val="continue"/>
                  <w:tcBorders>
                    <w:left w:val="single" w:color="auto" w:sz="4" w:space="0"/>
                    <w:bottom w:val="single" w:color="auto" w:sz="4" w:space="0"/>
                    <w:right w:val="single" w:color="auto" w:sz="4" w:space="0"/>
                  </w:tcBorders>
                  <w:vAlign w:val="center"/>
                </w:tcPr>
                <w:p w14:paraId="0B9DD86E">
                  <w:pPr>
                    <w:pStyle w:val="41"/>
                    <w:rPr>
                      <w:sz w:val="22"/>
                      <w:szCs w:val="22"/>
                    </w:rPr>
                  </w:pPr>
                </w:p>
              </w:tc>
            </w:tr>
            <w:tr w14:paraId="137D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vMerge w:val="continue"/>
                  <w:tcBorders>
                    <w:left w:val="single" w:color="auto" w:sz="4" w:space="0"/>
                    <w:right w:val="single" w:color="auto" w:sz="4" w:space="0"/>
                  </w:tcBorders>
                  <w:vAlign w:val="center"/>
                </w:tcPr>
                <w:p w14:paraId="28B92F83">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D35FAA2">
                  <w:pPr>
                    <w:pStyle w:val="41"/>
                    <w:rPr>
                      <w:sz w:val="22"/>
                      <w:szCs w:val="22"/>
                    </w:rPr>
                  </w:pPr>
                  <w:r>
                    <w:rPr>
                      <w:sz w:val="22"/>
                      <w:szCs w:val="22"/>
                    </w:rPr>
                    <w:t>氨氮</w:t>
                  </w:r>
                </w:p>
              </w:tc>
              <w:tc>
                <w:tcPr>
                  <w:tcW w:w="668" w:type="pct"/>
                  <w:tcBorders>
                    <w:top w:val="single" w:color="auto" w:sz="4" w:space="0"/>
                    <w:left w:val="single" w:color="auto" w:sz="4" w:space="0"/>
                    <w:bottom w:val="single" w:color="auto" w:sz="4" w:space="0"/>
                    <w:right w:val="single" w:color="auto" w:sz="4" w:space="0"/>
                  </w:tcBorders>
                  <w:vAlign w:val="center"/>
                </w:tcPr>
                <w:p w14:paraId="6DDCEFFE">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7E48707B">
                  <w:pPr>
                    <w:pStyle w:val="41"/>
                    <w:rPr>
                      <w:sz w:val="22"/>
                      <w:szCs w:val="22"/>
                    </w:rPr>
                  </w:pPr>
                  <w:r>
                    <w:rPr>
                      <w:sz w:val="22"/>
                      <w:szCs w:val="22"/>
                    </w:rPr>
                    <w:t>≤</w:t>
                  </w:r>
                  <w:r>
                    <w:rPr>
                      <w:rFonts w:hint="eastAsia"/>
                      <w:sz w:val="22"/>
                      <w:szCs w:val="22"/>
                    </w:rPr>
                    <w:t>45</w:t>
                  </w:r>
                </w:p>
              </w:tc>
              <w:tc>
                <w:tcPr>
                  <w:tcW w:w="2002" w:type="pct"/>
                  <w:tcBorders>
                    <w:top w:val="single" w:color="auto" w:sz="4" w:space="0"/>
                    <w:left w:val="single" w:color="auto" w:sz="4" w:space="0"/>
                    <w:bottom w:val="single" w:color="auto" w:sz="4" w:space="0"/>
                    <w:right w:val="single" w:color="auto" w:sz="4" w:space="0"/>
                  </w:tcBorders>
                  <w:vAlign w:val="center"/>
                </w:tcPr>
                <w:p w14:paraId="6B2C3D54">
                  <w:pPr>
                    <w:pStyle w:val="41"/>
                    <w:rPr>
                      <w:sz w:val="22"/>
                      <w:szCs w:val="22"/>
                    </w:rPr>
                  </w:pPr>
                  <w:r>
                    <w:rPr>
                      <w:rFonts w:hint="eastAsia"/>
                      <w:sz w:val="22"/>
                      <w:szCs w:val="22"/>
                    </w:rPr>
                    <w:t>《污水排入城镇下水道水质标准》（GB/T31962-2015）</w:t>
                  </w:r>
                </w:p>
              </w:tc>
            </w:tr>
            <w:tr w14:paraId="2489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vMerge w:val="restart"/>
                  <w:tcBorders>
                    <w:left w:val="single" w:color="auto" w:sz="4" w:space="0"/>
                    <w:right w:val="single" w:color="auto" w:sz="4" w:space="0"/>
                  </w:tcBorders>
                  <w:vAlign w:val="center"/>
                </w:tcPr>
                <w:p w14:paraId="25CB679B">
                  <w:pPr>
                    <w:pStyle w:val="41"/>
                    <w:rPr>
                      <w:sz w:val="22"/>
                      <w:szCs w:val="22"/>
                    </w:rPr>
                  </w:pPr>
                  <w:r>
                    <w:rPr>
                      <w:rFonts w:hint="eastAsia"/>
                      <w:sz w:val="22"/>
                      <w:szCs w:val="22"/>
                    </w:rPr>
                    <w:t>陶家工业污水处理厂尾水排放限值</w:t>
                  </w:r>
                </w:p>
              </w:tc>
              <w:tc>
                <w:tcPr>
                  <w:tcW w:w="899" w:type="pct"/>
                  <w:tcBorders>
                    <w:top w:val="single" w:color="auto" w:sz="4" w:space="0"/>
                    <w:left w:val="single" w:color="auto" w:sz="4" w:space="0"/>
                    <w:bottom w:val="single" w:color="auto" w:sz="4" w:space="0"/>
                    <w:right w:val="single" w:color="auto" w:sz="4" w:space="0"/>
                  </w:tcBorders>
                  <w:vAlign w:val="center"/>
                </w:tcPr>
                <w:p w14:paraId="3D9F850A">
                  <w:pPr>
                    <w:pStyle w:val="41"/>
                    <w:rPr>
                      <w:sz w:val="22"/>
                      <w:szCs w:val="22"/>
                    </w:rPr>
                  </w:pPr>
                  <w:r>
                    <w:rPr>
                      <w:rFonts w:hint="eastAsia"/>
                      <w:sz w:val="22"/>
                      <w:szCs w:val="22"/>
                    </w:rPr>
                    <w:t>pH</w:t>
                  </w:r>
                </w:p>
              </w:tc>
              <w:tc>
                <w:tcPr>
                  <w:tcW w:w="668" w:type="pct"/>
                  <w:tcBorders>
                    <w:top w:val="single" w:color="auto" w:sz="4" w:space="0"/>
                    <w:left w:val="single" w:color="auto" w:sz="4" w:space="0"/>
                    <w:bottom w:val="single" w:color="auto" w:sz="4" w:space="0"/>
                    <w:right w:val="single" w:color="auto" w:sz="4" w:space="0"/>
                  </w:tcBorders>
                  <w:vAlign w:val="center"/>
                </w:tcPr>
                <w:p w14:paraId="11922EC8">
                  <w:pPr>
                    <w:pStyle w:val="41"/>
                    <w:rPr>
                      <w:sz w:val="22"/>
                      <w:szCs w:val="22"/>
                    </w:rPr>
                  </w:pPr>
                  <w:r>
                    <w:rPr>
                      <w:rFonts w:hint="eastAsia"/>
                      <w:sz w:val="22"/>
                      <w:szCs w:val="22"/>
                    </w:rPr>
                    <w:t>无量纲</w:t>
                  </w:r>
                </w:p>
              </w:tc>
              <w:tc>
                <w:tcPr>
                  <w:tcW w:w="714" w:type="pct"/>
                  <w:tcBorders>
                    <w:top w:val="single" w:color="auto" w:sz="4" w:space="0"/>
                    <w:left w:val="single" w:color="auto" w:sz="4" w:space="0"/>
                    <w:bottom w:val="single" w:color="auto" w:sz="4" w:space="0"/>
                    <w:right w:val="single" w:color="auto" w:sz="4" w:space="0"/>
                  </w:tcBorders>
                  <w:vAlign w:val="center"/>
                </w:tcPr>
                <w:p w14:paraId="572FD789">
                  <w:pPr>
                    <w:pStyle w:val="41"/>
                    <w:rPr>
                      <w:sz w:val="22"/>
                      <w:szCs w:val="22"/>
                    </w:rPr>
                  </w:pPr>
                  <w:r>
                    <w:rPr>
                      <w:rFonts w:hint="eastAsia"/>
                      <w:sz w:val="22"/>
                      <w:szCs w:val="22"/>
                    </w:rPr>
                    <w:t>6~9</w:t>
                  </w:r>
                </w:p>
              </w:tc>
              <w:tc>
                <w:tcPr>
                  <w:tcW w:w="2002" w:type="pct"/>
                  <w:vMerge w:val="restart"/>
                  <w:tcBorders>
                    <w:top w:val="single" w:color="auto" w:sz="4" w:space="0"/>
                    <w:left w:val="single" w:color="auto" w:sz="4" w:space="0"/>
                    <w:right w:val="single" w:color="auto" w:sz="4" w:space="0"/>
                  </w:tcBorders>
                  <w:vAlign w:val="center"/>
                </w:tcPr>
                <w:p w14:paraId="60A90A3B">
                  <w:pPr>
                    <w:pStyle w:val="41"/>
                    <w:rPr>
                      <w:sz w:val="22"/>
                      <w:szCs w:val="22"/>
                    </w:rPr>
                  </w:pPr>
                  <w:r>
                    <w:rPr>
                      <w:sz w:val="22"/>
                      <w:szCs w:val="22"/>
                    </w:rPr>
                    <w:t>《城镇污水处理厂污染物排放标准》（GB18918-2002）一级A标准</w:t>
                  </w:r>
                </w:p>
              </w:tc>
            </w:tr>
            <w:tr w14:paraId="2708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vMerge w:val="continue"/>
                  <w:tcBorders>
                    <w:left w:val="single" w:color="auto" w:sz="4" w:space="0"/>
                    <w:right w:val="single" w:color="auto" w:sz="4" w:space="0"/>
                  </w:tcBorders>
                  <w:vAlign w:val="center"/>
                </w:tcPr>
                <w:p w14:paraId="06D88E54">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051DC65">
                  <w:pPr>
                    <w:pStyle w:val="41"/>
                    <w:rPr>
                      <w:sz w:val="22"/>
                      <w:szCs w:val="22"/>
                    </w:rPr>
                  </w:pPr>
                  <w:r>
                    <w:rPr>
                      <w:sz w:val="22"/>
                      <w:szCs w:val="22"/>
                    </w:rPr>
                    <w:t>BOD</w:t>
                  </w:r>
                  <w:r>
                    <w:rPr>
                      <w:sz w:val="22"/>
                      <w:szCs w:val="22"/>
                      <w:vertAlign w:val="subscript"/>
                    </w:rPr>
                    <w:t>5</w:t>
                  </w:r>
                </w:p>
              </w:tc>
              <w:tc>
                <w:tcPr>
                  <w:tcW w:w="668" w:type="pct"/>
                  <w:tcBorders>
                    <w:top w:val="single" w:color="auto" w:sz="4" w:space="0"/>
                    <w:left w:val="single" w:color="auto" w:sz="4" w:space="0"/>
                    <w:bottom w:val="single" w:color="auto" w:sz="4" w:space="0"/>
                    <w:right w:val="single" w:color="auto" w:sz="4" w:space="0"/>
                  </w:tcBorders>
                  <w:vAlign w:val="center"/>
                </w:tcPr>
                <w:p w14:paraId="7451918B">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555A507B">
                  <w:pPr>
                    <w:pStyle w:val="41"/>
                    <w:rPr>
                      <w:sz w:val="22"/>
                      <w:szCs w:val="22"/>
                    </w:rPr>
                  </w:pPr>
                  <w:r>
                    <w:rPr>
                      <w:sz w:val="22"/>
                      <w:szCs w:val="22"/>
                    </w:rPr>
                    <w:t>≤</w:t>
                  </w:r>
                  <w:r>
                    <w:rPr>
                      <w:rFonts w:hint="eastAsia"/>
                      <w:sz w:val="22"/>
                      <w:szCs w:val="22"/>
                    </w:rPr>
                    <w:t>10</w:t>
                  </w:r>
                </w:p>
              </w:tc>
              <w:tc>
                <w:tcPr>
                  <w:tcW w:w="2002" w:type="pct"/>
                  <w:vMerge w:val="continue"/>
                  <w:tcBorders>
                    <w:left w:val="single" w:color="auto" w:sz="4" w:space="0"/>
                    <w:right w:val="single" w:color="auto" w:sz="4" w:space="0"/>
                  </w:tcBorders>
                  <w:vAlign w:val="center"/>
                </w:tcPr>
                <w:p w14:paraId="36AA20DB">
                  <w:pPr>
                    <w:pStyle w:val="41"/>
                    <w:rPr>
                      <w:sz w:val="22"/>
                      <w:szCs w:val="22"/>
                    </w:rPr>
                  </w:pPr>
                </w:p>
              </w:tc>
            </w:tr>
            <w:tr w14:paraId="6A9C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vMerge w:val="continue"/>
                  <w:tcBorders>
                    <w:left w:val="single" w:color="auto" w:sz="4" w:space="0"/>
                    <w:right w:val="single" w:color="auto" w:sz="4" w:space="0"/>
                  </w:tcBorders>
                  <w:vAlign w:val="center"/>
                </w:tcPr>
                <w:p w14:paraId="29528ADC">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416EDFBC">
                  <w:pPr>
                    <w:pStyle w:val="41"/>
                    <w:rPr>
                      <w:sz w:val="22"/>
                      <w:szCs w:val="22"/>
                    </w:rPr>
                  </w:pPr>
                  <w:r>
                    <w:rPr>
                      <w:sz w:val="22"/>
                      <w:szCs w:val="22"/>
                    </w:rPr>
                    <w:t>SS</w:t>
                  </w:r>
                </w:p>
              </w:tc>
              <w:tc>
                <w:tcPr>
                  <w:tcW w:w="668" w:type="pct"/>
                  <w:tcBorders>
                    <w:top w:val="single" w:color="auto" w:sz="4" w:space="0"/>
                    <w:left w:val="single" w:color="auto" w:sz="4" w:space="0"/>
                    <w:bottom w:val="single" w:color="auto" w:sz="4" w:space="0"/>
                    <w:right w:val="single" w:color="auto" w:sz="4" w:space="0"/>
                  </w:tcBorders>
                  <w:vAlign w:val="center"/>
                </w:tcPr>
                <w:p w14:paraId="56E81CDA">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544AA888">
                  <w:pPr>
                    <w:pStyle w:val="41"/>
                    <w:rPr>
                      <w:sz w:val="22"/>
                      <w:szCs w:val="22"/>
                    </w:rPr>
                  </w:pPr>
                  <w:r>
                    <w:rPr>
                      <w:sz w:val="22"/>
                      <w:szCs w:val="22"/>
                    </w:rPr>
                    <w:t>≤</w:t>
                  </w:r>
                  <w:r>
                    <w:rPr>
                      <w:rFonts w:hint="eastAsia"/>
                      <w:sz w:val="22"/>
                      <w:szCs w:val="22"/>
                    </w:rPr>
                    <w:t>10</w:t>
                  </w:r>
                </w:p>
              </w:tc>
              <w:tc>
                <w:tcPr>
                  <w:tcW w:w="2002" w:type="pct"/>
                  <w:vMerge w:val="continue"/>
                  <w:tcBorders>
                    <w:left w:val="single" w:color="auto" w:sz="4" w:space="0"/>
                    <w:right w:val="single" w:color="auto" w:sz="4" w:space="0"/>
                  </w:tcBorders>
                  <w:vAlign w:val="center"/>
                </w:tcPr>
                <w:p w14:paraId="06EA8851">
                  <w:pPr>
                    <w:pStyle w:val="41"/>
                    <w:rPr>
                      <w:sz w:val="22"/>
                      <w:szCs w:val="22"/>
                    </w:rPr>
                  </w:pPr>
                </w:p>
              </w:tc>
            </w:tr>
            <w:tr w14:paraId="78E5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14" w:type="pct"/>
                  <w:vMerge w:val="continue"/>
                  <w:tcBorders>
                    <w:left w:val="single" w:color="auto" w:sz="4" w:space="0"/>
                    <w:right w:val="single" w:color="auto" w:sz="4" w:space="0"/>
                  </w:tcBorders>
                  <w:vAlign w:val="center"/>
                </w:tcPr>
                <w:p w14:paraId="2B3E6964">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9ECBE4D">
                  <w:pPr>
                    <w:pStyle w:val="41"/>
                    <w:rPr>
                      <w:sz w:val="22"/>
                      <w:szCs w:val="22"/>
                    </w:rPr>
                  </w:pPr>
                  <w:r>
                    <w:rPr>
                      <w:rFonts w:hint="eastAsia"/>
                      <w:sz w:val="22"/>
                      <w:szCs w:val="22"/>
                    </w:rPr>
                    <w:t>动植物油</w:t>
                  </w:r>
                </w:p>
              </w:tc>
              <w:tc>
                <w:tcPr>
                  <w:tcW w:w="668" w:type="pct"/>
                  <w:tcBorders>
                    <w:top w:val="single" w:color="auto" w:sz="4" w:space="0"/>
                    <w:left w:val="single" w:color="auto" w:sz="4" w:space="0"/>
                    <w:bottom w:val="single" w:color="auto" w:sz="4" w:space="0"/>
                    <w:right w:val="single" w:color="auto" w:sz="4" w:space="0"/>
                  </w:tcBorders>
                  <w:vAlign w:val="center"/>
                </w:tcPr>
                <w:p w14:paraId="3084D387">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6146CD01">
                  <w:pPr>
                    <w:pStyle w:val="41"/>
                    <w:rPr>
                      <w:sz w:val="22"/>
                      <w:szCs w:val="22"/>
                    </w:rPr>
                  </w:pPr>
                  <w:r>
                    <w:rPr>
                      <w:sz w:val="22"/>
                      <w:szCs w:val="22"/>
                    </w:rPr>
                    <w:t>≤</w:t>
                  </w:r>
                  <w:r>
                    <w:rPr>
                      <w:rFonts w:hint="eastAsia"/>
                      <w:sz w:val="22"/>
                      <w:szCs w:val="22"/>
                    </w:rPr>
                    <w:t>1</w:t>
                  </w:r>
                </w:p>
              </w:tc>
              <w:tc>
                <w:tcPr>
                  <w:tcW w:w="2002" w:type="pct"/>
                  <w:vMerge w:val="continue"/>
                  <w:tcBorders>
                    <w:left w:val="single" w:color="auto" w:sz="4" w:space="0"/>
                    <w:bottom w:val="single" w:color="auto" w:sz="4" w:space="0"/>
                    <w:right w:val="single" w:color="auto" w:sz="4" w:space="0"/>
                  </w:tcBorders>
                  <w:vAlign w:val="center"/>
                </w:tcPr>
                <w:p w14:paraId="1B1CB4F3">
                  <w:pPr>
                    <w:pStyle w:val="41"/>
                    <w:rPr>
                      <w:sz w:val="22"/>
                      <w:szCs w:val="22"/>
                    </w:rPr>
                  </w:pPr>
                </w:p>
              </w:tc>
            </w:tr>
            <w:tr w14:paraId="0412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vMerge w:val="continue"/>
                  <w:tcBorders>
                    <w:left w:val="single" w:color="auto" w:sz="4" w:space="0"/>
                    <w:right w:val="single" w:color="auto" w:sz="4" w:space="0"/>
                  </w:tcBorders>
                  <w:vAlign w:val="center"/>
                </w:tcPr>
                <w:p w14:paraId="78EC15C7">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E8F7166">
                  <w:pPr>
                    <w:pStyle w:val="41"/>
                    <w:rPr>
                      <w:sz w:val="22"/>
                      <w:szCs w:val="22"/>
                    </w:rPr>
                  </w:pPr>
                  <w:r>
                    <w:rPr>
                      <w:sz w:val="22"/>
                      <w:szCs w:val="22"/>
                    </w:rPr>
                    <w:t>COD</w:t>
                  </w:r>
                </w:p>
              </w:tc>
              <w:tc>
                <w:tcPr>
                  <w:tcW w:w="668" w:type="pct"/>
                  <w:tcBorders>
                    <w:top w:val="single" w:color="auto" w:sz="4" w:space="0"/>
                    <w:left w:val="single" w:color="auto" w:sz="4" w:space="0"/>
                    <w:bottom w:val="single" w:color="auto" w:sz="4" w:space="0"/>
                    <w:right w:val="single" w:color="auto" w:sz="4" w:space="0"/>
                  </w:tcBorders>
                  <w:vAlign w:val="center"/>
                </w:tcPr>
                <w:p w14:paraId="35709AF5">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7CE904D7">
                  <w:pPr>
                    <w:pStyle w:val="41"/>
                    <w:rPr>
                      <w:sz w:val="22"/>
                      <w:szCs w:val="22"/>
                    </w:rPr>
                  </w:pPr>
                  <w:r>
                    <w:rPr>
                      <w:sz w:val="22"/>
                      <w:szCs w:val="22"/>
                    </w:rPr>
                    <w:t>≤</w:t>
                  </w:r>
                  <w:r>
                    <w:rPr>
                      <w:rFonts w:hint="eastAsia"/>
                      <w:sz w:val="22"/>
                      <w:szCs w:val="22"/>
                    </w:rPr>
                    <w:t>30</w:t>
                  </w:r>
                </w:p>
              </w:tc>
              <w:tc>
                <w:tcPr>
                  <w:tcW w:w="2002" w:type="pct"/>
                  <w:vMerge w:val="restart"/>
                  <w:tcBorders>
                    <w:top w:val="single" w:color="auto" w:sz="4" w:space="0"/>
                    <w:left w:val="single" w:color="auto" w:sz="4" w:space="0"/>
                    <w:right w:val="single" w:color="auto" w:sz="4" w:space="0"/>
                  </w:tcBorders>
                  <w:vAlign w:val="center"/>
                </w:tcPr>
                <w:p w14:paraId="077E4D54">
                  <w:pPr>
                    <w:pStyle w:val="41"/>
                    <w:rPr>
                      <w:sz w:val="22"/>
                      <w:szCs w:val="22"/>
                    </w:rPr>
                  </w:pPr>
                  <w:r>
                    <w:rPr>
                      <w:sz w:val="22"/>
                      <w:szCs w:val="22"/>
                    </w:rPr>
                    <w:t>《地表水环境质量标准》（GB3838-2002）IV类标准</w:t>
                  </w:r>
                </w:p>
              </w:tc>
            </w:tr>
            <w:tr w14:paraId="4A0E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4" w:type="pct"/>
                  <w:vMerge w:val="continue"/>
                  <w:tcBorders>
                    <w:left w:val="single" w:color="auto" w:sz="4" w:space="0"/>
                    <w:right w:val="single" w:color="auto" w:sz="4" w:space="0"/>
                  </w:tcBorders>
                  <w:vAlign w:val="center"/>
                </w:tcPr>
                <w:p w14:paraId="74913344">
                  <w:pPr>
                    <w:pStyle w:val="41"/>
                    <w:rPr>
                      <w:sz w:val="22"/>
                      <w:szCs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0F9A7E9">
                  <w:pPr>
                    <w:pStyle w:val="41"/>
                    <w:rPr>
                      <w:sz w:val="22"/>
                      <w:szCs w:val="22"/>
                    </w:rPr>
                  </w:pPr>
                  <w:r>
                    <w:rPr>
                      <w:sz w:val="22"/>
                      <w:szCs w:val="22"/>
                    </w:rPr>
                    <w:t>氨氮</w:t>
                  </w:r>
                </w:p>
              </w:tc>
              <w:tc>
                <w:tcPr>
                  <w:tcW w:w="668" w:type="pct"/>
                  <w:tcBorders>
                    <w:top w:val="single" w:color="auto" w:sz="4" w:space="0"/>
                    <w:left w:val="single" w:color="auto" w:sz="4" w:space="0"/>
                    <w:bottom w:val="single" w:color="auto" w:sz="4" w:space="0"/>
                    <w:right w:val="single" w:color="auto" w:sz="4" w:space="0"/>
                  </w:tcBorders>
                  <w:vAlign w:val="center"/>
                </w:tcPr>
                <w:p w14:paraId="7C0CE79C">
                  <w:pPr>
                    <w:pStyle w:val="41"/>
                    <w:rPr>
                      <w:sz w:val="22"/>
                      <w:szCs w:val="22"/>
                    </w:rPr>
                  </w:pPr>
                  <w:r>
                    <w:rPr>
                      <w:rFonts w:hint="eastAsia"/>
                      <w:sz w:val="22"/>
                      <w:szCs w:val="22"/>
                    </w:rPr>
                    <w:t>mg/L</w:t>
                  </w:r>
                </w:p>
              </w:tc>
              <w:tc>
                <w:tcPr>
                  <w:tcW w:w="714" w:type="pct"/>
                  <w:tcBorders>
                    <w:top w:val="single" w:color="auto" w:sz="4" w:space="0"/>
                    <w:left w:val="single" w:color="auto" w:sz="4" w:space="0"/>
                    <w:bottom w:val="single" w:color="auto" w:sz="4" w:space="0"/>
                    <w:right w:val="single" w:color="auto" w:sz="4" w:space="0"/>
                  </w:tcBorders>
                  <w:vAlign w:val="center"/>
                </w:tcPr>
                <w:p w14:paraId="536150C4">
                  <w:pPr>
                    <w:pStyle w:val="41"/>
                    <w:rPr>
                      <w:sz w:val="22"/>
                      <w:szCs w:val="22"/>
                    </w:rPr>
                  </w:pPr>
                  <w:r>
                    <w:rPr>
                      <w:sz w:val="22"/>
                      <w:szCs w:val="22"/>
                    </w:rPr>
                    <w:t>≤</w:t>
                  </w:r>
                  <w:r>
                    <w:rPr>
                      <w:rFonts w:hint="eastAsia"/>
                      <w:sz w:val="22"/>
                      <w:szCs w:val="22"/>
                    </w:rPr>
                    <w:t>1.5</w:t>
                  </w:r>
                </w:p>
              </w:tc>
              <w:tc>
                <w:tcPr>
                  <w:tcW w:w="2002" w:type="pct"/>
                  <w:vMerge w:val="continue"/>
                  <w:tcBorders>
                    <w:left w:val="single" w:color="auto" w:sz="4" w:space="0"/>
                    <w:right w:val="single" w:color="auto" w:sz="4" w:space="0"/>
                  </w:tcBorders>
                </w:tcPr>
                <w:p w14:paraId="75F32A06">
                  <w:pPr>
                    <w:pStyle w:val="41"/>
                    <w:rPr>
                      <w:sz w:val="22"/>
                      <w:szCs w:val="22"/>
                    </w:rPr>
                  </w:pPr>
                </w:p>
              </w:tc>
            </w:tr>
          </w:tbl>
          <w:p w14:paraId="2179F8A4">
            <w:pPr>
              <w:pStyle w:val="82"/>
              <w:spacing w:line="460" w:lineRule="exact"/>
              <w:ind w:firstLine="520"/>
              <w:rPr>
                <w:szCs w:val="26"/>
              </w:rPr>
            </w:pPr>
            <w:r>
              <w:rPr>
                <w:rFonts w:hint="eastAsia"/>
                <w:szCs w:val="26"/>
              </w:rPr>
              <w:t>（2）废气</w:t>
            </w:r>
          </w:p>
          <w:p w14:paraId="6F9A45F6">
            <w:pPr>
              <w:adjustRightInd w:val="0"/>
              <w:snapToGrid w:val="0"/>
              <w:spacing w:line="460" w:lineRule="exact"/>
              <w:ind w:firstLine="520" w:firstLineChars="200"/>
              <w:rPr>
                <w:rFonts w:hint="eastAsia" w:eastAsia="宋体"/>
                <w:bCs/>
                <w:color w:val="auto"/>
                <w:sz w:val="26"/>
                <w:szCs w:val="26"/>
                <w:lang w:eastAsia="zh-CN"/>
              </w:rPr>
            </w:pPr>
            <w:r>
              <w:rPr>
                <w:rFonts w:hint="eastAsia"/>
                <w:bCs/>
                <w:color w:val="auto"/>
                <w:sz w:val="26"/>
                <w:szCs w:val="26"/>
              </w:rPr>
              <w:t>本项目主要的废气污染物包括打标机废气、食堂废气</w:t>
            </w:r>
            <w:r>
              <w:rPr>
                <w:rFonts w:hint="eastAsia"/>
                <w:bCs/>
                <w:color w:val="auto"/>
                <w:sz w:val="26"/>
                <w:szCs w:val="26"/>
                <w:lang w:val="en-US" w:eastAsia="zh-CN"/>
              </w:rPr>
              <w:t>等</w:t>
            </w:r>
            <w:r>
              <w:rPr>
                <w:rFonts w:hint="eastAsia"/>
                <w:bCs/>
                <w:color w:val="auto"/>
                <w:sz w:val="26"/>
                <w:szCs w:val="26"/>
              </w:rPr>
              <w:t>，打标机废气执行重庆市《大气污染物综合排放标准》（DB50/418-2016），食堂废气执行</w:t>
            </w:r>
            <w:r>
              <w:rPr>
                <w:bCs/>
                <w:color w:val="auto"/>
                <w:sz w:val="26"/>
                <w:szCs w:val="26"/>
              </w:rPr>
              <w:t>《</w:t>
            </w:r>
            <w:r>
              <w:rPr>
                <w:rFonts w:hint="eastAsia"/>
                <w:bCs/>
                <w:color w:val="auto"/>
                <w:sz w:val="26"/>
                <w:szCs w:val="26"/>
              </w:rPr>
              <w:t>餐饮业大气污染物排放标准</w:t>
            </w:r>
            <w:r>
              <w:rPr>
                <w:bCs/>
                <w:color w:val="auto"/>
                <w:sz w:val="26"/>
                <w:szCs w:val="26"/>
              </w:rPr>
              <w:t>》</w:t>
            </w:r>
            <w:r>
              <w:rPr>
                <w:rFonts w:hint="eastAsia"/>
                <w:bCs/>
                <w:color w:val="auto"/>
                <w:sz w:val="26"/>
                <w:szCs w:val="26"/>
              </w:rPr>
              <w:t>（</w:t>
            </w:r>
            <w:r>
              <w:rPr>
                <w:bCs/>
                <w:color w:val="auto"/>
                <w:sz w:val="26"/>
                <w:szCs w:val="26"/>
              </w:rPr>
              <w:t>DB50/859-2018</w:t>
            </w:r>
            <w:r>
              <w:rPr>
                <w:rFonts w:hint="eastAsia"/>
                <w:bCs/>
                <w:color w:val="auto"/>
                <w:sz w:val="26"/>
                <w:szCs w:val="26"/>
              </w:rPr>
              <w:t>）</w:t>
            </w:r>
            <w:r>
              <w:rPr>
                <w:rFonts w:hint="eastAsia"/>
                <w:bCs/>
                <w:color w:val="auto"/>
                <w:sz w:val="26"/>
                <w:szCs w:val="26"/>
                <w:lang w:val="en-US" w:eastAsia="zh-CN"/>
              </w:rPr>
              <w:t>，</w:t>
            </w:r>
            <w:r>
              <w:rPr>
                <w:rFonts w:hint="eastAsia"/>
                <w:bCs/>
                <w:color w:val="auto"/>
                <w:sz w:val="26"/>
                <w:szCs w:val="26"/>
              </w:rPr>
              <w:t>详见下表</w:t>
            </w:r>
            <w:r>
              <w:rPr>
                <w:rFonts w:hint="eastAsia"/>
                <w:bCs/>
                <w:color w:val="auto"/>
                <w:sz w:val="26"/>
                <w:szCs w:val="26"/>
                <w:lang w:eastAsia="zh-CN"/>
              </w:rPr>
              <w:t>。</w:t>
            </w:r>
          </w:p>
          <w:p w14:paraId="29C12FB5">
            <w:pPr>
              <w:pStyle w:val="82"/>
              <w:spacing w:line="460" w:lineRule="exact"/>
              <w:ind w:firstLine="130" w:firstLineChars="50"/>
              <w:jc w:val="center"/>
              <w:rPr>
                <w:rStyle w:val="110"/>
                <w:color w:val="auto"/>
                <w:sz w:val="26"/>
                <w:szCs w:val="26"/>
              </w:rPr>
            </w:pPr>
            <w:r>
              <w:rPr>
                <w:rStyle w:val="110"/>
                <w:rFonts w:hint="eastAsia"/>
                <w:color w:val="auto"/>
                <w:sz w:val="26"/>
                <w:szCs w:val="26"/>
              </w:rPr>
              <w:t>表</w:t>
            </w:r>
            <w:r>
              <w:rPr>
                <w:rStyle w:val="110"/>
                <w:color w:val="auto"/>
                <w:sz w:val="26"/>
                <w:szCs w:val="26"/>
              </w:rPr>
              <w:t>3.</w:t>
            </w:r>
            <w:r>
              <w:rPr>
                <w:rStyle w:val="110"/>
                <w:rFonts w:hint="eastAsia"/>
                <w:color w:val="auto"/>
                <w:sz w:val="26"/>
                <w:szCs w:val="26"/>
              </w:rPr>
              <w:t>7-2</w:t>
            </w:r>
            <w:r>
              <w:rPr>
                <w:rStyle w:val="110"/>
                <w:rFonts w:hint="eastAsia"/>
                <w:color w:val="auto"/>
                <w:sz w:val="26"/>
                <w:szCs w:val="26"/>
                <w:lang w:val="en-US" w:eastAsia="zh-CN"/>
              </w:rPr>
              <w:t xml:space="preserve">  </w:t>
            </w:r>
            <w:r>
              <w:rPr>
                <w:rStyle w:val="110"/>
                <w:rFonts w:hint="eastAsia"/>
                <w:color w:val="auto"/>
                <w:sz w:val="26"/>
                <w:szCs w:val="26"/>
              </w:rPr>
              <w:t>食堂废气污染物浓度限值单位：mg/m</w:t>
            </w:r>
            <w:r>
              <w:rPr>
                <w:rStyle w:val="110"/>
                <w:rFonts w:hint="eastAsia"/>
                <w:color w:val="auto"/>
                <w:sz w:val="26"/>
                <w:szCs w:val="26"/>
                <w:vertAlign w:val="superscript"/>
              </w:rPr>
              <w:t>3</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79"/>
              <w:gridCol w:w="1718"/>
              <w:gridCol w:w="3129"/>
            </w:tblGrid>
            <w:tr w14:paraId="23F3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26" w:type="pct"/>
                  <w:vMerge w:val="restart"/>
                  <w:tcBorders>
                    <w:top w:val="single" w:color="auto" w:sz="4" w:space="0"/>
                    <w:left w:val="single" w:color="auto" w:sz="4" w:space="0"/>
                    <w:bottom w:val="single" w:color="auto" w:sz="4" w:space="0"/>
                    <w:right w:val="single" w:color="auto" w:sz="4" w:space="0"/>
                  </w:tcBorders>
                  <w:vAlign w:val="center"/>
                </w:tcPr>
                <w:p w14:paraId="0F14B6E0">
                  <w:pPr>
                    <w:pStyle w:val="82"/>
                    <w:spacing w:before="120" w:line="240" w:lineRule="auto"/>
                    <w:ind w:firstLine="0" w:firstLineChars="0"/>
                    <w:jc w:val="center"/>
                    <w:rPr>
                      <w:color w:val="auto"/>
                      <w:sz w:val="22"/>
                      <w:szCs w:val="22"/>
                    </w:rPr>
                  </w:pPr>
                  <w:r>
                    <w:rPr>
                      <w:color w:val="auto"/>
                      <w:sz w:val="22"/>
                      <w:szCs w:val="22"/>
                    </w:rPr>
                    <w:t>污染源</w:t>
                  </w:r>
                </w:p>
              </w:tc>
              <w:tc>
                <w:tcPr>
                  <w:tcW w:w="929" w:type="pct"/>
                  <w:vMerge w:val="restart"/>
                  <w:tcBorders>
                    <w:top w:val="single" w:color="auto" w:sz="4" w:space="0"/>
                    <w:left w:val="nil"/>
                    <w:bottom w:val="single" w:color="auto" w:sz="4" w:space="0"/>
                    <w:right w:val="single" w:color="auto" w:sz="4" w:space="0"/>
                  </w:tcBorders>
                  <w:vAlign w:val="center"/>
                </w:tcPr>
                <w:p w14:paraId="546C6D08">
                  <w:pPr>
                    <w:pStyle w:val="82"/>
                    <w:spacing w:before="120" w:line="240" w:lineRule="auto"/>
                    <w:ind w:firstLine="0" w:firstLineChars="0"/>
                    <w:jc w:val="center"/>
                    <w:rPr>
                      <w:color w:val="auto"/>
                      <w:sz w:val="22"/>
                      <w:szCs w:val="22"/>
                    </w:rPr>
                  </w:pPr>
                  <w:r>
                    <w:rPr>
                      <w:color w:val="auto"/>
                      <w:sz w:val="22"/>
                      <w:szCs w:val="22"/>
                    </w:rPr>
                    <w:t>污染物</w:t>
                  </w:r>
                </w:p>
              </w:tc>
              <w:tc>
                <w:tcPr>
                  <w:tcW w:w="1079" w:type="pct"/>
                  <w:vMerge w:val="restart"/>
                  <w:tcBorders>
                    <w:top w:val="single" w:color="auto" w:sz="4" w:space="0"/>
                    <w:left w:val="nil"/>
                    <w:bottom w:val="single" w:color="auto" w:sz="4" w:space="0"/>
                    <w:right w:val="single" w:color="auto" w:sz="4" w:space="0"/>
                  </w:tcBorders>
                  <w:vAlign w:val="center"/>
                </w:tcPr>
                <w:p w14:paraId="37701887">
                  <w:pPr>
                    <w:pStyle w:val="82"/>
                    <w:spacing w:before="120" w:line="240" w:lineRule="auto"/>
                    <w:ind w:firstLine="0" w:firstLineChars="0"/>
                    <w:jc w:val="center"/>
                    <w:rPr>
                      <w:color w:val="auto"/>
                      <w:sz w:val="22"/>
                      <w:szCs w:val="22"/>
                    </w:rPr>
                  </w:pPr>
                  <w:r>
                    <w:rPr>
                      <w:color w:val="auto"/>
                      <w:sz w:val="22"/>
                      <w:szCs w:val="22"/>
                    </w:rPr>
                    <w:t>最高允许排放浓度（mg/m</w:t>
                  </w:r>
                  <w:r>
                    <w:rPr>
                      <w:color w:val="auto"/>
                      <w:sz w:val="22"/>
                      <w:szCs w:val="22"/>
                      <w:vertAlign w:val="superscript"/>
                    </w:rPr>
                    <w:t>3</w:t>
                  </w:r>
                  <w:r>
                    <w:rPr>
                      <w:color w:val="auto"/>
                      <w:sz w:val="22"/>
                      <w:szCs w:val="22"/>
                    </w:rPr>
                    <w:t>）</w:t>
                  </w:r>
                </w:p>
              </w:tc>
              <w:tc>
                <w:tcPr>
                  <w:tcW w:w="1964" w:type="pct"/>
                  <w:vMerge w:val="restart"/>
                  <w:tcBorders>
                    <w:top w:val="single" w:color="auto" w:sz="4" w:space="0"/>
                    <w:left w:val="nil"/>
                    <w:bottom w:val="single" w:color="auto" w:sz="4" w:space="0"/>
                    <w:right w:val="single" w:color="auto" w:sz="4" w:space="0"/>
                  </w:tcBorders>
                  <w:vAlign w:val="center"/>
                </w:tcPr>
                <w:p w14:paraId="49025FA3">
                  <w:pPr>
                    <w:pStyle w:val="82"/>
                    <w:spacing w:before="120" w:line="240" w:lineRule="auto"/>
                    <w:ind w:firstLine="0" w:firstLineChars="0"/>
                    <w:jc w:val="center"/>
                    <w:rPr>
                      <w:color w:val="auto"/>
                      <w:sz w:val="22"/>
                      <w:szCs w:val="22"/>
                    </w:rPr>
                  </w:pPr>
                  <w:r>
                    <w:rPr>
                      <w:color w:val="auto"/>
                      <w:sz w:val="22"/>
                      <w:szCs w:val="22"/>
                    </w:rPr>
                    <w:t>依据</w:t>
                  </w:r>
                </w:p>
              </w:tc>
            </w:tr>
            <w:tr w14:paraId="5987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26" w:type="pct"/>
                  <w:vMerge w:val="continue"/>
                  <w:tcBorders>
                    <w:top w:val="single" w:color="auto" w:sz="4" w:space="0"/>
                    <w:left w:val="single" w:color="auto" w:sz="4" w:space="0"/>
                    <w:bottom w:val="single" w:color="auto" w:sz="4" w:space="0"/>
                    <w:right w:val="single" w:color="auto" w:sz="4" w:space="0"/>
                  </w:tcBorders>
                  <w:vAlign w:val="center"/>
                </w:tcPr>
                <w:p w14:paraId="612F0D85">
                  <w:pPr>
                    <w:pStyle w:val="82"/>
                    <w:spacing w:line="240" w:lineRule="auto"/>
                    <w:ind w:firstLine="0" w:firstLineChars="0"/>
                    <w:jc w:val="center"/>
                    <w:rPr>
                      <w:color w:val="auto"/>
                      <w:sz w:val="22"/>
                      <w:szCs w:val="22"/>
                    </w:rPr>
                  </w:pPr>
                </w:p>
              </w:tc>
              <w:tc>
                <w:tcPr>
                  <w:tcW w:w="929" w:type="pct"/>
                  <w:vMerge w:val="continue"/>
                  <w:tcBorders>
                    <w:top w:val="single" w:color="auto" w:sz="4" w:space="0"/>
                    <w:left w:val="nil"/>
                    <w:bottom w:val="single" w:color="auto" w:sz="4" w:space="0"/>
                    <w:right w:val="single" w:color="auto" w:sz="4" w:space="0"/>
                  </w:tcBorders>
                  <w:vAlign w:val="center"/>
                </w:tcPr>
                <w:p w14:paraId="65C690B8">
                  <w:pPr>
                    <w:pStyle w:val="82"/>
                    <w:spacing w:line="240" w:lineRule="auto"/>
                    <w:ind w:firstLine="0" w:firstLineChars="0"/>
                    <w:jc w:val="center"/>
                    <w:rPr>
                      <w:color w:val="auto"/>
                      <w:sz w:val="22"/>
                      <w:szCs w:val="22"/>
                    </w:rPr>
                  </w:pPr>
                </w:p>
              </w:tc>
              <w:tc>
                <w:tcPr>
                  <w:tcW w:w="1079" w:type="pct"/>
                  <w:vMerge w:val="continue"/>
                  <w:tcBorders>
                    <w:top w:val="single" w:color="auto" w:sz="4" w:space="0"/>
                    <w:left w:val="nil"/>
                    <w:bottom w:val="single" w:color="auto" w:sz="4" w:space="0"/>
                    <w:right w:val="single" w:color="auto" w:sz="4" w:space="0"/>
                  </w:tcBorders>
                  <w:vAlign w:val="center"/>
                </w:tcPr>
                <w:p w14:paraId="01C1715B">
                  <w:pPr>
                    <w:pStyle w:val="82"/>
                    <w:spacing w:line="240" w:lineRule="auto"/>
                    <w:ind w:firstLine="0" w:firstLineChars="0"/>
                    <w:jc w:val="center"/>
                    <w:rPr>
                      <w:color w:val="auto"/>
                      <w:sz w:val="22"/>
                      <w:szCs w:val="22"/>
                    </w:rPr>
                  </w:pPr>
                </w:p>
              </w:tc>
              <w:tc>
                <w:tcPr>
                  <w:tcW w:w="1964" w:type="pct"/>
                  <w:vMerge w:val="continue"/>
                  <w:tcBorders>
                    <w:top w:val="single" w:color="auto" w:sz="4" w:space="0"/>
                    <w:left w:val="nil"/>
                    <w:bottom w:val="single" w:color="auto" w:sz="4" w:space="0"/>
                    <w:right w:val="single" w:color="auto" w:sz="4" w:space="0"/>
                  </w:tcBorders>
                  <w:vAlign w:val="center"/>
                </w:tcPr>
                <w:p w14:paraId="0C7A5BA6">
                  <w:pPr>
                    <w:pStyle w:val="82"/>
                    <w:spacing w:line="240" w:lineRule="auto"/>
                    <w:ind w:firstLine="0" w:firstLineChars="0"/>
                    <w:jc w:val="center"/>
                    <w:rPr>
                      <w:color w:val="auto"/>
                      <w:sz w:val="22"/>
                      <w:szCs w:val="22"/>
                    </w:rPr>
                  </w:pPr>
                </w:p>
              </w:tc>
            </w:tr>
            <w:tr w14:paraId="25F2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026" w:type="pct"/>
                  <w:vMerge w:val="restart"/>
                  <w:tcBorders>
                    <w:top w:val="single" w:color="auto" w:sz="4" w:space="0"/>
                    <w:left w:val="single" w:color="auto" w:sz="4" w:space="0"/>
                    <w:right w:val="single" w:color="auto" w:sz="4" w:space="0"/>
                  </w:tcBorders>
                  <w:vAlign w:val="center"/>
                </w:tcPr>
                <w:p w14:paraId="48B426C4">
                  <w:pPr>
                    <w:pStyle w:val="82"/>
                    <w:spacing w:before="120" w:line="240" w:lineRule="auto"/>
                    <w:ind w:firstLine="0" w:firstLineChars="0"/>
                    <w:jc w:val="center"/>
                    <w:rPr>
                      <w:color w:val="auto"/>
                      <w:sz w:val="22"/>
                      <w:szCs w:val="22"/>
                    </w:rPr>
                  </w:pPr>
                  <w:r>
                    <w:rPr>
                      <w:color w:val="auto"/>
                      <w:sz w:val="22"/>
                      <w:szCs w:val="22"/>
                    </w:rPr>
                    <w:t>食堂废气</w:t>
                  </w:r>
                </w:p>
                <w:p w14:paraId="0B95F7FD">
                  <w:pPr>
                    <w:pStyle w:val="82"/>
                    <w:spacing w:before="120" w:line="240" w:lineRule="auto"/>
                    <w:ind w:firstLine="0" w:firstLineChars="0"/>
                    <w:jc w:val="center"/>
                    <w:rPr>
                      <w:color w:val="auto"/>
                      <w:sz w:val="22"/>
                      <w:szCs w:val="22"/>
                    </w:rPr>
                  </w:pPr>
                </w:p>
              </w:tc>
              <w:tc>
                <w:tcPr>
                  <w:tcW w:w="929" w:type="pct"/>
                  <w:tcBorders>
                    <w:top w:val="single" w:color="auto" w:sz="4" w:space="0"/>
                    <w:left w:val="nil"/>
                    <w:bottom w:val="single" w:color="auto" w:sz="4" w:space="0"/>
                    <w:right w:val="single" w:color="auto" w:sz="4" w:space="0"/>
                  </w:tcBorders>
                  <w:vAlign w:val="center"/>
                </w:tcPr>
                <w:p w14:paraId="1FF37A50">
                  <w:pPr>
                    <w:pStyle w:val="82"/>
                    <w:spacing w:before="120" w:line="240" w:lineRule="auto"/>
                    <w:ind w:firstLine="0" w:firstLineChars="0"/>
                    <w:jc w:val="center"/>
                    <w:rPr>
                      <w:color w:val="auto"/>
                      <w:sz w:val="22"/>
                      <w:szCs w:val="22"/>
                    </w:rPr>
                  </w:pPr>
                  <w:r>
                    <w:rPr>
                      <w:color w:val="auto"/>
                      <w:sz w:val="22"/>
                      <w:szCs w:val="22"/>
                    </w:rPr>
                    <w:t>非甲烷总烃</w:t>
                  </w:r>
                </w:p>
              </w:tc>
              <w:tc>
                <w:tcPr>
                  <w:tcW w:w="1079" w:type="pct"/>
                  <w:tcBorders>
                    <w:top w:val="single" w:color="auto" w:sz="4" w:space="0"/>
                    <w:left w:val="nil"/>
                    <w:bottom w:val="single" w:color="auto" w:sz="4" w:space="0"/>
                    <w:right w:val="single" w:color="auto" w:sz="4" w:space="0"/>
                  </w:tcBorders>
                  <w:vAlign w:val="center"/>
                </w:tcPr>
                <w:p w14:paraId="6A12F335">
                  <w:pPr>
                    <w:pStyle w:val="82"/>
                    <w:spacing w:before="120" w:line="240" w:lineRule="auto"/>
                    <w:ind w:firstLine="0" w:firstLineChars="0"/>
                    <w:jc w:val="center"/>
                    <w:rPr>
                      <w:color w:val="auto"/>
                      <w:sz w:val="22"/>
                      <w:szCs w:val="22"/>
                    </w:rPr>
                  </w:pPr>
                  <w:r>
                    <w:rPr>
                      <w:color w:val="auto"/>
                      <w:sz w:val="22"/>
                      <w:szCs w:val="22"/>
                    </w:rPr>
                    <w:t>10.0</w:t>
                  </w:r>
                </w:p>
              </w:tc>
              <w:tc>
                <w:tcPr>
                  <w:tcW w:w="1964" w:type="pct"/>
                  <w:vMerge w:val="restart"/>
                  <w:tcBorders>
                    <w:left w:val="nil"/>
                    <w:right w:val="single" w:color="auto" w:sz="4" w:space="0"/>
                  </w:tcBorders>
                  <w:vAlign w:val="center"/>
                </w:tcPr>
                <w:p w14:paraId="22FEB38E">
                  <w:pPr>
                    <w:pStyle w:val="82"/>
                    <w:spacing w:line="240" w:lineRule="auto"/>
                    <w:ind w:firstLine="0" w:firstLineChars="0"/>
                    <w:jc w:val="center"/>
                    <w:rPr>
                      <w:color w:val="auto"/>
                      <w:sz w:val="22"/>
                      <w:szCs w:val="22"/>
                    </w:rPr>
                  </w:pPr>
                  <w:r>
                    <w:rPr>
                      <w:color w:val="auto"/>
                      <w:sz w:val="22"/>
                      <w:szCs w:val="22"/>
                    </w:rPr>
                    <w:t>《餐饮业大气污染物排放标准》</w:t>
                  </w:r>
                  <w:r>
                    <w:rPr>
                      <w:rFonts w:hint="eastAsia"/>
                      <w:color w:val="auto"/>
                      <w:sz w:val="22"/>
                      <w:szCs w:val="22"/>
                    </w:rPr>
                    <w:t>（</w:t>
                  </w:r>
                  <w:r>
                    <w:rPr>
                      <w:color w:val="auto"/>
                      <w:sz w:val="22"/>
                      <w:szCs w:val="22"/>
                    </w:rPr>
                    <w:t>DB50/859-2018</w:t>
                  </w:r>
                  <w:r>
                    <w:rPr>
                      <w:rFonts w:hint="eastAsia"/>
                      <w:color w:val="auto"/>
                      <w:sz w:val="22"/>
                      <w:szCs w:val="22"/>
                    </w:rPr>
                    <w:t>）中表1</w:t>
                  </w:r>
                </w:p>
              </w:tc>
            </w:tr>
            <w:tr w14:paraId="6645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26" w:type="pct"/>
                  <w:vMerge w:val="continue"/>
                  <w:tcBorders>
                    <w:left w:val="single" w:color="auto" w:sz="4" w:space="0"/>
                    <w:bottom w:val="single" w:color="auto" w:sz="4" w:space="0"/>
                    <w:right w:val="single" w:color="auto" w:sz="4" w:space="0"/>
                  </w:tcBorders>
                  <w:vAlign w:val="center"/>
                </w:tcPr>
                <w:p w14:paraId="78381EF4">
                  <w:pPr>
                    <w:pStyle w:val="82"/>
                    <w:spacing w:before="120" w:line="240" w:lineRule="auto"/>
                    <w:ind w:firstLine="0" w:firstLineChars="0"/>
                    <w:rPr>
                      <w:color w:val="auto"/>
                      <w:sz w:val="22"/>
                      <w:szCs w:val="22"/>
                    </w:rPr>
                  </w:pPr>
                </w:p>
              </w:tc>
              <w:tc>
                <w:tcPr>
                  <w:tcW w:w="929" w:type="pct"/>
                  <w:tcBorders>
                    <w:top w:val="single" w:color="auto" w:sz="4" w:space="0"/>
                    <w:left w:val="nil"/>
                    <w:bottom w:val="single" w:color="auto" w:sz="4" w:space="0"/>
                    <w:right w:val="single" w:color="auto" w:sz="4" w:space="0"/>
                  </w:tcBorders>
                  <w:vAlign w:val="center"/>
                </w:tcPr>
                <w:p w14:paraId="49711BA6">
                  <w:pPr>
                    <w:pStyle w:val="82"/>
                    <w:spacing w:before="120" w:line="240" w:lineRule="auto"/>
                    <w:ind w:firstLine="0" w:firstLineChars="0"/>
                    <w:jc w:val="center"/>
                    <w:rPr>
                      <w:color w:val="auto"/>
                      <w:sz w:val="22"/>
                      <w:szCs w:val="22"/>
                    </w:rPr>
                  </w:pPr>
                  <w:r>
                    <w:rPr>
                      <w:rFonts w:hint="eastAsia"/>
                      <w:color w:val="auto"/>
                      <w:sz w:val="22"/>
                      <w:szCs w:val="22"/>
                    </w:rPr>
                    <w:t>油烟</w:t>
                  </w:r>
                </w:p>
              </w:tc>
              <w:tc>
                <w:tcPr>
                  <w:tcW w:w="1079" w:type="pct"/>
                  <w:tcBorders>
                    <w:top w:val="single" w:color="auto" w:sz="4" w:space="0"/>
                    <w:left w:val="nil"/>
                    <w:bottom w:val="single" w:color="auto" w:sz="4" w:space="0"/>
                    <w:right w:val="single" w:color="auto" w:sz="4" w:space="0"/>
                  </w:tcBorders>
                  <w:vAlign w:val="center"/>
                </w:tcPr>
                <w:p w14:paraId="71242808">
                  <w:pPr>
                    <w:pStyle w:val="82"/>
                    <w:spacing w:before="120" w:line="240" w:lineRule="auto"/>
                    <w:ind w:firstLine="0" w:firstLineChars="0"/>
                    <w:jc w:val="center"/>
                    <w:rPr>
                      <w:color w:val="auto"/>
                      <w:sz w:val="22"/>
                      <w:szCs w:val="22"/>
                    </w:rPr>
                  </w:pPr>
                  <w:r>
                    <w:rPr>
                      <w:rFonts w:hint="eastAsia"/>
                      <w:color w:val="auto"/>
                      <w:sz w:val="22"/>
                      <w:szCs w:val="22"/>
                    </w:rPr>
                    <w:t>1.0</w:t>
                  </w:r>
                </w:p>
              </w:tc>
              <w:tc>
                <w:tcPr>
                  <w:tcW w:w="1964" w:type="pct"/>
                  <w:vMerge w:val="continue"/>
                  <w:tcBorders>
                    <w:left w:val="nil"/>
                    <w:bottom w:val="single" w:color="auto" w:sz="4" w:space="0"/>
                    <w:right w:val="single" w:color="auto" w:sz="4" w:space="0"/>
                  </w:tcBorders>
                  <w:vAlign w:val="center"/>
                </w:tcPr>
                <w:p w14:paraId="608A7842">
                  <w:pPr>
                    <w:pStyle w:val="82"/>
                    <w:ind w:firstLine="0" w:firstLineChars="0"/>
                    <w:jc w:val="center"/>
                    <w:rPr>
                      <w:color w:val="auto"/>
                      <w:kern w:val="10"/>
                      <w:sz w:val="22"/>
                      <w:szCs w:val="22"/>
                    </w:rPr>
                  </w:pPr>
                </w:p>
              </w:tc>
            </w:tr>
          </w:tbl>
          <w:p w14:paraId="1D765E74">
            <w:pPr>
              <w:pStyle w:val="82"/>
              <w:spacing w:line="460" w:lineRule="exact"/>
              <w:ind w:firstLine="130" w:firstLineChars="50"/>
              <w:jc w:val="center"/>
              <w:rPr>
                <w:rStyle w:val="110"/>
                <w:sz w:val="26"/>
                <w:szCs w:val="26"/>
              </w:rPr>
            </w:pPr>
            <w:r>
              <w:rPr>
                <w:rStyle w:val="110"/>
                <w:rFonts w:hint="eastAsia"/>
                <w:sz w:val="26"/>
                <w:szCs w:val="26"/>
              </w:rPr>
              <w:t>表</w:t>
            </w:r>
            <w:r>
              <w:rPr>
                <w:rStyle w:val="110"/>
                <w:sz w:val="26"/>
                <w:szCs w:val="26"/>
              </w:rPr>
              <w:t>3.</w:t>
            </w:r>
            <w:r>
              <w:rPr>
                <w:rStyle w:val="110"/>
                <w:rFonts w:hint="eastAsia"/>
                <w:sz w:val="26"/>
                <w:szCs w:val="26"/>
              </w:rPr>
              <w:t>7-</w:t>
            </w:r>
            <w:r>
              <w:rPr>
                <w:rStyle w:val="110"/>
                <w:rFonts w:hint="eastAsia"/>
                <w:sz w:val="26"/>
                <w:szCs w:val="26"/>
                <w:lang w:val="en-US" w:eastAsia="zh-CN"/>
              </w:rPr>
              <w:t xml:space="preserve">3  </w:t>
            </w:r>
            <w:r>
              <w:rPr>
                <w:rStyle w:val="110"/>
                <w:rFonts w:hint="eastAsia"/>
                <w:sz w:val="26"/>
                <w:szCs w:val="26"/>
              </w:rPr>
              <w:t>无组织排放大气污染物浓度限值单位：mg/m</w:t>
            </w:r>
            <w:r>
              <w:rPr>
                <w:rStyle w:val="110"/>
                <w:rFonts w:hint="eastAsia"/>
                <w:sz w:val="26"/>
                <w:szCs w:val="26"/>
                <w:vertAlign w:val="superscript"/>
              </w:rPr>
              <w:t>3</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4"/>
              <w:gridCol w:w="1573"/>
              <w:gridCol w:w="1919"/>
              <w:gridCol w:w="3035"/>
            </w:tblGrid>
            <w:tr w14:paraId="2D91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jc w:val="center"/>
              </w:trPr>
              <w:tc>
                <w:tcPr>
                  <w:tcW w:w="900" w:type="pct"/>
                  <w:vMerge w:val="restart"/>
                  <w:shd w:val="clear" w:color="auto" w:fill="auto"/>
                  <w:vAlign w:val="center"/>
                </w:tcPr>
                <w:p w14:paraId="6038BBED">
                  <w:pPr>
                    <w:pStyle w:val="82"/>
                    <w:spacing w:line="240" w:lineRule="auto"/>
                    <w:ind w:firstLine="0" w:firstLineChars="0"/>
                    <w:jc w:val="center"/>
                    <w:rPr>
                      <w:sz w:val="22"/>
                      <w:szCs w:val="22"/>
                    </w:rPr>
                  </w:pPr>
                  <w:r>
                    <w:rPr>
                      <w:sz w:val="22"/>
                      <w:szCs w:val="22"/>
                    </w:rPr>
                    <w:t>污染源</w:t>
                  </w:r>
                </w:p>
              </w:tc>
              <w:tc>
                <w:tcPr>
                  <w:tcW w:w="987" w:type="pct"/>
                  <w:shd w:val="clear" w:color="auto" w:fill="auto"/>
                  <w:vAlign w:val="center"/>
                </w:tcPr>
                <w:p w14:paraId="55B965EC">
                  <w:pPr>
                    <w:pStyle w:val="82"/>
                    <w:spacing w:line="240" w:lineRule="auto"/>
                    <w:ind w:firstLine="0" w:firstLineChars="0"/>
                    <w:jc w:val="center"/>
                    <w:rPr>
                      <w:sz w:val="22"/>
                      <w:szCs w:val="22"/>
                    </w:rPr>
                  </w:pPr>
                  <w:r>
                    <w:rPr>
                      <w:rFonts w:hint="eastAsia"/>
                      <w:sz w:val="22"/>
                      <w:szCs w:val="22"/>
                    </w:rPr>
                    <w:t>控制项目</w:t>
                  </w:r>
                </w:p>
              </w:tc>
              <w:tc>
                <w:tcPr>
                  <w:tcW w:w="1205" w:type="pct"/>
                  <w:shd w:val="clear" w:color="auto" w:fill="auto"/>
                  <w:vAlign w:val="center"/>
                </w:tcPr>
                <w:p w14:paraId="3DE13A60">
                  <w:pPr>
                    <w:pStyle w:val="82"/>
                    <w:spacing w:line="240" w:lineRule="auto"/>
                    <w:ind w:firstLine="0" w:firstLineChars="0"/>
                    <w:jc w:val="center"/>
                    <w:rPr>
                      <w:sz w:val="22"/>
                      <w:szCs w:val="22"/>
                    </w:rPr>
                  </w:pPr>
                  <w:r>
                    <w:rPr>
                      <w:rFonts w:hint="eastAsia"/>
                      <w:sz w:val="22"/>
                      <w:szCs w:val="22"/>
                    </w:rPr>
                    <w:t>无组织排放监控点浓度限值</w:t>
                  </w:r>
                  <w:r>
                    <w:rPr>
                      <w:sz w:val="22"/>
                      <w:szCs w:val="22"/>
                    </w:rPr>
                    <w:t>（mg/m</w:t>
                  </w:r>
                  <w:r>
                    <w:rPr>
                      <w:sz w:val="22"/>
                      <w:szCs w:val="22"/>
                      <w:vertAlign w:val="superscript"/>
                    </w:rPr>
                    <w:t>3</w:t>
                  </w:r>
                  <w:r>
                    <w:rPr>
                      <w:sz w:val="22"/>
                      <w:szCs w:val="22"/>
                    </w:rPr>
                    <w:t>）</w:t>
                  </w:r>
                </w:p>
              </w:tc>
              <w:tc>
                <w:tcPr>
                  <w:tcW w:w="1906" w:type="pct"/>
                  <w:shd w:val="clear" w:color="auto" w:fill="auto"/>
                  <w:vAlign w:val="center"/>
                </w:tcPr>
                <w:p w14:paraId="1A62B931">
                  <w:pPr>
                    <w:pStyle w:val="82"/>
                    <w:spacing w:line="240" w:lineRule="auto"/>
                    <w:ind w:firstLine="0" w:firstLineChars="0"/>
                    <w:jc w:val="center"/>
                    <w:rPr>
                      <w:sz w:val="22"/>
                      <w:szCs w:val="22"/>
                    </w:rPr>
                  </w:pPr>
                  <w:r>
                    <w:rPr>
                      <w:sz w:val="22"/>
                      <w:szCs w:val="22"/>
                    </w:rPr>
                    <w:t>依据</w:t>
                  </w:r>
                </w:p>
              </w:tc>
            </w:tr>
            <w:tr w14:paraId="1DE3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900" w:type="pct"/>
                  <w:vMerge w:val="continue"/>
                  <w:vAlign w:val="center"/>
                </w:tcPr>
                <w:p w14:paraId="51335924">
                  <w:pPr>
                    <w:pStyle w:val="82"/>
                    <w:ind w:firstLine="0" w:firstLineChars="0"/>
                    <w:rPr>
                      <w:sz w:val="22"/>
                      <w:szCs w:val="22"/>
                    </w:rPr>
                  </w:pPr>
                </w:p>
              </w:tc>
              <w:tc>
                <w:tcPr>
                  <w:tcW w:w="987" w:type="pct"/>
                  <w:vAlign w:val="center"/>
                </w:tcPr>
                <w:p w14:paraId="5430D7F0">
                  <w:pPr>
                    <w:pStyle w:val="82"/>
                    <w:spacing w:line="240" w:lineRule="auto"/>
                    <w:ind w:firstLine="0" w:firstLineChars="0"/>
                    <w:jc w:val="center"/>
                    <w:rPr>
                      <w:sz w:val="22"/>
                      <w:szCs w:val="22"/>
                    </w:rPr>
                  </w:pPr>
                  <w:r>
                    <w:rPr>
                      <w:rFonts w:hint="eastAsia"/>
                      <w:sz w:val="22"/>
                      <w:szCs w:val="22"/>
                    </w:rPr>
                    <w:t>颗粒物</w:t>
                  </w:r>
                </w:p>
              </w:tc>
              <w:tc>
                <w:tcPr>
                  <w:tcW w:w="1205" w:type="pct"/>
                  <w:vAlign w:val="center"/>
                </w:tcPr>
                <w:p w14:paraId="268DBA40">
                  <w:pPr>
                    <w:pStyle w:val="82"/>
                    <w:spacing w:line="240" w:lineRule="auto"/>
                    <w:ind w:firstLine="0" w:firstLineChars="0"/>
                    <w:jc w:val="center"/>
                    <w:rPr>
                      <w:sz w:val="22"/>
                      <w:szCs w:val="22"/>
                    </w:rPr>
                  </w:pPr>
                  <w:r>
                    <w:rPr>
                      <w:rFonts w:hint="eastAsia"/>
                      <w:sz w:val="22"/>
                      <w:szCs w:val="22"/>
                    </w:rPr>
                    <w:t>1.0</w:t>
                  </w:r>
                </w:p>
              </w:tc>
              <w:tc>
                <w:tcPr>
                  <w:tcW w:w="1906" w:type="pct"/>
                  <w:vMerge w:val="restart"/>
                  <w:vAlign w:val="center"/>
                </w:tcPr>
                <w:p w14:paraId="186BCBC5">
                  <w:pPr>
                    <w:pStyle w:val="82"/>
                    <w:spacing w:line="240" w:lineRule="auto"/>
                    <w:ind w:firstLine="0" w:firstLineChars="0"/>
                    <w:jc w:val="center"/>
                    <w:rPr>
                      <w:sz w:val="22"/>
                      <w:szCs w:val="22"/>
                    </w:rPr>
                  </w:pPr>
                  <w:r>
                    <w:rPr>
                      <w:rFonts w:hint="eastAsia"/>
                      <w:sz w:val="22"/>
                      <w:szCs w:val="22"/>
                    </w:rPr>
                    <w:t>《大气污染物综合排放标准》（DB50/418-2016）</w:t>
                  </w:r>
                </w:p>
              </w:tc>
            </w:tr>
            <w:tr w14:paraId="1789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900" w:type="pct"/>
                  <w:vMerge w:val="continue"/>
                  <w:vAlign w:val="center"/>
                </w:tcPr>
                <w:p w14:paraId="4C369F65">
                  <w:pPr>
                    <w:pStyle w:val="82"/>
                    <w:ind w:firstLine="0" w:firstLineChars="0"/>
                    <w:rPr>
                      <w:sz w:val="22"/>
                      <w:szCs w:val="22"/>
                    </w:rPr>
                  </w:pPr>
                </w:p>
              </w:tc>
              <w:tc>
                <w:tcPr>
                  <w:tcW w:w="1573" w:type="dxa"/>
                  <w:vAlign w:val="center"/>
                </w:tcPr>
                <w:p w14:paraId="3E7E3337">
                  <w:pPr>
                    <w:pStyle w:val="82"/>
                    <w:spacing w:line="240" w:lineRule="auto"/>
                    <w:ind w:firstLine="0" w:firstLineChars="0"/>
                    <w:jc w:val="center"/>
                    <w:rPr>
                      <w:rFonts w:hint="eastAsia"/>
                      <w:sz w:val="22"/>
                      <w:szCs w:val="22"/>
                    </w:rPr>
                  </w:pPr>
                  <w:r>
                    <w:rPr>
                      <w:rFonts w:hint="eastAsia"/>
                      <w:sz w:val="22"/>
                      <w:szCs w:val="22"/>
                    </w:rPr>
                    <w:t>非甲烷总烃</w:t>
                  </w:r>
                </w:p>
              </w:tc>
              <w:tc>
                <w:tcPr>
                  <w:tcW w:w="1919" w:type="dxa"/>
                  <w:vAlign w:val="center"/>
                </w:tcPr>
                <w:p w14:paraId="68C93938">
                  <w:pPr>
                    <w:pStyle w:val="82"/>
                    <w:spacing w:line="240" w:lineRule="auto"/>
                    <w:ind w:firstLine="0" w:firstLineChars="0"/>
                    <w:jc w:val="center"/>
                    <w:rPr>
                      <w:rFonts w:hint="eastAsia"/>
                      <w:sz w:val="22"/>
                      <w:szCs w:val="22"/>
                    </w:rPr>
                  </w:pPr>
                  <w:r>
                    <w:rPr>
                      <w:rFonts w:hint="eastAsia"/>
                      <w:sz w:val="22"/>
                      <w:szCs w:val="22"/>
                    </w:rPr>
                    <w:t>4</w:t>
                  </w:r>
                </w:p>
              </w:tc>
              <w:tc>
                <w:tcPr>
                  <w:tcW w:w="1906" w:type="pct"/>
                  <w:vMerge w:val="continue"/>
                  <w:vAlign w:val="center"/>
                </w:tcPr>
                <w:p w14:paraId="501C0B50">
                  <w:pPr>
                    <w:pStyle w:val="82"/>
                    <w:spacing w:line="240" w:lineRule="auto"/>
                    <w:ind w:firstLine="0" w:firstLineChars="0"/>
                    <w:jc w:val="center"/>
                    <w:rPr>
                      <w:rFonts w:hint="eastAsia"/>
                      <w:sz w:val="22"/>
                      <w:szCs w:val="22"/>
                    </w:rPr>
                  </w:pPr>
                </w:p>
              </w:tc>
            </w:tr>
          </w:tbl>
          <w:p w14:paraId="54B3171F">
            <w:pPr>
              <w:pStyle w:val="82"/>
              <w:ind w:firstLine="520"/>
            </w:pPr>
            <w:r>
              <w:rPr>
                <w:rFonts w:hint="eastAsia"/>
              </w:rPr>
              <w:t>（3）噪声</w:t>
            </w:r>
          </w:p>
          <w:p w14:paraId="62C31510">
            <w:pPr>
              <w:pStyle w:val="82"/>
              <w:ind w:firstLine="520"/>
            </w:pPr>
            <w:r>
              <w:t>根据《重庆市中心城区声环境功能区划分方案</w:t>
            </w:r>
            <w:r>
              <w:rPr>
                <w:rFonts w:hint="eastAsia"/>
              </w:rPr>
              <w:t>（</w:t>
            </w:r>
            <w:r>
              <w:t>2023年</w:t>
            </w:r>
            <w:r>
              <w:rPr>
                <w:rFonts w:hint="eastAsia"/>
              </w:rPr>
              <w:t>）</w:t>
            </w:r>
            <w:r>
              <w:t>》等相关规定，项目位于</w:t>
            </w:r>
            <w:r>
              <w:rPr>
                <w:rFonts w:hint="eastAsia"/>
              </w:rPr>
              <w:t>重庆市西彭工业园区</w:t>
            </w:r>
            <w:r>
              <w:t>，声环境功能分区属于3类区，</w:t>
            </w:r>
            <w:r>
              <w:rPr>
                <w:rFonts w:hint="eastAsia"/>
              </w:rPr>
              <w:t>营运期：厂界噪声排放执行《</w:t>
            </w:r>
            <w:r>
              <w:rPr>
                <w:rFonts w:hint="eastAsia" w:hAnsi="宋体"/>
                <w:szCs w:val="26"/>
              </w:rPr>
              <w:t>工业企业厂界环境噪声排放标准</w:t>
            </w:r>
            <w:r>
              <w:rPr>
                <w:rFonts w:hint="eastAsia"/>
              </w:rPr>
              <w:t>》（</w:t>
            </w:r>
            <w:r>
              <w:t>GB12348-2008</w:t>
            </w:r>
            <w:r>
              <w:rPr>
                <w:rFonts w:hint="eastAsia"/>
              </w:rPr>
              <w:t>）中</w:t>
            </w:r>
            <w:r>
              <w:t>3</w:t>
            </w:r>
            <w:r>
              <w:rPr>
                <w:rFonts w:hint="eastAsia"/>
              </w:rPr>
              <w:t>类标准，即昼间</w:t>
            </w:r>
            <w:r>
              <w:t>65dB</w:t>
            </w:r>
            <w:r>
              <w:rPr>
                <w:rFonts w:hint="eastAsia"/>
              </w:rPr>
              <w:t>，夜间</w:t>
            </w:r>
            <w:r>
              <w:t>55dB</w:t>
            </w:r>
            <w:r>
              <w:rPr>
                <w:rFonts w:hint="eastAsia"/>
              </w:rPr>
              <w:t>。</w:t>
            </w:r>
          </w:p>
          <w:p w14:paraId="319501CC">
            <w:pPr>
              <w:pStyle w:val="82"/>
              <w:ind w:firstLine="520"/>
            </w:pPr>
            <w:r>
              <w:rPr>
                <w:rFonts w:hint="eastAsia"/>
              </w:rPr>
              <w:t>（4）固废</w:t>
            </w:r>
          </w:p>
          <w:p w14:paraId="0B44CC48">
            <w:pPr>
              <w:pStyle w:val="82"/>
              <w:ind w:firstLine="520"/>
            </w:pPr>
            <w:r>
              <w:t>一般工业</w:t>
            </w:r>
            <w:r>
              <w:rPr>
                <w:rFonts w:hint="eastAsia"/>
              </w:rPr>
              <w:t>固体废物参照</w:t>
            </w:r>
            <w:r>
              <w:t>执行《</w:t>
            </w:r>
            <w:r>
              <w:rPr>
                <w:rFonts w:hint="eastAsia"/>
              </w:rPr>
              <w:t>一般工业固体废物贮存和填埋污染控制标准</w:t>
            </w:r>
            <w:r>
              <w:t>》（GB18599-20</w:t>
            </w:r>
            <w:r>
              <w:rPr>
                <w:rFonts w:hint="eastAsia"/>
              </w:rPr>
              <w:t>20</w:t>
            </w:r>
            <w:r>
              <w:t>）</w:t>
            </w:r>
            <w:r>
              <w:rPr>
                <w:rFonts w:hint="eastAsia"/>
              </w:rPr>
              <w:t>中相关“防渗漏、防雨淋、防扬尘”要求。</w:t>
            </w:r>
          </w:p>
          <w:p w14:paraId="5BC0C12D">
            <w:pPr>
              <w:pStyle w:val="82"/>
              <w:ind w:firstLine="520"/>
              <w:rPr>
                <w:rFonts w:ascii="宋体" w:hAnsi="宋体" w:cs="宋体"/>
                <w:kern w:val="0"/>
                <w:szCs w:val="21"/>
              </w:rPr>
            </w:pPr>
            <w:r>
              <w:rPr>
                <w:rFonts w:hint="eastAsia"/>
              </w:rPr>
              <w:t>危险废物执行《危险废物贮存污染物控制标准》（GB18597—2023）</w:t>
            </w:r>
            <w:r>
              <w:rPr>
                <w:rFonts w:hint="eastAsia"/>
                <w:lang w:val="en-US" w:eastAsia="zh-CN"/>
              </w:rPr>
              <w:t>中相关</w:t>
            </w:r>
            <w:r>
              <w:rPr>
                <w:rFonts w:hint="eastAsia"/>
              </w:rPr>
              <w:t>“</w:t>
            </w:r>
            <w:r>
              <w:rPr>
                <w:rFonts w:hint="eastAsia"/>
                <w:lang w:val="en-US" w:eastAsia="zh-CN"/>
              </w:rPr>
              <w:t>防风、防晒、防雨、防漏、防渗、防腐以及其他环境污染防治措施</w:t>
            </w:r>
            <w:r>
              <w:rPr>
                <w:rFonts w:hint="eastAsia"/>
              </w:rPr>
              <w:t>”</w:t>
            </w:r>
            <w:r>
              <w:rPr>
                <w:rFonts w:hint="eastAsia"/>
                <w:lang w:val="en-US" w:eastAsia="zh-CN"/>
              </w:rPr>
              <w:t>要求</w:t>
            </w:r>
            <w:r>
              <w:rPr>
                <w:rFonts w:hint="eastAsia"/>
              </w:rPr>
              <w:t>。</w:t>
            </w:r>
          </w:p>
        </w:tc>
      </w:tr>
      <w:tr w14:paraId="6EB57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800" w:type="dxa"/>
            <w:vAlign w:val="center"/>
          </w:tcPr>
          <w:p w14:paraId="241AA1F4">
            <w:pPr>
              <w:adjustRightInd w:val="0"/>
              <w:snapToGrid w:val="0"/>
              <w:jc w:val="center"/>
              <w:rPr>
                <w:rFonts w:ascii="宋体" w:hAnsi="宋体" w:cs="宋体"/>
                <w:kern w:val="0"/>
                <w:sz w:val="26"/>
              </w:rPr>
            </w:pPr>
            <w:r>
              <w:rPr>
                <w:rFonts w:hint="eastAsia" w:ascii="宋体" w:hAnsi="宋体" w:cs="宋体"/>
                <w:kern w:val="0"/>
                <w:sz w:val="26"/>
              </w:rPr>
              <w:t>总量</w:t>
            </w:r>
          </w:p>
          <w:p w14:paraId="7CFA92D7">
            <w:pPr>
              <w:adjustRightInd w:val="0"/>
              <w:snapToGrid w:val="0"/>
              <w:jc w:val="center"/>
              <w:rPr>
                <w:rFonts w:ascii="宋体" w:hAnsi="宋体" w:cs="宋体"/>
                <w:kern w:val="0"/>
                <w:sz w:val="26"/>
              </w:rPr>
            </w:pPr>
            <w:r>
              <w:rPr>
                <w:rFonts w:hint="eastAsia" w:ascii="宋体" w:hAnsi="宋体" w:cs="宋体"/>
                <w:kern w:val="0"/>
                <w:sz w:val="26"/>
              </w:rPr>
              <w:t>控制</w:t>
            </w:r>
          </w:p>
          <w:p w14:paraId="13E093CB">
            <w:pPr>
              <w:adjustRightInd w:val="0"/>
              <w:snapToGrid w:val="0"/>
              <w:jc w:val="center"/>
              <w:rPr>
                <w:rFonts w:ascii="宋体" w:hAnsi="宋体" w:cs="宋体"/>
                <w:kern w:val="0"/>
                <w:sz w:val="26"/>
              </w:rPr>
            </w:pPr>
            <w:r>
              <w:rPr>
                <w:rFonts w:hint="eastAsia" w:ascii="宋体" w:hAnsi="宋体" w:cs="宋体"/>
                <w:kern w:val="0"/>
                <w:sz w:val="26"/>
              </w:rPr>
              <w:t>指标</w:t>
            </w:r>
          </w:p>
        </w:tc>
        <w:tc>
          <w:tcPr>
            <w:tcW w:w="8190" w:type="dxa"/>
            <w:vAlign w:val="center"/>
          </w:tcPr>
          <w:p w14:paraId="10B40D1F">
            <w:pPr>
              <w:pStyle w:val="82"/>
              <w:ind w:firstLine="520"/>
              <w:rPr>
                <w:rFonts w:hint="default" w:ascii="宋体" w:hAnsi="宋体" w:eastAsia="宋体" w:cs="宋体"/>
                <w:color w:val="0000FF"/>
                <w:kern w:val="0"/>
                <w:szCs w:val="21"/>
                <w:lang w:val="en-US" w:eastAsia="zh-CN"/>
              </w:rPr>
            </w:pPr>
            <w:r>
              <w:rPr>
                <w:rFonts w:hint="eastAsia" w:ascii="宋体" w:hAnsi="宋体" w:cs="宋体"/>
                <w:color w:val="auto"/>
                <w:kern w:val="0"/>
                <w:szCs w:val="21"/>
                <w:lang w:val="en-US" w:eastAsia="zh-CN"/>
              </w:rPr>
              <w:t>本项目无总量控制指标。</w:t>
            </w:r>
          </w:p>
        </w:tc>
      </w:tr>
    </w:tbl>
    <w:p w14:paraId="4AD70FA3">
      <w:pPr>
        <w:pStyle w:val="27"/>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3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452"/>
      </w:tblGrid>
      <w:tr w14:paraId="79B57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4" w:hRule="atLeast"/>
          <w:jc w:val="center"/>
        </w:trPr>
        <w:tc>
          <w:tcPr>
            <w:tcW w:w="529" w:type="dxa"/>
            <w:tcMar>
              <w:left w:w="28" w:type="dxa"/>
              <w:right w:w="28" w:type="dxa"/>
            </w:tcMar>
            <w:vAlign w:val="center"/>
          </w:tcPr>
          <w:p w14:paraId="591AAAF6">
            <w:pPr>
              <w:pStyle w:val="27"/>
              <w:adjustRightInd w:val="0"/>
              <w:snapToGrid w:val="0"/>
              <w:spacing w:before="0" w:beforeAutospacing="0" w:after="0" w:afterAutospacing="0"/>
              <w:jc w:val="center"/>
              <w:rPr>
                <w:rFonts w:cs="宋体"/>
                <w:sz w:val="26"/>
                <w:szCs w:val="21"/>
              </w:rPr>
            </w:pPr>
            <w:r>
              <w:rPr>
                <w:rFonts w:hint="eastAsia" w:cs="宋体"/>
                <w:sz w:val="26"/>
                <w:szCs w:val="21"/>
              </w:rPr>
              <w:t>施工</w:t>
            </w:r>
          </w:p>
          <w:p w14:paraId="742E0375">
            <w:pPr>
              <w:pStyle w:val="27"/>
              <w:adjustRightInd w:val="0"/>
              <w:snapToGrid w:val="0"/>
              <w:spacing w:before="0" w:beforeAutospacing="0" w:after="0" w:afterAutospacing="0"/>
              <w:jc w:val="center"/>
              <w:rPr>
                <w:rFonts w:cs="宋体"/>
                <w:sz w:val="26"/>
                <w:szCs w:val="21"/>
              </w:rPr>
            </w:pPr>
            <w:r>
              <w:rPr>
                <w:rFonts w:hint="eastAsia" w:cs="宋体"/>
                <w:sz w:val="26"/>
                <w:szCs w:val="21"/>
              </w:rPr>
              <w:t>期环</w:t>
            </w:r>
          </w:p>
          <w:p w14:paraId="1CEED829">
            <w:pPr>
              <w:pStyle w:val="27"/>
              <w:adjustRightInd w:val="0"/>
              <w:snapToGrid w:val="0"/>
              <w:spacing w:before="0" w:beforeAutospacing="0" w:after="0" w:afterAutospacing="0"/>
              <w:jc w:val="center"/>
              <w:rPr>
                <w:rFonts w:cs="宋体"/>
                <w:sz w:val="26"/>
                <w:szCs w:val="21"/>
              </w:rPr>
            </w:pPr>
            <w:r>
              <w:rPr>
                <w:rFonts w:hint="eastAsia" w:cs="宋体"/>
                <w:sz w:val="26"/>
                <w:szCs w:val="21"/>
              </w:rPr>
              <w:t>境保</w:t>
            </w:r>
          </w:p>
          <w:p w14:paraId="61D03A2D">
            <w:pPr>
              <w:pStyle w:val="27"/>
              <w:adjustRightInd w:val="0"/>
              <w:snapToGrid w:val="0"/>
              <w:spacing w:before="0" w:beforeAutospacing="0" w:after="0" w:afterAutospacing="0"/>
              <w:jc w:val="center"/>
              <w:rPr>
                <w:rFonts w:cs="宋体"/>
                <w:sz w:val="26"/>
                <w:szCs w:val="21"/>
              </w:rPr>
            </w:pPr>
            <w:r>
              <w:rPr>
                <w:rFonts w:hint="eastAsia" w:cs="宋体"/>
                <w:sz w:val="26"/>
                <w:szCs w:val="21"/>
              </w:rPr>
              <w:t>护措</w:t>
            </w:r>
          </w:p>
          <w:p w14:paraId="4566DECF">
            <w:pPr>
              <w:pStyle w:val="27"/>
              <w:adjustRightInd w:val="0"/>
              <w:snapToGrid w:val="0"/>
              <w:spacing w:before="0" w:beforeAutospacing="0" w:after="0" w:afterAutospacing="0"/>
              <w:jc w:val="center"/>
              <w:rPr>
                <w:rFonts w:cs="宋体"/>
                <w:bCs/>
                <w:sz w:val="26"/>
                <w:szCs w:val="21"/>
              </w:rPr>
            </w:pPr>
            <w:r>
              <w:rPr>
                <w:rFonts w:hint="eastAsia" w:cs="宋体"/>
                <w:sz w:val="26"/>
                <w:szCs w:val="21"/>
              </w:rPr>
              <w:t>施</w:t>
            </w:r>
          </w:p>
        </w:tc>
        <w:tc>
          <w:tcPr>
            <w:tcW w:w="8452" w:type="dxa"/>
            <w:vAlign w:val="center"/>
          </w:tcPr>
          <w:p w14:paraId="7C6B45AC">
            <w:pPr>
              <w:pStyle w:val="82"/>
              <w:ind w:firstLine="522"/>
              <w:rPr>
                <w:b/>
                <w:szCs w:val="26"/>
              </w:rPr>
            </w:pPr>
            <w:r>
              <w:rPr>
                <w:rFonts w:hint="eastAsia"/>
                <w:b/>
                <w:szCs w:val="26"/>
              </w:rPr>
              <w:t>4</w:t>
            </w:r>
            <w:r>
              <w:rPr>
                <w:b/>
                <w:szCs w:val="26"/>
              </w:rPr>
              <w:t>.1</w:t>
            </w:r>
            <w:r>
              <w:rPr>
                <w:rFonts w:hint="eastAsia"/>
                <w:b/>
                <w:szCs w:val="26"/>
              </w:rPr>
              <w:t>施工期环境保护措施</w:t>
            </w:r>
          </w:p>
          <w:p w14:paraId="41ECE05B">
            <w:pPr>
              <w:pStyle w:val="82"/>
              <w:ind w:firstLine="520"/>
            </w:pPr>
            <w:r>
              <w:rPr>
                <w:rFonts w:hint="eastAsia" w:ascii="宋体" w:hAnsi="宋体" w:cs="宋体"/>
                <w:szCs w:val="26"/>
              </w:rPr>
              <w:t>博世氢动力系统（重庆）有限公司拟建</w:t>
            </w:r>
            <w:r>
              <w:rPr>
                <w:rFonts w:hint="eastAsia"/>
                <w:szCs w:val="26"/>
              </w:rPr>
              <w:t>重型电驱桥</w:t>
            </w:r>
            <w:r>
              <w:rPr>
                <w:rFonts w:hint="eastAsia"/>
                <w:szCs w:val="26"/>
                <w:lang w:val="en-US" w:eastAsia="zh-CN"/>
              </w:rPr>
              <w:t>装配及测试</w:t>
            </w:r>
            <w:r>
              <w:rPr>
                <w:rFonts w:hint="eastAsia"/>
                <w:szCs w:val="26"/>
              </w:rPr>
              <w:t>线、氢瓶</w:t>
            </w:r>
            <w:r>
              <w:rPr>
                <w:rFonts w:hint="eastAsia" w:ascii="宋体" w:hAnsi="宋体" w:cs="宋体"/>
                <w:szCs w:val="26"/>
              </w:rPr>
              <w:t>瓶口阀、瓶底阀生产线位于</w:t>
            </w:r>
            <w:r>
              <w:rPr>
                <w:rFonts w:hint="eastAsia"/>
                <w:szCs w:val="26"/>
              </w:rPr>
              <w:t>现有</w:t>
            </w:r>
            <w:r>
              <w:rPr>
                <w:rFonts w:hint="eastAsia"/>
                <w:szCs w:val="26"/>
                <w:lang w:val="en-US" w:eastAsia="zh-CN"/>
              </w:rPr>
              <w:t>厂房</w:t>
            </w:r>
            <w:r>
              <w:rPr>
                <w:rFonts w:hint="eastAsia"/>
                <w:szCs w:val="26"/>
              </w:rPr>
              <w:t>060生产车间内</w:t>
            </w:r>
            <w:r>
              <w:rPr>
                <w:rFonts w:hint="eastAsia"/>
                <w:szCs w:val="26"/>
                <w:lang w:eastAsia="zh-CN"/>
              </w:rPr>
              <w:t>；</w:t>
            </w:r>
            <w:r>
              <w:rPr>
                <w:rFonts w:hint="eastAsia"/>
                <w:szCs w:val="26"/>
                <w:lang w:val="en-US" w:eastAsia="zh-CN"/>
              </w:rPr>
              <w:t>电驱桥实验室位于现有厂房071实验室内。</w:t>
            </w:r>
            <w:r>
              <w:rPr>
                <w:rFonts w:hint="eastAsia" w:ascii="宋体" w:hAnsi="宋体" w:cs="宋体"/>
                <w:szCs w:val="26"/>
              </w:rPr>
              <w:t>施工期仅为内部装修和设备安装，施工时间较短，产生的污染物较少。钢结构厂房建设及设备安装过程产生少量建筑垃圾、废弃包装材料和施工噪声；以及施工人员产生的少量生活垃圾和生活污水。施工期室内装修和安装设备，产生的少量装修废气在厂房内无组织排放；施工期拆除的设施、少量施工建筑垃圾由施工单位交由建渣清运单位处理；施工人员产生的生活垃圾和生活污水依托厂区现有环保设施、处理。拟建项目施工时间短，不涉及土建工程，产生污染物较少，均不会对外环境造成明显影响</w:t>
            </w:r>
            <w:r>
              <w:rPr>
                <w:rFonts w:hint="eastAsia"/>
                <w:szCs w:val="26"/>
              </w:rPr>
              <w:t>。</w:t>
            </w:r>
          </w:p>
        </w:tc>
      </w:tr>
      <w:tr w14:paraId="1C998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2" w:hRule="atLeast"/>
          <w:jc w:val="center"/>
        </w:trPr>
        <w:tc>
          <w:tcPr>
            <w:tcW w:w="529" w:type="dxa"/>
            <w:tcMar>
              <w:left w:w="28" w:type="dxa"/>
              <w:right w:w="28" w:type="dxa"/>
            </w:tcMar>
            <w:vAlign w:val="center"/>
          </w:tcPr>
          <w:p w14:paraId="379E0918">
            <w:pPr>
              <w:adjustRightInd w:val="0"/>
              <w:snapToGrid w:val="0"/>
              <w:jc w:val="center"/>
              <w:rPr>
                <w:rFonts w:ascii="宋体" w:hAnsi="宋体" w:cs="宋体"/>
                <w:bCs/>
                <w:color w:val="auto"/>
                <w:sz w:val="26"/>
                <w:szCs w:val="21"/>
              </w:rPr>
            </w:pPr>
            <w:r>
              <w:rPr>
                <w:rFonts w:hint="eastAsia" w:ascii="宋体" w:hAnsi="宋体" w:cs="宋体"/>
                <w:bCs/>
                <w:color w:val="auto"/>
                <w:sz w:val="26"/>
                <w:szCs w:val="21"/>
              </w:rPr>
              <w:t>运营</w:t>
            </w:r>
          </w:p>
          <w:p w14:paraId="21CDF1B7">
            <w:pPr>
              <w:adjustRightInd w:val="0"/>
              <w:snapToGrid w:val="0"/>
              <w:jc w:val="center"/>
              <w:rPr>
                <w:rFonts w:ascii="宋体" w:hAnsi="宋体" w:cs="宋体"/>
                <w:bCs/>
                <w:color w:val="auto"/>
                <w:sz w:val="26"/>
                <w:szCs w:val="21"/>
              </w:rPr>
            </w:pPr>
            <w:r>
              <w:rPr>
                <w:rFonts w:hint="eastAsia" w:ascii="宋体" w:hAnsi="宋体" w:cs="宋体"/>
                <w:bCs/>
                <w:color w:val="auto"/>
                <w:sz w:val="26"/>
                <w:szCs w:val="21"/>
              </w:rPr>
              <w:t>期环</w:t>
            </w:r>
          </w:p>
          <w:p w14:paraId="5A8D9395">
            <w:pPr>
              <w:adjustRightInd w:val="0"/>
              <w:snapToGrid w:val="0"/>
              <w:jc w:val="center"/>
              <w:rPr>
                <w:rFonts w:ascii="宋体" w:hAnsi="宋体" w:cs="宋体"/>
                <w:bCs/>
                <w:color w:val="auto"/>
                <w:sz w:val="26"/>
                <w:szCs w:val="21"/>
              </w:rPr>
            </w:pPr>
            <w:r>
              <w:rPr>
                <w:rFonts w:hint="eastAsia" w:ascii="宋体" w:hAnsi="宋体" w:cs="宋体"/>
                <w:bCs/>
                <w:color w:val="auto"/>
                <w:sz w:val="26"/>
                <w:szCs w:val="21"/>
              </w:rPr>
              <w:t>境影</w:t>
            </w:r>
          </w:p>
          <w:p w14:paraId="4CE48A8F">
            <w:pPr>
              <w:adjustRightInd w:val="0"/>
              <w:snapToGrid w:val="0"/>
              <w:jc w:val="center"/>
              <w:rPr>
                <w:rFonts w:ascii="宋体" w:hAnsi="宋体" w:cs="宋体"/>
                <w:bCs/>
                <w:color w:val="auto"/>
                <w:sz w:val="26"/>
                <w:szCs w:val="21"/>
              </w:rPr>
            </w:pPr>
            <w:r>
              <w:rPr>
                <w:rFonts w:hint="eastAsia" w:ascii="宋体" w:hAnsi="宋体" w:cs="宋体"/>
                <w:bCs/>
                <w:color w:val="auto"/>
                <w:sz w:val="26"/>
                <w:szCs w:val="21"/>
              </w:rPr>
              <w:t>响和</w:t>
            </w:r>
          </w:p>
          <w:p w14:paraId="1D55702E">
            <w:pPr>
              <w:adjustRightInd w:val="0"/>
              <w:snapToGrid w:val="0"/>
              <w:jc w:val="center"/>
              <w:rPr>
                <w:rFonts w:ascii="宋体" w:hAnsi="宋体" w:cs="宋体"/>
                <w:bCs/>
                <w:color w:val="auto"/>
                <w:sz w:val="26"/>
                <w:szCs w:val="21"/>
              </w:rPr>
            </w:pPr>
            <w:r>
              <w:rPr>
                <w:rFonts w:hint="eastAsia" w:ascii="宋体" w:hAnsi="宋体" w:cs="宋体"/>
                <w:bCs/>
                <w:color w:val="auto"/>
                <w:sz w:val="26"/>
                <w:szCs w:val="21"/>
              </w:rPr>
              <w:t>保护</w:t>
            </w:r>
          </w:p>
          <w:p w14:paraId="7BE80168">
            <w:pPr>
              <w:adjustRightInd w:val="0"/>
              <w:snapToGrid w:val="0"/>
              <w:jc w:val="center"/>
              <w:rPr>
                <w:rFonts w:ascii="宋体" w:hAnsi="宋体" w:cs="宋体"/>
                <w:bCs/>
                <w:color w:val="auto"/>
                <w:sz w:val="26"/>
                <w:szCs w:val="21"/>
              </w:rPr>
            </w:pPr>
            <w:r>
              <w:rPr>
                <w:rFonts w:hint="eastAsia" w:ascii="宋体" w:hAnsi="宋体" w:cs="宋体"/>
                <w:bCs/>
                <w:color w:val="auto"/>
                <w:sz w:val="26"/>
                <w:szCs w:val="21"/>
              </w:rPr>
              <w:t>措施</w:t>
            </w:r>
          </w:p>
        </w:tc>
        <w:tc>
          <w:tcPr>
            <w:tcW w:w="8452" w:type="dxa"/>
            <w:vAlign w:val="top"/>
          </w:tcPr>
          <w:p w14:paraId="5C71C753">
            <w:pPr>
              <w:pStyle w:val="82"/>
              <w:jc w:val="both"/>
              <w:rPr>
                <w:b/>
                <w:color w:val="auto"/>
                <w:szCs w:val="26"/>
              </w:rPr>
            </w:pPr>
            <w:r>
              <w:rPr>
                <w:rFonts w:hint="eastAsia"/>
                <w:b/>
                <w:color w:val="auto"/>
                <w:szCs w:val="26"/>
              </w:rPr>
              <w:t>4</w:t>
            </w:r>
            <w:r>
              <w:rPr>
                <w:b/>
                <w:color w:val="auto"/>
                <w:szCs w:val="26"/>
              </w:rPr>
              <w:t>.2</w:t>
            </w:r>
            <w:r>
              <w:rPr>
                <w:rFonts w:hint="eastAsia"/>
                <w:b/>
                <w:color w:val="auto"/>
                <w:szCs w:val="26"/>
              </w:rPr>
              <w:t>运营期环境影响和保护措施</w:t>
            </w:r>
          </w:p>
          <w:p w14:paraId="36E5ED80">
            <w:pPr>
              <w:pStyle w:val="82"/>
              <w:ind w:firstLine="522"/>
              <w:jc w:val="both"/>
              <w:rPr>
                <w:b/>
                <w:bCs w:val="0"/>
                <w:color w:val="auto"/>
                <w:szCs w:val="26"/>
              </w:rPr>
            </w:pPr>
            <w:r>
              <w:rPr>
                <w:rFonts w:hint="eastAsia"/>
                <w:b/>
                <w:bCs w:val="0"/>
                <w:color w:val="auto"/>
                <w:szCs w:val="26"/>
              </w:rPr>
              <w:t>4</w:t>
            </w:r>
            <w:r>
              <w:rPr>
                <w:b/>
                <w:bCs w:val="0"/>
                <w:color w:val="auto"/>
                <w:szCs w:val="26"/>
              </w:rPr>
              <w:t>.2.1</w:t>
            </w:r>
            <w:r>
              <w:rPr>
                <w:rFonts w:hint="eastAsia"/>
                <w:b/>
                <w:bCs w:val="0"/>
                <w:color w:val="auto"/>
                <w:szCs w:val="26"/>
              </w:rPr>
              <w:t>废气治理措施及大气环境影响分析</w:t>
            </w:r>
          </w:p>
          <w:p w14:paraId="7FCEC5BF">
            <w:pPr>
              <w:pStyle w:val="82"/>
              <w:ind w:firstLine="520"/>
              <w:jc w:val="both"/>
              <w:rPr>
                <w:color w:val="auto"/>
                <w:szCs w:val="26"/>
              </w:rPr>
            </w:pPr>
            <w:r>
              <w:rPr>
                <w:rFonts w:hint="eastAsia"/>
                <w:color w:val="auto"/>
                <w:szCs w:val="26"/>
              </w:rPr>
              <w:t>4</w:t>
            </w:r>
            <w:r>
              <w:rPr>
                <w:color w:val="auto"/>
                <w:szCs w:val="26"/>
              </w:rPr>
              <w:t>.2.1.1</w:t>
            </w:r>
            <w:r>
              <w:rPr>
                <w:rFonts w:hint="eastAsia"/>
                <w:color w:val="auto"/>
                <w:szCs w:val="26"/>
              </w:rPr>
              <w:t>废气污染物产排情况</w:t>
            </w:r>
          </w:p>
          <w:p w14:paraId="3C872287">
            <w:pPr>
              <w:pStyle w:val="82"/>
              <w:ind w:firstLine="520"/>
              <w:jc w:val="both"/>
              <w:rPr>
                <w:rFonts w:hAnsi="宋体"/>
                <w:color w:val="auto"/>
                <w:szCs w:val="26"/>
              </w:rPr>
            </w:pPr>
            <w:r>
              <w:rPr>
                <w:rFonts w:hint="eastAsia" w:hAnsi="宋体"/>
                <w:color w:val="auto"/>
                <w:szCs w:val="26"/>
              </w:rPr>
              <w:t>（1）打标机废气G1</w:t>
            </w:r>
          </w:p>
          <w:p w14:paraId="1861871B">
            <w:pPr>
              <w:pStyle w:val="82"/>
              <w:ind w:firstLine="520"/>
              <w:jc w:val="both"/>
              <w:rPr>
                <w:rFonts w:hint="eastAsia" w:hAnsi="宋体"/>
                <w:color w:val="auto"/>
                <w:szCs w:val="26"/>
              </w:rPr>
            </w:pPr>
            <w:r>
              <w:rPr>
                <w:rFonts w:hint="eastAsia" w:hAnsi="宋体"/>
                <w:color w:val="auto"/>
                <w:szCs w:val="26"/>
              </w:rPr>
              <w:t>根据打标机的蚀刻面积约560mm</w:t>
            </w:r>
            <w:r>
              <w:rPr>
                <w:rFonts w:hint="eastAsia" w:hAnsi="宋体"/>
                <w:color w:val="auto"/>
                <w:szCs w:val="26"/>
                <w:vertAlign w:val="superscript"/>
              </w:rPr>
              <w:t>2</w:t>
            </w:r>
            <w:r>
              <w:rPr>
                <w:rFonts w:hint="eastAsia" w:hAnsi="宋体"/>
                <w:color w:val="auto"/>
                <w:szCs w:val="26"/>
              </w:rPr>
              <w:t>，深度约1.5mm，密度约7.5g/cm</w:t>
            </w:r>
            <w:r>
              <w:rPr>
                <w:rFonts w:hint="eastAsia" w:hAnsi="宋体"/>
                <w:color w:val="auto"/>
                <w:szCs w:val="26"/>
                <w:vertAlign w:val="superscript"/>
              </w:rPr>
              <w:t>3</w:t>
            </w:r>
            <w:r>
              <w:rPr>
                <w:rFonts w:hint="eastAsia" w:hAnsi="宋体"/>
                <w:color w:val="auto"/>
                <w:szCs w:val="26"/>
              </w:rPr>
              <w:t>，因此单台产品打标产生的颗粒物约6.3g，电驱桥生产测试线1.2线和2线合计年产70000台电驱桥，产生量合计441kg。每台打标机配备一台颗粒物</w:t>
            </w:r>
            <w:r>
              <w:rPr>
                <w:rFonts w:hint="eastAsia" w:hAnsi="宋体"/>
                <w:color w:val="auto"/>
                <w:szCs w:val="26"/>
                <w:lang w:val="en-US" w:eastAsia="zh-CN"/>
              </w:rPr>
              <w:t>干式</w:t>
            </w:r>
            <w:r>
              <w:rPr>
                <w:rFonts w:hint="eastAsia" w:hAnsi="宋体"/>
                <w:color w:val="auto"/>
                <w:szCs w:val="26"/>
              </w:rPr>
              <w:t>过滤器，其除尘效率考虑为95%，因此年排放量0.022t。颗粒物经</w:t>
            </w:r>
            <w:r>
              <w:rPr>
                <w:rFonts w:hint="eastAsia" w:hAnsi="宋体"/>
                <w:color w:val="auto"/>
                <w:szCs w:val="26"/>
                <w:lang w:val="en-US" w:eastAsia="zh-CN"/>
              </w:rPr>
              <w:t>干式</w:t>
            </w:r>
            <w:r>
              <w:rPr>
                <w:rFonts w:hint="eastAsia" w:hAnsi="宋体"/>
                <w:color w:val="auto"/>
                <w:szCs w:val="26"/>
              </w:rPr>
              <w:t>过滤器处理后无组织形式排放。</w:t>
            </w:r>
          </w:p>
          <w:p w14:paraId="5700FFC6">
            <w:pPr>
              <w:pStyle w:val="82"/>
              <w:ind w:firstLine="520"/>
              <w:rPr>
                <w:rFonts w:hint="default" w:eastAsia="宋体"/>
                <w:color w:val="auto"/>
                <w:lang w:val="en-US" w:eastAsia="zh-CN"/>
              </w:rPr>
            </w:pPr>
            <w:r>
              <w:rPr>
                <w:rFonts w:hint="eastAsia"/>
                <w:color w:val="auto"/>
              </w:rPr>
              <w:t>（</w:t>
            </w:r>
            <w:r>
              <w:rPr>
                <w:rFonts w:hint="eastAsia"/>
                <w:color w:val="auto"/>
                <w:lang w:val="en-US" w:eastAsia="zh-CN"/>
              </w:rPr>
              <w:t>2</w:t>
            </w:r>
            <w:r>
              <w:rPr>
                <w:rFonts w:hint="eastAsia"/>
                <w:color w:val="auto"/>
              </w:rPr>
              <w:t>）螺纹胶挥发废气</w:t>
            </w:r>
            <w:r>
              <w:rPr>
                <w:rFonts w:hint="eastAsia"/>
                <w:color w:val="auto"/>
                <w:lang w:val="en-US" w:eastAsia="zh-CN"/>
              </w:rPr>
              <w:t>G2</w:t>
            </w:r>
          </w:p>
          <w:p w14:paraId="3647C9F4">
            <w:pPr>
              <w:pStyle w:val="82"/>
              <w:ind w:firstLine="520"/>
              <w:jc w:val="both"/>
              <w:rPr>
                <w:rFonts w:hint="default" w:hAnsi="宋体" w:eastAsia="宋体"/>
                <w:color w:val="auto"/>
                <w:szCs w:val="26"/>
                <w:lang w:val="en-US" w:eastAsia="zh-CN"/>
              </w:rPr>
            </w:pPr>
            <w:r>
              <w:rPr>
                <w:rFonts w:hint="eastAsia"/>
                <w:color w:val="auto"/>
              </w:rPr>
              <w:t>氢瓶瓶口阀、瓶底阀生产线阀体安装需要使用螺纹胶</w:t>
            </w:r>
            <w:r>
              <w:rPr>
                <w:rFonts w:hint="eastAsia"/>
                <w:color w:val="auto"/>
                <w:lang w:eastAsia="zh-CN"/>
              </w:rPr>
              <w:t>，</w:t>
            </w:r>
            <w:r>
              <w:rPr>
                <w:rFonts w:hint="eastAsia"/>
                <w:color w:val="auto"/>
              </w:rPr>
              <w:t>螺纹胶</w:t>
            </w:r>
            <w:r>
              <w:rPr>
                <w:rFonts w:hint="eastAsia"/>
                <w:color w:val="auto"/>
                <w:lang w:val="en-US" w:eastAsia="zh-CN"/>
              </w:rPr>
              <w:t>中</w:t>
            </w:r>
            <w:r>
              <w:rPr>
                <w:rFonts w:hint="eastAsia"/>
                <w:color w:val="auto"/>
              </w:rPr>
              <w:t>挥发性有机物</w:t>
            </w:r>
            <w:r>
              <w:rPr>
                <w:rFonts w:hint="eastAsia"/>
                <w:color w:val="auto"/>
                <w:lang w:val="en-US" w:eastAsia="zh-CN"/>
              </w:rPr>
              <w:t>含量</w:t>
            </w:r>
            <w:r>
              <w:rPr>
                <w:rFonts w:hint="eastAsia"/>
                <w:color w:val="auto"/>
              </w:rPr>
              <w:t>&lt;80g/kg，以8%计</w:t>
            </w:r>
            <w:r>
              <w:rPr>
                <w:rFonts w:hint="eastAsia"/>
                <w:color w:val="auto"/>
                <w:lang w:eastAsia="zh-CN"/>
              </w:rPr>
              <w:t>。</w:t>
            </w:r>
            <w:r>
              <w:rPr>
                <w:rFonts w:hint="eastAsia"/>
                <w:color w:val="auto"/>
                <w:lang w:val="en-US" w:eastAsia="zh-CN"/>
              </w:rPr>
              <w:t>根据《污染源源强核算技术指南 汽车制造》（HJ 1097-2020）中“涂胶工艺烘干或固化过程物料中挥发性有机物挥发量占比系数为100%”，考虑螺纹胶常温固化过程中挥发性有机物（以</w:t>
            </w:r>
            <w:r>
              <w:rPr>
                <w:rFonts w:hint="eastAsia"/>
                <w:color w:val="auto"/>
              </w:rPr>
              <w:t>非甲烷总烃</w:t>
            </w:r>
            <w:r>
              <w:rPr>
                <w:rFonts w:hint="eastAsia"/>
                <w:color w:val="auto"/>
                <w:lang w:val="en-US" w:eastAsia="zh-CN"/>
              </w:rPr>
              <w:t>表征</w:t>
            </w:r>
            <w:r>
              <w:rPr>
                <w:rFonts w:hint="eastAsia"/>
                <w:color w:val="auto"/>
                <w:lang w:eastAsia="zh-CN"/>
              </w:rPr>
              <w:t>）</w:t>
            </w:r>
            <w:r>
              <w:rPr>
                <w:rFonts w:hint="eastAsia"/>
                <w:color w:val="auto"/>
                <w:lang w:val="en-US" w:eastAsia="zh-CN"/>
              </w:rPr>
              <w:t>完全</w:t>
            </w:r>
            <w:r>
              <w:rPr>
                <w:rFonts w:hint="eastAsia"/>
                <w:color w:val="auto"/>
              </w:rPr>
              <w:t>挥发，</w:t>
            </w:r>
            <w:r>
              <w:rPr>
                <w:rFonts w:hint="eastAsia"/>
                <w:color w:val="auto"/>
                <w:lang w:val="en-US" w:eastAsia="zh-CN"/>
              </w:rPr>
              <w:t>项目螺纹胶</w:t>
            </w:r>
            <w:r>
              <w:rPr>
                <w:rFonts w:hint="eastAsia"/>
                <w:color w:val="auto"/>
              </w:rPr>
              <w:t>年使用量约为0.0625t/a</w:t>
            </w:r>
            <w:r>
              <w:rPr>
                <w:rFonts w:hint="eastAsia"/>
                <w:color w:val="auto"/>
                <w:lang w:eastAsia="zh-CN"/>
              </w:rPr>
              <w:t>，</w:t>
            </w:r>
            <w:r>
              <w:rPr>
                <w:rFonts w:hint="eastAsia"/>
                <w:color w:val="auto"/>
              </w:rPr>
              <w:t>则非甲烷总烃产生量为0.005t/a。</w:t>
            </w:r>
            <w:r>
              <w:rPr>
                <w:rFonts w:hint="eastAsia"/>
                <w:color w:val="auto"/>
                <w:lang w:val="en-US" w:eastAsia="zh-CN"/>
              </w:rPr>
              <w:t>根据《挥发性有机物无组织排放控制标准》（GB 37822-20190）第7.2.1“VOCs 质量占比大于等于 10%的含 VOCs 产品，其使用过程应采用密闭设备或在密闭空间内操作，废气应排至 VOCs 废气收集处理系统”，由于螺纹胶VOC含量＜8%，不属于挥发性物料，且该环节非甲烷总烃产生量较低，产生点分散，无法集中收集处理，因此采取无组织形式排放。</w:t>
            </w:r>
          </w:p>
          <w:p w14:paraId="3817A138">
            <w:pPr>
              <w:pStyle w:val="82"/>
              <w:ind w:firstLine="520"/>
              <w:jc w:val="both"/>
              <w:rPr>
                <w:rFonts w:hint="eastAsia" w:ascii="Times New Roman" w:hAnsi="宋体" w:eastAsia="宋体" w:cs="Times New Roman"/>
                <w:color w:val="auto"/>
                <w:szCs w:val="26"/>
              </w:rPr>
            </w:pPr>
          </w:p>
        </w:tc>
      </w:tr>
    </w:tbl>
    <w:p w14:paraId="1A137153">
      <w:pPr>
        <w:rPr>
          <w:color w:val="auto"/>
        </w:rPr>
        <w:sectPr>
          <w:pgSz w:w="11907" w:h="16840"/>
          <w:pgMar w:top="1701" w:right="1417"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69CE411">
      <w:pPr>
        <w:rPr>
          <w:color w:val="auto"/>
        </w:rPr>
      </w:pPr>
    </w:p>
    <w:p w14:paraId="730771E2">
      <w:pPr>
        <w:adjustRightInd w:val="0"/>
        <w:snapToGrid w:val="0"/>
        <w:spacing w:line="400" w:lineRule="atLeast"/>
        <w:jc w:val="center"/>
        <w:rPr>
          <w:rFonts w:ascii="Times New Roman" w:hAnsi="Times New Roman" w:eastAsia="宋体" w:cs="Times New Roman"/>
          <w:color w:val="auto"/>
          <w:sz w:val="26"/>
          <w:szCs w:val="26"/>
        </w:rPr>
      </w:pPr>
      <w:r>
        <w:rPr>
          <w:rFonts w:ascii="Times New Roman" w:hAnsi="Times New Roman" w:eastAsia="宋体" w:cs="Times New Roman"/>
          <w:color w:val="auto"/>
          <w:sz w:val="26"/>
          <w:szCs w:val="26"/>
        </w:rPr>
        <w:t>表</w:t>
      </w:r>
      <w:r>
        <w:rPr>
          <w:rFonts w:hint="eastAsia" w:ascii="Times New Roman" w:hAnsi="Times New Roman" w:eastAsia="宋体" w:cs="Times New Roman"/>
          <w:color w:val="auto"/>
          <w:sz w:val="26"/>
          <w:szCs w:val="26"/>
          <w:lang w:val="en-US" w:eastAsia="zh-CN"/>
        </w:rPr>
        <w:t>4.2-</w:t>
      </w:r>
      <w:r>
        <w:rPr>
          <w:rFonts w:hint="eastAsia" w:cs="Times New Roman"/>
          <w:color w:val="auto"/>
          <w:sz w:val="26"/>
          <w:szCs w:val="26"/>
          <w:lang w:val="en-US" w:eastAsia="zh-CN"/>
        </w:rPr>
        <w:t>1</w:t>
      </w:r>
      <w:r>
        <w:rPr>
          <w:rFonts w:hint="eastAsia" w:ascii="Times New Roman" w:hAnsi="Times New Roman" w:eastAsia="宋体" w:cs="Times New Roman"/>
          <w:color w:val="auto"/>
          <w:sz w:val="26"/>
          <w:szCs w:val="26"/>
          <w:lang w:val="en-US" w:eastAsia="zh-CN"/>
        </w:rPr>
        <w:t xml:space="preserve">  本项目</w:t>
      </w:r>
      <w:r>
        <w:rPr>
          <w:rFonts w:hint="eastAsia" w:ascii="Times New Roman" w:hAnsi="Times New Roman" w:eastAsia="宋体" w:cs="Times New Roman"/>
          <w:color w:val="auto"/>
          <w:sz w:val="26"/>
          <w:szCs w:val="26"/>
        </w:rPr>
        <w:t>废气产生</w:t>
      </w:r>
      <w:r>
        <w:rPr>
          <w:rFonts w:hint="eastAsia" w:ascii="Times New Roman" w:hAnsi="Times New Roman" w:eastAsia="宋体" w:cs="Times New Roman"/>
          <w:color w:val="auto"/>
          <w:sz w:val="26"/>
          <w:szCs w:val="26"/>
          <w:lang w:val="en-US" w:eastAsia="zh-CN"/>
        </w:rPr>
        <w:t>排放</w:t>
      </w:r>
      <w:r>
        <w:rPr>
          <w:rFonts w:hint="eastAsia" w:ascii="Times New Roman" w:hAnsi="Times New Roman" w:eastAsia="宋体" w:cs="Times New Roman"/>
          <w:color w:val="auto"/>
          <w:sz w:val="26"/>
          <w:szCs w:val="26"/>
        </w:rPr>
        <w:t>情况一览表</w:t>
      </w:r>
    </w:p>
    <w:tbl>
      <w:tblPr>
        <w:tblStyle w:val="30"/>
        <w:tblW w:w="52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320"/>
        <w:gridCol w:w="888"/>
        <w:gridCol w:w="1325"/>
        <w:gridCol w:w="1178"/>
        <w:gridCol w:w="965"/>
        <w:gridCol w:w="878"/>
        <w:gridCol w:w="1820"/>
        <w:gridCol w:w="828"/>
        <w:gridCol w:w="784"/>
        <w:gridCol w:w="1159"/>
        <w:gridCol w:w="975"/>
        <w:gridCol w:w="831"/>
        <w:gridCol w:w="926"/>
      </w:tblGrid>
      <w:tr w14:paraId="4F58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1" w:type="dxa"/>
            <w:gridSpan w:val="9"/>
            <w:noWrap/>
            <w:vAlign w:val="center"/>
          </w:tcPr>
          <w:p w14:paraId="6B923C30">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大气污染物产生情况</w:t>
            </w:r>
          </w:p>
        </w:tc>
        <w:tc>
          <w:tcPr>
            <w:tcW w:w="4675" w:type="dxa"/>
            <w:gridSpan w:val="5"/>
            <w:noWrap/>
            <w:vAlign w:val="center"/>
          </w:tcPr>
          <w:p w14:paraId="662B7FDA">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大气污染物有组织排放情况</w:t>
            </w:r>
          </w:p>
        </w:tc>
      </w:tr>
      <w:tr w14:paraId="3691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 w:type="dxa"/>
            <w:vMerge w:val="restart"/>
            <w:noWrap w:val="0"/>
            <w:vAlign w:val="center"/>
          </w:tcPr>
          <w:p w14:paraId="59457AD5">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排气筒编号</w:t>
            </w:r>
          </w:p>
        </w:tc>
        <w:tc>
          <w:tcPr>
            <w:tcW w:w="1320" w:type="dxa"/>
            <w:vMerge w:val="restart"/>
            <w:noWrap w:val="0"/>
            <w:vAlign w:val="center"/>
          </w:tcPr>
          <w:p w14:paraId="5DF2A1DC">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产排污环节</w:t>
            </w:r>
          </w:p>
        </w:tc>
        <w:tc>
          <w:tcPr>
            <w:tcW w:w="888" w:type="dxa"/>
            <w:vMerge w:val="restart"/>
            <w:noWrap w:val="0"/>
            <w:vAlign w:val="center"/>
          </w:tcPr>
          <w:p w14:paraId="0B08456E">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排气量m</w:t>
            </w:r>
            <w:r>
              <w:rPr>
                <w:rFonts w:hint="default" w:ascii="Times New Roman" w:hAnsi="Times New Roman" w:eastAsia="宋体" w:cs="Times New Roman"/>
                <w:color w:val="auto"/>
                <w:sz w:val="22"/>
                <w:szCs w:val="22"/>
                <w:vertAlign w:val="superscript"/>
                <w:lang w:val="en-US" w:eastAsia="zh-CN"/>
              </w:rPr>
              <w:t>3</w:t>
            </w:r>
            <w:r>
              <w:rPr>
                <w:rFonts w:hint="default" w:ascii="Times New Roman" w:hAnsi="Times New Roman" w:eastAsia="宋体" w:cs="Times New Roman"/>
                <w:color w:val="auto"/>
                <w:sz w:val="22"/>
                <w:szCs w:val="22"/>
                <w:lang w:val="en-US" w:eastAsia="zh-CN"/>
              </w:rPr>
              <w:t>/h</w:t>
            </w:r>
          </w:p>
        </w:tc>
        <w:tc>
          <w:tcPr>
            <w:tcW w:w="1325" w:type="dxa"/>
            <w:vMerge w:val="restart"/>
            <w:noWrap w:val="0"/>
            <w:vAlign w:val="center"/>
          </w:tcPr>
          <w:p w14:paraId="7497DBA3">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污染物种类</w:t>
            </w:r>
          </w:p>
        </w:tc>
        <w:tc>
          <w:tcPr>
            <w:tcW w:w="1178" w:type="dxa"/>
            <w:vMerge w:val="restart"/>
            <w:noWrap w:val="0"/>
            <w:vAlign w:val="center"/>
          </w:tcPr>
          <w:p w14:paraId="00C2FFA6">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产生浓度（mg/m</w:t>
            </w:r>
            <w:r>
              <w:rPr>
                <w:rFonts w:hint="eastAsia" w:ascii="Times New Roman" w:hAnsi="Times New Roman" w:eastAsia="宋体" w:cs="Times New Roman"/>
                <w:color w:val="auto"/>
                <w:sz w:val="22"/>
                <w:szCs w:val="22"/>
                <w:vertAlign w:val="superscript"/>
                <w:lang w:val="en-US" w:eastAsia="zh-CN"/>
              </w:rPr>
              <w:t>3</w:t>
            </w:r>
            <w:r>
              <w:rPr>
                <w:rFonts w:hint="default" w:ascii="Times New Roman" w:hAnsi="Times New Roman" w:eastAsia="宋体" w:cs="Times New Roman"/>
                <w:color w:val="auto"/>
                <w:sz w:val="22"/>
                <w:szCs w:val="22"/>
                <w:lang w:val="en-US" w:eastAsia="zh-CN"/>
              </w:rPr>
              <w:t>）</w:t>
            </w:r>
          </w:p>
        </w:tc>
        <w:tc>
          <w:tcPr>
            <w:tcW w:w="965" w:type="dxa"/>
            <w:vMerge w:val="restart"/>
            <w:noWrap w:val="0"/>
            <w:vAlign w:val="center"/>
          </w:tcPr>
          <w:p w14:paraId="549416F2">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产生速率</w:t>
            </w:r>
            <w:r>
              <w:rPr>
                <w:rFonts w:hint="eastAsia"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（kg/h）</w:t>
            </w:r>
          </w:p>
        </w:tc>
        <w:tc>
          <w:tcPr>
            <w:tcW w:w="878" w:type="dxa"/>
            <w:vMerge w:val="restart"/>
            <w:noWrap w:val="0"/>
            <w:vAlign w:val="center"/>
          </w:tcPr>
          <w:p w14:paraId="3A2357E4">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年产生量（t/a）</w:t>
            </w:r>
          </w:p>
        </w:tc>
        <w:tc>
          <w:tcPr>
            <w:tcW w:w="2648" w:type="dxa"/>
            <w:gridSpan w:val="2"/>
            <w:noWrap w:val="0"/>
            <w:vAlign w:val="center"/>
          </w:tcPr>
          <w:p w14:paraId="600C9620">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污染治理设施</w:t>
            </w:r>
          </w:p>
        </w:tc>
        <w:tc>
          <w:tcPr>
            <w:tcW w:w="784" w:type="dxa"/>
            <w:vMerge w:val="restart"/>
            <w:noWrap w:val="0"/>
            <w:vAlign w:val="center"/>
          </w:tcPr>
          <w:p w14:paraId="32CFEA05">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处理效率</w:t>
            </w:r>
          </w:p>
        </w:tc>
        <w:tc>
          <w:tcPr>
            <w:tcW w:w="1159" w:type="dxa"/>
            <w:vMerge w:val="restart"/>
            <w:noWrap w:val="0"/>
            <w:vAlign w:val="center"/>
          </w:tcPr>
          <w:p w14:paraId="120DA62F">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排放浓度（mg/m</w:t>
            </w:r>
            <w:r>
              <w:rPr>
                <w:rFonts w:hint="eastAsia" w:ascii="Times New Roman" w:hAnsi="Times New Roman" w:eastAsia="宋体" w:cs="Times New Roman"/>
                <w:color w:val="auto"/>
                <w:sz w:val="22"/>
                <w:szCs w:val="22"/>
                <w:vertAlign w:val="superscript"/>
                <w:lang w:val="en-US" w:eastAsia="zh-CN"/>
              </w:rPr>
              <w:t>3</w:t>
            </w:r>
            <w:r>
              <w:rPr>
                <w:rFonts w:hint="default" w:ascii="Times New Roman" w:hAnsi="Times New Roman" w:eastAsia="宋体" w:cs="Times New Roman"/>
                <w:color w:val="auto"/>
                <w:sz w:val="22"/>
                <w:szCs w:val="22"/>
                <w:lang w:val="en-US" w:eastAsia="zh-CN"/>
              </w:rPr>
              <w:t>）</w:t>
            </w:r>
          </w:p>
        </w:tc>
        <w:tc>
          <w:tcPr>
            <w:tcW w:w="975" w:type="dxa"/>
            <w:vMerge w:val="restart"/>
            <w:noWrap w:val="0"/>
            <w:vAlign w:val="center"/>
          </w:tcPr>
          <w:p w14:paraId="6C551442">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排放速率</w:t>
            </w:r>
            <w:r>
              <w:rPr>
                <w:rFonts w:hint="eastAsia"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（kg/h）</w:t>
            </w:r>
          </w:p>
        </w:tc>
        <w:tc>
          <w:tcPr>
            <w:tcW w:w="831" w:type="dxa"/>
            <w:vMerge w:val="restart"/>
            <w:noWrap w:val="0"/>
            <w:vAlign w:val="center"/>
          </w:tcPr>
          <w:p w14:paraId="27AB6A09">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年排放量（t/a）</w:t>
            </w:r>
          </w:p>
        </w:tc>
        <w:tc>
          <w:tcPr>
            <w:tcW w:w="926" w:type="dxa"/>
            <w:vMerge w:val="restart"/>
            <w:noWrap w:val="0"/>
            <w:vAlign w:val="center"/>
          </w:tcPr>
          <w:p w14:paraId="4F9DFC73">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年生产时间h</w:t>
            </w:r>
          </w:p>
        </w:tc>
      </w:tr>
      <w:tr w14:paraId="78C3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 w:type="dxa"/>
            <w:vMerge w:val="continue"/>
            <w:noWrap w:val="0"/>
            <w:vAlign w:val="center"/>
          </w:tcPr>
          <w:p w14:paraId="559D3D98">
            <w:pPr>
              <w:spacing w:line="240" w:lineRule="auto"/>
              <w:jc w:val="center"/>
              <w:rPr>
                <w:rFonts w:hint="default" w:ascii="Times New Roman" w:hAnsi="Times New Roman" w:eastAsia="宋体" w:cs="Times New Roman"/>
                <w:color w:val="auto"/>
                <w:sz w:val="22"/>
                <w:szCs w:val="22"/>
                <w:lang w:val="en-US" w:eastAsia="zh-CN"/>
              </w:rPr>
            </w:pPr>
          </w:p>
        </w:tc>
        <w:tc>
          <w:tcPr>
            <w:tcW w:w="1320" w:type="dxa"/>
            <w:vMerge w:val="continue"/>
            <w:noWrap w:val="0"/>
            <w:vAlign w:val="center"/>
          </w:tcPr>
          <w:p w14:paraId="0FB0A72F">
            <w:pPr>
              <w:spacing w:line="240" w:lineRule="auto"/>
              <w:jc w:val="center"/>
              <w:rPr>
                <w:rFonts w:hint="default" w:ascii="Times New Roman" w:hAnsi="Times New Roman" w:eastAsia="宋体" w:cs="Times New Roman"/>
                <w:color w:val="auto"/>
                <w:sz w:val="22"/>
                <w:szCs w:val="22"/>
                <w:lang w:val="en-US" w:eastAsia="zh-CN"/>
              </w:rPr>
            </w:pPr>
          </w:p>
        </w:tc>
        <w:tc>
          <w:tcPr>
            <w:tcW w:w="888" w:type="dxa"/>
            <w:vMerge w:val="continue"/>
            <w:noWrap w:val="0"/>
            <w:vAlign w:val="center"/>
          </w:tcPr>
          <w:p w14:paraId="6ED3BB47">
            <w:pPr>
              <w:spacing w:line="240" w:lineRule="auto"/>
              <w:jc w:val="center"/>
              <w:rPr>
                <w:rFonts w:hint="default" w:ascii="Times New Roman" w:hAnsi="Times New Roman" w:eastAsia="宋体" w:cs="Times New Roman"/>
                <w:color w:val="auto"/>
                <w:sz w:val="22"/>
                <w:szCs w:val="22"/>
                <w:lang w:val="en-US" w:eastAsia="zh-CN"/>
              </w:rPr>
            </w:pPr>
          </w:p>
        </w:tc>
        <w:tc>
          <w:tcPr>
            <w:tcW w:w="1325" w:type="dxa"/>
            <w:vMerge w:val="continue"/>
            <w:noWrap w:val="0"/>
            <w:vAlign w:val="center"/>
          </w:tcPr>
          <w:p w14:paraId="106E53CA">
            <w:pPr>
              <w:spacing w:line="240" w:lineRule="auto"/>
              <w:jc w:val="center"/>
              <w:rPr>
                <w:rFonts w:hint="default" w:ascii="Times New Roman" w:hAnsi="Times New Roman" w:eastAsia="宋体" w:cs="Times New Roman"/>
                <w:color w:val="auto"/>
                <w:sz w:val="22"/>
                <w:szCs w:val="22"/>
                <w:lang w:val="en-US" w:eastAsia="zh-CN"/>
              </w:rPr>
            </w:pPr>
          </w:p>
        </w:tc>
        <w:tc>
          <w:tcPr>
            <w:tcW w:w="1178" w:type="dxa"/>
            <w:vMerge w:val="continue"/>
            <w:noWrap w:val="0"/>
            <w:vAlign w:val="center"/>
          </w:tcPr>
          <w:p w14:paraId="42F8B4C1">
            <w:pPr>
              <w:spacing w:line="240" w:lineRule="auto"/>
              <w:jc w:val="center"/>
              <w:rPr>
                <w:rFonts w:hint="default" w:ascii="Times New Roman" w:hAnsi="Times New Roman" w:eastAsia="宋体" w:cs="Times New Roman"/>
                <w:color w:val="auto"/>
                <w:sz w:val="22"/>
                <w:szCs w:val="22"/>
                <w:lang w:val="en-US" w:eastAsia="zh-CN"/>
              </w:rPr>
            </w:pPr>
          </w:p>
        </w:tc>
        <w:tc>
          <w:tcPr>
            <w:tcW w:w="965" w:type="dxa"/>
            <w:vMerge w:val="continue"/>
            <w:noWrap w:val="0"/>
            <w:vAlign w:val="center"/>
          </w:tcPr>
          <w:p w14:paraId="225D83B7">
            <w:pPr>
              <w:spacing w:line="240" w:lineRule="auto"/>
              <w:jc w:val="center"/>
              <w:rPr>
                <w:rFonts w:hint="default" w:ascii="Times New Roman" w:hAnsi="Times New Roman" w:eastAsia="宋体" w:cs="Times New Roman"/>
                <w:color w:val="auto"/>
                <w:sz w:val="22"/>
                <w:szCs w:val="22"/>
                <w:lang w:val="en-US" w:eastAsia="zh-CN"/>
              </w:rPr>
            </w:pPr>
          </w:p>
        </w:tc>
        <w:tc>
          <w:tcPr>
            <w:tcW w:w="878" w:type="dxa"/>
            <w:vMerge w:val="continue"/>
            <w:noWrap w:val="0"/>
            <w:vAlign w:val="center"/>
          </w:tcPr>
          <w:p w14:paraId="621EA7D5">
            <w:pPr>
              <w:spacing w:line="240" w:lineRule="auto"/>
              <w:jc w:val="center"/>
              <w:rPr>
                <w:rFonts w:hint="default" w:ascii="Times New Roman" w:hAnsi="Times New Roman" w:eastAsia="宋体" w:cs="Times New Roman"/>
                <w:color w:val="auto"/>
                <w:sz w:val="22"/>
                <w:szCs w:val="22"/>
                <w:lang w:val="en-US" w:eastAsia="zh-CN"/>
              </w:rPr>
            </w:pPr>
          </w:p>
        </w:tc>
        <w:tc>
          <w:tcPr>
            <w:tcW w:w="1820" w:type="dxa"/>
            <w:noWrap w:val="0"/>
            <w:vAlign w:val="center"/>
          </w:tcPr>
          <w:p w14:paraId="54AD5D6C">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污染治理工艺</w:t>
            </w:r>
          </w:p>
        </w:tc>
        <w:tc>
          <w:tcPr>
            <w:tcW w:w="828" w:type="dxa"/>
            <w:noWrap w:val="0"/>
            <w:vAlign w:val="center"/>
          </w:tcPr>
          <w:p w14:paraId="62F8F6F1">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是否为可行技术</w:t>
            </w:r>
          </w:p>
        </w:tc>
        <w:tc>
          <w:tcPr>
            <w:tcW w:w="784" w:type="dxa"/>
            <w:vMerge w:val="continue"/>
            <w:noWrap w:val="0"/>
            <w:vAlign w:val="center"/>
          </w:tcPr>
          <w:p w14:paraId="14128512">
            <w:pPr>
              <w:spacing w:line="240" w:lineRule="auto"/>
              <w:jc w:val="center"/>
              <w:rPr>
                <w:rFonts w:hint="default" w:ascii="Times New Roman" w:hAnsi="Times New Roman" w:eastAsia="宋体" w:cs="Times New Roman"/>
                <w:color w:val="auto"/>
                <w:sz w:val="22"/>
                <w:szCs w:val="22"/>
                <w:lang w:val="en-US" w:eastAsia="zh-CN"/>
              </w:rPr>
            </w:pPr>
          </w:p>
        </w:tc>
        <w:tc>
          <w:tcPr>
            <w:tcW w:w="1159" w:type="dxa"/>
            <w:vMerge w:val="continue"/>
            <w:noWrap w:val="0"/>
            <w:vAlign w:val="center"/>
          </w:tcPr>
          <w:p w14:paraId="0D556558">
            <w:pPr>
              <w:spacing w:line="240" w:lineRule="auto"/>
              <w:jc w:val="center"/>
              <w:rPr>
                <w:rFonts w:hint="default" w:ascii="Times New Roman" w:hAnsi="Times New Roman" w:eastAsia="宋体" w:cs="Times New Roman"/>
                <w:color w:val="auto"/>
                <w:sz w:val="22"/>
                <w:szCs w:val="22"/>
                <w:lang w:val="en-US" w:eastAsia="zh-CN"/>
              </w:rPr>
            </w:pPr>
          </w:p>
        </w:tc>
        <w:tc>
          <w:tcPr>
            <w:tcW w:w="975" w:type="dxa"/>
            <w:vMerge w:val="continue"/>
            <w:noWrap w:val="0"/>
            <w:vAlign w:val="center"/>
          </w:tcPr>
          <w:p w14:paraId="1203AF85">
            <w:pPr>
              <w:spacing w:line="240" w:lineRule="auto"/>
              <w:jc w:val="center"/>
              <w:rPr>
                <w:rFonts w:hint="default" w:ascii="Times New Roman" w:hAnsi="Times New Roman" w:eastAsia="宋体" w:cs="Times New Roman"/>
                <w:color w:val="auto"/>
                <w:sz w:val="22"/>
                <w:szCs w:val="22"/>
                <w:lang w:val="en-US" w:eastAsia="zh-CN"/>
              </w:rPr>
            </w:pPr>
          </w:p>
        </w:tc>
        <w:tc>
          <w:tcPr>
            <w:tcW w:w="831" w:type="dxa"/>
            <w:vMerge w:val="continue"/>
            <w:noWrap w:val="0"/>
            <w:vAlign w:val="center"/>
          </w:tcPr>
          <w:p w14:paraId="5E8A132D">
            <w:pPr>
              <w:spacing w:line="240" w:lineRule="auto"/>
              <w:jc w:val="center"/>
              <w:rPr>
                <w:rFonts w:hint="default" w:ascii="Times New Roman" w:hAnsi="Times New Roman" w:eastAsia="宋体" w:cs="Times New Roman"/>
                <w:color w:val="auto"/>
                <w:sz w:val="22"/>
                <w:szCs w:val="22"/>
                <w:lang w:val="en-US" w:eastAsia="zh-CN"/>
              </w:rPr>
            </w:pPr>
          </w:p>
        </w:tc>
        <w:tc>
          <w:tcPr>
            <w:tcW w:w="926" w:type="dxa"/>
            <w:vMerge w:val="continue"/>
            <w:noWrap w:val="0"/>
            <w:vAlign w:val="center"/>
          </w:tcPr>
          <w:p w14:paraId="3D902788">
            <w:pPr>
              <w:spacing w:line="240" w:lineRule="auto"/>
              <w:jc w:val="center"/>
              <w:rPr>
                <w:rFonts w:hint="default" w:ascii="Times New Roman" w:hAnsi="Times New Roman" w:eastAsia="宋体" w:cs="Times New Roman"/>
                <w:color w:val="auto"/>
                <w:sz w:val="22"/>
                <w:szCs w:val="22"/>
                <w:lang w:val="en-US" w:eastAsia="zh-CN"/>
              </w:rPr>
            </w:pPr>
          </w:p>
        </w:tc>
      </w:tr>
      <w:tr w14:paraId="6E66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 w:type="dxa"/>
            <w:noWrap w:val="0"/>
            <w:vAlign w:val="center"/>
          </w:tcPr>
          <w:p w14:paraId="33E748F8">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20" w:type="dxa"/>
            <w:noWrap w:val="0"/>
            <w:vAlign w:val="center"/>
          </w:tcPr>
          <w:p w14:paraId="55F151A7">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打标机废气</w:t>
            </w:r>
          </w:p>
        </w:tc>
        <w:tc>
          <w:tcPr>
            <w:tcW w:w="888" w:type="dxa"/>
            <w:noWrap w:val="0"/>
            <w:vAlign w:val="center"/>
          </w:tcPr>
          <w:p w14:paraId="6FB8C946">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320</w:t>
            </w:r>
          </w:p>
        </w:tc>
        <w:tc>
          <w:tcPr>
            <w:tcW w:w="1325" w:type="dxa"/>
            <w:noWrap w:val="0"/>
            <w:vAlign w:val="center"/>
          </w:tcPr>
          <w:p w14:paraId="5C402AE5">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1178" w:type="dxa"/>
            <w:noWrap/>
            <w:vAlign w:val="center"/>
          </w:tcPr>
          <w:p w14:paraId="366B9E5A">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965" w:type="dxa"/>
            <w:noWrap w:val="0"/>
            <w:vAlign w:val="center"/>
          </w:tcPr>
          <w:p w14:paraId="243CF6C8">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878" w:type="dxa"/>
            <w:noWrap w:val="0"/>
            <w:vAlign w:val="center"/>
          </w:tcPr>
          <w:p w14:paraId="62BA441D">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0.441</w:t>
            </w:r>
          </w:p>
        </w:tc>
        <w:tc>
          <w:tcPr>
            <w:tcW w:w="1820" w:type="dxa"/>
            <w:noWrap w:val="0"/>
            <w:vAlign w:val="center"/>
          </w:tcPr>
          <w:p w14:paraId="25FEA097">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废气经设打标机自带的干式过滤器处理后无组织排放</w:t>
            </w:r>
          </w:p>
        </w:tc>
        <w:tc>
          <w:tcPr>
            <w:tcW w:w="828" w:type="dxa"/>
            <w:noWrap w:val="0"/>
            <w:vAlign w:val="center"/>
          </w:tcPr>
          <w:p w14:paraId="2759ABFD">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是</w:t>
            </w:r>
          </w:p>
        </w:tc>
        <w:tc>
          <w:tcPr>
            <w:tcW w:w="784" w:type="dxa"/>
            <w:noWrap w:val="0"/>
            <w:vAlign w:val="center"/>
          </w:tcPr>
          <w:p w14:paraId="61BD4F74">
            <w:pPr>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95%</w:t>
            </w:r>
          </w:p>
        </w:tc>
        <w:tc>
          <w:tcPr>
            <w:tcW w:w="1159" w:type="dxa"/>
            <w:noWrap w:val="0"/>
            <w:vAlign w:val="center"/>
          </w:tcPr>
          <w:p w14:paraId="6D12F889">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975" w:type="dxa"/>
            <w:noWrap w:val="0"/>
            <w:vAlign w:val="center"/>
          </w:tcPr>
          <w:p w14:paraId="7E36FAAF">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831" w:type="dxa"/>
            <w:noWrap w:val="0"/>
            <w:vAlign w:val="center"/>
          </w:tcPr>
          <w:p w14:paraId="02E24B32">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0.022</w:t>
            </w:r>
          </w:p>
        </w:tc>
        <w:tc>
          <w:tcPr>
            <w:tcW w:w="926" w:type="dxa"/>
            <w:noWrap w:val="0"/>
            <w:vAlign w:val="center"/>
          </w:tcPr>
          <w:p w14:paraId="4B0B05CF">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7200</w:t>
            </w:r>
          </w:p>
        </w:tc>
      </w:tr>
      <w:tr w14:paraId="2797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 w:type="dxa"/>
            <w:noWrap w:val="0"/>
            <w:vAlign w:val="center"/>
          </w:tcPr>
          <w:p w14:paraId="3D0800C6">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1320" w:type="dxa"/>
            <w:noWrap w:val="0"/>
            <w:vAlign w:val="center"/>
          </w:tcPr>
          <w:p w14:paraId="5AE3569B">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螺纹胶挥发废气</w:t>
            </w:r>
          </w:p>
        </w:tc>
        <w:tc>
          <w:tcPr>
            <w:tcW w:w="888" w:type="dxa"/>
            <w:noWrap w:val="0"/>
            <w:vAlign w:val="center"/>
          </w:tcPr>
          <w:p w14:paraId="3294C39E">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1325" w:type="dxa"/>
            <w:noWrap w:val="0"/>
            <w:vAlign w:val="center"/>
          </w:tcPr>
          <w:p w14:paraId="17987428">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非甲烷总烃</w:t>
            </w:r>
          </w:p>
        </w:tc>
        <w:tc>
          <w:tcPr>
            <w:tcW w:w="1178" w:type="dxa"/>
            <w:noWrap/>
            <w:vAlign w:val="center"/>
          </w:tcPr>
          <w:p w14:paraId="6C3B1C1E">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965" w:type="dxa"/>
            <w:noWrap w:val="0"/>
            <w:vAlign w:val="center"/>
          </w:tcPr>
          <w:p w14:paraId="64FBD96A">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878" w:type="dxa"/>
            <w:noWrap w:val="0"/>
            <w:vAlign w:val="center"/>
          </w:tcPr>
          <w:p w14:paraId="2288CD09">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0.005</w:t>
            </w:r>
          </w:p>
        </w:tc>
        <w:tc>
          <w:tcPr>
            <w:tcW w:w="1820" w:type="dxa"/>
            <w:noWrap w:val="0"/>
            <w:vAlign w:val="center"/>
          </w:tcPr>
          <w:p w14:paraId="5753D3AA">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828" w:type="dxa"/>
            <w:noWrap w:val="0"/>
            <w:vAlign w:val="center"/>
          </w:tcPr>
          <w:p w14:paraId="16FF6EA4">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784" w:type="dxa"/>
            <w:noWrap w:val="0"/>
            <w:vAlign w:val="center"/>
          </w:tcPr>
          <w:p w14:paraId="4B9BE5A1">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1159" w:type="dxa"/>
            <w:noWrap w:val="0"/>
            <w:vAlign w:val="center"/>
          </w:tcPr>
          <w:p w14:paraId="60B7ABA5">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975" w:type="dxa"/>
            <w:noWrap w:val="0"/>
            <w:vAlign w:val="center"/>
          </w:tcPr>
          <w:p w14:paraId="332BA552">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831" w:type="dxa"/>
            <w:noWrap w:val="0"/>
            <w:vAlign w:val="center"/>
          </w:tcPr>
          <w:p w14:paraId="2C74B581">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0.005</w:t>
            </w:r>
          </w:p>
        </w:tc>
        <w:tc>
          <w:tcPr>
            <w:tcW w:w="926" w:type="dxa"/>
            <w:noWrap w:val="0"/>
            <w:vAlign w:val="center"/>
          </w:tcPr>
          <w:p w14:paraId="277E75C4">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3600</w:t>
            </w:r>
          </w:p>
        </w:tc>
      </w:tr>
      <w:tr w14:paraId="0DBC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 w:type="dxa"/>
            <w:vMerge w:val="restart"/>
            <w:noWrap w:val="0"/>
            <w:vAlign w:val="center"/>
          </w:tcPr>
          <w:p w14:paraId="38FC7919">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无组织合计</w:t>
            </w:r>
          </w:p>
        </w:tc>
        <w:tc>
          <w:tcPr>
            <w:tcW w:w="1320" w:type="dxa"/>
            <w:noWrap w:val="0"/>
            <w:vAlign w:val="center"/>
          </w:tcPr>
          <w:p w14:paraId="1A8EB027">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888" w:type="dxa"/>
            <w:noWrap w:val="0"/>
            <w:vAlign w:val="center"/>
          </w:tcPr>
          <w:p w14:paraId="649170EA">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25" w:type="dxa"/>
            <w:noWrap w:val="0"/>
            <w:vAlign w:val="center"/>
          </w:tcPr>
          <w:p w14:paraId="54764078">
            <w:pPr>
              <w:spacing w:line="240" w:lineRule="auto"/>
              <w:jc w:val="center"/>
              <w:rPr>
                <w:rFonts w:hint="eastAsia"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颗粒物</w:t>
            </w:r>
          </w:p>
        </w:tc>
        <w:tc>
          <w:tcPr>
            <w:tcW w:w="1178" w:type="dxa"/>
            <w:noWrap/>
            <w:vAlign w:val="center"/>
          </w:tcPr>
          <w:p w14:paraId="4BB10699">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965" w:type="dxa"/>
            <w:noWrap w:val="0"/>
            <w:vAlign w:val="center"/>
          </w:tcPr>
          <w:p w14:paraId="658C3DDB">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878" w:type="dxa"/>
            <w:noWrap w:val="0"/>
            <w:vAlign w:val="center"/>
          </w:tcPr>
          <w:p w14:paraId="17B7C569">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0.441</w:t>
            </w:r>
          </w:p>
        </w:tc>
        <w:tc>
          <w:tcPr>
            <w:tcW w:w="1820" w:type="dxa"/>
            <w:noWrap w:val="0"/>
            <w:vAlign w:val="center"/>
          </w:tcPr>
          <w:p w14:paraId="003ACB83">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828" w:type="dxa"/>
            <w:noWrap w:val="0"/>
            <w:vAlign w:val="center"/>
          </w:tcPr>
          <w:p w14:paraId="2CB406D3">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84" w:type="dxa"/>
            <w:noWrap w:val="0"/>
            <w:vAlign w:val="center"/>
          </w:tcPr>
          <w:p w14:paraId="16E42217">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159" w:type="dxa"/>
            <w:noWrap w:val="0"/>
            <w:vAlign w:val="center"/>
          </w:tcPr>
          <w:p w14:paraId="4AC352F7">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975" w:type="dxa"/>
            <w:noWrap w:val="0"/>
            <w:vAlign w:val="center"/>
          </w:tcPr>
          <w:p w14:paraId="11285467">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831" w:type="dxa"/>
            <w:noWrap w:val="0"/>
            <w:vAlign w:val="center"/>
          </w:tcPr>
          <w:p w14:paraId="2CFF2695">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0.022</w:t>
            </w:r>
          </w:p>
        </w:tc>
        <w:tc>
          <w:tcPr>
            <w:tcW w:w="926" w:type="dxa"/>
            <w:noWrap w:val="0"/>
            <w:vAlign w:val="center"/>
          </w:tcPr>
          <w:p w14:paraId="4D36D25E">
            <w:pPr>
              <w:spacing w:line="240" w:lineRule="auto"/>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7200</w:t>
            </w:r>
          </w:p>
        </w:tc>
      </w:tr>
      <w:tr w14:paraId="15F5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89" w:type="dxa"/>
            <w:vMerge w:val="continue"/>
            <w:noWrap w:val="0"/>
            <w:vAlign w:val="center"/>
          </w:tcPr>
          <w:p w14:paraId="27DA4527">
            <w:pPr>
              <w:spacing w:line="240" w:lineRule="auto"/>
              <w:jc w:val="center"/>
              <w:rPr>
                <w:rFonts w:hint="eastAsia" w:ascii="Times New Roman" w:hAnsi="Times New Roman" w:eastAsia="宋体" w:cs="Times New Roman"/>
                <w:color w:val="auto"/>
                <w:sz w:val="22"/>
                <w:szCs w:val="22"/>
                <w:lang w:val="en-US" w:eastAsia="zh-CN"/>
              </w:rPr>
            </w:pPr>
          </w:p>
        </w:tc>
        <w:tc>
          <w:tcPr>
            <w:tcW w:w="1320" w:type="dxa"/>
            <w:noWrap w:val="0"/>
            <w:vAlign w:val="center"/>
          </w:tcPr>
          <w:p w14:paraId="618F692C">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888" w:type="dxa"/>
            <w:noWrap w:val="0"/>
            <w:vAlign w:val="center"/>
          </w:tcPr>
          <w:p w14:paraId="704A9D5B">
            <w:pPr>
              <w:spacing w:line="240" w:lineRule="auto"/>
              <w:jc w:val="cente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25" w:type="dxa"/>
            <w:noWrap w:val="0"/>
            <w:vAlign w:val="center"/>
          </w:tcPr>
          <w:p w14:paraId="167DA0B5">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非甲烷总烃</w:t>
            </w:r>
          </w:p>
        </w:tc>
        <w:tc>
          <w:tcPr>
            <w:tcW w:w="1178" w:type="dxa"/>
            <w:noWrap/>
            <w:vAlign w:val="center"/>
          </w:tcPr>
          <w:p w14:paraId="7F84D65D">
            <w:pPr>
              <w:spacing w:line="240" w:lineRule="auto"/>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965" w:type="dxa"/>
            <w:noWrap w:val="0"/>
            <w:vAlign w:val="center"/>
          </w:tcPr>
          <w:p w14:paraId="6D7EB1CA">
            <w:pPr>
              <w:spacing w:line="240" w:lineRule="auto"/>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878" w:type="dxa"/>
            <w:noWrap w:val="0"/>
            <w:vAlign w:val="center"/>
          </w:tcPr>
          <w:p w14:paraId="35EB90FB">
            <w:pPr>
              <w:spacing w:line="240" w:lineRule="auto"/>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0.005</w:t>
            </w:r>
          </w:p>
        </w:tc>
        <w:tc>
          <w:tcPr>
            <w:tcW w:w="1820" w:type="dxa"/>
            <w:noWrap w:val="0"/>
            <w:vAlign w:val="center"/>
          </w:tcPr>
          <w:p w14:paraId="2711B163">
            <w:pPr>
              <w:spacing w:line="240" w:lineRule="auto"/>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828" w:type="dxa"/>
            <w:noWrap w:val="0"/>
            <w:vAlign w:val="center"/>
          </w:tcPr>
          <w:p w14:paraId="4F333D62">
            <w:pPr>
              <w:spacing w:line="240" w:lineRule="auto"/>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784" w:type="dxa"/>
            <w:noWrap w:val="0"/>
            <w:vAlign w:val="center"/>
          </w:tcPr>
          <w:p w14:paraId="4014457A">
            <w:pPr>
              <w:spacing w:line="240" w:lineRule="auto"/>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1159" w:type="dxa"/>
            <w:noWrap w:val="0"/>
            <w:vAlign w:val="center"/>
          </w:tcPr>
          <w:p w14:paraId="7588D046">
            <w:pPr>
              <w:spacing w:line="240" w:lineRule="auto"/>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975" w:type="dxa"/>
            <w:noWrap w:val="0"/>
            <w:vAlign w:val="center"/>
          </w:tcPr>
          <w:p w14:paraId="3306A9D0">
            <w:pPr>
              <w:spacing w:line="240" w:lineRule="auto"/>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831" w:type="dxa"/>
            <w:noWrap w:val="0"/>
            <w:vAlign w:val="center"/>
          </w:tcPr>
          <w:p w14:paraId="4F53346B">
            <w:pPr>
              <w:spacing w:line="240" w:lineRule="auto"/>
              <w:jc w:val="center"/>
              <w:rPr>
                <w:rFonts w:hint="eastAsia"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0.005</w:t>
            </w:r>
          </w:p>
        </w:tc>
        <w:tc>
          <w:tcPr>
            <w:tcW w:w="926" w:type="dxa"/>
            <w:noWrap w:val="0"/>
            <w:vAlign w:val="center"/>
          </w:tcPr>
          <w:p w14:paraId="2830F493">
            <w:pPr>
              <w:spacing w:line="240" w:lineRule="auto"/>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3600</w:t>
            </w:r>
          </w:p>
        </w:tc>
      </w:tr>
    </w:tbl>
    <w:p w14:paraId="77EFA022">
      <w:pPr>
        <w:pStyle w:val="3"/>
        <w:rPr>
          <w:color w:val="auto"/>
        </w:rPr>
        <w:sectPr>
          <w:pgSz w:w="16840" w:h="11907" w:orient="landscape"/>
          <w:pgMar w:top="1531" w:right="1701" w:bottom="1531" w:left="1417" w:header="851" w:footer="851" w:gutter="0"/>
          <w:pgBorders>
            <w:top w:val="none" w:sz="0" w:space="0"/>
            <w:left w:val="none" w:sz="0" w:space="0"/>
            <w:bottom w:val="none" w:sz="0" w:space="0"/>
            <w:right w:val="none" w:sz="0" w:space="0"/>
          </w:pgBorders>
          <w:pgNumType w:fmt="decimal"/>
          <w:cols w:space="720" w:num="1"/>
          <w:docGrid w:linePitch="312" w:charSpace="0"/>
        </w:sectPr>
      </w:pPr>
    </w:p>
    <w:p w14:paraId="31D6CA10">
      <w:pPr>
        <w:rPr>
          <w:color w:val="auto"/>
        </w:rPr>
      </w:pPr>
    </w:p>
    <w:tbl>
      <w:tblPr>
        <w:tblStyle w:val="3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452"/>
      </w:tblGrid>
      <w:tr w14:paraId="09C03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2" w:hRule="atLeast"/>
          <w:jc w:val="center"/>
        </w:trPr>
        <w:tc>
          <w:tcPr>
            <w:tcW w:w="529" w:type="dxa"/>
            <w:tcMar>
              <w:left w:w="28" w:type="dxa"/>
              <w:right w:w="28" w:type="dxa"/>
            </w:tcMar>
            <w:vAlign w:val="center"/>
          </w:tcPr>
          <w:p w14:paraId="053AFF57">
            <w:pPr>
              <w:adjustRightInd w:val="0"/>
              <w:snapToGrid w:val="0"/>
              <w:jc w:val="center"/>
              <w:rPr>
                <w:rFonts w:hint="eastAsia" w:ascii="宋体" w:hAnsi="宋体" w:cs="宋体"/>
                <w:bCs/>
                <w:color w:val="auto"/>
                <w:sz w:val="26"/>
                <w:szCs w:val="21"/>
              </w:rPr>
            </w:pPr>
          </w:p>
        </w:tc>
        <w:tc>
          <w:tcPr>
            <w:tcW w:w="8452" w:type="dxa"/>
            <w:vAlign w:val="top"/>
          </w:tcPr>
          <w:p w14:paraId="0655CD53">
            <w:pPr>
              <w:pStyle w:val="82"/>
              <w:ind w:firstLine="520"/>
              <w:rPr>
                <w:color w:val="auto"/>
              </w:rPr>
            </w:pPr>
            <w:r>
              <w:rPr>
                <w:color w:val="auto"/>
              </w:rPr>
              <w:t>4.2.1.2生产设施开停炉（机）等非正常情况分析</w:t>
            </w:r>
          </w:p>
          <w:p w14:paraId="6C298F52">
            <w:pPr>
              <w:pStyle w:val="82"/>
              <w:ind w:firstLine="480"/>
              <w:rPr>
                <w:color w:val="auto"/>
                <w:sz w:val="26"/>
                <w:szCs w:val="26"/>
              </w:rPr>
            </w:pPr>
            <w:r>
              <w:rPr>
                <w:rFonts w:hint="eastAsia" w:ascii="Times New Roman" w:hAnsi="Times New Roman" w:eastAsia="宋体" w:cs="Times New Roman"/>
                <w:color w:val="auto"/>
                <w:szCs w:val="26"/>
              </w:rPr>
              <w:t>本项目废气处理设施运行过程中可能存在运行不稳定等原因导致废气处理设施失效，本项目</w:t>
            </w:r>
            <w:r>
              <w:rPr>
                <w:rFonts w:hint="eastAsia" w:ascii="Times New Roman" w:hAnsi="Times New Roman" w:eastAsia="宋体" w:cs="Times New Roman"/>
                <w:color w:val="auto"/>
                <w:szCs w:val="26"/>
                <w:lang w:val="en-US" w:eastAsia="zh-CN"/>
              </w:rPr>
              <w:t>不涉及有组织废气排放，因此不核算</w:t>
            </w:r>
            <w:r>
              <w:rPr>
                <w:rFonts w:hint="eastAsia" w:ascii="Times New Roman" w:hAnsi="Times New Roman" w:eastAsia="宋体" w:cs="Times New Roman"/>
                <w:color w:val="auto"/>
                <w:szCs w:val="26"/>
              </w:rPr>
              <w:t>非正常工况</w:t>
            </w:r>
            <w:r>
              <w:rPr>
                <w:rFonts w:hint="eastAsia" w:ascii="Times New Roman" w:hAnsi="Times New Roman" w:eastAsia="宋体" w:cs="Times New Roman"/>
                <w:color w:val="auto"/>
                <w:szCs w:val="26"/>
                <w:lang w:val="en-US" w:eastAsia="zh-CN"/>
              </w:rPr>
              <w:t>下废气</w:t>
            </w:r>
            <w:r>
              <w:rPr>
                <w:rFonts w:hint="eastAsia" w:ascii="Times New Roman" w:hAnsi="Times New Roman" w:eastAsia="宋体" w:cs="Times New Roman"/>
                <w:color w:val="auto"/>
                <w:szCs w:val="26"/>
              </w:rPr>
              <w:t>排放情况。</w:t>
            </w:r>
          </w:p>
          <w:p w14:paraId="7CE0FCFA">
            <w:pPr>
              <w:pStyle w:val="82"/>
              <w:ind w:firstLine="520"/>
              <w:rPr>
                <w:color w:val="auto"/>
              </w:rPr>
            </w:pPr>
            <w:r>
              <w:rPr>
                <w:color w:val="auto"/>
              </w:rPr>
              <w:t>4.2.1.3</w:t>
            </w:r>
            <w:r>
              <w:rPr>
                <w:rFonts w:hint="eastAsia"/>
                <w:color w:val="auto"/>
              </w:rPr>
              <w:t>废气处理措施可行性分析</w:t>
            </w:r>
          </w:p>
          <w:p w14:paraId="10DB937D">
            <w:pPr>
              <w:pStyle w:val="82"/>
              <w:ind w:firstLine="520"/>
              <w:rPr>
                <w:color w:val="auto"/>
              </w:rPr>
            </w:pPr>
            <w:r>
              <w:rPr>
                <w:rFonts w:hint="eastAsia"/>
                <w:color w:val="auto"/>
              </w:rPr>
              <w:t>（1）打标机废气处理措施可行性分析</w:t>
            </w:r>
          </w:p>
          <w:p w14:paraId="596737A8">
            <w:pPr>
              <w:pStyle w:val="82"/>
              <w:ind w:firstLine="520"/>
              <w:rPr>
                <w:rFonts w:ascii="Arial" w:hAnsi="Arial" w:eastAsia="Arial" w:cs="Arial"/>
                <w:color w:val="auto"/>
                <w:szCs w:val="26"/>
                <w:shd w:val="clear" w:color="auto" w:fill="FFFFFF"/>
              </w:rPr>
            </w:pPr>
            <w:r>
              <w:rPr>
                <w:rFonts w:hint="eastAsia"/>
                <w:color w:val="auto"/>
                <w:szCs w:val="26"/>
              </w:rPr>
              <w:t>考虑到打标工艺环节的颗粒物产生量较低，产生浓度较低，项目采取和打标设备配套的干式过滤</w:t>
            </w:r>
            <w:r>
              <w:rPr>
                <w:rFonts w:ascii="Arial" w:hAnsi="Arial" w:eastAsia="Arial" w:cs="Arial"/>
                <w:color w:val="auto"/>
                <w:szCs w:val="26"/>
                <w:shd w:val="clear" w:color="auto" w:fill="FFFFFF"/>
              </w:rPr>
              <w:t>器</w:t>
            </w:r>
            <w:r>
              <w:rPr>
                <w:rFonts w:hint="eastAsia"/>
                <w:color w:val="auto"/>
                <w:szCs w:val="26"/>
              </w:rPr>
              <w:t>处理颗粒物，其原理是</w:t>
            </w:r>
            <w:r>
              <w:rPr>
                <w:rFonts w:ascii="Arial" w:hAnsi="Arial" w:eastAsia="Arial" w:cs="Arial"/>
                <w:color w:val="auto"/>
                <w:szCs w:val="26"/>
                <w:shd w:val="clear" w:color="auto" w:fill="FFFFFF"/>
              </w:rPr>
              <w:t>颗粒物质在经过干式过滤器时</w:t>
            </w:r>
            <w:r>
              <w:rPr>
                <w:rFonts w:hint="eastAsia" w:ascii="Arial" w:hAnsi="Arial" w:cs="Arial"/>
                <w:color w:val="auto"/>
                <w:szCs w:val="26"/>
                <w:shd w:val="clear" w:color="auto" w:fill="FFFFFF"/>
              </w:rPr>
              <w:t>，</w:t>
            </w:r>
            <w:r>
              <w:rPr>
                <w:rFonts w:ascii="Arial" w:hAnsi="Arial" w:eastAsia="Arial" w:cs="Arial"/>
                <w:color w:val="auto"/>
                <w:szCs w:val="26"/>
                <w:shd w:val="clear" w:color="auto" w:fill="FFFFFF"/>
              </w:rPr>
              <w:t>会受到惯性和重力的作用</w:t>
            </w:r>
            <w:r>
              <w:rPr>
                <w:rFonts w:hint="eastAsia" w:ascii="Arial" w:hAnsi="Arial" w:cs="Arial"/>
                <w:color w:val="auto"/>
                <w:szCs w:val="26"/>
                <w:shd w:val="clear" w:color="auto" w:fill="FFFFFF"/>
              </w:rPr>
              <w:t>，</w:t>
            </w:r>
            <w:r>
              <w:rPr>
                <w:rFonts w:ascii="Arial" w:hAnsi="Arial" w:eastAsia="Arial" w:cs="Arial"/>
                <w:color w:val="auto"/>
                <w:szCs w:val="26"/>
                <w:shd w:val="clear" w:color="auto" w:fill="FFFFFF"/>
              </w:rPr>
              <w:t>从而被分离出来</w:t>
            </w:r>
            <w:r>
              <w:rPr>
                <w:rFonts w:hint="eastAsia" w:ascii="Arial" w:hAnsi="Arial" w:cs="Arial"/>
                <w:color w:val="auto"/>
                <w:szCs w:val="26"/>
                <w:shd w:val="clear" w:color="auto" w:fill="FFFFFF"/>
              </w:rPr>
              <w:t>；</w:t>
            </w:r>
            <w:r>
              <w:rPr>
                <w:rFonts w:ascii="Arial" w:hAnsi="Arial" w:eastAsia="Arial" w:cs="Arial"/>
                <w:color w:val="auto"/>
                <w:szCs w:val="26"/>
                <w:shd w:val="clear" w:color="auto" w:fill="FFFFFF"/>
              </w:rPr>
              <w:t>当空气通过过滤器时</w:t>
            </w:r>
            <w:r>
              <w:rPr>
                <w:rFonts w:hint="eastAsia" w:ascii="Arial" w:hAnsi="Arial" w:cs="Arial"/>
                <w:color w:val="auto"/>
                <w:szCs w:val="26"/>
                <w:shd w:val="clear" w:color="auto" w:fill="FFFFFF"/>
              </w:rPr>
              <w:t>，</w:t>
            </w:r>
            <w:r>
              <w:rPr>
                <w:rFonts w:ascii="Arial" w:hAnsi="Arial" w:eastAsia="Arial" w:cs="Arial"/>
                <w:color w:val="auto"/>
                <w:szCs w:val="26"/>
                <w:shd w:val="clear" w:color="auto" w:fill="FFFFFF"/>
              </w:rPr>
              <w:t>由于过滤器内部的构造和设计</w:t>
            </w:r>
            <w:r>
              <w:rPr>
                <w:rFonts w:hint="eastAsia" w:ascii="Arial" w:hAnsi="Arial" w:cs="Arial"/>
                <w:color w:val="auto"/>
                <w:szCs w:val="26"/>
                <w:shd w:val="clear" w:color="auto" w:fill="FFFFFF"/>
              </w:rPr>
              <w:t>，</w:t>
            </w:r>
            <w:r>
              <w:rPr>
                <w:rFonts w:ascii="Arial" w:hAnsi="Arial" w:eastAsia="Arial" w:cs="Arial"/>
                <w:color w:val="auto"/>
                <w:szCs w:val="26"/>
                <w:shd w:val="clear" w:color="auto" w:fill="FFFFFF"/>
              </w:rPr>
              <w:t>会使空气流动的方向发生改变</w:t>
            </w:r>
            <w:r>
              <w:rPr>
                <w:rFonts w:hint="eastAsia" w:ascii="Arial" w:hAnsi="Arial" w:cs="Arial"/>
                <w:color w:val="auto"/>
                <w:szCs w:val="26"/>
                <w:shd w:val="clear" w:color="auto" w:fill="FFFFFF"/>
              </w:rPr>
              <w:t>，</w:t>
            </w:r>
            <w:r>
              <w:rPr>
                <w:rFonts w:ascii="Arial" w:hAnsi="Arial" w:eastAsia="Arial" w:cs="Arial"/>
                <w:color w:val="auto"/>
                <w:szCs w:val="26"/>
                <w:shd w:val="clear" w:color="auto" w:fill="FFFFFF"/>
              </w:rPr>
              <w:t>从而导致颗粒物质的惯性作用</w:t>
            </w:r>
            <w:r>
              <w:rPr>
                <w:rFonts w:hint="eastAsia" w:ascii="Arial" w:hAnsi="Arial" w:cs="Arial"/>
                <w:color w:val="auto"/>
                <w:szCs w:val="26"/>
                <w:shd w:val="clear" w:color="auto" w:fill="FFFFFF"/>
              </w:rPr>
              <w:t>，</w:t>
            </w:r>
            <w:r>
              <w:rPr>
                <w:rFonts w:ascii="Arial" w:hAnsi="Arial" w:eastAsia="Arial" w:cs="Arial"/>
                <w:color w:val="auto"/>
                <w:szCs w:val="26"/>
                <w:shd w:val="clear" w:color="auto" w:fill="FFFFFF"/>
              </w:rPr>
              <w:t>颗粒物质会沿着空气流动方向的惯性方向运动</w:t>
            </w:r>
            <w:r>
              <w:rPr>
                <w:rFonts w:hint="eastAsia" w:ascii="Arial" w:hAnsi="Arial" w:cs="Arial"/>
                <w:color w:val="auto"/>
                <w:szCs w:val="26"/>
                <w:shd w:val="clear" w:color="auto" w:fill="FFFFFF"/>
              </w:rPr>
              <w:t>，</w:t>
            </w:r>
            <w:r>
              <w:rPr>
                <w:rFonts w:ascii="Arial" w:hAnsi="Arial" w:eastAsia="Arial" w:cs="Arial"/>
                <w:color w:val="auto"/>
                <w:szCs w:val="26"/>
                <w:shd w:val="clear" w:color="auto" w:fill="FFFFFF"/>
              </w:rPr>
              <w:t>并与过滤器内壁碰撞</w:t>
            </w:r>
            <w:r>
              <w:rPr>
                <w:rFonts w:hint="eastAsia" w:ascii="Arial" w:hAnsi="Arial" w:cs="Arial"/>
                <w:color w:val="auto"/>
                <w:szCs w:val="26"/>
                <w:shd w:val="clear" w:color="auto" w:fill="FFFFFF"/>
              </w:rPr>
              <w:t>，</w:t>
            </w:r>
            <w:r>
              <w:rPr>
                <w:rFonts w:ascii="Arial" w:hAnsi="Arial" w:eastAsia="Arial" w:cs="Arial"/>
                <w:color w:val="auto"/>
                <w:szCs w:val="26"/>
                <w:shd w:val="clear" w:color="auto" w:fill="FFFFFF"/>
              </w:rPr>
              <w:t>最终被分离出来</w:t>
            </w:r>
            <w:r>
              <w:rPr>
                <w:rFonts w:hint="eastAsia" w:ascii="Arial" w:hAnsi="Arial" w:cs="Arial"/>
                <w:color w:val="auto"/>
                <w:szCs w:val="26"/>
                <w:shd w:val="clear" w:color="auto" w:fill="FFFFFF"/>
              </w:rPr>
              <w:t>，</w:t>
            </w:r>
            <w:r>
              <w:rPr>
                <w:rFonts w:hint="eastAsia"/>
                <w:color w:val="auto"/>
                <w:szCs w:val="26"/>
              </w:rPr>
              <w:t>从而达到去除颗粒物的目的</w:t>
            </w:r>
            <w:r>
              <w:rPr>
                <w:rFonts w:ascii="Arial" w:hAnsi="Arial" w:eastAsia="Arial" w:cs="Arial"/>
                <w:color w:val="auto"/>
                <w:szCs w:val="26"/>
                <w:shd w:val="clear" w:color="auto" w:fill="FFFFFF"/>
              </w:rPr>
              <w:t>。</w:t>
            </w:r>
          </w:p>
          <w:p w14:paraId="1CBDAC17">
            <w:pPr>
              <w:pStyle w:val="82"/>
              <w:ind w:firstLine="520"/>
              <w:rPr>
                <w:rFonts w:hint="eastAsia"/>
                <w:color w:val="auto"/>
              </w:rPr>
            </w:pPr>
            <w:r>
              <w:rPr>
                <w:rFonts w:hint="eastAsia"/>
                <w:color w:val="auto"/>
              </w:rPr>
              <w:t>由于《排污许可证申请与核发技术规范汽车制造业》（HJ971-2018）中无激光打标废气相关处理技术，因此评价参考同类项目情况，结合设备厂商提供数据，干式过滤器效率考虑95~99%，本项目取95%的处理效率合理，废气治理技术可行。</w:t>
            </w:r>
          </w:p>
          <w:p w14:paraId="263B3A30">
            <w:pPr>
              <w:pStyle w:val="82"/>
              <w:ind w:firstLine="520"/>
              <w:rPr>
                <w:color w:val="auto"/>
              </w:rPr>
            </w:pPr>
            <w:r>
              <w:rPr>
                <w:rFonts w:hint="eastAsia"/>
                <w:color w:val="auto"/>
              </w:rPr>
              <w:t>（</w:t>
            </w:r>
            <w:r>
              <w:rPr>
                <w:rFonts w:hint="eastAsia"/>
                <w:color w:val="auto"/>
                <w:lang w:val="en-US" w:eastAsia="zh-CN"/>
              </w:rPr>
              <w:t>2</w:t>
            </w:r>
            <w:r>
              <w:rPr>
                <w:rFonts w:hint="eastAsia"/>
                <w:color w:val="auto"/>
              </w:rPr>
              <w:t>）螺纹胶挥发废气处理措施可行性分析</w:t>
            </w:r>
          </w:p>
          <w:p w14:paraId="1F5F0922">
            <w:pPr>
              <w:pStyle w:val="82"/>
              <w:ind w:firstLine="520"/>
              <w:rPr>
                <w:rFonts w:hint="eastAsia" w:eastAsia="宋体"/>
                <w:color w:val="auto"/>
                <w:szCs w:val="26"/>
                <w:lang w:val="en-US" w:eastAsia="zh-CN"/>
              </w:rPr>
            </w:pPr>
            <w:r>
              <w:rPr>
                <w:rFonts w:hint="eastAsia"/>
                <w:color w:val="auto"/>
                <w:szCs w:val="26"/>
              </w:rPr>
              <w:t>阀门组装</w:t>
            </w:r>
            <w:r>
              <w:rPr>
                <w:color w:val="auto"/>
                <w:szCs w:val="26"/>
              </w:rPr>
              <w:t>环节</w:t>
            </w:r>
            <w:r>
              <w:rPr>
                <w:rFonts w:hint="eastAsia"/>
                <w:color w:val="auto"/>
                <w:szCs w:val="26"/>
              </w:rPr>
              <w:t>螺纹胶挥发</w:t>
            </w:r>
            <w:r>
              <w:rPr>
                <w:color w:val="auto"/>
                <w:szCs w:val="26"/>
              </w:rPr>
              <w:t>非甲烷总烃产生量较低</w:t>
            </w:r>
            <w:r>
              <w:rPr>
                <w:rFonts w:hint="eastAsia"/>
                <w:color w:val="auto"/>
                <w:szCs w:val="26"/>
              </w:rPr>
              <w:t>，约0.005t/a</w:t>
            </w:r>
            <w:r>
              <w:rPr>
                <w:color w:val="auto"/>
                <w:szCs w:val="26"/>
              </w:rPr>
              <w:t>，产生速率</w:t>
            </w:r>
            <w:r>
              <w:rPr>
                <w:rFonts w:hint="eastAsia"/>
                <w:color w:val="auto"/>
                <w:szCs w:val="26"/>
              </w:rPr>
              <w:t>约0.001</w:t>
            </w:r>
            <w:r>
              <w:rPr>
                <w:color w:val="auto"/>
                <w:szCs w:val="26"/>
              </w:rPr>
              <w:t>kg/h，采取无组织形式排放的非甲烷总烃满足重庆市《大气污染物综合排放标准》（DB50/418-2016）中表1主城区标准</w:t>
            </w:r>
            <w:r>
              <w:rPr>
                <w:rFonts w:hint="eastAsia"/>
                <w:color w:val="auto"/>
              </w:rPr>
              <w:t>，治理措施可行</w:t>
            </w:r>
            <w:r>
              <w:rPr>
                <w:rFonts w:hint="eastAsia"/>
                <w:color w:val="auto"/>
                <w:lang w:eastAsia="zh-CN"/>
              </w:rPr>
              <w:t>。</w:t>
            </w:r>
          </w:p>
          <w:p w14:paraId="597689D6">
            <w:pPr>
              <w:pStyle w:val="82"/>
              <w:ind w:firstLine="520"/>
              <w:rPr>
                <w:color w:val="auto"/>
              </w:rPr>
            </w:pPr>
            <w:r>
              <w:rPr>
                <w:color w:val="auto"/>
              </w:rPr>
              <w:t>4.2.1.4大气环境影响分析</w:t>
            </w:r>
          </w:p>
          <w:p w14:paraId="5005ED24">
            <w:pPr>
              <w:pStyle w:val="82"/>
              <w:ind w:firstLine="520"/>
              <w:rPr>
                <w:color w:val="auto"/>
                <w:szCs w:val="26"/>
              </w:rPr>
            </w:pPr>
            <w:r>
              <w:rPr>
                <w:rFonts w:hint="eastAsia"/>
                <w:color w:val="auto"/>
                <w:szCs w:val="26"/>
              </w:rPr>
              <w:t>本项目所在区域为环境空气达标区，本项目厂界外500米范围内无自然保护区、风景名胜区，有散居农户等环境保护目标。本项目激光打标产生的颗粒物经干式过滤</w:t>
            </w:r>
            <w:r>
              <w:rPr>
                <w:rFonts w:ascii="Arial" w:hAnsi="Arial" w:eastAsia="Arial" w:cs="Arial"/>
                <w:color w:val="auto"/>
                <w:szCs w:val="26"/>
                <w:shd w:val="clear" w:color="auto" w:fill="FFFFFF"/>
              </w:rPr>
              <w:t>器</w:t>
            </w:r>
            <w:r>
              <w:rPr>
                <w:rFonts w:hint="eastAsia" w:ascii="Arial" w:hAnsi="Arial" w:cs="Arial"/>
                <w:color w:val="auto"/>
                <w:szCs w:val="26"/>
                <w:shd w:val="clear" w:color="auto" w:fill="FFFFFF"/>
              </w:rPr>
              <w:t>处理后</w:t>
            </w:r>
            <w:r>
              <w:rPr>
                <w:rFonts w:hint="eastAsia"/>
                <w:color w:val="auto"/>
                <w:szCs w:val="26"/>
              </w:rPr>
              <w:t>无组织排放，满足</w:t>
            </w:r>
            <w:r>
              <w:rPr>
                <w:rFonts w:hint="eastAsia" w:cs="Calibri"/>
                <w:color w:val="auto"/>
                <w:szCs w:val="26"/>
              </w:rPr>
              <w:t>《</w:t>
            </w:r>
            <w:r>
              <w:rPr>
                <w:rFonts w:hint="eastAsia"/>
                <w:color w:val="auto"/>
                <w:szCs w:val="26"/>
              </w:rPr>
              <w:t>大气污染物综合排放标准</w:t>
            </w:r>
            <w:r>
              <w:rPr>
                <w:rFonts w:hint="eastAsia" w:cs="Calibri"/>
                <w:color w:val="auto"/>
                <w:szCs w:val="26"/>
              </w:rPr>
              <w:t>》</w:t>
            </w:r>
            <w:r>
              <w:rPr>
                <w:rFonts w:hint="eastAsia"/>
                <w:color w:val="auto"/>
                <w:szCs w:val="26"/>
              </w:rPr>
              <w:t>（DB50418-2016）标准限值要求。综上，本项目排放废气，经有效处理后对周边大气环境影响较小。</w:t>
            </w:r>
          </w:p>
          <w:p w14:paraId="3AB3DB0C">
            <w:pPr>
              <w:pStyle w:val="82"/>
              <w:ind w:firstLine="520"/>
              <w:rPr>
                <w:color w:val="auto"/>
              </w:rPr>
            </w:pPr>
            <w:r>
              <w:rPr>
                <w:rFonts w:hint="eastAsia"/>
                <w:color w:val="auto"/>
              </w:rPr>
              <w:t>4</w:t>
            </w:r>
            <w:r>
              <w:rPr>
                <w:color w:val="auto"/>
              </w:rPr>
              <w:t>.2.1.</w:t>
            </w:r>
            <w:r>
              <w:rPr>
                <w:rFonts w:hint="eastAsia"/>
                <w:color w:val="auto"/>
              </w:rPr>
              <w:t>5环境</w:t>
            </w:r>
            <w:r>
              <w:rPr>
                <w:color w:val="auto"/>
              </w:rPr>
              <w:t>监测</w:t>
            </w:r>
            <w:r>
              <w:rPr>
                <w:rFonts w:hint="eastAsia"/>
                <w:color w:val="auto"/>
              </w:rPr>
              <w:t>计划</w:t>
            </w:r>
          </w:p>
          <w:p w14:paraId="54CCF782">
            <w:pPr>
              <w:pStyle w:val="82"/>
              <w:ind w:firstLine="520"/>
              <w:rPr>
                <w:color w:val="auto"/>
              </w:rPr>
            </w:pPr>
            <w:r>
              <w:rPr>
                <w:rFonts w:hint="eastAsia"/>
                <w:color w:val="auto"/>
              </w:rPr>
              <w:t>项目</w:t>
            </w:r>
            <w:r>
              <w:rPr>
                <w:color w:val="auto"/>
              </w:rPr>
              <w:t>根据</w:t>
            </w:r>
            <w:r>
              <w:rPr>
                <w:rFonts w:hint="eastAsia"/>
                <w:color w:val="auto"/>
              </w:rPr>
              <w:t>《排污单位自行监测技术指南总则》（</w:t>
            </w:r>
            <w:r>
              <w:rPr>
                <w:color w:val="auto"/>
              </w:rPr>
              <w:t>HJ819-2017</w:t>
            </w:r>
            <w:r>
              <w:rPr>
                <w:rFonts w:hint="eastAsia"/>
                <w:color w:val="auto"/>
              </w:rPr>
              <w:t>）、《排污许可证申请与核发技术规范汽车制造业》（HJ971-2018）要求制定废气自行监测计划。</w:t>
            </w:r>
          </w:p>
          <w:p w14:paraId="779EF043">
            <w:pPr>
              <w:pStyle w:val="82"/>
              <w:ind w:firstLine="520" w:firstLineChars="0"/>
              <w:jc w:val="left"/>
              <w:rPr>
                <w:color w:val="auto"/>
              </w:rPr>
            </w:pPr>
            <w:r>
              <w:rPr>
                <w:rFonts w:hint="eastAsia"/>
                <w:color w:val="auto"/>
              </w:rPr>
              <w:t>项目建成后，将按照《固定污染源排污许可分类管理名录（2019年版）》中的登记管理，自行监测计划详见下表。</w:t>
            </w:r>
          </w:p>
          <w:p w14:paraId="0265C3B6">
            <w:pPr>
              <w:pStyle w:val="82"/>
              <w:ind w:firstLine="0" w:firstLineChars="0"/>
              <w:jc w:val="center"/>
              <w:rPr>
                <w:rFonts w:hint="eastAsia"/>
                <w:color w:val="auto"/>
              </w:rPr>
            </w:pPr>
            <w:r>
              <w:rPr>
                <w:rFonts w:hint="eastAsia"/>
                <w:color w:val="auto"/>
              </w:rPr>
              <w:t>表4.2-</w:t>
            </w:r>
            <w:r>
              <w:rPr>
                <w:rFonts w:hint="eastAsia"/>
                <w:color w:val="auto"/>
                <w:lang w:val="en-US" w:eastAsia="zh-CN"/>
              </w:rPr>
              <w:t xml:space="preserve">6  </w:t>
            </w:r>
            <w:r>
              <w:rPr>
                <w:rFonts w:hint="eastAsia"/>
                <w:color w:val="auto"/>
              </w:rPr>
              <w:t>废气污染物自行监测计划一览表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025"/>
              <w:gridCol w:w="968"/>
              <w:gridCol w:w="1857"/>
              <w:gridCol w:w="1290"/>
              <w:gridCol w:w="1568"/>
              <w:gridCol w:w="554"/>
            </w:tblGrid>
            <w:tr w14:paraId="4018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4" w:type="dxa"/>
                  <w:vMerge w:val="restart"/>
                  <w:tcBorders>
                    <w:top w:val="single" w:color="auto" w:sz="4" w:space="0"/>
                    <w:left w:val="single" w:color="auto" w:sz="4" w:space="0"/>
                    <w:bottom w:val="single" w:color="auto" w:sz="4" w:space="0"/>
                    <w:right w:val="single" w:color="auto" w:sz="4" w:space="0"/>
                  </w:tcBorders>
                  <w:vAlign w:val="center"/>
                </w:tcPr>
                <w:p w14:paraId="0DE7D047">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产排污环节</w:t>
                  </w:r>
                </w:p>
              </w:tc>
              <w:tc>
                <w:tcPr>
                  <w:tcW w:w="1025" w:type="dxa"/>
                  <w:vMerge w:val="restart"/>
                  <w:tcBorders>
                    <w:top w:val="single" w:color="auto" w:sz="4" w:space="0"/>
                    <w:left w:val="nil"/>
                    <w:bottom w:val="single" w:color="auto" w:sz="4" w:space="0"/>
                    <w:right w:val="single" w:color="auto" w:sz="4" w:space="0"/>
                  </w:tcBorders>
                  <w:vAlign w:val="center"/>
                </w:tcPr>
                <w:p w14:paraId="00C38231">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排放口编号</w:t>
                  </w:r>
                </w:p>
              </w:tc>
              <w:tc>
                <w:tcPr>
                  <w:tcW w:w="968" w:type="dxa"/>
                  <w:vMerge w:val="restart"/>
                  <w:tcBorders>
                    <w:top w:val="single" w:color="auto" w:sz="4" w:space="0"/>
                    <w:left w:val="nil"/>
                    <w:bottom w:val="single" w:color="auto" w:sz="4" w:space="0"/>
                    <w:right w:val="single" w:color="auto" w:sz="4" w:space="0"/>
                  </w:tcBorders>
                  <w:vAlign w:val="center"/>
                </w:tcPr>
                <w:p w14:paraId="4386D2C0">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排放口名称</w:t>
                  </w:r>
                </w:p>
              </w:tc>
              <w:tc>
                <w:tcPr>
                  <w:tcW w:w="1857" w:type="dxa"/>
                  <w:vMerge w:val="restart"/>
                  <w:tcBorders>
                    <w:top w:val="single" w:color="auto" w:sz="4" w:space="0"/>
                    <w:left w:val="nil"/>
                    <w:bottom w:val="single" w:color="auto" w:sz="4" w:space="0"/>
                    <w:right w:val="single" w:color="auto" w:sz="4" w:space="0"/>
                  </w:tcBorders>
                  <w:vAlign w:val="center"/>
                </w:tcPr>
                <w:p w14:paraId="079A998C">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监测内容</w:t>
                  </w:r>
                </w:p>
              </w:tc>
              <w:tc>
                <w:tcPr>
                  <w:tcW w:w="1290" w:type="dxa"/>
                  <w:vMerge w:val="restart"/>
                  <w:tcBorders>
                    <w:top w:val="single" w:color="auto" w:sz="4" w:space="0"/>
                    <w:left w:val="nil"/>
                    <w:bottom w:val="single" w:color="auto" w:sz="4" w:space="0"/>
                    <w:right w:val="single" w:color="auto" w:sz="4" w:space="0"/>
                  </w:tcBorders>
                  <w:vAlign w:val="center"/>
                </w:tcPr>
                <w:p w14:paraId="36E30906">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监测因子</w:t>
                  </w:r>
                </w:p>
              </w:tc>
              <w:tc>
                <w:tcPr>
                  <w:tcW w:w="1568" w:type="dxa"/>
                  <w:vMerge w:val="restart"/>
                  <w:tcBorders>
                    <w:top w:val="single" w:color="auto" w:sz="4" w:space="0"/>
                    <w:left w:val="nil"/>
                    <w:bottom w:val="single" w:color="auto" w:sz="4" w:space="0"/>
                    <w:right w:val="single" w:color="auto" w:sz="4" w:space="0"/>
                  </w:tcBorders>
                  <w:vAlign w:val="center"/>
                </w:tcPr>
                <w:p w14:paraId="2EF8F9D5">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监测方法</w:t>
                  </w:r>
                </w:p>
              </w:tc>
              <w:tc>
                <w:tcPr>
                  <w:tcW w:w="554" w:type="dxa"/>
                  <w:vMerge w:val="restart"/>
                  <w:tcBorders>
                    <w:top w:val="single" w:color="auto" w:sz="4" w:space="0"/>
                    <w:left w:val="nil"/>
                    <w:bottom w:val="single" w:color="auto" w:sz="4" w:space="0"/>
                    <w:right w:val="single" w:color="auto" w:sz="4" w:space="0"/>
                  </w:tcBorders>
                  <w:vAlign w:val="center"/>
                </w:tcPr>
                <w:p w14:paraId="6292086D">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监测频次</w:t>
                  </w:r>
                </w:p>
              </w:tc>
            </w:tr>
            <w:tr w14:paraId="5945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4" w:type="dxa"/>
                  <w:vMerge w:val="continue"/>
                  <w:tcBorders>
                    <w:top w:val="single" w:color="auto" w:sz="4" w:space="0"/>
                    <w:left w:val="single" w:color="auto" w:sz="4" w:space="0"/>
                    <w:bottom w:val="single" w:color="auto" w:sz="4" w:space="0"/>
                    <w:right w:val="single" w:color="auto" w:sz="4" w:space="0"/>
                  </w:tcBorders>
                  <w:vAlign w:val="center"/>
                </w:tcPr>
                <w:p w14:paraId="505D82F8">
                  <w:pPr>
                    <w:pStyle w:val="12"/>
                    <w:spacing w:beforeLines="0"/>
                    <w:rPr>
                      <w:rFonts w:hint="eastAsia" w:ascii="Times New Roman" w:hAnsi="Times New Roman" w:eastAsia="宋体" w:cs="Times New Roman"/>
                      <w:color w:val="auto"/>
                      <w:sz w:val="22"/>
                      <w:szCs w:val="22"/>
                    </w:rPr>
                  </w:pPr>
                </w:p>
              </w:tc>
              <w:tc>
                <w:tcPr>
                  <w:tcW w:w="1025" w:type="dxa"/>
                  <w:vMerge w:val="continue"/>
                  <w:tcBorders>
                    <w:top w:val="single" w:color="auto" w:sz="4" w:space="0"/>
                    <w:left w:val="nil"/>
                    <w:bottom w:val="single" w:color="auto" w:sz="4" w:space="0"/>
                    <w:right w:val="single" w:color="auto" w:sz="4" w:space="0"/>
                  </w:tcBorders>
                  <w:vAlign w:val="center"/>
                </w:tcPr>
                <w:p w14:paraId="50F1B41F">
                  <w:pPr>
                    <w:pStyle w:val="12"/>
                    <w:spacing w:beforeLines="0"/>
                    <w:rPr>
                      <w:rFonts w:hint="eastAsia" w:ascii="Times New Roman" w:hAnsi="Times New Roman" w:eastAsia="宋体" w:cs="Times New Roman"/>
                      <w:color w:val="auto"/>
                      <w:sz w:val="22"/>
                      <w:szCs w:val="22"/>
                    </w:rPr>
                  </w:pPr>
                </w:p>
              </w:tc>
              <w:tc>
                <w:tcPr>
                  <w:tcW w:w="968" w:type="dxa"/>
                  <w:vMerge w:val="continue"/>
                  <w:tcBorders>
                    <w:top w:val="single" w:color="auto" w:sz="4" w:space="0"/>
                    <w:left w:val="nil"/>
                    <w:bottom w:val="single" w:color="auto" w:sz="4" w:space="0"/>
                    <w:right w:val="single" w:color="auto" w:sz="4" w:space="0"/>
                  </w:tcBorders>
                  <w:vAlign w:val="center"/>
                </w:tcPr>
                <w:p w14:paraId="213FCB90">
                  <w:pPr>
                    <w:pStyle w:val="12"/>
                    <w:spacing w:beforeLines="0"/>
                    <w:rPr>
                      <w:rFonts w:hint="eastAsia" w:ascii="Times New Roman" w:hAnsi="Times New Roman" w:eastAsia="宋体" w:cs="Times New Roman"/>
                      <w:color w:val="auto"/>
                      <w:sz w:val="22"/>
                      <w:szCs w:val="22"/>
                    </w:rPr>
                  </w:pPr>
                </w:p>
              </w:tc>
              <w:tc>
                <w:tcPr>
                  <w:tcW w:w="1857" w:type="dxa"/>
                  <w:vMerge w:val="continue"/>
                  <w:tcBorders>
                    <w:top w:val="single" w:color="auto" w:sz="4" w:space="0"/>
                    <w:left w:val="nil"/>
                    <w:bottom w:val="single" w:color="auto" w:sz="4" w:space="0"/>
                    <w:right w:val="single" w:color="auto" w:sz="4" w:space="0"/>
                  </w:tcBorders>
                  <w:vAlign w:val="center"/>
                </w:tcPr>
                <w:p w14:paraId="5A89739A">
                  <w:pPr>
                    <w:pStyle w:val="12"/>
                    <w:spacing w:beforeLines="0"/>
                    <w:rPr>
                      <w:rFonts w:hint="eastAsia" w:ascii="Times New Roman" w:hAnsi="Times New Roman" w:eastAsia="宋体" w:cs="Times New Roman"/>
                      <w:color w:val="auto"/>
                      <w:sz w:val="22"/>
                      <w:szCs w:val="22"/>
                    </w:rPr>
                  </w:pPr>
                </w:p>
              </w:tc>
              <w:tc>
                <w:tcPr>
                  <w:tcW w:w="1290" w:type="dxa"/>
                  <w:vMerge w:val="continue"/>
                  <w:tcBorders>
                    <w:top w:val="single" w:color="auto" w:sz="4" w:space="0"/>
                    <w:left w:val="nil"/>
                    <w:bottom w:val="single" w:color="auto" w:sz="4" w:space="0"/>
                    <w:right w:val="single" w:color="auto" w:sz="4" w:space="0"/>
                  </w:tcBorders>
                  <w:vAlign w:val="center"/>
                </w:tcPr>
                <w:p w14:paraId="23D4C695">
                  <w:pPr>
                    <w:pStyle w:val="12"/>
                    <w:spacing w:beforeLines="0"/>
                    <w:rPr>
                      <w:rFonts w:hint="eastAsia" w:ascii="Times New Roman" w:hAnsi="Times New Roman" w:eastAsia="宋体" w:cs="Times New Roman"/>
                      <w:color w:val="auto"/>
                      <w:sz w:val="22"/>
                      <w:szCs w:val="22"/>
                    </w:rPr>
                  </w:pPr>
                </w:p>
              </w:tc>
              <w:tc>
                <w:tcPr>
                  <w:tcW w:w="1568" w:type="dxa"/>
                  <w:vMerge w:val="continue"/>
                  <w:tcBorders>
                    <w:top w:val="single" w:color="auto" w:sz="4" w:space="0"/>
                    <w:left w:val="nil"/>
                    <w:bottom w:val="single" w:color="auto" w:sz="4" w:space="0"/>
                    <w:right w:val="single" w:color="auto" w:sz="4" w:space="0"/>
                  </w:tcBorders>
                  <w:vAlign w:val="center"/>
                </w:tcPr>
                <w:p w14:paraId="38A72174">
                  <w:pPr>
                    <w:pStyle w:val="12"/>
                    <w:spacing w:beforeLines="0"/>
                    <w:rPr>
                      <w:rFonts w:hint="eastAsia" w:ascii="Times New Roman" w:hAnsi="Times New Roman" w:eastAsia="宋体" w:cs="Times New Roman"/>
                      <w:color w:val="auto"/>
                      <w:sz w:val="22"/>
                      <w:szCs w:val="22"/>
                    </w:rPr>
                  </w:pPr>
                </w:p>
              </w:tc>
              <w:tc>
                <w:tcPr>
                  <w:tcW w:w="554" w:type="dxa"/>
                  <w:vMerge w:val="continue"/>
                  <w:tcBorders>
                    <w:top w:val="single" w:color="auto" w:sz="4" w:space="0"/>
                    <w:left w:val="nil"/>
                    <w:bottom w:val="single" w:color="auto" w:sz="4" w:space="0"/>
                    <w:right w:val="single" w:color="auto" w:sz="4" w:space="0"/>
                  </w:tcBorders>
                  <w:vAlign w:val="center"/>
                </w:tcPr>
                <w:p w14:paraId="7E79E660">
                  <w:pPr>
                    <w:pStyle w:val="12"/>
                    <w:spacing w:beforeLines="0"/>
                    <w:rPr>
                      <w:rFonts w:hint="eastAsia" w:ascii="Times New Roman" w:hAnsi="Times New Roman" w:eastAsia="宋体" w:cs="Times New Roman"/>
                      <w:color w:val="auto"/>
                      <w:sz w:val="22"/>
                      <w:szCs w:val="22"/>
                    </w:rPr>
                  </w:pPr>
                </w:p>
              </w:tc>
            </w:tr>
            <w:tr w14:paraId="4119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tcBorders>
                    <w:top w:val="single" w:color="auto" w:sz="4" w:space="0"/>
                    <w:left w:val="single" w:color="auto" w:sz="4" w:space="0"/>
                    <w:bottom w:val="single" w:color="auto" w:sz="4" w:space="0"/>
                    <w:right w:val="single" w:color="auto" w:sz="4" w:space="0"/>
                  </w:tcBorders>
                  <w:noWrap/>
                  <w:vAlign w:val="center"/>
                </w:tcPr>
                <w:p w14:paraId="6C78C4E7">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全厂</w:t>
                  </w:r>
                </w:p>
              </w:tc>
              <w:tc>
                <w:tcPr>
                  <w:tcW w:w="1025" w:type="dxa"/>
                  <w:tcBorders>
                    <w:top w:val="single" w:color="auto" w:sz="4" w:space="0"/>
                    <w:left w:val="nil"/>
                    <w:bottom w:val="single" w:color="auto" w:sz="4" w:space="0"/>
                    <w:right w:val="single" w:color="auto" w:sz="4" w:space="0"/>
                  </w:tcBorders>
                  <w:noWrap/>
                  <w:vAlign w:val="center"/>
                </w:tcPr>
                <w:p w14:paraId="1DABB42C">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w:t>
                  </w:r>
                </w:p>
              </w:tc>
              <w:tc>
                <w:tcPr>
                  <w:tcW w:w="968" w:type="dxa"/>
                  <w:tcBorders>
                    <w:top w:val="single" w:color="auto" w:sz="4" w:space="0"/>
                    <w:left w:val="nil"/>
                    <w:bottom w:val="single" w:color="auto" w:sz="4" w:space="0"/>
                    <w:right w:val="single" w:color="auto" w:sz="4" w:space="0"/>
                  </w:tcBorders>
                  <w:noWrap/>
                  <w:vAlign w:val="center"/>
                </w:tcPr>
                <w:p w14:paraId="1F23A1D0">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厂界</w:t>
                  </w:r>
                </w:p>
              </w:tc>
              <w:tc>
                <w:tcPr>
                  <w:tcW w:w="1857" w:type="dxa"/>
                  <w:tcBorders>
                    <w:top w:val="single" w:color="auto" w:sz="4" w:space="0"/>
                    <w:left w:val="nil"/>
                    <w:bottom w:val="single" w:color="auto" w:sz="4" w:space="0"/>
                    <w:right w:val="single" w:color="auto" w:sz="4" w:space="0"/>
                  </w:tcBorders>
                  <w:noWrap/>
                  <w:vAlign w:val="center"/>
                </w:tcPr>
                <w:p w14:paraId="269B0BAB">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温度,气压,风速,风向</w:t>
                  </w:r>
                </w:p>
              </w:tc>
              <w:tc>
                <w:tcPr>
                  <w:tcW w:w="1290" w:type="dxa"/>
                  <w:tcBorders>
                    <w:top w:val="single" w:color="auto" w:sz="4" w:space="0"/>
                    <w:left w:val="nil"/>
                    <w:bottom w:val="single" w:color="auto" w:sz="4" w:space="0"/>
                    <w:right w:val="single" w:color="auto" w:sz="4" w:space="0"/>
                  </w:tcBorders>
                  <w:noWrap/>
                  <w:vAlign w:val="center"/>
                </w:tcPr>
                <w:p w14:paraId="382FE76C">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颗粒物、</w:t>
                  </w:r>
                  <w:r>
                    <w:rPr>
                      <w:rFonts w:hint="eastAsia" w:ascii="Times New Roman" w:hAnsi="Times New Roman" w:eastAsia="宋体" w:cs="Times New Roman"/>
                      <w:color w:val="auto"/>
                      <w:sz w:val="22"/>
                      <w:szCs w:val="22"/>
                    </w:rPr>
                    <w:t>非甲烷总烃</w:t>
                  </w:r>
                </w:p>
              </w:tc>
              <w:tc>
                <w:tcPr>
                  <w:tcW w:w="1568" w:type="dxa"/>
                  <w:tcBorders>
                    <w:top w:val="single" w:color="auto" w:sz="4" w:space="0"/>
                    <w:left w:val="nil"/>
                    <w:bottom w:val="single" w:color="auto" w:sz="4" w:space="0"/>
                    <w:right w:val="single" w:color="auto" w:sz="4" w:space="0"/>
                  </w:tcBorders>
                  <w:noWrap/>
                  <w:vAlign w:val="center"/>
                </w:tcPr>
                <w:p w14:paraId="1F5DDC78">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厂界上风向 1个参照点、下风向扇形布点</w:t>
                  </w:r>
                </w:p>
              </w:tc>
              <w:tc>
                <w:tcPr>
                  <w:tcW w:w="554" w:type="dxa"/>
                  <w:tcBorders>
                    <w:top w:val="single" w:color="auto" w:sz="4" w:space="0"/>
                    <w:left w:val="nil"/>
                    <w:bottom w:val="single" w:color="auto" w:sz="4" w:space="0"/>
                    <w:right w:val="single" w:color="auto" w:sz="4" w:space="0"/>
                  </w:tcBorders>
                  <w:vAlign w:val="center"/>
                </w:tcPr>
                <w:p w14:paraId="66563F0D">
                  <w:pPr>
                    <w:pStyle w:val="12"/>
                    <w:spacing w:beforeLines="0"/>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1次/年</w:t>
                  </w:r>
                </w:p>
              </w:tc>
            </w:tr>
          </w:tbl>
          <w:p w14:paraId="7535BD81">
            <w:pPr>
              <w:pStyle w:val="82"/>
              <w:ind w:firstLine="522"/>
              <w:rPr>
                <w:b/>
                <w:bCs w:val="0"/>
                <w:color w:val="auto"/>
              </w:rPr>
            </w:pPr>
            <w:r>
              <w:rPr>
                <w:b/>
                <w:bCs w:val="0"/>
                <w:color w:val="auto"/>
              </w:rPr>
              <w:t>4.2.2</w:t>
            </w:r>
            <w:r>
              <w:rPr>
                <w:rFonts w:hint="eastAsia"/>
                <w:b/>
                <w:bCs w:val="0"/>
                <w:color w:val="auto"/>
              </w:rPr>
              <w:t>废水治理措施及地表水环境影响分析</w:t>
            </w:r>
          </w:p>
          <w:p w14:paraId="415B5BF9">
            <w:pPr>
              <w:pStyle w:val="82"/>
              <w:ind w:firstLine="520"/>
              <w:rPr>
                <w:color w:val="auto"/>
              </w:rPr>
            </w:pPr>
            <w:r>
              <w:rPr>
                <w:color w:val="auto"/>
              </w:rPr>
              <w:t>4.2.2.1</w:t>
            </w:r>
            <w:r>
              <w:rPr>
                <w:rFonts w:hint="eastAsia"/>
                <w:color w:val="auto"/>
              </w:rPr>
              <w:t>废水产生情况</w:t>
            </w:r>
          </w:p>
          <w:p w14:paraId="135C41A2">
            <w:pPr>
              <w:pStyle w:val="82"/>
              <w:ind w:firstLine="520"/>
              <w:rPr>
                <w:rFonts w:hint="eastAsia"/>
                <w:color w:val="auto"/>
                <w:szCs w:val="26"/>
              </w:rPr>
            </w:pPr>
            <w:r>
              <w:rPr>
                <w:rFonts w:hint="eastAsia"/>
                <w:color w:val="auto"/>
                <w:szCs w:val="26"/>
              </w:rPr>
              <w:t>本项目主要废水为生活污水</w:t>
            </w:r>
            <w:r>
              <w:rPr>
                <w:rFonts w:hint="eastAsia"/>
                <w:color w:val="auto"/>
                <w:szCs w:val="26"/>
                <w:lang w:val="en-US" w:eastAsia="zh-CN"/>
              </w:rPr>
              <w:t>及厂区设备设施清洁废水</w:t>
            </w:r>
            <w:r>
              <w:rPr>
                <w:rFonts w:hint="eastAsia"/>
                <w:color w:val="auto"/>
                <w:szCs w:val="26"/>
              </w:rPr>
              <w:t>。</w:t>
            </w:r>
          </w:p>
          <w:p w14:paraId="36420EEE">
            <w:pPr>
              <w:pStyle w:val="82"/>
              <w:ind w:firstLine="520"/>
              <w:rPr>
                <w:color w:val="auto"/>
              </w:rPr>
            </w:pPr>
            <w:r>
              <w:rPr>
                <w:rFonts w:hint="eastAsia"/>
                <w:color w:val="auto"/>
                <w:szCs w:val="26"/>
                <w:lang w:val="en-US" w:eastAsia="zh-CN"/>
              </w:rPr>
              <w:t>①生活污水：</w:t>
            </w:r>
            <w:r>
              <w:rPr>
                <w:rFonts w:hint="eastAsia"/>
                <w:color w:val="auto"/>
                <w:szCs w:val="26"/>
              </w:rPr>
              <w:t>项目东地块新增劳动定员</w:t>
            </w:r>
            <w:r>
              <w:rPr>
                <w:rFonts w:hint="eastAsia"/>
                <w:color w:val="auto"/>
                <w:szCs w:val="26"/>
                <w:lang w:val="en-US" w:eastAsia="zh-CN"/>
              </w:rPr>
              <w:t>50</w:t>
            </w:r>
            <w:r>
              <w:rPr>
                <w:rFonts w:hint="eastAsia"/>
                <w:color w:val="auto"/>
                <w:szCs w:val="26"/>
              </w:rPr>
              <w:t>人，年生产300天，根据水平衡分析结果，东地块生活污水W1排放量为</w:t>
            </w:r>
            <w:r>
              <w:rPr>
                <w:rFonts w:hint="eastAsia"/>
                <w:color w:val="auto"/>
                <w:szCs w:val="26"/>
                <w:lang w:val="en-US" w:eastAsia="zh-CN"/>
              </w:rPr>
              <w:t>1147.5</w:t>
            </w:r>
            <w:r>
              <w:rPr>
                <w:rFonts w:hint="eastAsia"/>
                <w:color w:val="auto"/>
                <w:szCs w:val="26"/>
              </w:rPr>
              <w:t>m</w:t>
            </w:r>
            <w:r>
              <w:rPr>
                <w:rFonts w:hint="eastAsia"/>
                <w:color w:val="auto"/>
                <w:szCs w:val="26"/>
                <w:vertAlign w:val="superscript"/>
              </w:rPr>
              <w:t>3</w:t>
            </w:r>
            <w:r>
              <w:rPr>
                <w:rFonts w:hint="eastAsia"/>
                <w:color w:val="auto"/>
                <w:szCs w:val="26"/>
                <w:vertAlign w:val="baseline"/>
                <w:lang w:val="en-US" w:eastAsia="zh-CN"/>
              </w:rPr>
              <w:t>/a</w:t>
            </w:r>
            <w:r>
              <w:rPr>
                <w:rFonts w:hint="eastAsia"/>
                <w:color w:val="auto"/>
                <w:szCs w:val="26"/>
              </w:rPr>
              <w:t>（</w:t>
            </w:r>
            <w:r>
              <w:rPr>
                <w:rFonts w:hint="eastAsia"/>
                <w:color w:val="auto"/>
                <w:szCs w:val="26"/>
                <w:lang w:val="en-US" w:eastAsia="zh-CN"/>
              </w:rPr>
              <w:t>其中</w:t>
            </w:r>
            <w:r>
              <w:rPr>
                <w:rFonts w:hint="eastAsia"/>
                <w:color w:val="auto"/>
                <w:szCs w:val="26"/>
              </w:rPr>
              <w:t>食堂废水</w:t>
            </w:r>
            <w:r>
              <w:rPr>
                <w:rFonts w:hint="eastAsia"/>
                <w:color w:val="auto"/>
                <w:szCs w:val="26"/>
                <w:lang w:val="en-US" w:eastAsia="zh-CN"/>
              </w:rPr>
              <w:t>472.5</w:t>
            </w:r>
            <w:r>
              <w:rPr>
                <w:rFonts w:hint="eastAsia"/>
                <w:color w:val="auto"/>
                <w:szCs w:val="26"/>
              </w:rPr>
              <w:t>m</w:t>
            </w:r>
            <w:r>
              <w:rPr>
                <w:rFonts w:hint="eastAsia"/>
                <w:color w:val="auto"/>
                <w:szCs w:val="26"/>
                <w:vertAlign w:val="superscript"/>
              </w:rPr>
              <w:t>3</w:t>
            </w:r>
            <w:r>
              <w:rPr>
                <w:rFonts w:hint="eastAsia"/>
                <w:color w:val="auto"/>
                <w:szCs w:val="26"/>
                <w:vertAlign w:val="baseline"/>
                <w:lang w:val="en-US" w:eastAsia="zh-CN"/>
              </w:rPr>
              <w:t>/a</w:t>
            </w:r>
            <w:r>
              <w:rPr>
                <w:rFonts w:hint="eastAsia"/>
                <w:color w:val="auto"/>
                <w:szCs w:val="26"/>
                <w:vertAlign w:val="baseline"/>
                <w:lang w:eastAsia="zh-CN"/>
              </w:rPr>
              <w:t>，</w:t>
            </w:r>
            <w:r>
              <w:rPr>
                <w:rFonts w:hint="eastAsia"/>
                <w:color w:val="auto"/>
                <w:szCs w:val="26"/>
                <w:vertAlign w:val="baseline"/>
                <w:lang w:val="en-US" w:eastAsia="zh-CN"/>
              </w:rPr>
              <w:t>办公废水675</w:t>
            </w:r>
            <w:r>
              <w:rPr>
                <w:rFonts w:hint="eastAsia"/>
                <w:color w:val="auto"/>
                <w:szCs w:val="26"/>
              </w:rPr>
              <w:t>m</w:t>
            </w:r>
            <w:r>
              <w:rPr>
                <w:rFonts w:hint="eastAsia"/>
                <w:color w:val="auto"/>
                <w:szCs w:val="26"/>
                <w:vertAlign w:val="superscript"/>
              </w:rPr>
              <w:t>3</w:t>
            </w:r>
            <w:r>
              <w:rPr>
                <w:rFonts w:hint="eastAsia"/>
                <w:color w:val="auto"/>
                <w:szCs w:val="26"/>
                <w:vertAlign w:val="baseline"/>
                <w:lang w:val="en-US" w:eastAsia="zh-CN"/>
              </w:rPr>
              <w:t>/a</w:t>
            </w:r>
            <w:r>
              <w:rPr>
                <w:rFonts w:hint="eastAsia"/>
                <w:color w:val="auto"/>
                <w:szCs w:val="26"/>
              </w:rPr>
              <w:t>）。</w:t>
            </w:r>
            <w:r>
              <w:rPr>
                <w:rFonts w:hint="eastAsia"/>
                <w:color w:val="auto"/>
                <w:szCs w:val="26"/>
                <w:lang w:val="en-US" w:eastAsia="zh-CN"/>
              </w:rPr>
              <w:t>项目西地块</w:t>
            </w:r>
            <w:r>
              <w:rPr>
                <w:rFonts w:hint="eastAsia"/>
                <w:color w:val="auto"/>
                <w:szCs w:val="26"/>
              </w:rPr>
              <w:t>新增劳动定员</w:t>
            </w:r>
            <w:r>
              <w:rPr>
                <w:rFonts w:hint="eastAsia"/>
                <w:color w:val="auto"/>
                <w:szCs w:val="26"/>
                <w:lang w:val="en-US" w:eastAsia="zh-CN"/>
              </w:rPr>
              <w:t>20</w:t>
            </w:r>
            <w:r>
              <w:rPr>
                <w:rFonts w:hint="eastAsia"/>
                <w:color w:val="auto"/>
                <w:szCs w:val="26"/>
              </w:rPr>
              <w:t>人，</w:t>
            </w:r>
            <w:r>
              <w:rPr>
                <w:rFonts w:hint="eastAsia"/>
                <w:color w:val="auto"/>
                <w:szCs w:val="26"/>
                <w:lang w:val="en-US" w:eastAsia="zh-CN"/>
              </w:rPr>
              <w:t>西</w:t>
            </w:r>
            <w:r>
              <w:rPr>
                <w:rFonts w:hint="eastAsia"/>
                <w:color w:val="auto"/>
                <w:szCs w:val="26"/>
              </w:rPr>
              <w:t>地块</w:t>
            </w:r>
            <w:r>
              <w:rPr>
                <w:rFonts w:hint="eastAsia"/>
                <w:color w:val="auto"/>
                <w:szCs w:val="26"/>
                <w:lang w:val="en-US" w:eastAsia="zh-CN"/>
              </w:rPr>
              <w:t>办公</w:t>
            </w:r>
            <w:r>
              <w:rPr>
                <w:rFonts w:hint="eastAsia"/>
                <w:color w:val="auto"/>
                <w:szCs w:val="26"/>
              </w:rPr>
              <w:t>生活污水W1排放量为</w:t>
            </w:r>
            <w:r>
              <w:rPr>
                <w:rFonts w:hint="eastAsia"/>
                <w:color w:val="auto"/>
                <w:szCs w:val="26"/>
                <w:lang w:val="en-US" w:eastAsia="zh-CN"/>
              </w:rPr>
              <w:t>270</w:t>
            </w:r>
            <w:r>
              <w:rPr>
                <w:rFonts w:hint="eastAsia"/>
                <w:color w:val="auto"/>
                <w:szCs w:val="26"/>
              </w:rPr>
              <w:t>m</w:t>
            </w:r>
            <w:r>
              <w:rPr>
                <w:rFonts w:hint="eastAsia"/>
                <w:color w:val="auto"/>
                <w:szCs w:val="26"/>
                <w:vertAlign w:val="superscript"/>
              </w:rPr>
              <w:t>3</w:t>
            </w:r>
            <w:r>
              <w:rPr>
                <w:rFonts w:hint="eastAsia"/>
                <w:color w:val="auto"/>
                <w:szCs w:val="26"/>
                <w:vertAlign w:val="baseline"/>
                <w:lang w:val="en-US" w:eastAsia="zh-CN"/>
              </w:rPr>
              <w:t>/a</w:t>
            </w:r>
            <w:r>
              <w:rPr>
                <w:rFonts w:hint="eastAsia"/>
                <w:color w:val="auto"/>
                <w:szCs w:val="26"/>
                <w:lang w:eastAsia="zh-CN"/>
              </w:rPr>
              <w:t>。</w:t>
            </w:r>
          </w:p>
          <w:p w14:paraId="3D336C5F">
            <w:pPr>
              <w:pStyle w:val="82"/>
              <w:ind w:firstLine="520"/>
              <w:rPr>
                <w:rFonts w:hint="default"/>
                <w:color w:val="auto"/>
                <w:lang w:val="en-US" w:eastAsia="zh-CN"/>
              </w:rPr>
            </w:pPr>
            <w:r>
              <w:rPr>
                <w:rFonts w:hint="eastAsia"/>
                <w:color w:val="auto"/>
                <w:lang w:val="en-US" w:eastAsia="zh-CN"/>
              </w:rPr>
              <w:t>②循环水排水W2：西地块新增冷水机组等循环水量总计约360m</w:t>
            </w:r>
            <w:r>
              <w:rPr>
                <w:rFonts w:hint="eastAsia"/>
                <w:color w:val="auto"/>
                <w:vertAlign w:val="superscript"/>
                <w:lang w:val="en-US" w:eastAsia="zh-CN"/>
              </w:rPr>
              <w:t>3</w:t>
            </w:r>
            <w:r>
              <w:rPr>
                <w:rFonts w:hint="eastAsia"/>
                <w:color w:val="auto"/>
                <w:lang w:val="en-US" w:eastAsia="zh-CN"/>
              </w:rPr>
              <w:t>/d，补水量为循环水水量的1%，产生循环水排水216</w:t>
            </w:r>
            <w:r>
              <w:rPr>
                <w:rFonts w:hint="eastAsia"/>
                <w:color w:val="auto"/>
                <w:szCs w:val="26"/>
              </w:rPr>
              <w:t>m</w:t>
            </w:r>
            <w:r>
              <w:rPr>
                <w:rFonts w:hint="eastAsia"/>
                <w:color w:val="auto"/>
                <w:szCs w:val="26"/>
                <w:vertAlign w:val="superscript"/>
              </w:rPr>
              <w:t>3</w:t>
            </w:r>
            <w:r>
              <w:rPr>
                <w:rFonts w:hint="eastAsia"/>
                <w:color w:val="auto"/>
                <w:szCs w:val="26"/>
                <w:vertAlign w:val="baseline"/>
                <w:lang w:val="en-US" w:eastAsia="zh-CN"/>
              </w:rPr>
              <w:t>/a，同生活污水一起排入园区东西地块化粪池进行处理。</w:t>
            </w:r>
          </w:p>
          <w:p w14:paraId="73D1D827">
            <w:pPr>
              <w:pStyle w:val="82"/>
              <w:ind w:firstLine="520"/>
              <w:rPr>
                <w:rFonts w:hint="eastAsia"/>
                <w:color w:val="auto"/>
                <w:szCs w:val="26"/>
                <w:vertAlign w:val="baseline"/>
                <w:lang w:val="en-US" w:eastAsia="zh-CN"/>
              </w:rPr>
            </w:pPr>
            <w:r>
              <w:rPr>
                <w:rFonts w:hint="eastAsia"/>
                <w:color w:val="auto"/>
                <w:lang w:val="en-US" w:eastAsia="zh-CN"/>
              </w:rPr>
              <w:t>③厂区</w:t>
            </w:r>
            <w:r>
              <w:rPr>
                <w:rFonts w:hint="eastAsia"/>
                <w:color w:val="auto"/>
                <w:szCs w:val="26"/>
                <w:lang w:val="en-US" w:eastAsia="zh-CN"/>
              </w:rPr>
              <w:t>设备设施清洁废水W3：根据实际调查，东地块全年用于冷却塔、管道等清洁排水量约300</w:t>
            </w:r>
            <w:r>
              <w:rPr>
                <w:rFonts w:hint="eastAsia"/>
                <w:color w:val="auto"/>
                <w:szCs w:val="26"/>
              </w:rPr>
              <w:t>m</w:t>
            </w:r>
            <w:r>
              <w:rPr>
                <w:rFonts w:hint="eastAsia"/>
                <w:color w:val="auto"/>
                <w:szCs w:val="26"/>
                <w:vertAlign w:val="superscript"/>
              </w:rPr>
              <w:t>3</w:t>
            </w:r>
            <w:r>
              <w:rPr>
                <w:rFonts w:hint="eastAsia"/>
                <w:color w:val="auto"/>
                <w:szCs w:val="26"/>
                <w:vertAlign w:val="baseline"/>
                <w:lang w:val="en-US" w:eastAsia="zh-CN"/>
              </w:rPr>
              <w:t>/a</w:t>
            </w:r>
            <w:r>
              <w:rPr>
                <w:rFonts w:hint="eastAsia"/>
                <w:color w:val="auto"/>
                <w:szCs w:val="26"/>
                <w:vertAlign w:val="baseline"/>
                <w:lang w:eastAsia="zh-CN"/>
              </w:rPr>
              <w:t>，</w:t>
            </w:r>
            <w:r>
              <w:rPr>
                <w:rFonts w:hint="eastAsia"/>
                <w:color w:val="auto"/>
                <w:szCs w:val="26"/>
                <w:vertAlign w:val="baseline"/>
                <w:lang w:val="en-US" w:eastAsia="zh-CN"/>
              </w:rPr>
              <w:t>西地块用于冷却塔、管道、水池等设施清洗排水量约为</w:t>
            </w:r>
            <w:r>
              <w:rPr>
                <w:rFonts w:hint="eastAsia"/>
                <w:color w:val="auto"/>
                <w:szCs w:val="26"/>
                <w:lang w:val="en-US" w:eastAsia="zh-CN"/>
              </w:rPr>
              <w:t>3220</w:t>
            </w:r>
            <w:r>
              <w:rPr>
                <w:rFonts w:hint="eastAsia"/>
                <w:color w:val="auto"/>
                <w:szCs w:val="26"/>
              </w:rPr>
              <w:t>m</w:t>
            </w:r>
            <w:r>
              <w:rPr>
                <w:rFonts w:hint="eastAsia"/>
                <w:color w:val="auto"/>
                <w:szCs w:val="26"/>
                <w:vertAlign w:val="superscript"/>
              </w:rPr>
              <w:t>3</w:t>
            </w:r>
            <w:r>
              <w:rPr>
                <w:rFonts w:hint="eastAsia"/>
                <w:color w:val="auto"/>
                <w:szCs w:val="26"/>
                <w:vertAlign w:val="baseline"/>
                <w:lang w:val="en-US" w:eastAsia="zh-CN"/>
              </w:rPr>
              <w:t>/a</w:t>
            </w:r>
            <w:r>
              <w:rPr>
                <w:rFonts w:hint="eastAsia"/>
                <w:color w:val="auto"/>
                <w:szCs w:val="26"/>
                <w:vertAlign w:val="baseline"/>
                <w:lang w:eastAsia="zh-CN"/>
              </w:rPr>
              <w:t>，</w:t>
            </w:r>
            <w:r>
              <w:rPr>
                <w:rFonts w:hint="eastAsia"/>
                <w:color w:val="auto"/>
                <w:szCs w:val="26"/>
                <w:vertAlign w:val="baseline"/>
                <w:lang w:val="en-US" w:eastAsia="zh-CN"/>
              </w:rPr>
              <w:t>该部分设施清洁废水同生活污水一起排入园区东西地块化粪池进行处理。</w:t>
            </w:r>
          </w:p>
          <w:p w14:paraId="02BDEC7C">
            <w:pPr>
              <w:pStyle w:val="82"/>
              <w:ind w:firstLine="520"/>
              <w:rPr>
                <w:color w:val="auto"/>
                <w:szCs w:val="26"/>
              </w:rPr>
            </w:pPr>
            <w:r>
              <w:rPr>
                <w:rFonts w:hint="eastAsia"/>
                <w:color w:val="auto"/>
                <w:szCs w:val="26"/>
                <w:vertAlign w:val="baseline"/>
                <w:lang w:val="en-US" w:eastAsia="zh-CN"/>
              </w:rPr>
              <w:t>预计项目建成后，东地块化粪池排水量约23.59</w:t>
            </w:r>
            <w:r>
              <w:rPr>
                <w:rFonts w:hint="eastAsia"/>
                <w:color w:val="auto"/>
                <w:szCs w:val="26"/>
              </w:rPr>
              <w:t>m</w:t>
            </w:r>
            <w:r>
              <w:rPr>
                <w:rFonts w:hint="eastAsia"/>
                <w:color w:val="auto"/>
                <w:szCs w:val="26"/>
                <w:vertAlign w:val="superscript"/>
              </w:rPr>
              <w:t>3</w:t>
            </w:r>
            <w:r>
              <w:rPr>
                <w:rFonts w:hint="eastAsia"/>
                <w:color w:val="auto"/>
                <w:szCs w:val="26"/>
                <w:vertAlign w:val="baseline"/>
                <w:lang w:val="en-US" w:eastAsia="zh-CN"/>
              </w:rPr>
              <w:t>/d，西地块化粪池排水量约32.33</w:t>
            </w:r>
            <w:r>
              <w:rPr>
                <w:rFonts w:hint="eastAsia"/>
                <w:color w:val="auto"/>
                <w:szCs w:val="26"/>
              </w:rPr>
              <w:t>m</w:t>
            </w:r>
            <w:r>
              <w:rPr>
                <w:rFonts w:hint="eastAsia"/>
                <w:color w:val="auto"/>
                <w:szCs w:val="26"/>
                <w:vertAlign w:val="superscript"/>
              </w:rPr>
              <w:t>3</w:t>
            </w:r>
            <w:r>
              <w:rPr>
                <w:rFonts w:hint="eastAsia"/>
                <w:color w:val="auto"/>
                <w:szCs w:val="26"/>
                <w:vertAlign w:val="baseline"/>
                <w:lang w:val="en-US" w:eastAsia="zh-CN"/>
              </w:rPr>
              <w:t>/d，</w:t>
            </w:r>
            <w:r>
              <w:rPr>
                <w:rFonts w:hint="eastAsia"/>
                <w:color w:val="auto"/>
                <w:szCs w:val="26"/>
              </w:rPr>
              <w:t>项目所处区域属于陶家工业污水处理厂服务范围内，项目东地块食堂废水经隔油池（设计处理能力为</w:t>
            </w:r>
            <w:r>
              <w:rPr>
                <w:rFonts w:hint="eastAsia"/>
                <w:color w:val="auto"/>
                <w:szCs w:val="26"/>
                <w:lang w:val="en-US" w:eastAsia="zh-CN"/>
              </w:rPr>
              <w:t>25</w:t>
            </w:r>
            <w:r>
              <w:rPr>
                <w:rFonts w:hint="eastAsia" w:ascii="Times New Roman" w:hAnsi="Times New Roman" w:eastAsia="宋体" w:cs="Times New Roman"/>
                <w:color w:val="auto"/>
                <w:szCs w:val="26"/>
                <w:lang w:val="en-US" w:eastAsia="zh-CN"/>
              </w:rPr>
              <w:t>m</w:t>
            </w:r>
            <w:r>
              <w:rPr>
                <w:rFonts w:hint="eastAsia" w:ascii="Times New Roman" w:hAnsi="Times New Roman" w:eastAsia="宋体" w:cs="Times New Roman"/>
                <w:color w:val="auto"/>
                <w:szCs w:val="26"/>
                <w:vertAlign w:val="superscript"/>
                <w:lang w:val="en-US" w:eastAsia="zh-CN"/>
              </w:rPr>
              <w:t>3</w:t>
            </w:r>
            <w:r>
              <w:rPr>
                <w:rFonts w:hint="eastAsia" w:ascii="Times New Roman" w:hAnsi="Times New Roman" w:eastAsia="宋体" w:cs="Times New Roman"/>
                <w:color w:val="auto"/>
                <w:szCs w:val="26"/>
                <w:lang w:val="en-US" w:eastAsia="zh-CN"/>
              </w:rPr>
              <w:t>/</w:t>
            </w:r>
            <w:r>
              <w:rPr>
                <w:rFonts w:hint="eastAsia" w:cs="Times New Roman"/>
                <w:color w:val="auto"/>
                <w:szCs w:val="26"/>
                <w:lang w:val="en-US" w:eastAsia="zh-CN"/>
              </w:rPr>
              <w:t>h</w:t>
            </w:r>
            <w:r>
              <w:rPr>
                <w:rFonts w:hint="eastAsia"/>
                <w:color w:val="auto"/>
                <w:szCs w:val="26"/>
              </w:rPr>
              <w:t>）处理后，同生活污水一起进入东地块</w:t>
            </w:r>
            <w:r>
              <w:rPr>
                <w:rFonts w:hint="eastAsia"/>
                <w:color w:val="auto"/>
                <w:szCs w:val="26"/>
                <w:lang w:eastAsia="zh-CN"/>
              </w:rPr>
              <w:t>化粪池</w:t>
            </w:r>
            <w:r>
              <w:rPr>
                <w:rFonts w:hint="eastAsia"/>
                <w:color w:val="auto"/>
                <w:szCs w:val="26"/>
              </w:rPr>
              <w:t>（设计处理能力为</w:t>
            </w:r>
            <w:r>
              <w:rPr>
                <w:rFonts w:hint="eastAsia"/>
                <w:color w:val="auto"/>
                <w:szCs w:val="26"/>
                <w:lang w:val="en-US" w:eastAsia="zh-CN"/>
              </w:rPr>
              <w:t>50</w:t>
            </w:r>
            <w:r>
              <w:rPr>
                <w:rFonts w:hint="eastAsia"/>
                <w:color w:val="auto"/>
                <w:szCs w:val="26"/>
              </w:rPr>
              <w:t>m</w:t>
            </w:r>
            <w:r>
              <w:rPr>
                <w:rFonts w:hint="eastAsia"/>
                <w:color w:val="auto"/>
                <w:szCs w:val="26"/>
                <w:vertAlign w:val="superscript"/>
              </w:rPr>
              <w:t>3</w:t>
            </w:r>
            <w:r>
              <w:rPr>
                <w:rFonts w:hint="eastAsia"/>
                <w:color w:val="auto"/>
                <w:szCs w:val="26"/>
              </w:rPr>
              <w:t>/d）处理</w:t>
            </w:r>
            <w:r>
              <w:rPr>
                <w:rFonts w:hint="eastAsia" w:ascii="Times New Roman" w:hAnsi="Times New Roman" w:eastAsia="宋体" w:cs="Times New Roman"/>
                <w:color w:val="auto"/>
                <w:szCs w:val="26"/>
                <w:lang w:val="en-US" w:eastAsia="zh-CN"/>
              </w:rPr>
              <w:t>，西地块生活污水</w:t>
            </w:r>
            <w:r>
              <w:rPr>
                <w:rFonts w:hint="eastAsia" w:cs="Times New Roman"/>
                <w:color w:val="auto"/>
                <w:szCs w:val="26"/>
                <w:lang w:val="en-US" w:eastAsia="zh-CN"/>
              </w:rPr>
              <w:t>、循环水排水</w:t>
            </w:r>
            <w:r>
              <w:rPr>
                <w:rFonts w:hint="eastAsia" w:ascii="Times New Roman" w:hAnsi="Times New Roman" w:eastAsia="宋体" w:cs="Times New Roman"/>
                <w:color w:val="auto"/>
                <w:szCs w:val="26"/>
                <w:lang w:val="en-US" w:eastAsia="zh-CN"/>
              </w:rPr>
              <w:t>直接进入西地块</w:t>
            </w:r>
            <w:r>
              <w:rPr>
                <w:rFonts w:hint="eastAsia" w:cs="Times New Roman"/>
                <w:color w:val="auto"/>
                <w:szCs w:val="26"/>
                <w:lang w:val="en-US" w:eastAsia="zh-CN"/>
              </w:rPr>
              <w:t>化粪池</w:t>
            </w:r>
            <w:r>
              <w:rPr>
                <w:rFonts w:hint="eastAsia" w:ascii="Times New Roman" w:hAnsi="Times New Roman" w:eastAsia="宋体" w:cs="Times New Roman"/>
                <w:color w:val="auto"/>
                <w:szCs w:val="26"/>
                <w:lang w:val="en-US" w:eastAsia="zh-CN"/>
              </w:rPr>
              <w:t>（处理能力为40m</w:t>
            </w:r>
            <w:r>
              <w:rPr>
                <w:rFonts w:hint="eastAsia" w:ascii="Times New Roman" w:hAnsi="Times New Roman" w:eastAsia="宋体" w:cs="Times New Roman"/>
                <w:color w:val="auto"/>
                <w:szCs w:val="26"/>
                <w:vertAlign w:val="superscript"/>
                <w:lang w:val="en-US" w:eastAsia="zh-CN"/>
              </w:rPr>
              <w:t>3</w:t>
            </w:r>
            <w:r>
              <w:rPr>
                <w:rFonts w:hint="eastAsia" w:ascii="Times New Roman" w:hAnsi="Times New Roman" w:eastAsia="宋体" w:cs="Times New Roman"/>
                <w:color w:val="auto"/>
                <w:szCs w:val="26"/>
                <w:lang w:val="en-US" w:eastAsia="zh-CN"/>
              </w:rPr>
              <w:t>/d），经预处理</w:t>
            </w:r>
            <w:r>
              <w:rPr>
                <w:rFonts w:hint="eastAsia"/>
                <w:color w:val="auto"/>
                <w:szCs w:val="26"/>
              </w:rPr>
              <w:t>满足《污水综合排放标准》（GB8978-1996）三级排放标准及《污水排入城镇下水道水质标准》（GB/T31962-2015）后，进入园区污水管网排入陶家工业污水处理厂进行进一步集中处理，</w:t>
            </w:r>
            <w:r>
              <w:rPr>
                <w:rFonts w:hint="eastAsia"/>
                <w:color w:val="auto"/>
                <w:szCs w:val="26"/>
                <w:lang w:val="en-US" w:eastAsia="zh-CN"/>
              </w:rPr>
              <w:t>尾水</w:t>
            </w:r>
            <w:r>
              <w:rPr>
                <w:rFonts w:hint="eastAsia"/>
                <w:color w:val="auto"/>
                <w:szCs w:val="26"/>
              </w:rPr>
              <w:t>COD、NH</w:t>
            </w:r>
            <w:r>
              <w:rPr>
                <w:rFonts w:hint="eastAsia"/>
                <w:color w:val="auto"/>
                <w:szCs w:val="26"/>
                <w:vertAlign w:val="subscript"/>
              </w:rPr>
              <w:t>3</w:t>
            </w:r>
            <w:r>
              <w:rPr>
                <w:rFonts w:hint="eastAsia"/>
                <w:color w:val="auto"/>
                <w:szCs w:val="26"/>
              </w:rPr>
              <w:t>-N满足《地表水环境质量标准》（GB3838-2002）IV类标准，其余指标满足《城镇污水处理厂污染物排放标准》（GB18918-2002）一级A标准后，排入大溪河支流杨柳曲河。</w:t>
            </w:r>
            <w:r>
              <w:rPr>
                <w:rFonts w:hint="eastAsia"/>
                <w:color w:val="auto"/>
                <w:szCs w:val="26"/>
                <w:lang w:val="en-US" w:eastAsia="zh-CN"/>
              </w:rPr>
              <w:t>项目给排水管网图见附图3。</w:t>
            </w:r>
          </w:p>
          <w:p w14:paraId="54BC9929">
            <w:pPr>
              <w:pStyle w:val="82"/>
              <w:ind w:firstLine="520"/>
              <w:jc w:val="both"/>
              <w:rPr>
                <w:rFonts w:hint="eastAsia" w:ascii="Times New Roman" w:hAnsi="宋体" w:eastAsia="宋体" w:cs="Times New Roman"/>
                <w:color w:val="auto"/>
                <w:szCs w:val="26"/>
              </w:rPr>
            </w:pPr>
            <w:r>
              <w:rPr>
                <w:rFonts w:hint="eastAsia"/>
                <w:color w:val="auto"/>
                <w:szCs w:val="26"/>
              </w:rPr>
              <w:t>综上分析，本项目废水污染物产生、治理情况见下表。</w:t>
            </w:r>
          </w:p>
        </w:tc>
      </w:tr>
    </w:tbl>
    <w:p w14:paraId="31ED6A49">
      <w:pPr>
        <w:adjustRightInd w:val="0"/>
        <w:snapToGrid w:val="0"/>
        <w:spacing w:line="360" w:lineRule="auto"/>
        <w:rPr>
          <w:rFonts w:ascii="宋体" w:cs="宋体"/>
          <w:b/>
          <w:kern w:val="0"/>
          <w:sz w:val="28"/>
          <w:szCs w:val="28"/>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6FA1E9A0">
      <w:pPr>
        <w:pStyle w:val="12"/>
        <w:spacing w:before="120"/>
      </w:pPr>
      <w:r>
        <w:rPr>
          <w:rFonts w:ascii="宋体" w:hAnsi="宋体"/>
        </w:rPr>
        <w:t>表</w:t>
      </w:r>
      <w:r>
        <w:rPr>
          <w:rFonts w:hint="eastAsia"/>
        </w:rPr>
        <w:t>4</w:t>
      </w:r>
      <w:r>
        <w:t>.2-</w:t>
      </w:r>
      <w:r>
        <w:rPr>
          <w:rFonts w:hint="eastAsia"/>
          <w:lang w:val="en-US" w:eastAsia="zh-CN"/>
        </w:rPr>
        <w:t xml:space="preserve">7  </w:t>
      </w:r>
      <w:r>
        <w:rPr>
          <w:rFonts w:ascii="宋体" w:hAnsi="宋体"/>
        </w:rPr>
        <w:t>项目废水污染物产生情况表</w:t>
      </w:r>
    </w:p>
    <w:p w14:paraId="69529C83"/>
    <w:tbl>
      <w:tblPr>
        <w:tblStyle w:val="30"/>
        <w:tblW w:w="5000" w:type="pct"/>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022"/>
        <w:gridCol w:w="1304"/>
        <w:gridCol w:w="852"/>
        <w:gridCol w:w="976"/>
        <w:gridCol w:w="1225"/>
        <w:gridCol w:w="1562"/>
        <w:gridCol w:w="925"/>
        <w:gridCol w:w="750"/>
        <w:gridCol w:w="1113"/>
        <w:gridCol w:w="1050"/>
        <w:gridCol w:w="987"/>
        <w:gridCol w:w="750"/>
        <w:gridCol w:w="712"/>
      </w:tblGrid>
      <w:tr w14:paraId="3EFFB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022" w:type="dxa"/>
            <w:vMerge w:val="restart"/>
            <w:tcBorders>
              <w:tl2br w:val="nil"/>
              <w:tr2bl w:val="nil"/>
            </w:tcBorders>
            <w:shd w:val="clear" w:color="auto" w:fill="auto"/>
            <w:noWrap/>
            <w:vAlign w:val="center"/>
          </w:tcPr>
          <w:p w14:paraId="41D1884C">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污染源</w:t>
            </w:r>
          </w:p>
        </w:tc>
        <w:tc>
          <w:tcPr>
            <w:tcW w:w="1304" w:type="dxa"/>
            <w:vMerge w:val="restart"/>
            <w:tcBorders>
              <w:tl2br w:val="nil"/>
              <w:tr2bl w:val="nil"/>
            </w:tcBorders>
            <w:shd w:val="clear" w:color="auto" w:fill="auto"/>
            <w:noWrap/>
            <w:vAlign w:val="center"/>
          </w:tcPr>
          <w:p w14:paraId="76C5659B">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废水量</w:t>
            </w:r>
          </w:p>
        </w:tc>
        <w:tc>
          <w:tcPr>
            <w:tcW w:w="852" w:type="dxa"/>
            <w:vMerge w:val="restart"/>
            <w:tcBorders>
              <w:tl2br w:val="nil"/>
              <w:tr2bl w:val="nil"/>
            </w:tcBorders>
            <w:shd w:val="clear" w:color="auto" w:fill="auto"/>
            <w:noWrap/>
            <w:vAlign w:val="center"/>
          </w:tcPr>
          <w:p w14:paraId="2A674E06">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污染物</w:t>
            </w:r>
          </w:p>
        </w:tc>
        <w:tc>
          <w:tcPr>
            <w:tcW w:w="2201" w:type="dxa"/>
            <w:gridSpan w:val="2"/>
            <w:tcBorders>
              <w:tl2br w:val="nil"/>
              <w:tr2bl w:val="nil"/>
            </w:tcBorders>
            <w:shd w:val="clear" w:color="auto" w:fill="auto"/>
            <w:noWrap/>
            <w:vAlign w:val="center"/>
          </w:tcPr>
          <w:p w14:paraId="2B9DF8E7">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处理前</w:t>
            </w:r>
          </w:p>
        </w:tc>
        <w:tc>
          <w:tcPr>
            <w:tcW w:w="1562" w:type="dxa"/>
            <w:vMerge w:val="restart"/>
            <w:tcBorders>
              <w:tl2br w:val="nil"/>
              <w:tr2bl w:val="nil"/>
            </w:tcBorders>
            <w:shd w:val="clear" w:color="auto" w:fill="auto"/>
            <w:noWrap/>
            <w:vAlign w:val="center"/>
          </w:tcPr>
          <w:p w14:paraId="74A92AB1">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治理措施</w:t>
            </w:r>
          </w:p>
        </w:tc>
        <w:tc>
          <w:tcPr>
            <w:tcW w:w="2788" w:type="dxa"/>
            <w:gridSpan w:val="3"/>
            <w:tcBorders>
              <w:tl2br w:val="nil"/>
              <w:tr2bl w:val="nil"/>
            </w:tcBorders>
            <w:shd w:val="clear" w:color="auto" w:fill="auto"/>
            <w:noWrap/>
            <w:vAlign w:val="center"/>
          </w:tcPr>
          <w:p w14:paraId="0EB3D58E">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厂区污水处理站（</w:t>
            </w:r>
            <w:r>
              <w:rPr>
                <w:rFonts w:hint="eastAsia" w:cs="Times New Roman"/>
                <w:b w:val="0"/>
                <w:bCs/>
                <w:color w:val="auto"/>
                <w:kern w:val="0"/>
                <w:sz w:val="22"/>
                <w:szCs w:val="22"/>
                <w:lang w:val="en-US" w:eastAsia="zh-CN"/>
              </w:rPr>
              <w:t>化粪池</w:t>
            </w:r>
            <w:r>
              <w:rPr>
                <w:rFonts w:hint="default" w:ascii="Times New Roman" w:hAnsi="Times New Roman" w:eastAsia="宋体" w:cs="Times New Roman"/>
                <w:b w:val="0"/>
                <w:bCs/>
                <w:color w:val="auto"/>
                <w:kern w:val="0"/>
                <w:sz w:val="22"/>
                <w:szCs w:val="22"/>
                <w:lang w:val="en-US" w:eastAsia="zh-CN"/>
              </w:rPr>
              <w:t>）处理后</w:t>
            </w:r>
          </w:p>
        </w:tc>
        <w:tc>
          <w:tcPr>
            <w:tcW w:w="2037" w:type="dxa"/>
            <w:gridSpan w:val="2"/>
            <w:tcBorders>
              <w:tl2br w:val="nil"/>
              <w:tr2bl w:val="nil"/>
            </w:tcBorders>
            <w:shd w:val="clear" w:color="auto" w:fill="auto"/>
            <w:noWrap/>
            <w:vAlign w:val="center"/>
          </w:tcPr>
          <w:p w14:paraId="5D1CC35C">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污水处理厂处理后</w:t>
            </w:r>
          </w:p>
        </w:tc>
        <w:tc>
          <w:tcPr>
            <w:tcW w:w="750" w:type="dxa"/>
            <w:vMerge w:val="restart"/>
            <w:tcBorders>
              <w:tl2br w:val="nil"/>
              <w:tr2bl w:val="nil"/>
            </w:tcBorders>
            <w:shd w:val="clear" w:color="auto" w:fill="auto"/>
            <w:vAlign w:val="center"/>
          </w:tcPr>
          <w:p w14:paraId="1920A646">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排放标准mg/L</w:t>
            </w:r>
          </w:p>
        </w:tc>
        <w:tc>
          <w:tcPr>
            <w:tcW w:w="712" w:type="dxa"/>
            <w:vMerge w:val="restart"/>
            <w:tcBorders>
              <w:tl2br w:val="nil"/>
              <w:tr2bl w:val="nil"/>
            </w:tcBorders>
            <w:shd w:val="clear" w:color="auto" w:fill="auto"/>
            <w:vAlign w:val="center"/>
          </w:tcPr>
          <w:p w14:paraId="64B4C26D">
            <w:pPr>
              <w:jc w:val="center"/>
              <w:rPr>
                <w:rFonts w:hint="default" w:ascii="Times New Roman" w:hAnsi="Times New Roman" w:eastAsia="宋体" w:cs="Times New Roman"/>
                <w:b w:val="0"/>
                <w:bCs/>
                <w:kern w:val="0"/>
                <w:sz w:val="22"/>
                <w:szCs w:val="22"/>
              </w:rPr>
            </w:pPr>
            <w:r>
              <w:rPr>
                <w:rFonts w:hint="default" w:ascii="Times New Roman" w:hAnsi="Times New Roman" w:eastAsia="宋体" w:cs="Times New Roman"/>
                <w:b w:val="0"/>
                <w:bCs/>
                <w:kern w:val="0"/>
                <w:sz w:val="22"/>
                <w:szCs w:val="22"/>
                <w:lang w:val="en-US" w:eastAsia="zh-CN"/>
              </w:rPr>
              <w:t>是否为可行技术</w:t>
            </w:r>
          </w:p>
        </w:tc>
      </w:tr>
      <w:tr w14:paraId="50985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022" w:type="dxa"/>
            <w:vMerge w:val="continue"/>
            <w:tcBorders>
              <w:tl2br w:val="nil"/>
              <w:tr2bl w:val="nil"/>
            </w:tcBorders>
            <w:shd w:val="clear" w:color="auto" w:fill="auto"/>
            <w:noWrap/>
            <w:vAlign w:val="center"/>
          </w:tcPr>
          <w:p w14:paraId="188D4639">
            <w:pPr>
              <w:jc w:val="center"/>
              <w:rPr>
                <w:rFonts w:hint="default" w:ascii="Times New Roman" w:hAnsi="Times New Roman" w:eastAsia="宋体" w:cs="Times New Roman"/>
                <w:b w:val="0"/>
                <w:bCs/>
                <w:color w:val="auto"/>
                <w:kern w:val="0"/>
                <w:sz w:val="22"/>
                <w:szCs w:val="22"/>
              </w:rPr>
            </w:pPr>
          </w:p>
        </w:tc>
        <w:tc>
          <w:tcPr>
            <w:tcW w:w="1304" w:type="dxa"/>
            <w:vMerge w:val="continue"/>
            <w:tcBorders>
              <w:tl2br w:val="nil"/>
              <w:tr2bl w:val="nil"/>
            </w:tcBorders>
            <w:shd w:val="clear" w:color="auto" w:fill="auto"/>
            <w:noWrap/>
            <w:vAlign w:val="center"/>
          </w:tcPr>
          <w:p w14:paraId="73B8D35E">
            <w:pPr>
              <w:jc w:val="center"/>
              <w:rPr>
                <w:rFonts w:hint="default" w:ascii="Times New Roman" w:hAnsi="Times New Roman" w:eastAsia="宋体" w:cs="Times New Roman"/>
                <w:b w:val="0"/>
                <w:bCs/>
                <w:color w:val="auto"/>
                <w:kern w:val="0"/>
                <w:sz w:val="22"/>
                <w:szCs w:val="22"/>
              </w:rPr>
            </w:pPr>
          </w:p>
        </w:tc>
        <w:tc>
          <w:tcPr>
            <w:tcW w:w="852" w:type="dxa"/>
            <w:vMerge w:val="continue"/>
            <w:tcBorders>
              <w:tl2br w:val="nil"/>
              <w:tr2bl w:val="nil"/>
            </w:tcBorders>
            <w:shd w:val="clear" w:color="auto" w:fill="auto"/>
            <w:noWrap/>
            <w:vAlign w:val="center"/>
          </w:tcPr>
          <w:p w14:paraId="23AA9563">
            <w:pPr>
              <w:jc w:val="center"/>
              <w:rPr>
                <w:rFonts w:hint="default" w:ascii="Times New Roman" w:hAnsi="Times New Roman" w:eastAsia="宋体" w:cs="Times New Roman"/>
                <w:b w:val="0"/>
                <w:bCs/>
                <w:color w:val="auto"/>
                <w:kern w:val="0"/>
                <w:sz w:val="22"/>
                <w:szCs w:val="22"/>
              </w:rPr>
            </w:pPr>
          </w:p>
        </w:tc>
        <w:tc>
          <w:tcPr>
            <w:tcW w:w="976" w:type="dxa"/>
            <w:tcBorders>
              <w:tl2br w:val="nil"/>
              <w:tr2bl w:val="nil"/>
            </w:tcBorders>
            <w:shd w:val="clear" w:color="auto" w:fill="auto"/>
            <w:noWrap/>
            <w:vAlign w:val="center"/>
          </w:tcPr>
          <w:p w14:paraId="6CE893DD">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浓度mg/L</w:t>
            </w:r>
          </w:p>
        </w:tc>
        <w:tc>
          <w:tcPr>
            <w:tcW w:w="1225" w:type="dxa"/>
            <w:tcBorders>
              <w:tl2br w:val="nil"/>
              <w:tr2bl w:val="nil"/>
            </w:tcBorders>
            <w:shd w:val="clear" w:color="auto" w:fill="auto"/>
            <w:noWrap/>
            <w:vAlign w:val="center"/>
          </w:tcPr>
          <w:p w14:paraId="1FE348D9">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产生量t/a</w:t>
            </w:r>
          </w:p>
        </w:tc>
        <w:tc>
          <w:tcPr>
            <w:tcW w:w="1562" w:type="dxa"/>
            <w:vMerge w:val="continue"/>
            <w:tcBorders>
              <w:tl2br w:val="nil"/>
              <w:tr2bl w:val="nil"/>
            </w:tcBorders>
            <w:shd w:val="clear" w:color="auto" w:fill="auto"/>
            <w:noWrap/>
            <w:vAlign w:val="center"/>
          </w:tcPr>
          <w:p w14:paraId="25CDDB92">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77B2E142">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污染物</w:t>
            </w:r>
          </w:p>
        </w:tc>
        <w:tc>
          <w:tcPr>
            <w:tcW w:w="750" w:type="dxa"/>
            <w:tcBorders>
              <w:tl2br w:val="nil"/>
              <w:tr2bl w:val="nil"/>
            </w:tcBorders>
            <w:shd w:val="clear" w:color="auto" w:fill="auto"/>
            <w:vAlign w:val="center"/>
          </w:tcPr>
          <w:p w14:paraId="29ABFD00">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浓度mg/L</w:t>
            </w:r>
          </w:p>
        </w:tc>
        <w:tc>
          <w:tcPr>
            <w:tcW w:w="1113" w:type="dxa"/>
            <w:tcBorders>
              <w:tl2br w:val="nil"/>
              <w:tr2bl w:val="nil"/>
            </w:tcBorders>
            <w:shd w:val="clear" w:color="auto" w:fill="auto"/>
            <w:noWrap/>
            <w:vAlign w:val="center"/>
          </w:tcPr>
          <w:p w14:paraId="1A5B7A0C">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排放量t/a</w:t>
            </w:r>
          </w:p>
        </w:tc>
        <w:tc>
          <w:tcPr>
            <w:tcW w:w="1050" w:type="dxa"/>
            <w:tcBorders>
              <w:tl2br w:val="nil"/>
              <w:tr2bl w:val="nil"/>
            </w:tcBorders>
            <w:shd w:val="clear" w:color="auto" w:fill="auto"/>
            <w:noWrap/>
            <w:vAlign w:val="center"/>
          </w:tcPr>
          <w:p w14:paraId="0F2832B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浓度mg/L</w:t>
            </w:r>
          </w:p>
        </w:tc>
        <w:tc>
          <w:tcPr>
            <w:tcW w:w="987" w:type="dxa"/>
            <w:tcBorders>
              <w:tl2br w:val="nil"/>
              <w:tr2bl w:val="nil"/>
            </w:tcBorders>
            <w:shd w:val="clear" w:color="auto" w:fill="auto"/>
            <w:noWrap/>
            <w:vAlign w:val="center"/>
          </w:tcPr>
          <w:p w14:paraId="01104B39">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排放量t/a</w:t>
            </w:r>
          </w:p>
        </w:tc>
        <w:tc>
          <w:tcPr>
            <w:tcW w:w="750" w:type="dxa"/>
            <w:vMerge w:val="continue"/>
            <w:tcBorders>
              <w:tl2br w:val="nil"/>
              <w:tr2bl w:val="nil"/>
            </w:tcBorders>
            <w:shd w:val="clear" w:color="auto" w:fill="auto"/>
            <w:vAlign w:val="center"/>
          </w:tcPr>
          <w:p w14:paraId="5C5BEEB3">
            <w:pPr>
              <w:jc w:val="center"/>
              <w:rPr>
                <w:rFonts w:hint="default" w:ascii="Times New Roman" w:hAnsi="Times New Roman" w:eastAsia="宋体" w:cs="Times New Roman"/>
                <w:b w:val="0"/>
                <w:bCs/>
                <w:color w:val="auto"/>
                <w:kern w:val="0"/>
                <w:sz w:val="22"/>
                <w:szCs w:val="22"/>
              </w:rPr>
            </w:pPr>
          </w:p>
        </w:tc>
        <w:tc>
          <w:tcPr>
            <w:tcW w:w="712" w:type="dxa"/>
            <w:vMerge w:val="continue"/>
            <w:tcBorders>
              <w:tl2br w:val="nil"/>
              <w:tr2bl w:val="nil"/>
            </w:tcBorders>
            <w:shd w:val="clear" w:color="auto" w:fill="auto"/>
            <w:vAlign w:val="center"/>
          </w:tcPr>
          <w:p w14:paraId="5844F6E0">
            <w:pPr>
              <w:jc w:val="center"/>
              <w:rPr>
                <w:rFonts w:hint="default" w:ascii="Times New Roman" w:hAnsi="Times New Roman" w:eastAsia="宋体" w:cs="Times New Roman"/>
                <w:b w:val="0"/>
                <w:bCs/>
                <w:kern w:val="0"/>
                <w:sz w:val="22"/>
                <w:szCs w:val="22"/>
              </w:rPr>
            </w:pPr>
          </w:p>
        </w:tc>
      </w:tr>
      <w:tr w14:paraId="5336D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1022" w:type="dxa"/>
            <w:vMerge w:val="restart"/>
            <w:tcBorders>
              <w:tl2br w:val="nil"/>
              <w:tr2bl w:val="nil"/>
            </w:tcBorders>
            <w:shd w:val="clear" w:color="auto" w:fill="auto"/>
            <w:vAlign w:val="center"/>
          </w:tcPr>
          <w:p w14:paraId="35F348B1">
            <w:pPr>
              <w:jc w:val="center"/>
              <w:rPr>
                <w:rFonts w:hint="default" w:ascii="Times New Roman" w:hAnsi="Times New Roman" w:eastAsia="宋体" w:cs="Times New Roman"/>
                <w:b w:val="0"/>
                <w:bCs/>
                <w:color w:val="auto"/>
                <w:kern w:val="0"/>
                <w:sz w:val="22"/>
                <w:szCs w:val="22"/>
                <w:lang w:val="en-US"/>
              </w:rPr>
            </w:pPr>
            <w:r>
              <w:rPr>
                <w:rFonts w:hint="default" w:ascii="Times New Roman" w:hAnsi="Times New Roman" w:eastAsia="宋体" w:cs="Times New Roman"/>
                <w:b w:val="0"/>
                <w:bCs/>
                <w:color w:val="auto"/>
                <w:kern w:val="0"/>
                <w:sz w:val="22"/>
                <w:szCs w:val="22"/>
                <w:lang w:val="en-US" w:eastAsia="zh-CN"/>
              </w:rPr>
              <w:t>东地块生活污水</w:t>
            </w:r>
            <w:r>
              <w:rPr>
                <w:rFonts w:hint="eastAsia" w:cs="Times New Roman"/>
                <w:b w:val="0"/>
                <w:bCs/>
                <w:color w:val="auto"/>
                <w:kern w:val="0"/>
                <w:sz w:val="22"/>
                <w:szCs w:val="22"/>
                <w:lang w:val="en-US" w:eastAsia="zh-CN"/>
              </w:rPr>
              <w:t>+厂区设施清洁废水</w:t>
            </w:r>
          </w:p>
        </w:tc>
        <w:tc>
          <w:tcPr>
            <w:tcW w:w="1304" w:type="dxa"/>
            <w:vMerge w:val="restart"/>
            <w:tcBorders>
              <w:tl2br w:val="nil"/>
              <w:tr2bl w:val="nil"/>
            </w:tcBorders>
            <w:shd w:val="clear" w:color="auto" w:fill="auto"/>
            <w:vAlign w:val="center"/>
          </w:tcPr>
          <w:p w14:paraId="78E246F1">
            <w:pPr>
              <w:jc w:val="center"/>
              <w:rPr>
                <w:rFonts w:hint="default" w:ascii="Times New Roman" w:hAnsi="Times New Roman" w:eastAsia="宋体" w:cs="Times New Roman"/>
                <w:b w:val="0"/>
                <w:bCs/>
                <w:color w:val="auto"/>
                <w:kern w:val="0"/>
                <w:sz w:val="22"/>
                <w:szCs w:val="22"/>
                <w:lang w:val="en-US" w:eastAsia="zh-CN"/>
              </w:rPr>
            </w:pPr>
            <w:r>
              <w:rPr>
                <w:rFonts w:hint="eastAsia" w:cs="Times New Roman"/>
                <w:b w:val="0"/>
                <w:bCs/>
                <w:color w:val="auto"/>
                <w:kern w:val="0"/>
                <w:sz w:val="22"/>
                <w:szCs w:val="22"/>
                <w:lang w:val="en-US" w:eastAsia="zh-CN"/>
              </w:rPr>
              <w:t>4.785</w:t>
            </w:r>
            <w:r>
              <w:rPr>
                <w:rFonts w:hint="default" w:ascii="Times New Roman" w:hAnsi="Times New Roman" w:eastAsia="宋体" w:cs="Times New Roman"/>
                <w:b w:val="0"/>
                <w:bCs/>
                <w:color w:val="auto"/>
                <w:kern w:val="0"/>
                <w:sz w:val="22"/>
                <w:szCs w:val="22"/>
                <w:lang w:val="en-US" w:eastAsia="zh-CN"/>
              </w:rPr>
              <w:t>m</w:t>
            </w:r>
            <w:r>
              <w:rPr>
                <w:rFonts w:hint="eastAsia" w:ascii="Times New Roman" w:hAnsi="Times New Roman" w:eastAsia="宋体" w:cs="Times New Roman"/>
                <w:b w:val="0"/>
                <w:bCs/>
                <w:color w:val="auto"/>
                <w:kern w:val="0"/>
                <w:sz w:val="22"/>
                <w:szCs w:val="22"/>
                <w:vertAlign w:val="superscript"/>
                <w:lang w:val="en-US" w:eastAsia="zh-CN"/>
              </w:rPr>
              <w:t>3</w:t>
            </w:r>
            <w:r>
              <w:rPr>
                <w:rFonts w:hint="default" w:ascii="Times New Roman" w:hAnsi="Times New Roman" w:eastAsia="宋体" w:cs="Times New Roman"/>
                <w:b w:val="0"/>
                <w:bCs/>
                <w:color w:val="auto"/>
                <w:kern w:val="0"/>
                <w:sz w:val="22"/>
                <w:szCs w:val="22"/>
                <w:lang w:val="en-US" w:eastAsia="zh-CN"/>
              </w:rPr>
              <w:t>/d</w:t>
            </w:r>
          </w:p>
          <w:p w14:paraId="59AF6D8B">
            <w:pPr>
              <w:jc w:val="center"/>
              <w:rPr>
                <w:rFonts w:hint="default" w:ascii="Times New Roman" w:hAnsi="Times New Roman" w:eastAsia="宋体" w:cs="Times New Roman"/>
                <w:b w:val="0"/>
                <w:bCs/>
                <w:color w:val="auto"/>
                <w:kern w:val="0"/>
                <w:sz w:val="22"/>
                <w:szCs w:val="22"/>
              </w:rPr>
            </w:pPr>
            <w:r>
              <w:rPr>
                <w:rFonts w:hint="eastAsia" w:cs="Times New Roman"/>
                <w:b w:val="0"/>
                <w:bCs/>
                <w:color w:val="auto"/>
                <w:kern w:val="0"/>
                <w:sz w:val="22"/>
                <w:szCs w:val="22"/>
                <w:lang w:val="en-US" w:eastAsia="zh-CN"/>
              </w:rPr>
              <w:t>1435.5</w:t>
            </w:r>
            <w:r>
              <w:rPr>
                <w:rFonts w:hint="default" w:ascii="Times New Roman" w:hAnsi="Times New Roman" w:eastAsia="宋体" w:cs="Times New Roman"/>
                <w:b w:val="0"/>
                <w:bCs/>
                <w:color w:val="auto"/>
                <w:kern w:val="0"/>
                <w:sz w:val="22"/>
                <w:szCs w:val="22"/>
                <w:lang w:val="en-US" w:eastAsia="zh-CN"/>
              </w:rPr>
              <w:t>m</w:t>
            </w:r>
            <w:r>
              <w:rPr>
                <w:rFonts w:hint="eastAsia" w:ascii="Times New Roman" w:hAnsi="Times New Roman" w:eastAsia="宋体" w:cs="Times New Roman"/>
                <w:b w:val="0"/>
                <w:bCs/>
                <w:color w:val="auto"/>
                <w:kern w:val="0"/>
                <w:sz w:val="22"/>
                <w:szCs w:val="22"/>
                <w:vertAlign w:val="superscript"/>
                <w:lang w:val="en-US" w:eastAsia="zh-CN"/>
              </w:rPr>
              <w:t>3</w:t>
            </w:r>
            <w:r>
              <w:rPr>
                <w:rFonts w:hint="default" w:ascii="Times New Roman" w:hAnsi="Times New Roman" w:eastAsia="宋体" w:cs="Times New Roman"/>
                <w:b w:val="0"/>
                <w:bCs/>
                <w:color w:val="auto"/>
                <w:kern w:val="0"/>
                <w:sz w:val="22"/>
                <w:szCs w:val="22"/>
                <w:lang w:val="en-US" w:eastAsia="zh-CN"/>
              </w:rPr>
              <w:t>/a</w:t>
            </w:r>
          </w:p>
        </w:tc>
        <w:tc>
          <w:tcPr>
            <w:tcW w:w="852" w:type="dxa"/>
            <w:tcBorders>
              <w:tl2br w:val="nil"/>
              <w:tr2bl w:val="nil"/>
            </w:tcBorders>
            <w:shd w:val="clear" w:color="auto" w:fill="auto"/>
            <w:vAlign w:val="center"/>
          </w:tcPr>
          <w:p w14:paraId="6314A51A">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COD</w:t>
            </w:r>
          </w:p>
        </w:tc>
        <w:tc>
          <w:tcPr>
            <w:tcW w:w="976" w:type="dxa"/>
            <w:tcBorders>
              <w:tl2br w:val="nil"/>
              <w:tr2bl w:val="nil"/>
            </w:tcBorders>
            <w:shd w:val="clear" w:color="auto" w:fill="auto"/>
            <w:vAlign w:val="center"/>
          </w:tcPr>
          <w:p w14:paraId="2E0CB49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500</w:t>
            </w:r>
          </w:p>
        </w:tc>
        <w:tc>
          <w:tcPr>
            <w:tcW w:w="1225" w:type="dxa"/>
            <w:tcBorders>
              <w:tl2br w:val="nil"/>
              <w:tr2bl w:val="nil"/>
            </w:tcBorders>
            <w:shd w:val="clear" w:color="auto" w:fill="auto"/>
            <w:vAlign w:val="center"/>
          </w:tcPr>
          <w:p w14:paraId="44E0F4C2">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0.718 </w:t>
            </w:r>
          </w:p>
        </w:tc>
        <w:tc>
          <w:tcPr>
            <w:tcW w:w="1562" w:type="dxa"/>
            <w:vMerge w:val="restart"/>
            <w:tcBorders>
              <w:tl2br w:val="nil"/>
              <w:tr2bl w:val="nil"/>
            </w:tcBorders>
            <w:shd w:val="clear" w:color="auto" w:fill="auto"/>
            <w:vAlign w:val="center"/>
          </w:tcPr>
          <w:p w14:paraId="4FE27A10">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经</w:t>
            </w:r>
            <w:r>
              <w:rPr>
                <w:rFonts w:hint="eastAsia" w:cs="Times New Roman"/>
                <w:b w:val="0"/>
                <w:bCs/>
                <w:color w:val="auto"/>
                <w:kern w:val="0"/>
                <w:sz w:val="22"/>
                <w:szCs w:val="22"/>
                <w:lang w:val="en-US" w:eastAsia="zh-CN"/>
              </w:rPr>
              <w:t>化粪池</w:t>
            </w:r>
            <w:r>
              <w:rPr>
                <w:rFonts w:hint="default" w:ascii="Times New Roman" w:hAnsi="Times New Roman" w:eastAsia="宋体" w:cs="Times New Roman"/>
                <w:b w:val="0"/>
                <w:bCs/>
                <w:color w:val="auto"/>
                <w:kern w:val="0"/>
                <w:sz w:val="22"/>
                <w:szCs w:val="22"/>
                <w:lang w:val="en-US" w:eastAsia="zh-CN"/>
              </w:rPr>
              <w:t>（东地块</w:t>
            </w:r>
            <w:r>
              <w:rPr>
                <w:rFonts w:hint="eastAsia" w:cs="Times New Roman"/>
                <w:b w:val="0"/>
                <w:bCs/>
                <w:color w:val="auto"/>
                <w:kern w:val="0"/>
                <w:sz w:val="22"/>
                <w:szCs w:val="22"/>
                <w:lang w:val="en-US" w:eastAsia="zh-CN"/>
              </w:rPr>
              <w:t>化粪池</w:t>
            </w:r>
            <w:r>
              <w:rPr>
                <w:rFonts w:hint="default" w:ascii="Times New Roman" w:hAnsi="Times New Roman" w:eastAsia="宋体" w:cs="Times New Roman"/>
                <w:b w:val="0"/>
                <w:bCs/>
                <w:color w:val="auto"/>
                <w:kern w:val="0"/>
                <w:sz w:val="22"/>
                <w:szCs w:val="22"/>
                <w:lang w:val="en-US" w:eastAsia="zh-CN"/>
              </w:rPr>
              <w:t>设计处理能力为50m</w:t>
            </w:r>
            <w:r>
              <w:rPr>
                <w:rFonts w:hint="default" w:ascii="Times New Roman" w:hAnsi="Times New Roman" w:eastAsia="宋体" w:cs="Times New Roman"/>
                <w:b w:val="0"/>
                <w:bCs/>
                <w:color w:val="auto"/>
                <w:kern w:val="0"/>
                <w:sz w:val="22"/>
                <w:szCs w:val="22"/>
                <w:vertAlign w:val="superscript"/>
                <w:lang w:val="en-US" w:eastAsia="zh-CN"/>
              </w:rPr>
              <w:t>3</w:t>
            </w:r>
            <w:r>
              <w:rPr>
                <w:rFonts w:hint="default" w:ascii="Times New Roman" w:hAnsi="Times New Roman" w:eastAsia="宋体" w:cs="Times New Roman"/>
                <w:b w:val="0"/>
                <w:bCs/>
                <w:color w:val="auto"/>
                <w:kern w:val="0"/>
                <w:sz w:val="22"/>
                <w:szCs w:val="22"/>
                <w:lang w:val="en-US" w:eastAsia="zh-CN"/>
              </w:rPr>
              <w:t>/d，西地块设计处理能力为40m</w:t>
            </w:r>
            <w:r>
              <w:rPr>
                <w:rFonts w:hint="default" w:ascii="Times New Roman" w:hAnsi="Times New Roman" w:eastAsia="宋体" w:cs="Times New Roman"/>
                <w:b w:val="0"/>
                <w:bCs/>
                <w:color w:val="auto"/>
                <w:kern w:val="0"/>
                <w:sz w:val="22"/>
                <w:szCs w:val="22"/>
                <w:vertAlign w:val="superscript"/>
                <w:lang w:val="en-US" w:eastAsia="zh-CN"/>
              </w:rPr>
              <w:t>3</w:t>
            </w:r>
            <w:r>
              <w:rPr>
                <w:rFonts w:hint="default" w:ascii="Times New Roman" w:hAnsi="Times New Roman" w:eastAsia="宋体" w:cs="Times New Roman"/>
                <w:b w:val="0"/>
                <w:bCs/>
                <w:color w:val="auto"/>
                <w:kern w:val="0"/>
                <w:sz w:val="22"/>
                <w:szCs w:val="22"/>
                <w:lang w:val="en-US" w:eastAsia="zh-CN"/>
              </w:rPr>
              <w:t>/d）处理后，再经园区污水管网排入陶家工业污水处理厂进行进一步集中处理</w:t>
            </w:r>
          </w:p>
        </w:tc>
        <w:tc>
          <w:tcPr>
            <w:tcW w:w="925" w:type="dxa"/>
            <w:tcBorders>
              <w:tl2br w:val="nil"/>
              <w:tr2bl w:val="nil"/>
            </w:tcBorders>
            <w:shd w:val="clear" w:color="auto" w:fill="auto"/>
            <w:noWrap/>
            <w:vAlign w:val="center"/>
          </w:tcPr>
          <w:p w14:paraId="2F285D8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740357E5">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350</w:t>
            </w:r>
          </w:p>
        </w:tc>
        <w:tc>
          <w:tcPr>
            <w:tcW w:w="1113" w:type="dxa"/>
            <w:tcBorders>
              <w:tl2br w:val="nil"/>
              <w:tr2bl w:val="nil"/>
            </w:tcBorders>
            <w:shd w:val="clear" w:color="auto" w:fill="auto"/>
            <w:noWrap/>
            <w:vAlign w:val="center"/>
          </w:tcPr>
          <w:p w14:paraId="5C68A7A5">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0.502 </w:t>
            </w:r>
          </w:p>
        </w:tc>
        <w:tc>
          <w:tcPr>
            <w:tcW w:w="1050" w:type="dxa"/>
            <w:tcBorders>
              <w:tl2br w:val="nil"/>
              <w:tr2bl w:val="nil"/>
            </w:tcBorders>
            <w:shd w:val="clear" w:color="auto" w:fill="auto"/>
            <w:noWrap/>
            <w:vAlign w:val="center"/>
          </w:tcPr>
          <w:p w14:paraId="59717C0D">
            <w:pPr>
              <w:jc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b w:val="0"/>
                <w:bCs/>
                <w:color w:val="auto"/>
                <w:kern w:val="0"/>
                <w:sz w:val="22"/>
                <w:szCs w:val="22"/>
                <w:lang w:val="en-US" w:eastAsia="zh-CN"/>
              </w:rPr>
              <w:t>30</w:t>
            </w:r>
          </w:p>
        </w:tc>
        <w:tc>
          <w:tcPr>
            <w:tcW w:w="987" w:type="dxa"/>
            <w:tcBorders>
              <w:tl2br w:val="nil"/>
              <w:tr2bl w:val="nil"/>
            </w:tcBorders>
            <w:shd w:val="clear" w:color="auto" w:fill="auto"/>
            <w:noWrap/>
            <w:vAlign w:val="center"/>
          </w:tcPr>
          <w:p w14:paraId="04197221">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0.043 </w:t>
            </w:r>
          </w:p>
        </w:tc>
        <w:tc>
          <w:tcPr>
            <w:tcW w:w="750" w:type="dxa"/>
            <w:tcBorders>
              <w:tl2br w:val="nil"/>
              <w:tr2bl w:val="nil"/>
            </w:tcBorders>
            <w:shd w:val="clear" w:color="auto" w:fill="auto"/>
            <w:vAlign w:val="center"/>
          </w:tcPr>
          <w:p w14:paraId="15308C3E">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30</w:t>
            </w:r>
          </w:p>
        </w:tc>
        <w:tc>
          <w:tcPr>
            <w:tcW w:w="712" w:type="dxa"/>
            <w:vMerge w:val="restart"/>
            <w:tcBorders>
              <w:tl2br w:val="nil"/>
              <w:tr2bl w:val="nil"/>
            </w:tcBorders>
            <w:shd w:val="clear" w:color="auto" w:fill="auto"/>
            <w:noWrap/>
            <w:vAlign w:val="center"/>
          </w:tcPr>
          <w:p w14:paraId="604D248A">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可行</w:t>
            </w:r>
          </w:p>
        </w:tc>
      </w:tr>
      <w:tr w14:paraId="76BBC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1022" w:type="dxa"/>
            <w:vMerge w:val="continue"/>
            <w:tcBorders>
              <w:tl2br w:val="nil"/>
              <w:tr2bl w:val="nil"/>
            </w:tcBorders>
            <w:shd w:val="clear" w:color="auto" w:fill="auto"/>
            <w:vAlign w:val="center"/>
          </w:tcPr>
          <w:p w14:paraId="496D0FDF">
            <w:pPr>
              <w:jc w:val="center"/>
              <w:rPr>
                <w:rFonts w:hint="default" w:ascii="Times New Roman" w:hAnsi="Times New Roman" w:eastAsia="宋体" w:cs="Times New Roman"/>
                <w:b w:val="0"/>
                <w:bCs/>
                <w:color w:val="auto"/>
                <w:kern w:val="0"/>
                <w:sz w:val="22"/>
                <w:szCs w:val="22"/>
              </w:rPr>
            </w:pPr>
          </w:p>
        </w:tc>
        <w:tc>
          <w:tcPr>
            <w:tcW w:w="1304" w:type="dxa"/>
            <w:vMerge w:val="continue"/>
            <w:tcBorders>
              <w:tl2br w:val="nil"/>
              <w:tr2bl w:val="nil"/>
            </w:tcBorders>
            <w:shd w:val="clear" w:color="auto" w:fill="auto"/>
            <w:vAlign w:val="center"/>
          </w:tcPr>
          <w:p w14:paraId="487AFFC6">
            <w:pPr>
              <w:jc w:val="center"/>
              <w:rPr>
                <w:rFonts w:hint="default" w:ascii="Times New Roman" w:hAnsi="Times New Roman" w:eastAsia="宋体" w:cs="Times New Roman"/>
                <w:b w:val="0"/>
                <w:bCs/>
                <w:color w:val="auto"/>
                <w:kern w:val="0"/>
                <w:sz w:val="22"/>
                <w:szCs w:val="22"/>
              </w:rPr>
            </w:pPr>
          </w:p>
        </w:tc>
        <w:tc>
          <w:tcPr>
            <w:tcW w:w="852" w:type="dxa"/>
            <w:tcBorders>
              <w:tl2br w:val="nil"/>
              <w:tr2bl w:val="nil"/>
            </w:tcBorders>
            <w:shd w:val="clear" w:color="auto" w:fill="auto"/>
            <w:vAlign w:val="center"/>
          </w:tcPr>
          <w:p w14:paraId="1E000EC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BOD</w:t>
            </w:r>
            <w:r>
              <w:rPr>
                <w:rFonts w:hint="default" w:ascii="Times New Roman" w:hAnsi="Times New Roman" w:eastAsia="宋体" w:cs="Times New Roman"/>
                <w:b w:val="0"/>
                <w:bCs/>
                <w:color w:val="auto"/>
                <w:kern w:val="0"/>
                <w:sz w:val="22"/>
                <w:szCs w:val="22"/>
                <w:vertAlign w:val="subscript"/>
                <w:lang w:val="en-US" w:eastAsia="zh-CN"/>
              </w:rPr>
              <w:t>5</w:t>
            </w:r>
          </w:p>
        </w:tc>
        <w:tc>
          <w:tcPr>
            <w:tcW w:w="976" w:type="dxa"/>
            <w:tcBorders>
              <w:tl2br w:val="nil"/>
              <w:tr2bl w:val="nil"/>
            </w:tcBorders>
            <w:shd w:val="clear" w:color="auto" w:fill="auto"/>
            <w:vAlign w:val="center"/>
          </w:tcPr>
          <w:p w14:paraId="6E741FF0">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300</w:t>
            </w:r>
          </w:p>
        </w:tc>
        <w:tc>
          <w:tcPr>
            <w:tcW w:w="1225" w:type="dxa"/>
            <w:tcBorders>
              <w:tl2br w:val="nil"/>
              <w:tr2bl w:val="nil"/>
            </w:tcBorders>
            <w:shd w:val="clear" w:color="auto" w:fill="auto"/>
            <w:vAlign w:val="center"/>
          </w:tcPr>
          <w:p w14:paraId="044FA16B">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0.431 </w:t>
            </w:r>
          </w:p>
        </w:tc>
        <w:tc>
          <w:tcPr>
            <w:tcW w:w="1562" w:type="dxa"/>
            <w:vMerge w:val="continue"/>
            <w:tcBorders>
              <w:tl2br w:val="nil"/>
              <w:tr2bl w:val="nil"/>
            </w:tcBorders>
            <w:shd w:val="clear" w:color="auto" w:fill="auto"/>
            <w:vAlign w:val="center"/>
          </w:tcPr>
          <w:p w14:paraId="320C5D2C">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2F956E5C">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2D0B2199">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120</w:t>
            </w:r>
          </w:p>
        </w:tc>
        <w:tc>
          <w:tcPr>
            <w:tcW w:w="1113" w:type="dxa"/>
            <w:tcBorders>
              <w:tl2br w:val="nil"/>
              <w:tr2bl w:val="nil"/>
            </w:tcBorders>
            <w:shd w:val="clear" w:color="auto" w:fill="auto"/>
            <w:noWrap/>
            <w:vAlign w:val="center"/>
          </w:tcPr>
          <w:p w14:paraId="415A1A17">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0.172 </w:t>
            </w:r>
          </w:p>
        </w:tc>
        <w:tc>
          <w:tcPr>
            <w:tcW w:w="1050" w:type="dxa"/>
            <w:tcBorders>
              <w:tl2br w:val="nil"/>
              <w:tr2bl w:val="nil"/>
            </w:tcBorders>
            <w:shd w:val="clear" w:color="auto" w:fill="auto"/>
            <w:noWrap/>
            <w:vAlign w:val="center"/>
          </w:tcPr>
          <w:p w14:paraId="2D549ADB">
            <w:pPr>
              <w:jc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b w:val="0"/>
                <w:bCs/>
                <w:color w:val="auto"/>
                <w:kern w:val="0"/>
                <w:sz w:val="22"/>
                <w:szCs w:val="22"/>
                <w:lang w:val="en-US" w:eastAsia="zh-CN"/>
              </w:rPr>
              <w:t>10</w:t>
            </w:r>
          </w:p>
        </w:tc>
        <w:tc>
          <w:tcPr>
            <w:tcW w:w="987" w:type="dxa"/>
            <w:tcBorders>
              <w:tl2br w:val="nil"/>
              <w:tr2bl w:val="nil"/>
            </w:tcBorders>
            <w:shd w:val="clear" w:color="auto" w:fill="auto"/>
            <w:noWrap/>
            <w:vAlign w:val="center"/>
          </w:tcPr>
          <w:p w14:paraId="552F3336">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0.014 </w:t>
            </w:r>
          </w:p>
        </w:tc>
        <w:tc>
          <w:tcPr>
            <w:tcW w:w="750" w:type="dxa"/>
            <w:tcBorders>
              <w:tl2br w:val="nil"/>
              <w:tr2bl w:val="nil"/>
            </w:tcBorders>
            <w:shd w:val="clear" w:color="auto" w:fill="auto"/>
            <w:vAlign w:val="center"/>
          </w:tcPr>
          <w:p w14:paraId="40DAF0B1">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10</w:t>
            </w:r>
          </w:p>
        </w:tc>
        <w:tc>
          <w:tcPr>
            <w:tcW w:w="712" w:type="dxa"/>
            <w:vMerge w:val="continue"/>
            <w:tcBorders>
              <w:tl2br w:val="nil"/>
              <w:tr2bl w:val="nil"/>
            </w:tcBorders>
            <w:shd w:val="clear" w:color="auto" w:fill="auto"/>
            <w:noWrap/>
            <w:vAlign w:val="center"/>
          </w:tcPr>
          <w:p w14:paraId="19F2BD13">
            <w:pPr>
              <w:jc w:val="center"/>
              <w:rPr>
                <w:rFonts w:hint="default" w:ascii="Times New Roman" w:hAnsi="Times New Roman" w:eastAsia="宋体" w:cs="Times New Roman"/>
                <w:b w:val="0"/>
                <w:bCs/>
                <w:color w:val="auto"/>
                <w:kern w:val="0"/>
                <w:sz w:val="22"/>
                <w:szCs w:val="22"/>
              </w:rPr>
            </w:pPr>
          </w:p>
        </w:tc>
      </w:tr>
      <w:tr w14:paraId="5C4B9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1022" w:type="dxa"/>
            <w:vMerge w:val="continue"/>
            <w:tcBorders>
              <w:tl2br w:val="nil"/>
              <w:tr2bl w:val="nil"/>
            </w:tcBorders>
            <w:shd w:val="clear" w:color="auto" w:fill="auto"/>
            <w:vAlign w:val="center"/>
          </w:tcPr>
          <w:p w14:paraId="04FDC03C">
            <w:pPr>
              <w:jc w:val="center"/>
              <w:rPr>
                <w:rFonts w:hint="default" w:ascii="Times New Roman" w:hAnsi="Times New Roman" w:eastAsia="宋体" w:cs="Times New Roman"/>
                <w:b w:val="0"/>
                <w:bCs/>
                <w:color w:val="auto"/>
                <w:kern w:val="0"/>
                <w:sz w:val="22"/>
                <w:szCs w:val="22"/>
              </w:rPr>
            </w:pPr>
          </w:p>
        </w:tc>
        <w:tc>
          <w:tcPr>
            <w:tcW w:w="1304" w:type="dxa"/>
            <w:vMerge w:val="continue"/>
            <w:tcBorders>
              <w:tl2br w:val="nil"/>
              <w:tr2bl w:val="nil"/>
            </w:tcBorders>
            <w:shd w:val="clear" w:color="auto" w:fill="auto"/>
            <w:noWrap/>
            <w:vAlign w:val="center"/>
          </w:tcPr>
          <w:p w14:paraId="71BCBF71">
            <w:pPr>
              <w:jc w:val="center"/>
              <w:rPr>
                <w:rFonts w:hint="default" w:ascii="Times New Roman" w:hAnsi="Times New Roman" w:eastAsia="宋体" w:cs="Times New Roman"/>
                <w:b w:val="0"/>
                <w:bCs/>
                <w:color w:val="auto"/>
                <w:kern w:val="0"/>
                <w:sz w:val="22"/>
                <w:szCs w:val="22"/>
              </w:rPr>
            </w:pPr>
          </w:p>
        </w:tc>
        <w:tc>
          <w:tcPr>
            <w:tcW w:w="852" w:type="dxa"/>
            <w:tcBorders>
              <w:tl2br w:val="nil"/>
              <w:tr2bl w:val="nil"/>
            </w:tcBorders>
            <w:shd w:val="clear" w:color="auto" w:fill="auto"/>
            <w:vAlign w:val="center"/>
          </w:tcPr>
          <w:p w14:paraId="5D453BD7">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SS</w:t>
            </w:r>
          </w:p>
        </w:tc>
        <w:tc>
          <w:tcPr>
            <w:tcW w:w="976" w:type="dxa"/>
            <w:tcBorders>
              <w:tl2br w:val="nil"/>
              <w:tr2bl w:val="nil"/>
            </w:tcBorders>
            <w:shd w:val="clear" w:color="auto" w:fill="auto"/>
            <w:vAlign w:val="center"/>
          </w:tcPr>
          <w:p w14:paraId="4FDDB7F0">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400</w:t>
            </w:r>
          </w:p>
        </w:tc>
        <w:tc>
          <w:tcPr>
            <w:tcW w:w="1225" w:type="dxa"/>
            <w:tcBorders>
              <w:tl2br w:val="nil"/>
              <w:tr2bl w:val="nil"/>
            </w:tcBorders>
            <w:shd w:val="clear" w:color="auto" w:fill="auto"/>
            <w:vAlign w:val="center"/>
          </w:tcPr>
          <w:p w14:paraId="5395FABB">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0.574 </w:t>
            </w:r>
          </w:p>
        </w:tc>
        <w:tc>
          <w:tcPr>
            <w:tcW w:w="1562" w:type="dxa"/>
            <w:vMerge w:val="continue"/>
            <w:tcBorders>
              <w:tl2br w:val="nil"/>
              <w:tr2bl w:val="nil"/>
            </w:tcBorders>
            <w:shd w:val="clear" w:color="auto" w:fill="auto"/>
            <w:vAlign w:val="center"/>
          </w:tcPr>
          <w:p w14:paraId="67104046">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1CB98CDE">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57A29D3D">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320</w:t>
            </w:r>
          </w:p>
        </w:tc>
        <w:tc>
          <w:tcPr>
            <w:tcW w:w="1113" w:type="dxa"/>
            <w:tcBorders>
              <w:tl2br w:val="nil"/>
              <w:tr2bl w:val="nil"/>
            </w:tcBorders>
            <w:shd w:val="clear" w:color="auto" w:fill="auto"/>
            <w:noWrap/>
            <w:vAlign w:val="center"/>
          </w:tcPr>
          <w:p w14:paraId="6C2D39B0">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0.459 </w:t>
            </w:r>
          </w:p>
        </w:tc>
        <w:tc>
          <w:tcPr>
            <w:tcW w:w="1050" w:type="dxa"/>
            <w:tcBorders>
              <w:tl2br w:val="nil"/>
              <w:tr2bl w:val="nil"/>
            </w:tcBorders>
            <w:shd w:val="clear" w:color="auto" w:fill="auto"/>
            <w:noWrap/>
            <w:vAlign w:val="center"/>
          </w:tcPr>
          <w:p w14:paraId="7821CBDF">
            <w:pPr>
              <w:jc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b w:val="0"/>
                <w:bCs/>
                <w:color w:val="auto"/>
                <w:kern w:val="0"/>
                <w:sz w:val="22"/>
                <w:szCs w:val="22"/>
                <w:lang w:val="en-US" w:eastAsia="zh-CN"/>
              </w:rPr>
              <w:t>10</w:t>
            </w:r>
          </w:p>
        </w:tc>
        <w:tc>
          <w:tcPr>
            <w:tcW w:w="987" w:type="dxa"/>
            <w:tcBorders>
              <w:tl2br w:val="nil"/>
              <w:tr2bl w:val="nil"/>
            </w:tcBorders>
            <w:shd w:val="clear" w:color="auto" w:fill="auto"/>
            <w:noWrap/>
            <w:vAlign w:val="center"/>
          </w:tcPr>
          <w:p w14:paraId="3FC2AA01">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0.014 </w:t>
            </w:r>
          </w:p>
        </w:tc>
        <w:tc>
          <w:tcPr>
            <w:tcW w:w="750" w:type="dxa"/>
            <w:tcBorders>
              <w:tl2br w:val="nil"/>
              <w:tr2bl w:val="nil"/>
            </w:tcBorders>
            <w:shd w:val="clear" w:color="auto" w:fill="auto"/>
            <w:vAlign w:val="center"/>
          </w:tcPr>
          <w:p w14:paraId="55EE60A6">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10</w:t>
            </w:r>
          </w:p>
        </w:tc>
        <w:tc>
          <w:tcPr>
            <w:tcW w:w="712" w:type="dxa"/>
            <w:vMerge w:val="continue"/>
            <w:tcBorders>
              <w:tl2br w:val="nil"/>
              <w:tr2bl w:val="nil"/>
            </w:tcBorders>
            <w:shd w:val="clear" w:color="auto" w:fill="auto"/>
            <w:noWrap/>
            <w:vAlign w:val="center"/>
          </w:tcPr>
          <w:p w14:paraId="405F9900">
            <w:pPr>
              <w:jc w:val="center"/>
              <w:rPr>
                <w:rFonts w:hint="default" w:ascii="Times New Roman" w:hAnsi="Times New Roman" w:eastAsia="宋体" w:cs="Times New Roman"/>
                <w:b w:val="0"/>
                <w:bCs/>
                <w:color w:val="auto"/>
                <w:kern w:val="0"/>
                <w:sz w:val="22"/>
                <w:szCs w:val="22"/>
              </w:rPr>
            </w:pPr>
          </w:p>
        </w:tc>
      </w:tr>
      <w:tr w14:paraId="2606A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1022" w:type="dxa"/>
            <w:vMerge w:val="continue"/>
            <w:tcBorders>
              <w:tl2br w:val="nil"/>
              <w:tr2bl w:val="nil"/>
            </w:tcBorders>
            <w:shd w:val="clear" w:color="auto" w:fill="auto"/>
            <w:vAlign w:val="center"/>
          </w:tcPr>
          <w:p w14:paraId="16E04D1D">
            <w:pPr>
              <w:jc w:val="center"/>
              <w:rPr>
                <w:rFonts w:hint="default" w:ascii="Times New Roman" w:hAnsi="Times New Roman" w:eastAsia="宋体" w:cs="Times New Roman"/>
                <w:b w:val="0"/>
                <w:bCs/>
                <w:color w:val="auto"/>
                <w:kern w:val="0"/>
                <w:sz w:val="22"/>
                <w:szCs w:val="22"/>
              </w:rPr>
            </w:pPr>
          </w:p>
        </w:tc>
        <w:tc>
          <w:tcPr>
            <w:tcW w:w="1304" w:type="dxa"/>
            <w:vMerge w:val="continue"/>
            <w:tcBorders>
              <w:tl2br w:val="nil"/>
              <w:tr2bl w:val="nil"/>
            </w:tcBorders>
            <w:shd w:val="clear" w:color="auto" w:fill="auto"/>
            <w:noWrap/>
            <w:vAlign w:val="center"/>
          </w:tcPr>
          <w:p w14:paraId="21EA1482">
            <w:pPr>
              <w:jc w:val="center"/>
              <w:rPr>
                <w:rFonts w:hint="default" w:ascii="Times New Roman" w:hAnsi="Times New Roman" w:eastAsia="宋体" w:cs="Times New Roman"/>
                <w:b w:val="0"/>
                <w:bCs/>
                <w:color w:val="auto"/>
                <w:kern w:val="0"/>
                <w:sz w:val="22"/>
                <w:szCs w:val="22"/>
              </w:rPr>
            </w:pPr>
          </w:p>
        </w:tc>
        <w:tc>
          <w:tcPr>
            <w:tcW w:w="852" w:type="dxa"/>
            <w:tcBorders>
              <w:tl2br w:val="nil"/>
              <w:tr2bl w:val="nil"/>
            </w:tcBorders>
            <w:shd w:val="clear" w:color="auto" w:fill="auto"/>
            <w:vAlign w:val="center"/>
          </w:tcPr>
          <w:p w14:paraId="247323E3">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NH</w:t>
            </w:r>
            <w:r>
              <w:rPr>
                <w:rFonts w:hint="default" w:ascii="Times New Roman" w:hAnsi="Times New Roman" w:eastAsia="宋体" w:cs="Times New Roman"/>
                <w:b w:val="0"/>
                <w:bCs/>
                <w:color w:val="auto"/>
                <w:kern w:val="0"/>
                <w:sz w:val="22"/>
                <w:szCs w:val="22"/>
                <w:vertAlign w:val="subscript"/>
                <w:lang w:val="en-US" w:eastAsia="zh-CN"/>
              </w:rPr>
              <w:t>3</w:t>
            </w:r>
            <w:r>
              <w:rPr>
                <w:rFonts w:hint="default" w:ascii="Times New Roman" w:hAnsi="Times New Roman" w:eastAsia="宋体" w:cs="Times New Roman"/>
                <w:b w:val="0"/>
                <w:bCs/>
                <w:color w:val="auto"/>
                <w:kern w:val="0"/>
                <w:sz w:val="22"/>
                <w:szCs w:val="22"/>
                <w:lang w:val="en-US" w:eastAsia="zh-CN"/>
              </w:rPr>
              <w:t>-N</w:t>
            </w:r>
          </w:p>
        </w:tc>
        <w:tc>
          <w:tcPr>
            <w:tcW w:w="976" w:type="dxa"/>
            <w:tcBorders>
              <w:tl2br w:val="nil"/>
              <w:tr2bl w:val="nil"/>
            </w:tcBorders>
            <w:shd w:val="clear" w:color="auto" w:fill="auto"/>
            <w:vAlign w:val="center"/>
          </w:tcPr>
          <w:p w14:paraId="0CAB10A1">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45</w:t>
            </w:r>
          </w:p>
        </w:tc>
        <w:tc>
          <w:tcPr>
            <w:tcW w:w="1225" w:type="dxa"/>
            <w:tcBorders>
              <w:tl2br w:val="nil"/>
              <w:tr2bl w:val="nil"/>
            </w:tcBorders>
            <w:shd w:val="clear" w:color="auto" w:fill="auto"/>
            <w:vAlign w:val="center"/>
          </w:tcPr>
          <w:p w14:paraId="6E0144C5">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0.065 </w:t>
            </w:r>
          </w:p>
        </w:tc>
        <w:tc>
          <w:tcPr>
            <w:tcW w:w="1562" w:type="dxa"/>
            <w:vMerge w:val="continue"/>
            <w:tcBorders>
              <w:tl2br w:val="nil"/>
              <w:tr2bl w:val="nil"/>
            </w:tcBorders>
            <w:shd w:val="clear" w:color="auto" w:fill="auto"/>
            <w:vAlign w:val="center"/>
          </w:tcPr>
          <w:p w14:paraId="3A1A31CF">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58795255">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6ACC6ED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40</w:t>
            </w:r>
          </w:p>
        </w:tc>
        <w:tc>
          <w:tcPr>
            <w:tcW w:w="1113" w:type="dxa"/>
            <w:tcBorders>
              <w:tl2br w:val="nil"/>
              <w:tr2bl w:val="nil"/>
            </w:tcBorders>
            <w:shd w:val="clear" w:color="auto" w:fill="auto"/>
            <w:noWrap/>
            <w:vAlign w:val="center"/>
          </w:tcPr>
          <w:p w14:paraId="059691CD">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0.057 </w:t>
            </w:r>
          </w:p>
        </w:tc>
        <w:tc>
          <w:tcPr>
            <w:tcW w:w="1050" w:type="dxa"/>
            <w:tcBorders>
              <w:tl2br w:val="nil"/>
              <w:tr2bl w:val="nil"/>
            </w:tcBorders>
            <w:shd w:val="clear" w:color="auto" w:fill="auto"/>
            <w:noWrap/>
            <w:vAlign w:val="center"/>
          </w:tcPr>
          <w:p w14:paraId="50C79457">
            <w:pPr>
              <w:jc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b w:val="0"/>
                <w:bCs/>
                <w:color w:val="auto"/>
                <w:kern w:val="0"/>
                <w:sz w:val="22"/>
                <w:szCs w:val="22"/>
                <w:lang w:val="en-US" w:eastAsia="zh-CN"/>
              </w:rPr>
              <w:t>1.5</w:t>
            </w:r>
          </w:p>
        </w:tc>
        <w:tc>
          <w:tcPr>
            <w:tcW w:w="987" w:type="dxa"/>
            <w:tcBorders>
              <w:tl2br w:val="nil"/>
              <w:tr2bl w:val="nil"/>
            </w:tcBorders>
            <w:shd w:val="clear" w:color="auto" w:fill="auto"/>
            <w:noWrap/>
            <w:vAlign w:val="center"/>
          </w:tcPr>
          <w:p w14:paraId="72A7DC25">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0.002 </w:t>
            </w:r>
          </w:p>
        </w:tc>
        <w:tc>
          <w:tcPr>
            <w:tcW w:w="750" w:type="dxa"/>
            <w:tcBorders>
              <w:tl2br w:val="nil"/>
              <w:tr2bl w:val="nil"/>
            </w:tcBorders>
            <w:shd w:val="clear" w:color="auto" w:fill="auto"/>
            <w:vAlign w:val="center"/>
          </w:tcPr>
          <w:p w14:paraId="08174424">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1.5</w:t>
            </w:r>
          </w:p>
        </w:tc>
        <w:tc>
          <w:tcPr>
            <w:tcW w:w="712" w:type="dxa"/>
            <w:vMerge w:val="continue"/>
            <w:tcBorders>
              <w:tl2br w:val="nil"/>
              <w:tr2bl w:val="nil"/>
            </w:tcBorders>
            <w:shd w:val="clear" w:color="auto" w:fill="auto"/>
            <w:noWrap/>
            <w:vAlign w:val="center"/>
          </w:tcPr>
          <w:p w14:paraId="52482BDC">
            <w:pPr>
              <w:jc w:val="center"/>
              <w:rPr>
                <w:rFonts w:hint="default" w:ascii="Times New Roman" w:hAnsi="Times New Roman" w:eastAsia="宋体" w:cs="Times New Roman"/>
                <w:b w:val="0"/>
                <w:bCs/>
                <w:color w:val="auto"/>
                <w:kern w:val="0"/>
                <w:sz w:val="22"/>
                <w:szCs w:val="22"/>
              </w:rPr>
            </w:pPr>
          </w:p>
        </w:tc>
      </w:tr>
      <w:tr w14:paraId="04CD4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1022" w:type="dxa"/>
            <w:vMerge w:val="continue"/>
            <w:tcBorders>
              <w:tl2br w:val="nil"/>
              <w:tr2bl w:val="nil"/>
            </w:tcBorders>
            <w:shd w:val="clear" w:color="auto" w:fill="auto"/>
            <w:vAlign w:val="center"/>
          </w:tcPr>
          <w:p w14:paraId="5AA64E7C">
            <w:pPr>
              <w:jc w:val="center"/>
              <w:rPr>
                <w:rFonts w:hint="default" w:ascii="Times New Roman" w:hAnsi="Times New Roman" w:eastAsia="宋体" w:cs="Times New Roman"/>
                <w:b w:val="0"/>
                <w:bCs/>
                <w:color w:val="auto"/>
                <w:kern w:val="0"/>
                <w:sz w:val="22"/>
                <w:szCs w:val="22"/>
              </w:rPr>
            </w:pPr>
          </w:p>
        </w:tc>
        <w:tc>
          <w:tcPr>
            <w:tcW w:w="1304" w:type="dxa"/>
            <w:vMerge w:val="continue"/>
            <w:tcBorders>
              <w:tl2br w:val="nil"/>
              <w:tr2bl w:val="nil"/>
            </w:tcBorders>
            <w:shd w:val="clear" w:color="auto" w:fill="auto"/>
            <w:noWrap/>
            <w:vAlign w:val="center"/>
          </w:tcPr>
          <w:p w14:paraId="245733A7">
            <w:pPr>
              <w:jc w:val="center"/>
              <w:rPr>
                <w:rFonts w:hint="default" w:ascii="Times New Roman" w:hAnsi="Times New Roman" w:eastAsia="宋体" w:cs="Times New Roman"/>
                <w:b w:val="0"/>
                <w:bCs/>
                <w:color w:val="auto"/>
                <w:kern w:val="0"/>
                <w:sz w:val="22"/>
                <w:szCs w:val="22"/>
              </w:rPr>
            </w:pPr>
          </w:p>
        </w:tc>
        <w:tc>
          <w:tcPr>
            <w:tcW w:w="852" w:type="dxa"/>
            <w:tcBorders>
              <w:tl2br w:val="nil"/>
              <w:tr2bl w:val="nil"/>
            </w:tcBorders>
            <w:shd w:val="clear" w:color="auto" w:fill="auto"/>
            <w:vAlign w:val="center"/>
          </w:tcPr>
          <w:p w14:paraId="5FCAEE95">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动植物油</w:t>
            </w:r>
          </w:p>
        </w:tc>
        <w:tc>
          <w:tcPr>
            <w:tcW w:w="976" w:type="dxa"/>
            <w:tcBorders>
              <w:tl2br w:val="nil"/>
              <w:tr2bl w:val="nil"/>
            </w:tcBorders>
            <w:shd w:val="clear" w:color="auto" w:fill="auto"/>
            <w:vAlign w:val="center"/>
          </w:tcPr>
          <w:p w14:paraId="048C673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35</w:t>
            </w:r>
          </w:p>
        </w:tc>
        <w:tc>
          <w:tcPr>
            <w:tcW w:w="1225" w:type="dxa"/>
            <w:tcBorders>
              <w:tl2br w:val="nil"/>
              <w:tr2bl w:val="nil"/>
            </w:tcBorders>
            <w:shd w:val="clear" w:color="auto" w:fill="auto"/>
            <w:vAlign w:val="center"/>
          </w:tcPr>
          <w:p w14:paraId="4E24FEC8">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0.050 </w:t>
            </w:r>
          </w:p>
        </w:tc>
        <w:tc>
          <w:tcPr>
            <w:tcW w:w="1562" w:type="dxa"/>
            <w:vMerge w:val="continue"/>
            <w:tcBorders>
              <w:tl2br w:val="nil"/>
              <w:tr2bl w:val="nil"/>
            </w:tcBorders>
            <w:shd w:val="clear" w:color="auto" w:fill="auto"/>
            <w:vAlign w:val="center"/>
          </w:tcPr>
          <w:p w14:paraId="2029E356">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6702B9D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04CA0C04">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25</w:t>
            </w:r>
          </w:p>
        </w:tc>
        <w:tc>
          <w:tcPr>
            <w:tcW w:w="1113" w:type="dxa"/>
            <w:tcBorders>
              <w:tl2br w:val="nil"/>
              <w:tr2bl w:val="nil"/>
            </w:tcBorders>
            <w:shd w:val="clear" w:color="auto" w:fill="auto"/>
            <w:noWrap/>
            <w:vAlign w:val="center"/>
          </w:tcPr>
          <w:p w14:paraId="1D81E09E">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0.036 </w:t>
            </w:r>
          </w:p>
        </w:tc>
        <w:tc>
          <w:tcPr>
            <w:tcW w:w="1050" w:type="dxa"/>
            <w:tcBorders>
              <w:tl2br w:val="nil"/>
              <w:tr2bl w:val="nil"/>
            </w:tcBorders>
            <w:shd w:val="clear" w:color="auto" w:fill="auto"/>
            <w:noWrap/>
            <w:vAlign w:val="center"/>
          </w:tcPr>
          <w:p w14:paraId="186B78F6">
            <w:pPr>
              <w:jc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b w:val="0"/>
                <w:bCs/>
                <w:color w:val="auto"/>
                <w:kern w:val="0"/>
                <w:sz w:val="22"/>
                <w:szCs w:val="22"/>
                <w:lang w:val="en-US" w:eastAsia="zh-CN"/>
              </w:rPr>
              <w:t>1</w:t>
            </w:r>
          </w:p>
        </w:tc>
        <w:tc>
          <w:tcPr>
            <w:tcW w:w="987" w:type="dxa"/>
            <w:tcBorders>
              <w:tl2br w:val="nil"/>
              <w:tr2bl w:val="nil"/>
            </w:tcBorders>
            <w:shd w:val="clear" w:color="auto" w:fill="auto"/>
            <w:noWrap/>
            <w:vAlign w:val="center"/>
          </w:tcPr>
          <w:p w14:paraId="2E45C844">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c>
          <w:tcPr>
            <w:tcW w:w="750" w:type="dxa"/>
            <w:tcBorders>
              <w:tl2br w:val="nil"/>
              <w:tr2bl w:val="nil"/>
            </w:tcBorders>
            <w:shd w:val="clear" w:color="auto" w:fill="auto"/>
            <w:vAlign w:val="center"/>
          </w:tcPr>
          <w:p w14:paraId="3411D0FB">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1</w:t>
            </w:r>
          </w:p>
        </w:tc>
        <w:tc>
          <w:tcPr>
            <w:tcW w:w="712" w:type="dxa"/>
            <w:vMerge w:val="continue"/>
            <w:tcBorders>
              <w:tl2br w:val="nil"/>
              <w:tr2bl w:val="nil"/>
            </w:tcBorders>
            <w:shd w:val="clear" w:color="auto" w:fill="auto"/>
            <w:noWrap/>
            <w:vAlign w:val="center"/>
          </w:tcPr>
          <w:p w14:paraId="717F27CB">
            <w:pPr>
              <w:jc w:val="center"/>
              <w:rPr>
                <w:rFonts w:hint="default" w:ascii="Times New Roman" w:hAnsi="Times New Roman" w:eastAsia="宋体" w:cs="Times New Roman"/>
                <w:b w:val="0"/>
                <w:bCs/>
                <w:color w:val="auto"/>
                <w:kern w:val="0"/>
                <w:sz w:val="22"/>
                <w:szCs w:val="22"/>
              </w:rPr>
            </w:pPr>
          </w:p>
        </w:tc>
      </w:tr>
      <w:tr w14:paraId="35183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1022" w:type="dxa"/>
            <w:vMerge w:val="restart"/>
            <w:tcBorders>
              <w:tl2br w:val="nil"/>
              <w:tr2bl w:val="nil"/>
            </w:tcBorders>
            <w:shd w:val="clear" w:color="auto" w:fill="auto"/>
            <w:vAlign w:val="center"/>
          </w:tcPr>
          <w:p w14:paraId="3C13126E">
            <w:pPr>
              <w:jc w:val="center"/>
              <w:rPr>
                <w:rFonts w:hint="default" w:ascii="Times New Roman" w:hAnsi="Times New Roman" w:eastAsia="宋体" w:cs="Times New Roman"/>
                <w:b w:val="0"/>
                <w:bCs/>
                <w:color w:val="auto"/>
                <w:kern w:val="0"/>
                <w:sz w:val="22"/>
                <w:szCs w:val="22"/>
                <w:lang w:val="en-US"/>
              </w:rPr>
            </w:pPr>
            <w:r>
              <w:rPr>
                <w:rFonts w:hint="default" w:ascii="Times New Roman" w:hAnsi="Times New Roman" w:eastAsia="宋体" w:cs="Times New Roman"/>
                <w:b w:val="0"/>
                <w:bCs/>
                <w:color w:val="auto"/>
                <w:kern w:val="0"/>
                <w:sz w:val="22"/>
                <w:szCs w:val="22"/>
                <w:lang w:val="en-US" w:eastAsia="zh-CN"/>
              </w:rPr>
              <w:t>西地块生活污水</w:t>
            </w:r>
            <w:r>
              <w:rPr>
                <w:rFonts w:hint="eastAsia" w:cs="Times New Roman"/>
                <w:b w:val="0"/>
                <w:bCs/>
                <w:color w:val="auto"/>
                <w:kern w:val="0"/>
                <w:sz w:val="22"/>
                <w:szCs w:val="22"/>
                <w:lang w:val="en-US" w:eastAsia="zh-CN"/>
              </w:rPr>
              <w:t>+循环水排水+厂区设施清洁废水</w:t>
            </w:r>
          </w:p>
        </w:tc>
        <w:tc>
          <w:tcPr>
            <w:tcW w:w="1304" w:type="dxa"/>
            <w:vMerge w:val="restart"/>
            <w:tcBorders>
              <w:tl2br w:val="nil"/>
              <w:tr2bl w:val="nil"/>
            </w:tcBorders>
            <w:shd w:val="clear" w:color="auto" w:fill="auto"/>
            <w:vAlign w:val="center"/>
          </w:tcPr>
          <w:p w14:paraId="1A515F78">
            <w:pPr>
              <w:jc w:val="center"/>
              <w:rPr>
                <w:rFonts w:hint="default" w:ascii="Times New Roman" w:hAnsi="Times New Roman" w:eastAsia="宋体" w:cs="Times New Roman"/>
                <w:b w:val="0"/>
                <w:bCs/>
                <w:color w:val="auto"/>
                <w:kern w:val="0"/>
                <w:sz w:val="22"/>
                <w:szCs w:val="22"/>
                <w:lang w:val="en-US" w:eastAsia="zh-CN"/>
              </w:rPr>
            </w:pPr>
            <w:r>
              <w:rPr>
                <w:rFonts w:hint="eastAsia" w:cs="Times New Roman"/>
                <w:b w:val="0"/>
                <w:bCs/>
                <w:color w:val="auto"/>
                <w:kern w:val="0"/>
                <w:sz w:val="22"/>
                <w:szCs w:val="22"/>
                <w:lang w:val="en-US" w:eastAsia="zh-CN"/>
              </w:rPr>
              <w:t>11.28</w:t>
            </w:r>
            <w:r>
              <w:rPr>
                <w:rFonts w:hint="default" w:ascii="Times New Roman" w:hAnsi="Times New Roman" w:eastAsia="宋体" w:cs="Times New Roman"/>
                <w:b w:val="0"/>
                <w:bCs/>
                <w:color w:val="auto"/>
                <w:kern w:val="0"/>
                <w:sz w:val="22"/>
                <w:szCs w:val="22"/>
                <w:lang w:val="en-US" w:eastAsia="zh-CN"/>
              </w:rPr>
              <w:t>m</w:t>
            </w:r>
            <w:r>
              <w:rPr>
                <w:rFonts w:hint="eastAsia" w:ascii="Times New Roman" w:hAnsi="Times New Roman" w:eastAsia="宋体" w:cs="Times New Roman"/>
                <w:b w:val="0"/>
                <w:bCs/>
                <w:color w:val="auto"/>
                <w:kern w:val="0"/>
                <w:sz w:val="22"/>
                <w:szCs w:val="22"/>
                <w:vertAlign w:val="superscript"/>
                <w:lang w:val="en-US" w:eastAsia="zh-CN"/>
              </w:rPr>
              <w:t>3</w:t>
            </w:r>
            <w:r>
              <w:rPr>
                <w:rFonts w:hint="default" w:ascii="Times New Roman" w:hAnsi="Times New Roman" w:eastAsia="宋体" w:cs="Times New Roman"/>
                <w:b w:val="0"/>
                <w:bCs/>
                <w:color w:val="auto"/>
                <w:kern w:val="0"/>
                <w:sz w:val="22"/>
                <w:szCs w:val="22"/>
                <w:lang w:val="en-US" w:eastAsia="zh-CN"/>
              </w:rPr>
              <w:t>/d</w:t>
            </w:r>
          </w:p>
          <w:p w14:paraId="06F2FB3E">
            <w:pPr>
              <w:jc w:val="center"/>
              <w:rPr>
                <w:rFonts w:hint="default" w:ascii="Times New Roman" w:hAnsi="Times New Roman" w:eastAsia="宋体" w:cs="Times New Roman"/>
                <w:b w:val="0"/>
                <w:bCs/>
                <w:color w:val="auto"/>
                <w:kern w:val="0"/>
                <w:sz w:val="22"/>
                <w:szCs w:val="22"/>
              </w:rPr>
            </w:pPr>
            <w:r>
              <w:rPr>
                <w:rFonts w:hint="eastAsia" w:cs="Times New Roman"/>
                <w:b w:val="0"/>
                <w:bCs/>
                <w:color w:val="auto"/>
                <w:kern w:val="0"/>
                <w:sz w:val="22"/>
                <w:szCs w:val="22"/>
                <w:lang w:val="en-US" w:eastAsia="zh-CN"/>
              </w:rPr>
              <w:t>3384</w:t>
            </w:r>
            <w:r>
              <w:rPr>
                <w:rFonts w:hint="default" w:ascii="Times New Roman" w:hAnsi="Times New Roman" w:eastAsia="宋体" w:cs="Times New Roman"/>
                <w:b w:val="0"/>
                <w:bCs/>
                <w:color w:val="auto"/>
                <w:kern w:val="0"/>
                <w:sz w:val="22"/>
                <w:szCs w:val="22"/>
                <w:lang w:val="en-US" w:eastAsia="zh-CN"/>
              </w:rPr>
              <w:t>m</w:t>
            </w:r>
            <w:r>
              <w:rPr>
                <w:rFonts w:hint="eastAsia" w:ascii="Times New Roman" w:hAnsi="Times New Roman" w:eastAsia="宋体" w:cs="Times New Roman"/>
                <w:b w:val="0"/>
                <w:bCs/>
                <w:color w:val="auto"/>
                <w:kern w:val="0"/>
                <w:sz w:val="22"/>
                <w:szCs w:val="22"/>
                <w:vertAlign w:val="superscript"/>
                <w:lang w:val="en-US" w:eastAsia="zh-CN"/>
              </w:rPr>
              <w:t>3</w:t>
            </w:r>
            <w:r>
              <w:rPr>
                <w:rFonts w:hint="default" w:ascii="Times New Roman" w:hAnsi="Times New Roman" w:eastAsia="宋体" w:cs="Times New Roman"/>
                <w:b w:val="0"/>
                <w:bCs/>
                <w:color w:val="auto"/>
                <w:kern w:val="0"/>
                <w:sz w:val="22"/>
                <w:szCs w:val="22"/>
                <w:lang w:val="en-US" w:eastAsia="zh-CN"/>
              </w:rPr>
              <w:t>/a</w:t>
            </w:r>
          </w:p>
        </w:tc>
        <w:tc>
          <w:tcPr>
            <w:tcW w:w="852" w:type="dxa"/>
            <w:tcBorders>
              <w:tl2br w:val="nil"/>
              <w:tr2bl w:val="nil"/>
            </w:tcBorders>
            <w:shd w:val="clear" w:color="auto" w:fill="auto"/>
            <w:vAlign w:val="center"/>
          </w:tcPr>
          <w:p w14:paraId="0F67B3B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COD</w:t>
            </w:r>
          </w:p>
        </w:tc>
        <w:tc>
          <w:tcPr>
            <w:tcW w:w="976" w:type="dxa"/>
            <w:tcBorders>
              <w:tl2br w:val="nil"/>
              <w:tr2bl w:val="nil"/>
            </w:tcBorders>
            <w:shd w:val="clear" w:color="auto" w:fill="auto"/>
            <w:vAlign w:val="center"/>
          </w:tcPr>
          <w:p w14:paraId="3C59FA85">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500</w:t>
            </w:r>
          </w:p>
        </w:tc>
        <w:tc>
          <w:tcPr>
            <w:tcW w:w="1225" w:type="dxa"/>
            <w:tcBorders>
              <w:tl2br w:val="nil"/>
              <w:tr2bl w:val="nil"/>
            </w:tcBorders>
            <w:shd w:val="clear" w:color="auto" w:fill="auto"/>
            <w:vAlign w:val="center"/>
          </w:tcPr>
          <w:p w14:paraId="7E82767D">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1.692 </w:t>
            </w:r>
          </w:p>
        </w:tc>
        <w:tc>
          <w:tcPr>
            <w:tcW w:w="1562" w:type="dxa"/>
            <w:vMerge w:val="continue"/>
            <w:tcBorders>
              <w:tl2br w:val="nil"/>
              <w:tr2bl w:val="nil"/>
            </w:tcBorders>
            <w:shd w:val="clear" w:color="auto" w:fill="auto"/>
            <w:vAlign w:val="center"/>
          </w:tcPr>
          <w:p w14:paraId="18388952">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49075793">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2116274A">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1113" w:type="dxa"/>
            <w:tcBorders>
              <w:tl2br w:val="nil"/>
              <w:tr2bl w:val="nil"/>
            </w:tcBorders>
            <w:shd w:val="clear" w:color="auto" w:fill="auto"/>
            <w:noWrap/>
            <w:vAlign w:val="center"/>
          </w:tcPr>
          <w:p w14:paraId="5572DCB2">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1.184 </w:t>
            </w:r>
          </w:p>
        </w:tc>
        <w:tc>
          <w:tcPr>
            <w:tcW w:w="1050" w:type="dxa"/>
            <w:tcBorders>
              <w:tl2br w:val="nil"/>
              <w:tr2bl w:val="nil"/>
            </w:tcBorders>
            <w:shd w:val="clear" w:color="auto" w:fill="auto"/>
            <w:noWrap/>
            <w:vAlign w:val="center"/>
          </w:tcPr>
          <w:p w14:paraId="3570D199">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30</w:t>
            </w:r>
          </w:p>
        </w:tc>
        <w:tc>
          <w:tcPr>
            <w:tcW w:w="987" w:type="dxa"/>
            <w:tcBorders>
              <w:tl2br w:val="nil"/>
              <w:tr2bl w:val="nil"/>
            </w:tcBorders>
            <w:shd w:val="clear" w:color="auto" w:fill="auto"/>
            <w:noWrap/>
            <w:vAlign w:val="center"/>
          </w:tcPr>
          <w:p w14:paraId="018F0073">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0.102 </w:t>
            </w:r>
          </w:p>
        </w:tc>
        <w:tc>
          <w:tcPr>
            <w:tcW w:w="750" w:type="dxa"/>
            <w:tcBorders>
              <w:tl2br w:val="nil"/>
              <w:tr2bl w:val="nil"/>
            </w:tcBorders>
            <w:shd w:val="clear" w:color="auto" w:fill="auto"/>
            <w:vAlign w:val="center"/>
          </w:tcPr>
          <w:p w14:paraId="417E2C50">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30</w:t>
            </w:r>
          </w:p>
        </w:tc>
        <w:tc>
          <w:tcPr>
            <w:tcW w:w="712" w:type="dxa"/>
            <w:vMerge w:val="continue"/>
            <w:tcBorders>
              <w:tl2br w:val="nil"/>
              <w:tr2bl w:val="nil"/>
            </w:tcBorders>
            <w:shd w:val="clear" w:color="auto" w:fill="auto"/>
            <w:noWrap/>
            <w:vAlign w:val="center"/>
          </w:tcPr>
          <w:p w14:paraId="7BD12B96">
            <w:pPr>
              <w:jc w:val="center"/>
              <w:rPr>
                <w:rFonts w:hint="default" w:ascii="Times New Roman" w:hAnsi="Times New Roman" w:eastAsia="宋体" w:cs="Times New Roman"/>
                <w:b w:val="0"/>
                <w:bCs/>
                <w:color w:val="auto"/>
                <w:kern w:val="0"/>
                <w:sz w:val="22"/>
                <w:szCs w:val="22"/>
              </w:rPr>
            </w:pPr>
          </w:p>
        </w:tc>
      </w:tr>
      <w:tr w14:paraId="27E60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022" w:type="dxa"/>
            <w:vMerge w:val="continue"/>
            <w:tcBorders>
              <w:tl2br w:val="nil"/>
              <w:tr2bl w:val="nil"/>
            </w:tcBorders>
            <w:shd w:val="clear" w:color="auto" w:fill="auto"/>
            <w:vAlign w:val="center"/>
          </w:tcPr>
          <w:p w14:paraId="70D8F5BD">
            <w:pPr>
              <w:jc w:val="center"/>
              <w:rPr>
                <w:rFonts w:hint="default" w:ascii="Times New Roman" w:hAnsi="Times New Roman" w:eastAsia="宋体" w:cs="Times New Roman"/>
                <w:b w:val="0"/>
                <w:bCs/>
                <w:color w:val="auto"/>
                <w:kern w:val="0"/>
                <w:sz w:val="22"/>
                <w:szCs w:val="22"/>
              </w:rPr>
            </w:pPr>
          </w:p>
        </w:tc>
        <w:tc>
          <w:tcPr>
            <w:tcW w:w="1304" w:type="dxa"/>
            <w:vMerge w:val="continue"/>
            <w:tcBorders>
              <w:tl2br w:val="nil"/>
              <w:tr2bl w:val="nil"/>
            </w:tcBorders>
            <w:shd w:val="clear" w:color="auto" w:fill="auto"/>
            <w:vAlign w:val="center"/>
          </w:tcPr>
          <w:p w14:paraId="272B27C6">
            <w:pPr>
              <w:jc w:val="center"/>
              <w:rPr>
                <w:rFonts w:hint="default" w:ascii="Times New Roman" w:hAnsi="Times New Roman" w:eastAsia="宋体" w:cs="Times New Roman"/>
                <w:b w:val="0"/>
                <w:bCs/>
                <w:color w:val="auto"/>
                <w:kern w:val="0"/>
                <w:sz w:val="22"/>
                <w:szCs w:val="22"/>
              </w:rPr>
            </w:pPr>
          </w:p>
        </w:tc>
        <w:tc>
          <w:tcPr>
            <w:tcW w:w="852" w:type="dxa"/>
            <w:tcBorders>
              <w:tl2br w:val="nil"/>
              <w:tr2bl w:val="nil"/>
            </w:tcBorders>
            <w:shd w:val="clear" w:color="auto" w:fill="auto"/>
            <w:vAlign w:val="center"/>
          </w:tcPr>
          <w:p w14:paraId="1ABE08FE">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BOD</w:t>
            </w:r>
            <w:r>
              <w:rPr>
                <w:rFonts w:hint="default" w:ascii="Times New Roman" w:hAnsi="Times New Roman" w:eastAsia="宋体" w:cs="Times New Roman"/>
                <w:b w:val="0"/>
                <w:bCs/>
                <w:color w:val="auto"/>
                <w:kern w:val="0"/>
                <w:sz w:val="22"/>
                <w:szCs w:val="22"/>
                <w:vertAlign w:val="subscript"/>
                <w:lang w:val="en-US" w:eastAsia="zh-CN"/>
              </w:rPr>
              <w:t>5</w:t>
            </w:r>
          </w:p>
        </w:tc>
        <w:tc>
          <w:tcPr>
            <w:tcW w:w="976" w:type="dxa"/>
            <w:tcBorders>
              <w:tl2br w:val="nil"/>
              <w:tr2bl w:val="nil"/>
            </w:tcBorders>
            <w:shd w:val="clear" w:color="auto" w:fill="auto"/>
            <w:vAlign w:val="center"/>
          </w:tcPr>
          <w:p w14:paraId="4A301902">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300</w:t>
            </w:r>
          </w:p>
        </w:tc>
        <w:tc>
          <w:tcPr>
            <w:tcW w:w="1225" w:type="dxa"/>
            <w:tcBorders>
              <w:tl2br w:val="nil"/>
              <w:tr2bl w:val="nil"/>
            </w:tcBorders>
            <w:shd w:val="clear" w:color="auto" w:fill="auto"/>
            <w:vAlign w:val="center"/>
          </w:tcPr>
          <w:p w14:paraId="124207D5">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1.015 </w:t>
            </w:r>
          </w:p>
        </w:tc>
        <w:tc>
          <w:tcPr>
            <w:tcW w:w="1562" w:type="dxa"/>
            <w:vMerge w:val="continue"/>
            <w:tcBorders>
              <w:tl2br w:val="nil"/>
              <w:tr2bl w:val="nil"/>
            </w:tcBorders>
            <w:shd w:val="clear" w:color="auto" w:fill="auto"/>
            <w:vAlign w:val="center"/>
          </w:tcPr>
          <w:p w14:paraId="739FA31D">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47AE3FAA">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3551E3F4">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120</w:t>
            </w:r>
          </w:p>
        </w:tc>
        <w:tc>
          <w:tcPr>
            <w:tcW w:w="1113" w:type="dxa"/>
            <w:tcBorders>
              <w:tl2br w:val="nil"/>
              <w:tr2bl w:val="nil"/>
            </w:tcBorders>
            <w:shd w:val="clear" w:color="auto" w:fill="auto"/>
            <w:noWrap/>
            <w:vAlign w:val="center"/>
          </w:tcPr>
          <w:p w14:paraId="118E9BD8">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0.406 </w:t>
            </w:r>
          </w:p>
        </w:tc>
        <w:tc>
          <w:tcPr>
            <w:tcW w:w="1050" w:type="dxa"/>
            <w:tcBorders>
              <w:tl2br w:val="nil"/>
              <w:tr2bl w:val="nil"/>
            </w:tcBorders>
            <w:shd w:val="clear" w:color="auto" w:fill="auto"/>
            <w:noWrap/>
            <w:vAlign w:val="center"/>
          </w:tcPr>
          <w:p w14:paraId="448B7E07">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10</w:t>
            </w:r>
          </w:p>
        </w:tc>
        <w:tc>
          <w:tcPr>
            <w:tcW w:w="987" w:type="dxa"/>
            <w:tcBorders>
              <w:tl2br w:val="nil"/>
              <w:tr2bl w:val="nil"/>
            </w:tcBorders>
            <w:shd w:val="clear" w:color="auto" w:fill="auto"/>
            <w:noWrap/>
            <w:vAlign w:val="center"/>
          </w:tcPr>
          <w:p w14:paraId="0711A218">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0.034 </w:t>
            </w:r>
          </w:p>
        </w:tc>
        <w:tc>
          <w:tcPr>
            <w:tcW w:w="750" w:type="dxa"/>
            <w:tcBorders>
              <w:tl2br w:val="nil"/>
              <w:tr2bl w:val="nil"/>
            </w:tcBorders>
            <w:shd w:val="clear" w:color="auto" w:fill="auto"/>
            <w:vAlign w:val="center"/>
          </w:tcPr>
          <w:p w14:paraId="52BFFBCB">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12" w:type="dxa"/>
            <w:vMerge w:val="continue"/>
            <w:tcBorders>
              <w:tl2br w:val="nil"/>
              <w:tr2bl w:val="nil"/>
            </w:tcBorders>
            <w:shd w:val="clear" w:color="auto" w:fill="auto"/>
            <w:noWrap/>
            <w:vAlign w:val="center"/>
          </w:tcPr>
          <w:p w14:paraId="57B5EA0F">
            <w:pPr>
              <w:jc w:val="center"/>
              <w:rPr>
                <w:rFonts w:hint="default" w:ascii="Times New Roman" w:hAnsi="Times New Roman" w:eastAsia="宋体" w:cs="Times New Roman"/>
                <w:b w:val="0"/>
                <w:bCs/>
                <w:color w:val="auto"/>
                <w:kern w:val="0"/>
                <w:sz w:val="22"/>
                <w:szCs w:val="22"/>
              </w:rPr>
            </w:pPr>
          </w:p>
        </w:tc>
      </w:tr>
      <w:tr w14:paraId="27AEB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022" w:type="dxa"/>
            <w:vMerge w:val="continue"/>
            <w:tcBorders>
              <w:tl2br w:val="nil"/>
              <w:tr2bl w:val="nil"/>
            </w:tcBorders>
            <w:shd w:val="clear" w:color="auto" w:fill="auto"/>
            <w:vAlign w:val="center"/>
          </w:tcPr>
          <w:p w14:paraId="39FCB59F">
            <w:pPr>
              <w:jc w:val="center"/>
              <w:rPr>
                <w:rFonts w:hint="default" w:ascii="Times New Roman" w:hAnsi="Times New Roman" w:eastAsia="宋体" w:cs="Times New Roman"/>
                <w:b w:val="0"/>
                <w:bCs/>
                <w:color w:val="auto"/>
                <w:kern w:val="0"/>
                <w:sz w:val="22"/>
                <w:szCs w:val="22"/>
              </w:rPr>
            </w:pPr>
          </w:p>
        </w:tc>
        <w:tc>
          <w:tcPr>
            <w:tcW w:w="1304" w:type="dxa"/>
            <w:vMerge w:val="continue"/>
            <w:tcBorders>
              <w:tl2br w:val="nil"/>
              <w:tr2bl w:val="nil"/>
            </w:tcBorders>
            <w:shd w:val="clear" w:color="auto" w:fill="auto"/>
            <w:noWrap/>
            <w:vAlign w:val="center"/>
          </w:tcPr>
          <w:p w14:paraId="26A4B2CE">
            <w:pPr>
              <w:jc w:val="center"/>
              <w:rPr>
                <w:rFonts w:hint="default" w:ascii="Times New Roman" w:hAnsi="Times New Roman" w:eastAsia="宋体" w:cs="Times New Roman"/>
                <w:b w:val="0"/>
                <w:bCs/>
                <w:color w:val="auto"/>
                <w:kern w:val="0"/>
                <w:sz w:val="22"/>
                <w:szCs w:val="22"/>
              </w:rPr>
            </w:pPr>
          </w:p>
        </w:tc>
        <w:tc>
          <w:tcPr>
            <w:tcW w:w="852" w:type="dxa"/>
            <w:tcBorders>
              <w:tl2br w:val="nil"/>
              <w:tr2bl w:val="nil"/>
            </w:tcBorders>
            <w:shd w:val="clear" w:color="auto" w:fill="auto"/>
            <w:vAlign w:val="center"/>
          </w:tcPr>
          <w:p w14:paraId="2C4AD654">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SS</w:t>
            </w:r>
          </w:p>
        </w:tc>
        <w:tc>
          <w:tcPr>
            <w:tcW w:w="976" w:type="dxa"/>
            <w:tcBorders>
              <w:tl2br w:val="nil"/>
              <w:tr2bl w:val="nil"/>
            </w:tcBorders>
            <w:shd w:val="clear" w:color="auto" w:fill="auto"/>
            <w:vAlign w:val="center"/>
          </w:tcPr>
          <w:p w14:paraId="7638BF52">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400</w:t>
            </w:r>
          </w:p>
        </w:tc>
        <w:tc>
          <w:tcPr>
            <w:tcW w:w="1225" w:type="dxa"/>
            <w:tcBorders>
              <w:tl2br w:val="nil"/>
              <w:tr2bl w:val="nil"/>
            </w:tcBorders>
            <w:shd w:val="clear" w:color="auto" w:fill="auto"/>
            <w:vAlign w:val="center"/>
          </w:tcPr>
          <w:p w14:paraId="5AB646A7">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1.354 </w:t>
            </w:r>
          </w:p>
        </w:tc>
        <w:tc>
          <w:tcPr>
            <w:tcW w:w="1562" w:type="dxa"/>
            <w:vMerge w:val="continue"/>
            <w:tcBorders>
              <w:tl2br w:val="nil"/>
              <w:tr2bl w:val="nil"/>
            </w:tcBorders>
            <w:shd w:val="clear" w:color="auto" w:fill="auto"/>
            <w:vAlign w:val="center"/>
          </w:tcPr>
          <w:p w14:paraId="3F49F55A">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2481E0A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4185A366">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320</w:t>
            </w:r>
          </w:p>
        </w:tc>
        <w:tc>
          <w:tcPr>
            <w:tcW w:w="1113" w:type="dxa"/>
            <w:tcBorders>
              <w:tl2br w:val="nil"/>
              <w:tr2bl w:val="nil"/>
            </w:tcBorders>
            <w:shd w:val="clear" w:color="auto" w:fill="auto"/>
            <w:noWrap/>
            <w:vAlign w:val="center"/>
          </w:tcPr>
          <w:p w14:paraId="504682C3">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1.083 </w:t>
            </w:r>
          </w:p>
        </w:tc>
        <w:tc>
          <w:tcPr>
            <w:tcW w:w="1050" w:type="dxa"/>
            <w:tcBorders>
              <w:tl2br w:val="nil"/>
              <w:tr2bl w:val="nil"/>
            </w:tcBorders>
            <w:shd w:val="clear" w:color="auto" w:fill="auto"/>
            <w:noWrap/>
            <w:vAlign w:val="center"/>
          </w:tcPr>
          <w:p w14:paraId="7DEFB949">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10</w:t>
            </w:r>
          </w:p>
        </w:tc>
        <w:tc>
          <w:tcPr>
            <w:tcW w:w="987" w:type="dxa"/>
            <w:tcBorders>
              <w:tl2br w:val="nil"/>
              <w:tr2bl w:val="nil"/>
            </w:tcBorders>
            <w:shd w:val="clear" w:color="auto" w:fill="auto"/>
            <w:noWrap/>
            <w:vAlign w:val="center"/>
          </w:tcPr>
          <w:p w14:paraId="574FA1B6">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0.034 </w:t>
            </w:r>
          </w:p>
        </w:tc>
        <w:tc>
          <w:tcPr>
            <w:tcW w:w="750" w:type="dxa"/>
            <w:tcBorders>
              <w:tl2br w:val="nil"/>
              <w:tr2bl w:val="nil"/>
            </w:tcBorders>
            <w:shd w:val="clear" w:color="auto" w:fill="auto"/>
            <w:vAlign w:val="center"/>
          </w:tcPr>
          <w:p w14:paraId="576CC91C">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12" w:type="dxa"/>
            <w:vMerge w:val="continue"/>
            <w:tcBorders>
              <w:tl2br w:val="nil"/>
              <w:tr2bl w:val="nil"/>
            </w:tcBorders>
            <w:shd w:val="clear" w:color="auto" w:fill="auto"/>
            <w:noWrap/>
            <w:vAlign w:val="center"/>
          </w:tcPr>
          <w:p w14:paraId="0C22DBE5">
            <w:pPr>
              <w:jc w:val="center"/>
              <w:rPr>
                <w:rFonts w:hint="default" w:ascii="Times New Roman" w:hAnsi="Times New Roman" w:eastAsia="宋体" w:cs="Times New Roman"/>
                <w:b w:val="0"/>
                <w:bCs/>
                <w:color w:val="auto"/>
                <w:kern w:val="0"/>
                <w:sz w:val="22"/>
                <w:szCs w:val="22"/>
              </w:rPr>
            </w:pPr>
          </w:p>
        </w:tc>
      </w:tr>
      <w:tr w14:paraId="380B7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1022" w:type="dxa"/>
            <w:vMerge w:val="continue"/>
            <w:tcBorders>
              <w:tl2br w:val="nil"/>
              <w:tr2bl w:val="nil"/>
            </w:tcBorders>
            <w:shd w:val="clear" w:color="auto" w:fill="auto"/>
            <w:vAlign w:val="center"/>
          </w:tcPr>
          <w:p w14:paraId="36CE6245">
            <w:pPr>
              <w:jc w:val="center"/>
              <w:rPr>
                <w:rFonts w:hint="default" w:ascii="Times New Roman" w:hAnsi="Times New Roman" w:eastAsia="宋体" w:cs="Times New Roman"/>
                <w:b w:val="0"/>
                <w:bCs/>
                <w:color w:val="auto"/>
                <w:kern w:val="0"/>
                <w:sz w:val="22"/>
                <w:szCs w:val="22"/>
              </w:rPr>
            </w:pPr>
          </w:p>
        </w:tc>
        <w:tc>
          <w:tcPr>
            <w:tcW w:w="1304" w:type="dxa"/>
            <w:vMerge w:val="continue"/>
            <w:tcBorders>
              <w:tl2br w:val="nil"/>
              <w:tr2bl w:val="nil"/>
            </w:tcBorders>
            <w:shd w:val="clear" w:color="auto" w:fill="auto"/>
            <w:noWrap/>
            <w:vAlign w:val="center"/>
          </w:tcPr>
          <w:p w14:paraId="2C676F17">
            <w:pPr>
              <w:jc w:val="center"/>
              <w:rPr>
                <w:rFonts w:hint="default" w:ascii="Times New Roman" w:hAnsi="Times New Roman" w:eastAsia="宋体" w:cs="Times New Roman"/>
                <w:b w:val="0"/>
                <w:bCs/>
                <w:color w:val="auto"/>
                <w:kern w:val="0"/>
                <w:sz w:val="22"/>
                <w:szCs w:val="22"/>
              </w:rPr>
            </w:pPr>
          </w:p>
        </w:tc>
        <w:tc>
          <w:tcPr>
            <w:tcW w:w="852" w:type="dxa"/>
            <w:tcBorders>
              <w:tl2br w:val="nil"/>
              <w:tr2bl w:val="nil"/>
            </w:tcBorders>
            <w:shd w:val="clear" w:color="auto" w:fill="auto"/>
            <w:vAlign w:val="center"/>
          </w:tcPr>
          <w:p w14:paraId="5CA60FDE">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NH</w:t>
            </w:r>
            <w:r>
              <w:rPr>
                <w:rFonts w:hint="default" w:ascii="Times New Roman" w:hAnsi="Times New Roman" w:eastAsia="宋体" w:cs="Times New Roman"/>
                <w:b w:val="0"/>
                <w:bCs/>
                <w:color w:val="auto"/>
                <w:kern w:val="0"/>
                <w:sz w:val="22"/>
                <w:szCs w:val="22"/>
                <w:vertAlign w:val="subscript"/>
                <w:lang w:val="en-US" w:eastAsia="zh-CN"/>
              </w:rPr>
              <w:t>3</w:t>
            </w:r>
            <w:r>
              <w:rPr>
                <w:rFonts w:hint="default" w:ascii="Times New Roman" w:hAnsi="Times New Roman" w:eastAsia="宋体" w:cs="Times New Roman"/>
                <w:b w:val="0"/>
                <w:bCs/>
                <w:color w:val="auto"/>
                <w:kern w:val="0"/>
                <w:sz w:val="22"/>
                <w:szCs w:val="22"/>
                <w:lang w:val="en-US" w:eastAsia="zh-CN"/>
              </w:rPr>
              <w:t>-N</w:t>
            </w:r>
          </w:p>
        </w:tc>
        <w:tc>
          <w:tcPr>
            <w:tcW w:w="976" w:type="dxa"/>
            <w:tcBorders>
              <w:tl2br w:val="nil"/>
              <w:tr2bl w:val="nil"/>
            </w:tcBorders>
            <w:shd w:val="clear" w:color="auto" w:fill="auto"/>
            <w:vAlign w:val="center"/>
          </w:tcPr>
          <w:p w14:paraId="1A8AC288">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45</w:t>
            </w:r>
          </w:p>
        </w:tc>
        <w:tc>
          <w:tcPr>
            <w:tcW w:w="1225" w:type="dxa"/>
            <w:tcBorders>
              <w:tl2br w:val="nil"/>
              <w:tr2bl w:val="nil"/>
            </w:tcBorders>
            <w:shd w:val="clear" w:color="auto" w:fill="auto"/>
            <w:vAlign w:val="center"/>
          </w:tcPr>
          <w:p w14:paraId="24EDBA7B">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0.152 </w:t>
            </w:r>
          </w:p>
        </w:tc>
        <w:tc>
          <w:tcPr>
            <w:tcW w:w="1562" w:type="dxa"/>
            <w:vMerge w:val="continue"/>
            <w:tcBorders>
              <w:tl2br w:val="nil"/>
              <w:tr2bl w:val="nil"/>
            </w:tcBorders>
            <w:shd w:val="clear" w:color="auto" w:fill="auto"/>
            <w:vAlign w:val="center"/>
          </w:tcPr>
          <w:p w14:paraId="1D398020">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6B27CFF7">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304DCADF">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40</w:t>
            </w:r>
          </w:p>
        </w:tc>
        <w:tc>
          <w:tcPr>
            <w:tcW w:w="1113" w:type="dxa"/>
            <w:tcBorders>
              <w:tl2br w:val="nil"/>
              <w:tr2bl w:val="nil"/>
            </w:tcBorders>
            <w:shd w:val="clear" w:color="auto" w:fill="auto"/>
            <w:noWrap/>
            <w:vAlign w:val="center"/>
          </w:tcPr>
          <w:p w14:paraId="55FDC747">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0.135 </w:t>
            </w:r>
          </w:p>
        </w:tc>
        <w:tc>
          <w:tcPr>
            <w:tcW w:w="1050" w:type="dxa"/>
            <w:tcBorders>
              <w:tl2br w:val="nil"/>
              <w:tr2bl w:val="nil"/>
            </w:tcBorders>
            <w:shd w:val="clear" w:color="auto" w:fill="auto"/>
            <w:noWrap/>
            <w:vAlign w:val="center"/>
          </w:tcPr>
          <w:p w14:paraId="73CE91C9">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1.5</w:t>
            </w:r>
          </w:p>
        </w:tc>
        <w:tc>
          <w:tcPr>
            <w:tcW w:w="987" w:type="dxa"/>
            <w:tcBorders>
              <w:tl2br w:val="nil"/>
              <w:tr2bl w:val="nil"/>
            </w:tcBorders>
            <w:shd w:val="clear" w:color="auto" w:fill="auto"/>
            <w:noWrap/>
            <w:vAlign w:val="center"/>
          </w:tcPr>
          <w:p w14:paraId="41C1C222">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0.0051 </w:t>
            </w:r>
          </w:p>
        </w:tc>
        <w:tc>
          <w:tcPr>
            <w:tcW w:w="750" w:type="dxa"/>
            <w:tcBorders>
              <w:tl2br w:val="nil"/>
              <w:tr2bl w:val="nil"/>
            </w:tcBorders>
            <w:shd w:val="clear" w:color="auto" w:fill="auto"/>
            <w:vAlign w:val="center"/>
          </w:tcPr>
          <w:p w14:paraId="50A48AA4">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1.5</w:t>
            </w:r>
          </w:p>
        </w:tc>
        <w:tc>
          <w:tcPr>
            <w:tcW w:w="712" w:type="dxa"/>
            <w:vMerge w:val="continue"/>
            <w:tcBorders>
              <w:tl2br w:val="nil"/>
              <w:tr2bl w:val="nil"/>
            </w:tcBorders>
            <w:shd w:val="clear" w:color="auto" w:fill="auto"/>
            <w:noWrap/>
            <w:vAlign w:val="center"/>
          </w:tcPr>
          <w:p w14:paraId="296C03CB">
            <w:pPr>
              <w:jc w:val="center"/>
              <w:rPr>
                <w:rFonts w:hint="default" w:ascii="Times New Roman" w:hAnsi="Times New Roman" w:eastAsia="宋体" w:cs="Times New Roman"/>
                <w:b w:val="0"/>
                <w:bCs/>
                <w:color w:val="auto"/>
                <w:kern w:val="0"/>
                <w:sz w:val="22"/>
                <w:szCs w:val="22"/>
              </w:rPr>
            </w:pPr>
          </w:p>
        </w:tc>
      </w:tr>
      <w:tr w14:paraId="395A0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1022" w:type="dxa"/>
            <w:vMerge w:val="continue"/>
            <w:tcBorders>
              <w:tl2br w:val="nil"/>
              <w:tr2bl w:val="nil"/>
            </w:tcBorders>
            <w:shd w:val="clear" w:color="auto" w:fill="auto"/>
            <w:vAlign w:val="center"/>
          </w:tcPr>
          <w:p w14:paraId="2DD180EA">
            <w:pPr>
              <w:jc w:val="center"/>
              <w:rPr>
                <w:rFonts w:hint="default" w:ascii="Times New Roman" w:hAnsi="Times New Roman" w:eastAsia="宋体" w:cs="Times New Roman"/>
                <w:b w:val="0"/>
                <w:bCs/>
                <w:color w:val="auto"/>
                <w:kern w:val="0"/>
                <w:sz w:val="22"/>
                <w:szCs w:val="22"/>
              </w:rPr>
            </w:pPr>
          </w:p>
        </w:tc>
        <w:tc>
          <w:tcPr>
            <w:tcW w:w="1304" w:type="dxa"/>
            <w:vMerge w:val="continue"/>
            <w:tcBorders>
              <w:tl2br w:val="nil"/>
              <w:tr2bl w:val="nil"/>
            </w:tcBorders>
            <w:shd w:val="clear" w:color="auto" w:fill="auto"/>
            <w:noWrap/>
            <w:vAlign w:val="center"/>
          </w:tcPr>
          <w:p w14:paraId="2330249F">
            <w:pPr>
              <w:jc w:val="center"/>
              <w:rPr>
                <w:rFonts w:hint="default" w:ascii="Times New Roman" w:hAnsi="Times New Roman" w:eastAsia="宋体" w:cs="Times New Roman"/>
                <w:b w:val="0"/>
                <w:bCs/>
                <w:color w:val="auto"/>
                <w:kern w:val="0"/>
                <w:sz w:val="22"/>
                <w:szCs w:val="22"/>
              </w:rPr>
            </w:pPr>
          </w:p>
        </w:tc>
        <w:tc>
          <w:tcPr>
            <w:tcW w:w="852" w:type="dxa"/>
            <w:tcBorders>
              <w:tl2br w:val="nil"/>
              <w:tr2bl w:val="nil"/>
            </w:tcBorders>
            <w:shd w:val="clear" w:color="auto" w:fill="auto"/>
            <w:vAlign w:val="center"/>
          </w:tcPr>
          <w:p w14:paraId="4E703733">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动植物油</w:t>
            </w:r>
          </w:p>
        </w:tc>
        <w:tc>
          <w:tcPr>
            <w:tcW w:w="976" w:type="dxa"/>
            <w:tcBorders>
              <w:tl2br w:val="nil"/>
              <w:tr2bl w:val="nil"/>
            </w:tcBorders>
            <w:shd w:val="clear" w:color="auto" w:fill="auto"/>
            <w:vAlign w:val="center"/>
          </w:tcPr>
          <w:p w14:paraId="19AEE045">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35</w:t>
            </w:r>
          </w:p>
        </w:tc>
        <w:tc>
          <w:tcPr>
            <w:tcW w:w="1225" w:type="dxa"/>
            <w:tcBorders>
              <w:tl2br w:val="nil"/>
              <w:tr2bl w:val="nil"/>
            </w:tcBorders>
            <w:shd w:val="clear" w:color="auto" w:fill="auto"/>
            <w:vAlign w:val="center"/>
          </w:tcPr>
          <w:p w14:paraId="2121EA4D">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0.118 </w:t>
            </w:r>
          </w:p>
        </w:tc>
        <w:tc>
          <w:tcPr>
            <w:tcW w:w="1562" w:type="dxa"/>
            <w:vMerge w:val="continue"/>
            <w:tcBorders>
              <w:tl2br w:val="nil"/>
              <w:tr2bl w:val="nil"/>
            </w:tcBorders>
            <w:shd w:val="clear" w:color="auto" w:fill="auto"/>
            <w:vAlign w:val="center"/>
          </w:tcPr>
          <w:p w14:paraId="327DE3F8">
            <w:pPr>
              <w:jc w:val="center"/>
              <w:rPr>
                <w:rFonts w:hint="default" w:ascii="Times New Roman" w:hAnsi="Times New Roman" w:eastAsia="宋体" w:cs="Times New Roman"/>
                <w:b w:val="0"/>
                <w:bCs/>
                <w:color w:val="auto"/>
                <w:kern w:val="0"/>
                <w:sz w:val="22"/>
                <w:szCs w:val="22"/>
              </w:rPr>
            </w:pPr>
          </w:p>
        </w:tc>
        <w:tc>
          <w:tcPr>
            <w:tcW w:w="925" w:type="dxa"/>
            <w:tcBorders>
              <w:tl2br w:val="nil"/>
              <w:tr2bl w:val="nil"/>
            </w:tcBorders>
            <w:shd w:val="clear" w:color="auto" w:fill="auto"/>
            <w:noWrap/>
            <w:vAlign w:val="center"/>
          </w:tcPr>
          <w:p w14:paraId="7AA34320">
            <w:pPr>
              <w:jc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b w:val="0"/>
                <w:bCs/>
                <w:color w:val="auto"/>
                <w:kern w:val="0"/>
                <w:sz w:val="22"/>
                <w:szCs w:val="22"/>
                <w:lang w:val="en-US" w:eastAsia="zh-CN"/>
              </w:rPr>
              <w:t>/</w:t>
            </w:r>
          </w:p>
        </w:tc>
        <w:tc>
          <w:tcPr>
            <w:tcW w:w="750" w:type="dxa"/>
            <w:tcBorders>
              <w:tl2br w:val="nil"/>
              <w:tr2bl w:val="nil"/>
            </w:tcBorders>
            <w:shd w:val="clear" w:color="auto" w:fill="auto"/>
            <w:vAlign w:val="center"/>
          </w:tcPr>
          <w:p w14:paraId="3B284A87">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25</w:t>
            </w:r>
          </w:p>
        </w:tc>
        <w:tc>
          <w:tcPr>
            <w:tcW w:w="1113" w:type="dxa"/>
            <w:tcBorders>
              <w:tl2br w:val="nil"/>
              <w:tr2bl w:val="nil"/>
            </w:tcBorders>
            <w:shd w:val="clear" w:color="auto" w:fill="auto"/>
            <w:noWrap/>
            <w:vAlign w:val="center"/>
          </w:tcPr>
          <w:p w14:paraId="411B6DC2">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0.085 </w:t>
            </w:r>
          </w:p>
        </w:tc>
        <w:tc>
          <w:tcPr>
            <w:tcW w:w="1050" w:type="dxa"/>
            <w:tcBorders>
              <w:tl2br w:val="nil"/>
              <w:tr2bl w:val="nil"/>
            </w:tcBorders>
            <w:shd w:val="clear" w:color="auto" w:fill="auto"/>
            <w:noWrap/>
            <w:vAlign w:val="center"/>
          </w:tcPr>
          <w:p w14:paraId="6B1AF9B2">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987" w:type="dxa"/>
            <w:tcBorders>
              <w:tl2br w:val="nil"/>
              <w:tr2bl w:val="nil"/>
            </w:tcBorders>
            <w:shd w:val="clear" w:color="auto" w:fill="auto"/>
            <w:noWrap/>
            <w:vAlign w:val="center"/>
          </w:tcPr>
          <w:p w14:paraId="10B19EA9">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0.0034 </w:t>
            </w:r>
          </w:p>
        </w:tc>
        <w:tc>
          <w:tcPr>
            <w:tcW w:w="750" w:type="dxa"/>
            <w:tcBorders>
              <w:tl2br w:val="nil"/>
              <w:tr2bl w:val="nil"/>
            </w:tcBorders>
            <w:shd w:val="clear" w:color="auto" w:fill="auto"/>
            <w:vAlign w:val="center"/>
          </w:tcPr>
          <w:p w14:paraId="0CEFC391">
            <w:pPr>
              <w:keepNext w:val="0"/>
              <w:keepLines w:val="0"/>
              <w:widowControl/>
              <w:suppressLineNumbers w:val="0"/>
              <w:jc w:val="center"/>
              <w:textAlignment w:val="center"/>
              <w:rPr>
                <w:rFonts w:hint="default" w:ascii="Times New Roman" w:hAnsi="Times New Roman" w:eastAsia="宋体" w:cs="Times New Roman"/>
                <w:b w:val="0"/>
                <w:bCs/>
                <w:color w:val="auto"/>
                <w:kern w:val="0"/>
                <w:sz w:val="22"/>
                <w:szCs w:val="22"/>
              </w:rPr>
            </w:pPr>
            <w:r>
              <w:rPr>
                <w:rFonts w:hint="default" w:ascii="Times New Roman" w:hAnsi="Times New Roman" w:eastAsia="宋体" w:cs="Times New Roman"/>
                <w:i w:val="0"/>
                <w:iCs w:val="0"/>
                <w:color w:val="auto"/>
                <w:kern w:val="0"/>
                <w:sz w:val="21"/>
                <w:szCs w:val="21"/>
                <w:u w:val="none"/>
                <w:lang w:val="en-US" w:eastAsia="zh-CN" w:bidi="ar"/>
              </w:rPr>
              <w:t>1</w:t>
            </w:r>
          </w:p>
        </w:tc>
        <w:tc>
          <w:tcPr>
            <w:tcW w:w="712" w:type="dxa"/>
            <w:vMerge w:val="continue"/>
            <w:tcBorders>
              <w:tl2br w:val="nil"/>
              <w:tr2bl w:val="nil"/>
            </w:tcBorders>
            <w:shd w:val="clear" w:color="auto" w:fill="auto"/>
            <w:noWrap/>
            <w:vAlign w:val="center"/>
          </w:tcPr>
          <w:p w14:paraId="7D9C2D28">
            <w:pPr>
              <w:jc w:val="center"/>
              <w:rPr>
                <w:rFonts w:hint="default" w:ascii="Times New Roman" w:hAnsi="Times New Roman" w:eastAsia="宋体" w:cs="Times New Roman"/>
                <w:b w:val="0"/>
                <w:bCs/>
                <w:color w:val="auto"/>
                <w:kern w:val="0"/>
                <w:sz w:val="22"/>
                <w:szCs w:val="22"/>
              </w:rPr>
            </w:pPr>
          </w:p>
        </w:tc>
      </w:tr>
    </w:tbl>
    <w:p w14:paraId="662F12EB">
      <w:pPr>
        <w:pStyle w:val="38"/>
        <w:rPr>
          <w:rFonts w:ascii="宋体" w:cs="宋体"/>
          <w:b/>
          <w:color w:val="auto"/>
          <w:kern w:val="0"/>
          <w:sz w:val="28"/>
          <w:szCs w:val="28"/>
        </w:rPr>
      </w:pPr>
    </w:p>
    <w:p w14:paraId="48AA503A">
      <w:p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592"/>
      </w:tblGrid>
      <w:tr w14:paraId="27B2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Pr>
          <w:p w14:paraId="6C078C8A">
            <w:pPr>
              <w:adjustRightInd w:val="0"/>
              <w:snapToGrid w:val="0"/>
              <w:spacing w:line="360" w:lineRule="auto"/>
              <w:rPr>
                <w:rFonts w:ascii="宋体" w:cs="宋体"/>
                <w:b/>
                <w:color w:val="auto"/>
                <w:kern w:val="0"/>
                <w:sz w:val="28"/>
                <w:szCs w:val="28"/>
              </w:rPr>
            </w:pPr>
          </w:p>
        </w:tc>
        <w:tc>
          <w:tcPr>
            <w:tcW w:w="8592" w:type="dxa"/>
          </w:tcPr>
          <w:p w14:paraId="7F65949B">
            <w:pPr>
              <w:pStyle w:val="12"/>
              <w:spacing w:before="120"/>
              <w:rPr>
                <w:color w:val="auto"/>
              </w:rPr>
            </w:pPr>
            <w:r>
              <w:rPr>
                <w:color w:val="auto"/>
              </w:rPr>
              <w:t>表4.2-</w:t>
            </w:r>
            <w:r>
              <w:rPr>
                <w:rFonts w:hint="eastAsia"/>
                <w:color w:val="auto"/>
                <w:lang w:val="en-US" w:eastAsia="zh-CN"/>
              </w:rPr>
              <w:t xml:space="preserve">8  </w:t>
            </w:r>
            <w:r>
              <w:rPr>
                <w:color w:val="auto"/>
              </w:rPr>
              <w:t>项目废水污染物治理措施情况表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37"/>
              <w:gridCol w:w="1050"/>
              <w:gridCol w:w="887"/>
              <w:gridCol w:w="887"/>
              <w:gridCol w:w="1656"/>
              <w:gridCol w:w="639"/>
              <w:gridCol w:w="887"/>
            </w:tblGrid>
            <w:tr w14:paraId="6849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23" w:type="dxa"/>
                  <w:vMerge w:val="restart"/>
                  <w:vAlign w:val="center"/>
                </w:tcPr>
                <w:p w14:paraId="7FB598CF">
                  <w:pPr>
                    <w:pStyle w:val="41"/>
                    <w:rPr>
                      <w:color w:val="auto"/>
                      <w:sz w:val="22"/>
                      <w:szCs w:val="22"/>
                    </w:rPr>
                  </w:pPr>
                  <w:r>
                    <w:rPr>
                      <w:color w:val="auto"/>
                      <w:sz w:val="22"/>
                      <w:szCs w:val="22"/>
                    </w:rPr>
                    <w:t>废水类别或废水来源</w:t>
                  </w:r>
                </w:p>
              </w:tc>
              <w:tc>
                <w:tcPr>
                  <w:tcW w:w="1437" w:type="dxa"/>
                  <w:vMerge w:val="restart"/>
                  <w:vAlign w:val="center"/>
                </w:tcPr>
                <w:p w14:paraId="18547D9E">
                  <w:pPr>
                    <w:pStyle w:val="41"/>
                    <w:rPr>
                      <w:color w:val="auto"/>
                      <w:sz w:val="22"/>
                      <w:szCs w:val="22"/>
                    </w:rPr>
                  </w:pPr>
                  <w:r>
                    <w:rPr>
                      <w:color w:val="auto"/>
                      <w:sz w:val="22"/>
                      <w:szCs w:val="22"/>
                    </w:rPr>
                    <w:t>污染物种类</w:t>
                  </w:r>
                </w:p>
              </w:tc>
              <w:tc>
                <w:tcPr>
                  <w:tcW w:w="6006" w:type="dxa"/>
                  <w:gridSpan w:val="6"/>
                  <w:vAlign w:val="center"/>
                </w:tcPr>
                <w:p w14:paraId="71B0C5BB">
                  <w:pPr>
                    <w:pStyle w:val="41"/>
                    <w:rPr>
                      <w:color w:val="auto"/>
                      <w:sz w:val="22"/>
                      <w:szCs w:val="22"/>
                    </w:rPr>
                  </w:pPr>
                  <w:r>
                    <w:rPr>
                      <w:color w:val="auto"/>
                      <w:sz w:val="22"/>
                      <w:szCs w:val="22"/>
                    </w:rPr>
                    <w:t>污染治理设施</w:t>
                  </w:r>
                </w:p>
              </w:tc>
            </w:tr>
            <w:tr w14:paraId="4A29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23" w:type="dxa"/>
                  <w:vMerge w:val="continue"/>
                  <w:vAlign w:val="center"/>
                </w:tcPr>
                <w:p w14:paraId="5ED5B632">
                  <w:pPr>
                    <w:widowControl/>
                    <w:jc w:val="center"/>
                    <w:rPr>
                      <w:color w:val="auto"/>
                      <w:sz w:val="22"/>
                      <w:szCs w:val="22"/>
                    </w:rPr>
                  </w:pPr>
                </w:p>
              </w:tc>
              <w:tc>
                <w:tcPr>
                  <w:tcW w:w="1437" w:type="dxa"/>
                  <w:vMerge w:val="continue"/>
                  <w:vAlign w:val="center"/>
                </w:tcPr>
                <w:p w14:paraId="725DBF85">
                  <w:pPr>
                    <w:widowControl/>
                    <w:jc w:val="center"/>
                    <w:rPr>
                      <w:color w:val="auto"/>
                      <w:sz w:val="22"/>
                      <w:szCs w:val="22"/>
                    </w:rPr>
                  </w:pPr>
                </w:p>
              </w:tc>
              <w:tc>
                <w:tcPr>
                  <w:tcW w:w="1050" w:type="dxa"/>
                  <w:vAlign w:val="center"/>
                </w:tcPr>
                <w:p w14:paraId="699DBEFA">
                  <w:pPr>
                    <w:pStyle w:val="41"/>
                    <w:rPr>
                      <w:color w:val="auto"/>
                      <w:sz w:val="22"/>
                      <w:szCs w:val="22"/>
                    </w:rPr>
                  </w:pPr>
                  <w:r>
                    <w:rPr>
                      <w:color w:val="auto"/>
                      <w:sz w:val="22"/>
                      <w:szCs w:val="22"/>
                    </w:rPr>
                    <w:t>治理设施编号</w:t>
                  </w:r>
                </w:p>
              </w:tc>
              <w:tc>
                <w:tcPr>
                  <w:tcW w:w="887" w:type="dxa"/>
                  <w:vAlign w:val="center"/>
                </w:tcPr>
                <w:p w14:paraId="13CE5A17">
                  <w:pPr>
                    <w:pStyle w:val="41"/>
                    <w:rPr>
                      <w:color w:val="auto"/>
                      <w:sz w:val="22"/>
                      <w:szCs w:val="22"/>
                    </w:rPr>
                  </w:pPr>
                  <w:r>
                    <w:rPr>
                      <w:color w:val="auto"/>
                      <w:sz w:val="22"/>
                      <w:szCs w:val="22"/>
                    </w:rPr>
                    <w:t>治理设施名称</w:t>
                  </w:r>
                </w:p>
              </w:tc>
              <w:tc>
                <w:tcPr>
                  <w:tcW w:w="887" w:type="dxa"/>
                  <w:vAlign w:val="center"/>
                </w:tcPr>
                <w:p w14:paraId="6CBBECE6">
                  <w:pPr>
                    <w:pStyle w:val="41"/>
                    <w:rPr>
                      <w:color w:val="auto"/>
                      <w:sz w:val="22"/>
                      <w:szCs w:val="22"/>
                    </w:rPr>
                  </w:pPr>
                  <w:r>
                    <w:rPr>
                      <w:color w:val="auto"/>
                      <w:sz w:val="22"/>
                      <w:szCs w:val="22"/>
                    </w:rPr>
                    <w:t>处理能力</w:t>
                  </w:r>
                </w:p>
              </w:tc>
              <w:tc>
                <w:tcPr>
                  <w:tcW w:w="1656" w:type="dxa"/>
                  <w:vAlign w:val="center"/>
                </w:tcPr>
                <w:p w14:paraId="30BCAB56">
                  <w:pPr>
                    <w:pStyle w:val="41"/>
                    <w:rPr>
                      <w:color w:val="auto"/>
                      <w:sz w:val="22"/>
                      <w:szCs w:val="22"/>
                    </w:rPr>
                  </w:pPr>
                  <w:r>
                    <w:rPr>
                      <w:color w:val="auto"/>
                      <w:sz w:val="22"/>
                      <w:szCs w:val="22"/>
                    </w:rPr>
                    <w:t>污染治理工艺</w:t>
                  </w:r>
                </w:p>
              </w:tc>
              <w:tc>
                <w:tcPr>
                  <w:tcW w:w="639" w:type="dxa"/>
                  <w:vAlign w:val="center"/>
                </w:tcPr>
                <w:p w14:paraId="0DDF3FA5">
                  <w:pPr>
                    <w:pStyle w:val="41"/>
                    <w:rPr>
                      <w:color w:val="auto"/>
                      <w:sz w:val="22"/>
                      <w:szCs w:val="22"/>
                    </w:rPr>
                  </w:pPr>
                  <w:r>
                    <w:rPr>
                      <w:color w:val="auto"/>
                      <w:sz w:val="22"/>
                      <w:szCs w:val="22"/>
                    </w:rPr>
                    <w:t>治理效率</w:t>
                  </w:r>
                </w:p>
              </w:tc>
              <w:tc>
                <w:tcPr>
                  <w:tcW w:w="887" w:type="dxa"/>
                  <w:vAlign w:val="center"/>
                </w:tcPr>
                <w:p w14:paraId="70D7D3D9">
                  <w:pPr>
                    <w:pStyle w:val="41"/>
                    <w:rPr>
                      <w:color w:val="auto"/>
                      <w:sz w:val="22"/>
                      <w:szCs w:val="22"/>
                    </w:rPr>
                  </w:pPr>
                  <w:r>
                    <w:rPr>
                      <w:color w:val="auto"/>
                      <w:sz w:val="22"/>
                      <w:szCs w:val="22"/>
                    </w:rPr>
                    <w:t>是否为可行性技术</w:t>
                  </w:r>
                </w:p>
              </w:tc>
            </w:tr>
            <w:tr w14:paraId="5527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23" w:type="dxa"/>
                  <w:vMerge w:val="restart"/>
                  <w:vAlign w:val="center"/>
                </w:tcPr>
                <w:p w14:paraId="587DF919">
                  <w:pPr>
                    <w:widowControl/>
                    <w:jc w:val="center"/>
                    <w:rPr>
                      <w:color w:val="auto"/>
                      <w:sz w:val="22"/>
                      <w:szCs w:val="22"/>
                    </w:rPr>
                  </w:pPr>
                  <w:r>
                    <w:rPr>
                      <w:rFonts w:hint="eastAsia"/>
                      <w:color w:val="auto"/>
                      <w:sz w:val="22"/>
                      <w:szCs w:val="22"/>
                    </w:rPr>
                    <w:t>东地块生活污水</w:t>
                  </w:r>
                </w:p>
              </w:tc>
              <w:tc>
                <w:tcPr>
                  <w:tcW w:w="1437" w:type="dxa"/>
                  <w:vAlign w:val="center"/>
                </w:tcPr>
                <w:p w14:paraId="05F9C6E9">
                  <w:pPr>
                    <w:widowControl/>
                    <w:jc w:val="center"/>
                    <w:textAlignment w:val="center"/>
                    <w:rPr>
                      <w:color w:val="auto"/>
                      <w:sz w:val="22"/>
                      <w:szCs w:val="22"/>
                    </w:rPr>
                  </w:pPr>
                  <w:r>
                    <w:rPr>
                      <w:color w:val="auto"/>
                      <w:kern w:val="0"/>
                      <w:sz w:val="22"/>
                      <w:szCs w:val="22"/>
                    </w:rPr>
                    <w:t>COD</w:t>
                  </w:r>
                </w:p>
              </w:tc>
              <w:tc>
                <w:tcPr>
                  <w:tcW w:w="1050" w:type="dxa"/>
                  <w:vMerge w:val="restart"/>
                  <w:vAlign w:val="center"/>
                </w:tcPr>
                <w:p w14:paraId="63DD09B7">
                  <w:pPr>
                    <w:widowControl/>
                    <w:jc w:val="center"/>
                    <w:rPr>
                      <w:color w:val="auto"/>
                      <w:sz w:val="22"/>
                      <w:szCs w:val="22"/>
                    </w:rPr>
                  </w:pPr>
                  <w:r>
                    <w:rPr>
                      <w:color w:val="auto"/>
                      <w:sz w:val="22"/>
                      <w:szCs w:val="22"/>
                    </w:rPr>
                    <w:t>TW00</w:t>
                  </w:r>
                  <w:r>
                    <w:rPr>
                      <w:rFonts w:hint="eastAsia"/>
                      <w:color w:val="auto"/>
                      <w:sz w:val="22"/>
                      <w:szCs w:val="22"/>
                    </w:rPr>
                    <w:t>1</w:t>
                  </w:r>
                </w:p>
              </w:tc>
              <w:tc>
                <w:tcPr>
                  <w:tcW w:w="887" w:type="dxa"/>
                  <w:vMerge w:val="restart"/>
                  <w:vAlign w:val="center"/>
                </w:tcPr>
                <w:p w14:paraId="4F43FEC6">
                  <w:pPr>
                    <w:widowControl/>
                    <w:jc w:val="center"/>
                    <w:rPr>
                      <w:rFonts w:hint="eastAsia" w:eastAsia="宋体"/>
                      <w:color w:val="auto"/>
                      <w:sz w:val="22"/>
                      <w:szCs w:val="22"/>
                      <w:lang w:eastAsia="zh-CN"/>
                    </w:rPr>
                  </w:pPr>
                  <w:r>
                    <w:rPr>
                      <w:rFonts w:hint="eastAsia"/>
                      <w:color w:val="auto"/>
                      <w:sz w:val="22"/>
                      <w:szCs w:val="22"/>
                      <w:lang w:eastAsia="zh-CN"/>
                    </w:rPr>
                    <w:t>化粪池</w:t>
                  </w:r>
                </w:p>
              </w:tc>
              <w:tc>
                <w:tcPr>
                  <w:tcW w:w="887" w:type="dxa"/>
                  <w:vMerge w:val="restart"/>
                  <w:vAlign w:val="center"/>
                </w:tcPr>
                <w:p w14:paraId="0EDB897F">
                  <w:pPr>
                    <w:widowControl/>
                    <w:jc w:val="center"/>
                    <w:rPr>
                      <w:color w:val="auto"/>
                      <w:sz w:val="22"/>
                      <w:szCs w:val="22"/>
                    </w:rPr>
                  </w:pPr>
                  <w:r>
                    <w:rPr>
                      <w:rFonts w:hint="eastAsia"/>
                      <w:color w:val="auto"/>
                      <w:sz w:val="22"/>
                      <w:szCs w:val="22"/>
                      <w:lang w:val="en-US" w:eastAsia="zh-CN"/>
                    </w:rPr>
                    <w:t>50</w:t>
                  </w:r>
                  <w:r>
                    <w:rPr>
                      <w:color w:val="auto"/>
                      <w:sz w:val="22"/>
                      <w:szCs w:val="22"/>
                    </w:rPr>
                    <w:t>m</w:t>
                  </w:r>
                  <w:r>
                    <w:rPr>
                      <w:color w:val="auto"/>
                      <w:sz w:val="22"/>
                      <w:szCs w:val="22"/>
                      <w:vertAlign w:val="superscript"/>
                    </w:rPr>
                    <w:t>3</w:t>
                  </w:r>
                  <w:r>
                    <w:rPr>
                      <w:color w:val="auto"/>
                      <w:sz w:val="22"/>
                      <w:szCs w:val="22"/>
                    </w:rPr>
                    <w:t>/d</w:t>
                  </w:r>
                </w:p>
              </w:tc>
              <w:tc>
                <w:tcPr>
                  <w:tcW w:w="1656" w:type="dxa"/>
                  <w:vMerge w:val="restart"/>
                  <w:vAlign w:val="center"/>
                </w:tcPr>
                <w:p w14:paraId="7FF62766">
                  <w:pPr>
                    <w:widowControl/>
                    <w:jc w:val="center"/>
                    <w:rPr>
                      <w:rFonts w:hint="eastAsia" w:eastAsia="宋体"/>
                      <w:color w:val="auto"/>
                      <w:sz w:val="22"/>
                      <w:szCs w:val="22"/>
                      <w:lang w:eastAsia="zh-CN"/>
                    </w:rPr>
                  </w:pPr>
                  <w:r>
                    <w:rPr>
                      <w:rFonts w:hint="eastAsia"/>
                      <w:color w:val="auto"/>
                      <w:sz w:val="22"/>
                      <w:szCs w:val="22"/>
                    </w:rPr>
                    <w:t>隔油池+</w:t>
                  </w:r>
                  <w:r>
                    <w:rPr>
                      <w:rFonts w:hint="eastAsia"/>
                      <w:color w:val="auto"/>
                      <w:sz w:val="22"/>
                      <w:szCs w:val="22"/>
                      <w:lang w:eastAsia="zh-CN"/>
                    </w:rPr>
                    <w:t>化粪池</w:t>
                  </w:r>
                </w:p>
              </w:tc>
              <w:tc>
                <w:tcPr>
                  <w:tcW w:w="639" w:type="dxa"/>
                  <w:vMerge w:val="restart"/>
                  <w:vAlign w:val="center"/>
                </w:tcPr>
                <w:p w14:paraId="5FAEDE62">
                  <w:pPr>
                    <w:pStyle w:val="41"/>
                    <w:rPr>
                      <w:color w:val="auto"/>
                      <w:sz w:val="22"/>
                      <w:szCs w:val="22"/>
                    </w:rPr>
                  </w:pPr>
                  <w:r>
                    <w:rPr>
                      <w:color w:val="auto"/>
                      <w:sz w:val="22"/>
                      <w:szCs w:val="22"/>
                    </w:rPr>
                    <w:t>/</w:t>
                  </w:r>
                </w:p>
              </w:tc>
              <w:tc>
                <w:tcPr>
                  <w:tcW w:w="887" w:type="dxa"/>
                  <w:vMerge w:val="restart"/>
                  <w:vAlign w:val="center"/>
                </w:tcPr>
                <w:p w14:paraId="67CE30CF">
                  <w:pPr>
                    <w:pStyle w:val="41"/>
                    <w:rPr>
                      <w:color w:val="auto"/>
                      <w:sz w:val="22"/>
                      <w:szCs w:val="22"/>
                    </w:rPr>
                  </w:pPr>
                  <w:r>
                    <w:rPr>
                      <w:rFonts w:hint="eastAsia"/>
                      <w:color w:val="auto"/>
                      <w:sz w:val="22"/>
                      <w:szCs w:val="22"/>
                    </w:rPr>
                    <w:t>/</w:t>
                  </w:r>
                </w:p>
              </w:tc>
            </w:tr>
            <w:tr w14:paraId="16B0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23" w:type="dxa"/>
                  <w:vMerge w:val="continue"/>
                  <w:vAlign w:val="center"/>
                </w:tcPr>
                <w:p w14:paraId="205EF93D">
                  <w:pPr>
                    <w:widowControl/>
                    <w:jc w:val="center"/>
                    <w:rPr>
                      <w:color w:val="auto"/>
                      <w:sz w:val="22"/>
                      <w:szCs w:val="22"/>
                      <w:highlight w:val="yellow"/>
                    </w:rPr>
                  </w:pPr>
                </w:p>
              </w:tc>
              <w:tc>
                <w:tcPr>
                  <w:tcW w:w="1437" w:type="dxa"/>
                  <w:vAlign w:val="center"/>
                </w:tcPr>
                <w:p w14:paraId="1BA0EAFE">
                  <w:pPr>
                    <w:widowControl/>
                    <w:jc w:val="center"/>
                    <w:textAlignment w:val="center"/>
                    <w:rPr>
                      <w:color w:val="auto"/>
                      <w:sz w:val="22"/>
                      <w:szCs w:val="22"/>
                    </w:rPr>
                  </w:pPr>
                  <w:r>
                    <w:rPr>
                      <w:color w:val="auto"/>
                      <w:kern w:val="0"/>
                      <w:sz w:val="22"/>
                      <w:szCs w:val="22"/>
                    </w:rPr>
                    <w:t>BOD</w:t>
                  </w:r>
                  <w:r>
                    <w:rPr>
                      <w:color w:val="auto"/>
                      <w:kern w:val="0"/>
                      <w:sz w:val="22"/>
                      <w:szCs w:val="22"/>
                      <w:vertAlign w:val="subscript"/>
                    </w:rPr>
                    <w:t>5</w:t>
                  </w:r>
                </w:p>
              </w:tc>
              <w:tc>
                <w:tcPr>
                  <w:tcW w:w="1050" w:type="dxa"/>
                  <w:vMerge w:val="continue"/>
                  <w:vAlign w:val="center"/>
                </w:tcPr>
                <w:p w14:paraId="410D4819">
                  <w:pPr>
                    <w:widowControl/>
                    <w:jc w:val="center"/>
                    <w:rPr>
                      <w:color w:val="auto"/>
                      <w:sz w:val="22"/>
                      <w:szCs w:val="22"/>
                    </w:rPr>
                  </w:pPr>
                </w:p>
              </w:tc>
              <w:tc>
                <w:tcPr>
                  <w:tcW w:w="887" w:type="dxa"/>
                  <w:vMerge w:val="continue"/>
                  <w:vAlign w:val="center"/>
                </w:tcPr>
                <w:p w14:paraId="0A40EAC0">
                  <w:pPr>
                    <w:widowControl/>
                    <w:jc w:val="center"/>
                    <w:rPr>
                      <w:color w:val="auto"/>
                      <w:sz w:val="22"/>
                      <w:szCs w:val="22"/>
                      <w:highlight w:val="yellow"/>
                    </w:rPr>
                  </w:pPr>
                </w:p>
              </w:tc>
              <w:tc>
                <w:tcPr>
                  <w:tcW w:w="887" w:type="dxa"/>
                  <w:vMerge w:val="continue"/>
                  <w:vAlign w:val="center"/>
                </w:tcPr>
                <w:p w14:paraId="35351C3B">
                  <w:pPr>
                    <w:widowControl/>
                    <w:jc w:val="center"/>
                    <w:rPr>
                      <w:color w:val="auto"/>
                      <w:sz w:val="22"/>
                      <w:szCs w:val="22"/>
                      <w:highlight w:val="yellow"/>
                    </w:rPr>
                  </w:pPr>
                </w:p>
              </w:tc>
              <w:tc>
                <w:tcPr>
                  <w:tcW w:w="1656" w:type="dxa"/>
                  <w:vMerge w:val="continue"/>
                  <w:vAlign w:val="center"/>
                </w:tcPr>
                <w:p w14:paraId="60490BDA">
                  <w:pPr>
                    <w:widowControl/>
                    <w:jc w:val="center"/>
                    <w:rPr>
                      <w:color w:val="auto"/>
                      <w:sz w:val="22"/>
                      <w:szCs w:val="22"/>
                      <w:highlight w:val="yellow"/>
                    </w:rPr>
                  </w:pPr>
                </w:p>
              </w:tc>
              <w:tc>
                <w:tcPr>
                  <w:tcW w:w="639" w:type="dxa"/>
                  <w:vMerge w:val="continue"/>
                  <w:vAlign w:val="center"/>
                </w:tcPr>
                <w:p w14:paraId="3B81C443">
                  <w:pPr>
                    <w:widowControl/>
                    <w:jc w:val="center"/>
                    <w:rPr>
                      <w:color w:val="auto"/>
                      <w:sz w:val="22"/>
                      <w:szCs w:val="22"/>
                      <w:highlight w:val="yellow"/>
                    </w:rPr>
                  </w:pPr>
                </w:p>
              </w:tc>
              <w:tc>
                <w:tcPr>
                  <w:tcW w:w="887" w:type="dxa"/>
                  <w:vMerge w:val="continue"/>
                  <w:vAlign w:val="center"/>
                </w:tcPr>
                <w:p w14:paraId="79ED4E9F">
                  <w:pPr>
                    <w:widowControl/>
                    <w:jc w:val="center"/>
                    <w:rPr>
                      <w:color w:val="auto"/>
                      <w:sz w:val="22"/>
                      <w:szCs w:val="22"/>
                      <w:highlight w:val="yellow"/>
                    </w:rPr>
                  </w:pPr>
                </w:p>
              </w:tc>
            </w:tr>
            <w:tr w14:paraId="1C56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23" w:type="dxa"/>
                  <w:vMerge w:val="continue"/>
                  <w:vAlign w:val="center"/>
                </w:tcPr>
                <w:p w14:paraId="004D6925">
                  <w:pPr>
                    <w:widowControl/>
                    <w:jc w:val="center"/>
                    <w:rPr>
                      <w:color w:val="auto"/>
                      <w:sz w:val="22"/>
                      <w:szCs w:val="22"/>
                      <w:highlight w:val="yellow"/>
                    </w:rPr>
                  </w:pPr>
                </w:p>
              </w:tc>
              <w:tc>
                <w:tcPr>
                  <w:tcW w:w="1437" w:type="dxa"/>
                  <w:vAlign w:val="center"/>
                </w:tcPr>
                <w:p w14:paraId="307E1CE7">
                  <w:pPr>
                    <w:widowControl/>
                    <w:jc w:val="center"/>
                    <w:textAlignment w:val="center"/>
                    <w:rPr>
                      <w:color w:val="auto"/>
                      <w:sz w:val="22"/>
                      <w:szCs w:val="22"/>
                    </w:rPr>
                  </w:pPr>
                  <w:r>
                    <w:rPr>
                      <w:color w:val="auto"/>
                      <w:kern w:val="0"/>
                      <w:sz w:val="22"/>
                      <w:szCs w:val="22"/>
                    </w:rPr>
                    <w:t>SS</w:t>
                  </w:r>
                </w:p>
              </w:tc>
              <w:tc>
                <w:tcPr>
                  <w:tcW w:w="1050" w:type="dxa"/>
                  <w:vMerge w:val="continue"/>
                  <w:vAlign w:val="center"/>
                </w:tcPr>
                <w:p w14:paraId="2405F2E8">
                  <w:pPr>
                    <w:widowControl/>
                    <w:jc w:val="center"/>
                    <w:rPr>
                      <w:color w:val="auto"/>
                      <w:sz w:val="22"/>
                      <w:szCs w:val="22"/>
                    </w:rPr>
                  </w:pPr>
                </w:p>
              </w:tc>
              <w:tc>
                <w:tcPr>
                  <w:tcW w:w="887" w:type="dxa"/>
                  <w:vMerge w:val="continue"/>
                  <w:vAlign w:val="center"/>
                </w:tcPr>
                <w:p w14:paraId="49500B2B">
                  <w:pPr>
                    <w:widowControl/>
                    <w:jc w:val="center"/>
                    <w:rPr>
                      <w:color w:val="auto"/>
                      <w:sz w:val="22"/>
                      <w:szCs w:val="22"/>
                      <w:highlight w:val="yellow"/>
                    </w:rPr>
                  </w:pPr>
                </w:p>
              </w:tc>
              <w:tc>
                <w:tcPr>
                  <w:tcW w:w="887" w:type="dxa"/>
                  <w:vMerge w:val="continue"/>
                  <w:vAlign w:val="center"/>
                </w:tcPr>
                <w:p w14:paraId="52B89F1E">
                  <w:pPr>
                    <w:widowControl/>
                    <w:jc w:val="center"/>
                    <w:rPr>
                      <w:color w:val="auto"/>
                      <w:sz w:val="22"/>
                      <w:szCs w:val="22"/>
                      <w:highlight w:val="yellow"/>
                    </w:rPr>
                  </w:pPr>
                </w:p>
              </w:tc>
              <w:tc>
                <w:tcPr>
                  <w:tcW w:w="1656" w:type="dxa"/>
                  <w:vMerge w:val="continue"/>
                  <w:vAlign w:val="center"/>
                </w:tcPr>
                <w:p w14:paraId="29163A0F">
                  <w:pPr>
                    <w:widowControl/>
                    <w:jc w:val="center"/>
                    <w:rPr>
                      <w:color w:val="auto"/>
                      <w:sz w:val="22"/>
                      <w:szCs w:val="22"/>
                      <w:highlight w:val="yellow"/>
                    </w:rPr>
                  </w:pPr>
                </w:p>
              </w:tc>
              <w:tc>
                <w:tcPr>
                  <w:tcW w:w="639" w:type="dxa"/>
                  <w:vMerge w:val="continue"/>
                  <w:vAlign w:val="center"/>
                </w:tcPr>
                <w:p w14:paraId="067564A4">
                  <w:pPr>
                    <w:widowControl/>
                    <w:jc w:val="center"/>
                    <w:rPr>
                      <w:color w:val="auto"/>
                      <w:sz w:val="22"/>
                      <w:szCs w:val="22"/>
                      <w:highlight w:val="yellow"/>
                    </w:rPr>
                  </w:pPr>
                </w:p>
              </w:tc>
              <w:tc>
                <w:tcPr>
                  <w:tcW w:w="887" w:type="dxa"/>
                  <w:vMerge w:val="continue"/>
                  <w:vAlign w:val="center"/>
                </w:tcPr>
                <w:p w14:paraId="161FCD7D">
                  <w:pPr>
                    <w:widowControl/>
                    <w:jc w:val="center"/>
                    <w:rPr>
                      <w:color w:val="auto"/>
                      <w:sz w:val="22"/>
                      <w:szCs w:val="22"/>
                      <w:highlight w:val="yellow"/>
                    </w:rPr>
                  </w:pPr>
                </w:p>
              </w:tc>
            </w:tr>
            <w:tr w14:paraId="3DA9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23" w:type="dxa"/>
                  <w:vMerge w:val="continue"/>
                  <w:vAlign w:val="center"/>
                </w:tcPr>
                <w:p w14:paraId="244A9243">
                  <w:pPr>
                    <w:widowControl/>
                    <w:jc w:val="center"/>
                    <w:rPr>
                      <w:color w:val="auto"/>
                      <w:sz w:val="22"/>
                      <w:szCs w:val="22"/>
                      <w:highlight w:val="yellow"/>
                    </w:rPr>
                  </w:pPr>
                </w:p>
              </w:tc>
              <w:tc>
                <w:tcPr>
                  <w:tcW w:w="1437" w:type="dxa"/>
                  <w:vAlign w:val="center"/>
                </w:tcPr>
                <w:p w14:paraId="4F6C31BB">
                  <w:pPr>
                    <w:widowControl/>
                    <w:jc w:val="center"/>
                    <w:textAlignment w:val="center"/>
                    <w:rPr>
                      <w:color w:val="auto"/>
                      <w:sz w:val="22"/>
                      <w:szCs w:val="22"/>
                    </w:rPr>
                  </w:pPr>
                  <w:r>
                    <w:rPr>
                      <w:color w:val="auto"/>
                      <w:kern w:val="0"/>
                      <w:sz w:val="22"/>
                      <w:szCs w:val="22"/>
                    </w:rPr>
                    <w:t>NH</w:t>
                  </w:r>
                  <w:r>
                    <w:rPr>
                      <w:color w:val="auto"/>
                      <w:kern w:val="0"/>
                      <w:sz w:val="22"/>
                      <w:szCs w:val="22"/>
                      <w:vertAlign w:val="subscript"/>
                    </w:rPr>
                    <w:t>3</w:t>
                  </w:r>
                  <w:r>
                    <w:rPr>
                      <w:color w:val="auto"/>
                      <w:kern w:val="0"/>
                      <w:sz w:val="22"/>
                      <w:szCs w:val="22"/>
                    </w:rPr>
                    <w:t>-N</w:t>
                  </w:r>
                </w:p>
              </w:tc>
              <w:tc>
                <w:tcPr>
                  <w:tcW w:w="1050" w:type="dxa"/>
                  <w:vMerge w:val="continue"/>
                  <w:vAlign w:val="center"/>
                </w:tcPr>
                <w:p w14:paraId="73521958">
                  <w:pPr>
                    <w:widowControl/>
                    <w:jc w:val="center"/>
                    <w:rPr>
                      <w:color w:val="auto"/>
                      <w:sz w:val="22"/>
                      <w:szCs w:val="22"/>
                    </w:rPr>
                  </w:pPr>
                </w:p>
              </w:tc>
              <w:tc>
                <w:tcPr>
                  <w:tcW w:w="887" w:type="dxa"/>
                  <w:vMerge w:val="continue"/>
                  <w:vAlign w:val="center"/>
                </w:tcPr>
                <w:p w14:paraId="4041C281">
                  <w:pPr>
                    <w:widowControl/>
                    <w:jc w:val="center"/>
                    <w:rPr>
                      <w:color w:val="auto"/>
                      <w:sz w:val="22"/>
                      <w:szCs w:val="22"/>
                      <w:highlight w:val="yellow"/>
                    </w:rPr>
                  </w:pPr>
                </w:p>
              </w:tc>
              <w:tc>
                <w:tcPr>
                  <w:tcW w:w="887" w:type="dxa"/>
                  <w:vMerge w:val="continue"/>
                  <w:vAlign w:val="center"/>
                </w:tcPr>
                <w:p w14:paraId="4AC0BB20">
                  <w:pPr>
                    <w:widowControl/>
                    <w:jc w:val="center"/>
                    <w:rPr>
                      <w:color w:val="auto"/>
                      <w:sz w:val="22"/>
                      <w:szCs w:val="22"/>
                      <w:highlight w:val="yellow"/>
                    </w:rPr>
                  </w:pPr>
                </w:p>
              </w:tc>
              <w:tc>
                <w:tcPr>
                  <w:tcW w:w="1656" w:type="dxa"/>
                  <w:vMerge w:val="continue"/>
                  <w:vAlign w:val="center"/>
                </w:tcPr>
                <w:p w14:paraId="150F1E75">
                  <w:pPr>
                    <w:widowControl/>
                    <w:jc w:val="center"/>
                    <w:rPr>
                      <w:color w:val="auto"/>
                      <w:sz w:val="22"/>
                      <w:szCs w:val="22"/>
                      <w:highlight w:val="yellow"/>
                    </w:rPr>
                  </w:pPr>
                </w:p>
              </w:tc>
              <w:tc>
                <w:tcPr>
                  <w:tcW w:w="639" w:type="dxa"/>
                  <w:vMerge w:val="continue"/>
                  <w:vAlign w:val="center"/>
                </w:tcPr>
                <w:p w14:paraId="06E2687A">
                  <w:pPr>
                    <w:widowControl/>
                    <w:jc w:val="center"/>
                    <w:rPr>
                      <w:color w:val="auto"/>
                      <w:sz w:val="22"/>
                      <w:szCs w:val="22"/>
                      <w:highlight w:val="yellow"/>
                    </w:rPr>
                  </w:pPr>
                </w:p>
              </w:tc>
              <w:tc>
                <w:tcPr>
                  <w:tcW w:w="887" w:type="dxa"/>
                  <w:vMerge w:val="continue"/>
                  <w:vAlign w:val="center"/>
                </w:tcPr>
                <w:p w14:paraId="66507237">
                  <w:pPr>
                    <w:widowControl/>
                    <w:jc w:val="center"/>
                    <w:rPr>
                      <w:color w:val="auto"/>
                      <w:sz w:val="22"/>
                      <w:szCs w:val="22"/>
                      <w:highlight w:val="yellow"/>
                    </w:rPr>
                  </w:pPr>
                </w:p>
              </w:tc>
            </w:tr>
            <w:tr w14:paraId="45A5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23" w:type="dxa"/>
                  <w:vMerge w:val="continue"/>
                  <w:vAlign w:val="center"/>
                </w:tcPr>
                <w:p w14:paraId="05ED22F5">
                  <w:pPr>
                    <w:widowControl/>
                    <w:jc w:val="center"/>
                    <w:rPr>
                      <w:color w:val="auto"/>
                      <w:sz w:val="22"/>
                      <w:szCs w:val="22"/>
                      <w:highlight w:val="yellow"/>
                    </w:rPr>
                  </w:pPr>
                </w:p>
              </w:tc>
              <w:tc>
                <w:tcPr>
                  <w:tcW w:w="1437" w:type="dxa"/>
                  <w:vAlign w:val="center"/>
                </w:tcPr>
                <w:p w14:paraId="68922C12">
                  <w:pPr>
                    <w:widowControl/>
                    <w:jc w:val="center"/>
                    <w:textAlignment w:val="center"/>
                    <w:rPr>
                      <w:color w:val="auto"/>
                      <w:sz w:val="22"/>
                      <w:szCs w:val="22"/>
                    </w:rPr>
                  </w:pPr>
                  <w:r>
                    <w:rPr>
                      <w:color w:val="auto"/>
                      <w:kern w:val="0"/>
                      <w:sz w:val="22"/>
                      <w:szCs w:val="22"/>
                    </w:rPr>
                    <w:t>动植物油</w:t>
                  </w:r>
                </w:p>
              </w:tc>
              <w:tc>
                <w:tcPr>
                  <w:tcW w:w="1050" w:type="dxa"/>
                  <w:vMerge w:val="continue"/>
                  <w:vAlign w:val="center"/>
                </w:tcPr>
                <w:p w14:paraId="79BDA469">
                  <w:pPr>
                    <w:widowControl/>
                    <w:jc w:val="center"/>
                    <w:rPr>
                      <w:color w:val="auto"/>
                      <w:sz w:val="22"/>
                      <w:szCs w:val="22"/>
                    </w:rPr>
                  </w:pPr>
                </w:p>
              </w:tc>
              <w:tc>
                <w:tcPr>
                  <w:tcW w:w="887" w:type="dxa"/>
                  <w:vMerge w:val="continue"/>
                  <w:vAlign w:val="center"/>
                </w:tcPr>
                <w:p w14:paraId="5D2B7F73">
                  <w:pPr>
                    <w:widowControl/>
                    <w:jc w:val="center"/>
                    <w:rPr>
                      <w:color w:val="auto"/>
                      <w:sz w:val="22"/>
                      <w:szCs w:val="22"/>
                      <w:highlight w:val="yellow"/>
                    </w:rPr>
                  </w:pPr>
                </w:p>
              </w:tc>
              <w:tc>
                <w:tcPr>
                  <w:tcW w:w="887" w:type="dxa"/>
                  <w:vMerge w:val="continue"/>
                  <w:vAlign w:val="center"/>
                </w:tcPr>
                <w:p w14:paraId="16807617">
                  <w:pPr>
                    <w:widowControl/>
                    <w:jc w:val="center"/>
                    <w:rPr>
                      <w:color w:val="auto"/>
                      <w:sz w:val="22"/>
                      <w:szCs w:val="22"/>
                      <w:highlight w:val="yellow"/>
                    </w:rPr>
                  </w:pPr>
                </w:p>
              </w:tc>
              <w:tc>
                <w:tcPr>
                  <w:tcW w:w="1656" w:type="dxa"/>
                  <w:vMerge w:val="continue"/>
                  <w:vAlign w:val="center"/>
                </w:tcPr>
                <w:p w14:paraId="593C9924">
                  <w:pPr>
                    <w:widowControl/>
                    <w:jc w:val="center"/>
                    <w:rPr>
                      <w:color w:val="auto"/>
                      <w:sz w:val="22"/>
                      <w:szCs w:val="22"/>
                      <w:highlight w:val="yellow"/>
                    </w:rPr>
                  </w:pPr>
                </w:p>
              </w:tc>
              <w:tc>
                <w:tcPr>
                  <w:tcW w:w="639" w:type="dxa"/>
                  <w:vMerge w:val="continue"/>
                  <w:vAlign w:val="center"/>
                </w:tcPr>
                <w:p w14:paraId="5BEBCE63">
                  <w:pPr>
                    <w:widowControl/>
                    <w:jc w:val="center"/>
                    <w:rPr>
                      <w:color w:val="auto"/>
                      <w:sz w:val="22"/>
                      <w:szCs w:val="22"/>
                      <w:highlight w:val="yellow"/>
                    </w:rPr>
                  </w:pPr>
                </w:p>
              </w:tc>
              <w:tc>
                <w:tcPr>
                  <w:tcW w:w="887" w:type="dxa"/>
                  <w:vMerge w:val="continue"/>
                  <w:vAlign w:val="center"/>
                </w:tcPr>
                <w:p w14:paraId="7F847389">
                  <w:pPr>
                    <w:widowControl/>
                    <w:jc w:val="center"/>
                    <w:rPr>
                      <w:color w:val="auto"/>
                      <w:sz w:val="22"/>
                      <w:szCs w:val="22"/>
                      <w:highlight w:val="yellow"/>
                    </w:rPr>
                  </w:pPr>
                </w:p>
              </w:tc>
            </w:tr>
            <w:tr w14:paraId="402A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923" w:type="dxa"/>
                  <w:vMerge w:val="restart"/>
                  <w:vAlign w:val="center"/>
                </w:tcPr>
                <w:p w14:paraId="7983FEDE">
                  <w:pPr>
                    <w:widowControl/>
                    <w:jc w:val="center"/>
                    <w:rPr>
                      <w:color w:val="auto"/>
                      <w:sz w:val="22"/>
                      <w:szCs w:val="22"/>
                      <w:highlight w:val="yellow"/>
                    </w:rPr>
                  </w:pPr>
                  <w:r>
                    <w:rPr>
                      <w:rFonts w:hint="eastAsia"/>
                      <w:color w:val="auto"/>
                      <w:sz w:val="22"/>
                      <w:szCs w:val="22"/>
                      <w:lang w:val="en-US" w:eastAsia="zh-CN"/>
                    </w:rPr>
                    <w:t>西</w:t>
                  </w:r>
                  <w:r>
                    <w:rPr>
                      <w:rFonts w:hint="eastAsia"/>
                      <w:color w:val="auto"/>
                      <w:sz w:val="22"/>
                      <w:szCs w:val="22"/>
                    </w:rPr>
                    <w:t>地块生活污水</w:t>
                  </w:r>
                </w:p>
              </w:tc>
              <w:tc>
                <w:tcPr>
                  <w:tcW w:w="1437" w:type="dxa"/>
                  <w:vAlign w:val="center"/>
                </w:tcPr>
                <w:p w14:paraId="1FB60142">
                  <w:pPr>
                    <w:widowControl/>
                    <w:jc w:val="center"/>
                    <w:textAlignment w:val="center"/>
                    <w:rPr>
                      <w:color w:val="auto"/>
                      <w:kern w:val="0"/>
                      <w:sz w:val="22"/>
                      <w:szCs w:val="22"/>
                    </w:rPr>
                  </w:pPr>
                  <w:r>
                    <w:rPr>
                      <w:color w:val="auto"/>
                      <w:kern w:val="0"/>
                      <w:sz w:val="22"/>
                      <w:szCs w:val="22"/>
                    </w:rPr>
                    <w:t>COD</w:t>
                  </w:r>
                </w:p>
              </w:tc>
              <w:tc>
                <w:tcPr>
                  <w:tcW w:w="1050" w:type="dxa"/>
                  <w:vMerge w:val="restart"/>
                  <w:vAlign w:val="center"/>
                </w:tcPr>
                <w:p w14:paraId="204AFDA2">
                  <w:pPr>
                    <w:widowControl/>
                    <w:jc w:val="center"/>
                    <w:rPr>
                      <w:rFonts w:hint="eastAsia" w:eastAsia="宋体"/>
                      <w:color w:val="auto"/>
                      <w:sz w:val="22"/>
                      <w:szCs w:val="22"/>
                      <w:lang w:eastAsia="zh-CN"/>
                    </w:rPr>
                  </w:pPr>
                  <w:r>
                    <w:rPr>
                      <w:color w:val="auto"/>
                      <w:sz w:val="22"/>
                      <w:szCs w:val="22"/>
                    </w:rPr>
                    <w:t>TW00</w:t>
                  </w:r>
                  <w:r>
                    <w:rPr>
                      <w:rFonts w:hint="eastAsia"/>
                      <w:color w:val="auto"/>
                      <w:sz w:val="22"/>
                      <w:szCs w:val="22"/>
                      <w:lang w:val="en-US" w:eastAsia="zh-CN"/>
                    </w:rPr>
                    <w:t>2</w:t>
                  </w:r>
                </w:p>
              </w:tc>
              <w:tc>
                <w:tcPr>
                  <w:tcW w:w="887" w:type="dxa"/>
                  <w:vMerge w:val="restart"/>
                  <w:vAlign w:val="center"/>
                </w:tcPr>
                <w:p w14:paraId="3CB74128">
                  <w:pPr>
                    <w:widowControl/>
                    <w:jc w:val="center"/>
                    <w:rPr>
                      <w:rFonts w:hint="eastAsia" w:eastAsia="宋体"/>
                      <w:color w:val="auto"/>
                      <w:sz w:val="22"/>
                      <w:szCs w:val="22"/>
                      <w:highlight w:val="yellow"/>
                      <w:lang w:eastAsia="zh-CN"/>
                    </w:rPr>
                  </w:pPr>
                  <w:r>
                    <w:rPr>
                      <w:rFonts w:hint="eastAsia"/>
                      <w:color w:val="auto"/>
                      <w:sz w:val="22"/>
                      <w:szCs w:val="22"/>
                      <w:lang w:eastAsia="zh-CN"/>
                    </w:rPr>
                    <w:t>化粪池</w:t>
                  </w:r>
                </w:p>
              </w:tc>
              <w:tc>
                <w:tcPr>
                  <w:tcW w:w="887" w:type="dxa"/>
                  <w:vMerge w:val="restart"/>
                  <w:vAlign w:val="center"/>
                </w:tcPr>
                <w:p w14:paraId="66108076">
                  <w:pPr>
                    <w:widowControl/>
                    <w:jc w:val="center"/>
                    <w:rPr>
                      <w:color w:val="auto"/>
                      <w:sz w:val="22"/>
                      <w:szCs w:val="22"/>
                      <w:highlight w:val="yellow"/>
                    </w:rPr>
                  </w:pPr>
                  <w:r>
                    <w:rPr>
                      <w:rFonts w:hint="eastAsia"/>
                      <w:color w:val="auto"/>
                      <w:sz w:val="22"/>
                      <w:szCs w:val="22"/>
                      <w:lang w:val="en-US" w:eastAsia="zh-CN"/>
                    </w:rPr>
                    <w:t>40</w:t>
                  </w:r>
                  <w:r>
                    <w:rPr>
                      <w:color w:val="auto"/>
                      <w:sz w:val="22"/>
                      <w:szCs w:val="22"/>
                    </w:rPr>
                    <w:t>m</w:t>
                  </w:r>
                  <w:r>
                    <w:rPr>
                      <w:color w:val="auto"/>
                      <w:sz w:val="22"/>
                      <w:szCs w:val="22"/>
                      <w:vertAlign w:val="superscript"/>
                    </w:rPr>
                    <w:t>3</w:t>
                  </w:r>
                  <w:r>
                    <w:rPr>
                      <w:color w:val="auto"/>
                      <w:sz w:val="22"/>
                      <w:szCs w:val="22"/>
                    </w:rPr>
                    <w:t>/d</w:t>
                  </w:r>
                </w:p>
              </w:tc>
              <w:tc>
                <w:tcPr>
                  <w:tcW w:w="1656" w:type="dxa"/>
                  <w:vMerge w:val="restart"/>
                  <w:vAlign w:val="center"/>
                </w:tcPr>
                <w:p w14:paraId="167B8523">
                  <w:pPr>
                    <w:widowControl/>
                    <w:jc w:val="center"/>
                    <w:rPr>
                      <w:rFonts w:hint="eastAsia" w:eastAsia="宋体"/>
                      <w:color w:val="auto"/>
                      <w:sz w:val="22"/>
                      <w:szCs w:val="22"/>
                      <w:highlight w:val="yellow"/>
                      <w:lang w:eastAsia="zh-CN"/>
                    </w:rPr>
                  </w:pPr>
                  <w:r>
                    <w:rPr>
                      <w:rFonts w:hint="eastAsia"/>
                      <w:color w:val="auto"/>
                      <w:sz w:val="22"/>
                      <w:szCs w:val="22"/>
                      <w:lang w:eastAsia="zh-CN"/>
                    </w:rPr>
                    <w:t>化粪池</w:t>
                  </w:r>
                </w:p>
              </w:tc>
              <w:tc>
                <w:tcPr>
                  <w:tcW w:w="639" w:type="dxa"/>
                  <w:vMerge w:val="restart"/>
                  <w:vAlign w:val="center"/>
                </w:tcPr>
                <w:p w14:paraId="5B141FA6">
                  <w:pPr>
                    <w:pStyle w:val="41"/>
                    <w:rPr>
                      <w:color w:val="auto"/>
                      <w:sz w:val="22"/>
                      <w:szCs w:val="22"/>
                      <w:highlight w:val="yellow"/>
                    </w:rPr>
                  </w:pPr>
                  <w:r>
                    <w:rPr>
                      <w:color w:val="auto"/>
                      <w:sz w:val="22"/>
                      <w:szCs w:val="22"/>
                    </w:rPr>
                    <w:t>/</w:t>
                  </w:r>
                </w:p>
              </w:tc>
              <w:tc>
                <w:tcPr>
                  <w:tcW w:w="887" w:type="dxa"/>
                  <w:vMerge w:val="restart"/>
                  <w:vAlign w:val="center"/>
                </w:tcPr>
                <w:p w14:paraId="2C689F68">
                  <w:pPr>
                    <w:pStyle w:val="41"/>
                    <w:rPr>
                      <w:color w:val="auto"/>
                      <w:sz w:val="22"/>
                      <w:szCs w:val="22"/>
                      <w:highlight w:val="yellow"/>
                    </w:rPr>
                  </w:pPr>
                  <w:r>
                    <w:rPr>
                      <w:rFonts w:hint="eastAsia"/>
                      <w:color w:val="auto"/>
                      <w:sz w:val="22"/>
                      <w:szCs w:val="22"/>
                    </w:rPr>
                    <w:t>/</w:t>
                  </w:r>
                </w:p>
              </w:tc>
            </w:tr>
            <w:tr w14:paraId="0D59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923" w:type="dxa"/>
                  <w:vMerge w:val="continue"/>
                  <w:vAlign w:val="center"/>
                </w:tcPr>
                <w:p w14:paraId="52718AD9">
                  <w:pPr>
                    <w:widowControl/>
                    <w:jc w:val="center"/>
                    <w:rPr>
                      <w:color w:val="auto"/>
                    </w:rPr>
                  </w:pPr>
                </w:p>
              </w:tc>
              <w:tc>
                <w:tcPr>
                  <w:tcW w:w="1437" w:type="dxa"/>
                  <w:vAlign w:val="center"/>
                </w:tcPr>
                <w:p w14:paraId="3C02BEB8">
                  <w:pPr>
                    <w:widowControl/>
                    <w:jc w:val="center"/>
                    <w:textAlignment w:val="center"/>
                    <w:rPr>
                      <w:color w:val="auto"/>
                      <w:kern w:val="0"/>
                      <w:sz w:val="22"/>
                      <w:szCs w:val="22"/>
                    </w:rPr>
                  </w:pPr>
                  <w:r>
                    <w:rPr>
                      <w:color w:val="auto"/>
                      <w:kern w:val="0"/>
                      <w:sz w:val="22"/>
                      <w:szCs w:val="22"/>
                    </w:rPr>
                    <w:t>BOD</w:t>
                  </w:r>
                  <w:r>
                    <w:rPr>
                      <w:color w:val="auto"/>
                      <w:kern w:val="0"/>
                      <w:sz w:val="22"/>
                      <w:szCs w:val="22"/>
                      <w:vertAlign w:val="subscript"/>
                    </w:rPr>
                    <w:t>5</w:t>
                  </w:r>
                </w:p>
              </w:tc>
              <w:tc>
                <w:tcPr>
                  <w:tcW w:w="1050" w:type="dxa"/>
                  <w:vMerge w:val="continue"/>
                  <w:vAlign w:val="center"/>
                </w:tcPr>
                <w:p w14:paraId="445E1340">
                  <w:pPr>
                    <w:widowControl/>
                    <w:jc w:val="center"/>
                    <w:textAlignment w:val="center"/>
                    <w:rPr>
                      <w:color w:val="auto"/>
                      <w:kern w:val="0"/>
                      <w:sz w:val="22"/>
                      <w:szCs w:val="22"/>
                    </w:rPr>
                  </w:pPr>
                </w:p>
              </w:tc>
              <w:tc>
                <w:tcPr>
                  <w:tcW w:w="887" w:type="dxa"/>
                  <w:vMerge w:val="continue"/>
                  <w:vAlign w:val="center"/>
                </w:tcPr>
                <w:p w14:paraId="1DA35A46">
                  <w:pPr>
                    <w:widowControl/>
                    <w:jc w:val="center"/>
                    <w:textAlignment w:val="center"/>
                    <w:rPr>
                      <w:color w:val="auto"/>
                      <w:kern w:val="0"/>
                      <w:sz w:val="22"/>
                      <w:szCs w:val="22"/>
                    </w:rPr>
                  </w:pPr>
                </w:p>
              </w:tc>
              <w:tc>
                <w:tcPr>
                  <w:tcW w:w="887" w:type="dxa"/>
                  <w:vMerge w:val="continue"/>
                  <w:vAlign w:val="center"/>
                </w:tcPr>
                <w:p w14:paraId="37803249">
                  <w:pPr>
                    <w:widowControl/>
                    <w:jc w:val="center"/>
                    <w:textAlignment w:val="center"/>
                    <w:rPr>
                      <w:color w:val="auto"/>
                      <w:kern w:val="0"/>
                      <w:sz w:val="22"/>
                      <w:szCs w:val="22"/>
                    </w:rPr>
                  </w:pPr>
                </w:p>
              </w:tc>
              <w:tc>
                <w:tcPr>
                  <w:tcW w:w="1656" w:type="dxa"/>
                  <w:vMerge w:val="continue"/>
                  <w:vAlign w:val="center"/>
                </w:tcPr>
                <w:p w14:paraId="51360F43">
                  <w:pPr>
                    <w:widowControl/>
                    <w:jc w:val="center"/>
                    <w:textAlignment w:val="center"/>
                    <w:rPr>
                      <w:color w:val="auto"/>
                      <w:kern w:val="0"/>
                      <w:sz w:val="22"/>
                      <w:szCs w:val="22"/>
                    </w:rPr>
                  </w:pPr>
                </w:p>
              </w:tc>
              <w:tc>
                <w:tcPr>
                  <w:tcW w:w="639" w:type="dxa"/>
                  <w:vMerge w:val="continue"/>
                  <w:vAlign w:val="center"/>
                </w:tcPr>
                <w:p w14:paraId="784C85D4">
                  <w:pPr>
                    <w:widowControl/>
                    <w:jc w:val="center"/>
                    <w:textAlignment w:val="center"/>
                    <w:rPr>
                      <w:color w:val="auto"/>
                      <w:kern w:val="0"/>
                      <w:sz w:val="22"/>
                      <w:szCs w:val="22"/>
                    </w:rPr>
                  </w:pPr>
                </w:p>
              </w:tc>
              <w:tc>
                <w:tcPr>
                  <w:tcW w:w="887" w:type="dxa"/>
                  <w:vMerge w:val="continue"/>
                  <w:vAlign w:val="center"/>
                </w:tcPr>
                <w:p w14:paraId="6E3879E1">
                  <w:pPr>
                    <w:widowControl/>
                    <w:jc w:val="center"/>
                    <w:textAlignment w:val="center"/>
                    <w:rPr>
                      <w:color w:val="auto"/>
                      <w:kern w:val="0"/>
                      <w:sz w:val="22"/>
                      <w:szCs w:val="22"/>
                    </w:rPr>
                  </w:pPr>
                </w:p>
              </w:tc>
            </w:tr>
            <w:tr w14:paraId="389D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923" w:type="dxa"/>
                  <w:vMerge w:val="continue"/>
                  <w:vAlign w:val="center"/>
                </w:tcPr>
                <w:p w14:paraId="52D27FD5">
                  <w:pPr>
                    <w:widowControl/>
                    <w:jc w:val="center"/>
                    <w:rPr>
                      <w:color w:val="auto"/>
                      <w:kern w:val="0"/>
                      <w:sz w:val="22"/>
                      <w:szCs w:val="22"/>
                    </w:rPr>
                  </w:pPr>
                </w:p>
              </w:tc>
              <w:tc>
                <w:tcPr>
                  <w:tcW w:w="1437" w:type="dxa"/>
                  <w:vAlign w:val="center"/>
                </w:tcPr>
                <w:p w14:paraId="1AF3E335">
                  <w:pPr>
                    <w:widowControl/>
                    <w:jc w:val="center"/>
                    <w:textAlignment w:val="center"/>
                    <w:rPr>
                      <w:color w:val="auto"/>
                      <w:kern w:val="0"/>
                      <w:sz w:val="22"/>
                      <w:szCs w:val="22"/>
                    </w:rPr>
                  </w:pPr>
                  <w:r>
                    <w:rPr>
                      <w:color w:val="auto"/>
                      <w:kern w:val="0"/>
                      <w:sz w:val="22"/>
                      <w:szCs w:val="22"/>
                    </w:rPr>
                    <w:t>SS</w:t>
                  </w:r>
                </w:p>
              </w:tc>
              <w:tc>
                <w:tcPr>
                  <w:tcW w:w="1050" w:type="dxa"/>
                  <w:vMerge w:val="continue"/>
                  <w:vAlign w:val="center"/>
                </w:tcPr>
                <w:p w14:paraId="7E221F41">
                  <w:pPr>
                    <w:widowControl/>
                    <w:jc w:val="center"/>
                    <w:textAlignment w:val="center"/>
                    <w:rPr>
                      <w:color w:val="auto"/>
                      <w:kern w:val="0"/>
                      <w:sz w:val="22"/>
                      <w:szCs w:val="22"/>
                    </w:rPr>
                  </w:pPr>
                </w:p>
              </w:tc>
              <w:tc>
                <w:tcPr>
                  <w:tcW w:w="887" w:type="dxa"/>
                  <w:vMerge w:val="continue"/>
                  <w:vAlign w:val="center"/>
                </w:tcPr>
                <w:p w14:paraId="21D0671B">
                  <w:pPr>
                    <w:widowControl/>
                    <w:jc w:val="center"/>
                    <w:textAlignment w:val="center"/>
                    <w:rPr>
                      <w:color w:val="auto"/>
                      <w:kern w:val="0"/>
                      <w:sz w:val="22"/>
                      <w:szCs w:val="22"/>
                    </w:rPr>
                  </w:pPr>
                </w:p>
              </w:tc>
              <w:tc>
                <w:tcPr>
                  <w:tcW w:w="887" w:type="dxa"/>
                  <w:vMerge w:val="continue"/>
                  <w:vAlign w:val="center"/>
                </w:tcPr>
                <w:p w14:paraId="520F4329">
                  <w:pPr>
                    <w:widowControl/>
                    <w:jc w:val="center"/>
                    <w:textAlignment w:val="center"/>
                    <w:rPr>
                      <w:color w:val="auto"/>
                      <w:kern w:val="0"/>
                      <w:sz w:val="22"/>
                      <w:szCs w:val="22"/>
                    </w:rPr>
                  </w:pPr>
                </w:p>
              </w:tc>
              <w:tc>
                <w:tcPr>
                  <w:tcW w:w="1656" w:type="dxa"/>
                  <w:vMerge w:val="continue"/>
                  <w:vAlign w:val="center"/>
                </w:tcPr>
                <w:p w14:paraId="57FB062C">
                  <w:pPr>
                    <w:widowControl/>
                    <w:jc w:val="center"/>
                    <w:textAlignment w:val="center"/>
                    <w:rPr>
                      <w:color w:val="auto"/>
                      <w:kern w:val="0"/>
                      <w:sz w:val="22"/>
                      <w:szCs w:val="22"/>
                    </w:rPr>
                  </w:pPr>
                </w:p>
              </w:tc>
              <w:tc>
                <w:tcPr>
                  <w:tcW w:w="639" w:type="dxa"/>
                  <w:vMerge w:val="continue"/>
                  <w:vAlign w:val="center"/>
                </w:tcPr>
                <w:p w14:paraId="05F7C426">
                  <w:pPr>
                    <w:widowControl/>
                    <w:jc w:val="center"/>
                    <w:textAlignment w:val="center"/>
                    <w:rPr>
                      <w:color w:val="auto"/>
                      <w:kern w:val="0"/>
                      <w:sz w:val="22"/>
                      <w:szCs w:val="22"/>
                    </w:rPr>
                  </w:pPr>
                </w:p>
              </w:tc>
              <w:tc>
                <w:tcPr>
                  <w:tcW w:w="887" w:type="dxa"/>
                  <w:vMerge w:val="continue"/>
                  <w:vAlign w:val="center"/>
                </w:tcPr>
                <w:p w14:paraId="0C0B98EE">
                  <w:pPr>
                    <w:widowControl/>
                    <w:jc w:val="center"/>
                    <w:textAlignment w:val="center"/>
                    <w:rPr>
                      <w:color w:val="auto"/>
                      <w:kern w:val="0"/>
                      <w:sz w:val="22"/>
                      <w:szCs w:val="22"/>
                    </w:rPr>
                  </w:pPr>
                </w:p>
              </w:tc>
            </w:tr>
            <w:tr w14:paraId="17D4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923" w:type="dxa"/>
                  <w:vMerge w:val="continue"/>
                  <w:vAlign w:val="center"/>
                </w:tcPr>
                <w:p w14:paraId="492D319A">
                  <w:pPr>
                    <w:widowControl/>
                    <w:jc w:val="center"/>
                    <w:rPr>
                      <w:color w:val="auto"/>
                      <w:kern w:val="0"/>
                      <w:sz w:val="22"/>
                      <w:szCs w:val="22"/>
                    </w:rPr>
                  </w:pPr>
                </w:p>
              </w:tc>
              <w:tc>
                <w:tcPr>
                  <w:tcW w:w="1437" w:type="dxa"/>
                  <w:vAlign w:val="center"/>
                </w:tcPr>
                <w:p w14:paraId="79F0E715">
                  <w:pPr>
                    <w:widowControl/>
                    <w:jc w:val="center"/>
                    <w:textAlignment w:val="center"/>
                    <w:rPr>
                      <w:color w:val="auto"/>
                      <w:kern w:val="0"/>
                      <w:sz w:val="22"/>
                      <w:szCs w:val="22"/>
                    </w:rPr>
                  </w:pPr>
                  <w:r>
                    <w:rPr>
                      <w:color w:val="auto"/>
                      <w:kern w:val="0"/>
                      <w:sz w:val="22"/>
                      <w:szCs w:val="22"/>
                    </w:rPr>
                    <w:t>NH</w:t>
                  </w:r>
                  <w:r>
                    <w:rPr>
                      <w:color w:val="auto"/>
                      <w:kern w:val="0"/>
                      <w:sz w:val="22"/>
                      <w:szCs w:val="22"/>
                      <w:vertAlign w:val="subscript"/>
                    </w:rPr>
                    <w:t>3</w:t>
                  </w:r>
                  <w:r>
                    <w:rPr>
                      <w:color w:val="auto"/>
                      <w:kern w:val="0"/>
                      <w:sz w:val="22"/>
                      <w:szCs w:val="22"/>
                    </w:rPr>
                    <w:t>-N</w:t>
                  </w:r>
                </w:p>
              </w:tc>
              <w:tc>
                <w:tcPr>
                  <w:tcW w:w="1050" w:type="dxa"/>
                  <w:vMerge w:val="continue"/>
                  <w:vAlign w:val="center"/>
                </w:tcPr>
                <w:p w14:paraId="05A88265">
                  <w:pPr>
                    <w:widowControl/>
                    <w:jc w:val="center"/>
                    <w:textAlignment w:val="center"/>
                    <w:rPr>
                      <w:color w:val="auto"/>
                      <w:kern w:val="0"/>
                      <w:sz w:val="22"/>
                      <w:szCs w:val="22"/>
                    </w:rPr>
                  </w:pPr>
                </w:p>
              </w:tc>
              <w:tc>
                <w:tcPr>
                  <w:tcW w:w="887" w:type="dxa"/>
                  <w:vMerge w:val="continue"/>
                  <w:vAlign w:val="center"/>
                </w:tcPr>
                <w:p w14:paraId="74647647">
                  <w:pPr>
                    <w:widowControl/>
                    <w:jc w:val="center"/>
                    <w:textAlignment w:val="center"/>
                    <w:rPr>
                      <w:color w:val="auto"/>
                      <w:kern w:val="0"/>
                      <w:sz w:val="22"/>
                      <w:szCs w:val="22"/>
                    </w:rPr>
                  </w:pPr>
                </w:p>
              </w:tc>
              <w:tc>
                <w:tcPr>
                  <w:tcW w:w="887" w:type="dxa"/>
                  <w:vMerge w:val="continue"/>
                  <w:vAlign w:val="center"/>
                </w:tcPr>
                <w:p w14:paraId="0EAF6021">
                  <w:pPr>
                    <w:widowControl/>
                    <w:jc w:val="center"/>
                    <w:textAlignment w:val="center"/>
                    <w:rPr>
                      <w:color w:val="auto"/>
                      <w:kern w:val="0"/>
                      <w:sz w:val="22"/>
                      <w:szCs w:val="22"/>
                    </w:rPr>
                  </w:pPr>
                </w:p>
              </w:tc>
              <w:tc>
                <w:tcPr>
                  <w:tcW w:w="1656" w:type="dxa"/>
                  <w:vMerge w:val="continue"/>
                  <w:vAlign w:val="center"/>
                </w:tcPr>
                <w:p w14:paraId="78F67E10">
                  <w:pPr>
                    <w:widowControl/>
                    <w:jc w:val="center"/>
                    <w:textAlignment w:val="center"/>
                    <w:rPr>
                      <w:color w:val="auto"/>
                      <w:kern w:val="0"/>
                      <w:sz w:val="22"/>
                      <w:szCs w:val="22"/>
                    </w:rPr>
                  </w:pPr>
                </w:p>
              </w:tc>
              <w:tc>
                <w:tcPr>
                  <w:tcW w:w="639" w:type="dxa"/>
                  <w:vMerge w:val="continue"/>
                  <w:vAlign w:val="center"/>
                </w:tcPr>
                <w:p w14:paraId="235A59F1">
                  <w:pPr>
                    <w:widowControl/>
                    <w:jc w:val="center"/>
                    <w:textAlignment w:val="center"/>
                    <w:rPr>
                      <w:color w:val="auto"/>
                      <w:kern w:val="0"/>
                      <w:sz w:val="22"/>
                      <w:szCs w:val="22"/>
                    </w:rPr>
                  </w:pPr>
                </w:p>
              </w:tc>
              <w:tc>
                <w:tcPr>
                  <w:tcW w:w="887" w:type="dxa"/>
                  <w:vMerge w:val="continue"/>
                  <w:vAlign w:val="center"/>
                </w:tcPr>
                <w:p w14:paraId="093890E1">
                  <w:pPr>
                    <w:widowControl/>
                    <w:jc w:val="center"/>
                    <w:textAlignment w:val="center"/>
                    <w:rPr>
                      <w:color w:val="auto"/>
                      <w:kern w:val="0"/>
                      <w:sz w:val="22"/>
                      <w:szCs w:val="22"/>
                    </w:rPr>
                  </w:pPr>
                </w:p>
              </w:tc>
            </w:tr>
            <w:tr w14:paraId="1A63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923" w:type="dxa"/>
                  <w:vMerge w:val="continue"/>
                  <w:vAlign w:val="center"/>
                </w:tcPr>
                <w:p w14:paraId="5FEF7C73">
                  <w:pPr>
                    <w:widowControl/>
                    <w:jc w:val="center"/>
                    <w:rPr>
                      <w:color w:val="auto"/>
                      <w:kern w:val="0"/>
                      <w:sz w:val="22"/>
                      <w:szCs w:val="22"/>
                    </w:rPr>
                  </w:pPr>
                </w:p>
              </w:tc>
              <w:tc>
                <w:tcPr>
                  <w:tcW w:w="1437" w:type="dxa"/>
                  <w:vAlign w:val="center"/>
                </w:tcPr>
                <w:p w14:paraId="1FC21BE1">
                  <w:pPr>
                    <w:widowControl/>
                    <w:jc w:val="center"/>
                    <w:textAlignment w:val="center"/>
                    <w:rPr>
                      <w:color w:val="auto"/>
                      <w:kern w:val="0"/>
                      <w:sz w:val="22"/>
                      <w:szCs w:val="22"/>
                    </w:rPr>
                  </w:pPr>
                  <w:r>
                    <w:rPr>
                      <w:color w:val="auto"/>
                      <w:kern w:val="0"/>
                      <w:sz w:val="22"/>
                      <w:szCs w:val="22"/>
                    </w:rPr>
                    <w:t>动植物油</w:t>
                  </w:r>
                </w:p>
              </w:tc>
              <w:tc>
                <w:tcPr>
                  <w:tcW w:w="1050" w:type="dxa"/>
                  <w:vMerge w:val="continue"/>
                  <w:vAlign w:val="center"/>
                </w:tcPr>
                <w:p w14:paraId="07FBA394">
                  <w:pPr>
                    <w:widowControl/>
                    <w:jc w:val="center"/>
                    <w:textAlignment w:val="center"/>
                    <w:rPr>
                      <w:color w:val="auto"/>
                      <w:kern w:val="0"/>
                      <w:sz w:val="22"/>
                      <w:szCs w:val="22"/>
                    </w:rPr>
                  </w:pPr>
                </w:p>
              </w:tc>
              <w:tc>
                <w:tcPr>
                  <w:tcW w:w="887" w:type="dxa"/>
                  <w:vMerge w:val="continue"/>
                  <w:vAlign w:val="center"/>
                </w:tcPr>
                <w:p w14:paraId="135CE701">
                  <w:pPr>
                    <w:widowControl/>
                    <w:jc w:val="center"/>
                    <w:textAlignment w:val="center"/>
                    <w:rPr>
                      <w:color w:val="auto"/>
                      <w:kern w:val="0"/>
                      <w:sz w:val="22"/>
                      <w:szCs w:val="22"/>
                    </w:rPr>
                  </w:pPr>
                </w:p>
              </w:tc>
              <w:tc>
                <w:tcPr>
                  <w:tcW w:w="887" w:type="dxa"/>
                  <w:vMerge w:val="continue"/>
                  <w:vAlign w:val="center"/>
                </w:tcPr>
                <w:p w14:paraId="3CD7BDC8">
                  <w:pPr>
                    <w:widowControl/>
                    <w:jc w:val="center"/>
                    <w:textAlignment w:val="center"/>
                    <w:rPr>
                      <w:color w:val="auto"/>
                      <w:kern w:val="0"/>
                      <w:sz w:val="22"/>
                      <w:szCs w:val="22"/>
                    </w:rPr>
                  </w:pPr>
                </w:p>
              </w:tc>
              <w:tc>
                <w:tcPr>
                  <w:tcW w:w="1656" w:type="dxa"/>
                  <w:vMerge w:val="continue"/>
                  <w:vAlign w:val="center"/>
                </w:tcPr>
                <w:p w14:paraId="0779D0C3">
                  <w:pPr>
                    <w:widowControl/>
                    <w:jc w:val="center"/>
                    <w:textAlignment w:val="center"/>
                    <w:rPr>
                      <w:color w:val="auto"/>
                      <w:kern w:val="0"/>
                      <w:sz w:val="22"/>
                      <w:szCs w:val="22"/>
                    </w:rPr>
                  </w:pPr>
                </w:p>
              </w:tc>
              <w:tc>
                <w:tcPr>
                  <w:tcW w:w="639" w:type="dxa"/>
                  <w:vMerge w:val="continue"/>
                  <w:vAlign w:val="center"/>
                </w:tcPr>
                <w:p w14:paraId="4B8A95A8">
                  <w:pPr>
                    <w:widowControl/>
                    <w:jc w:val="center"/>
                    <w:textAlignment w:val="center"/>
                    <w:rPr>
                      <w:color w:val="auto"/>
                      <w:kern w:val="0"/>
                      <w:sz w:val="22"/>
                      <w:szCs w:val="22"/>
                    </w:rPr>
                  </w:pPr>
                </w:p>
              </w:tc>
              <w:tc>
                <w:tcPr>
                  <w:tcW w:w="887" w:type="dxa"/>
                  <w:vMerge w:val="continue"/>
                  <w:vAlign w:val="center"/>
                </w:tcPr>
                <w:p w14:paraId="7A46D12D">
                  <w:pPr>
                    <w:widowControl/>
                    <w:jc w:val="center"/>
                    <w:textAlignment w:val="center"/>
                    <w:rPr>
                      <w:color w:val="auto"/>
                      <w:kern w:val="0"/>
                      <w:sz w:val="22"/>
                      <w:szCs w:val="22"/>
                    </w:rPr>
                  </w:pPr>
                </w:p>
              </w:tc>
            </w:tr>
          </w:tbl>
          <w:p w14:paraId="68F0E654">
            <w:pPr>
              <w:rPr>
                <w:color w:val="auto"/>
              </w:rPr>
            </w:pPr>
          </w:p>
          <w:p w14:paraId="71CBBAA5">
            <w:pPr>
              <w:pStyle w:val="12"/>
              <w:spacing w:before="120"/>
              <w:rPr>
                <w:color w:val="auto"/>
                <w:szCs w:val="26"/>
              </w:rPr>
            </w:pPr>
            <w:r>
              <w:rPr>
                <w:rFonts w:hint="eastAsia" w:ascii="宋体" w:hAnsi="宋体"/>
                <w:color w:val="auto"/>
              </w:rPr>
              <w:t>表</w:t>
            </w:r>
            <w:r>
              <w:rPr>
                <w:rFonts w:hint="eastAsia"/>
                <w:color w:val="auto"/>
              </w:rPr>
              <w:t>4</w:t>
            </w:r>
            <w:r>
              <w:rPr>
                <w:color w:val="auto"/>
              </w:rPr>
              <w:t>.2-</w:t>
            </w:r>
            <w:r>
              <w:rPr>
                <w:rFonts w:hint="eastAsia"/>
                <w:color w:val="auto"/>
                <w:lang w:val="en-US" w:eastAsia="zh-CN"/>
              </w:rPr>
              <w:t xml:space="preserve">9  </w:t>
            </w:r>
            <w:r>
              <w:rPr>
                <w:rFonts w:hint="eastAsia" w:ascii="宋体" w:hAnsi="宋体"/>
                <w:color w:val="auto"/>
              </w:rPr>
              <w:t>项目废水排放口基本情况</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168"/>
              <w:gridCol w:w="913"/>
              <w:gridCol w:w="1028"/>
              <w:gridCol w:w="901"/>
              <w:gridCol w:w="917"/>
              <w:gridCol w:w="585"/>
              <w:gridCol w:w="1246"/>
              <w:gridCol w:w="544"/>
            </w:tblGrid>
            <w:tr w14:paraId="4EA8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64" w:type="dxa"/>
                  <w:vMerge w:val="restart"/>
                  <w:vAlign w:val="center"/>
                </w:tcPr>
                <w:p w14:paraId="21C44775">
                  <w:pPr>
                    <w:jc w:val="center"/>
                    <w:rPr>
                      <w:color w:val="auto"/>
                      <w:sz w:val="22"/>
                      <w:szCs w:val="22"/>
                    </w:rPr>
                  </w:pPr>
                  <w:r>
                    <w:rPr>
                      <w:rFonts w:hint="eastAsia"/>
                      <w:color w:val="auto"/>
                      <w:sz w:val="22"/>
                      <w:szCs w:val="22"/>
                    </w:rPr>
                    <w:t>废水类别或废水来源</w:t>
                  </w:r>
                </w:p>
              </w:tc>
              <w:tc>
                <w:tcPr>
                  <w:tcW w:w="1168" w:type="dxa"/>
                  <w:vMerge w:val="restart"/>
                  <w:vAlign w:val="center"/>
                </w:tcPr>
                <w:p w14:paraId="7672EBB2">
                  <w:pPr>
                    <w:jc w:val="center"/>
                    <w:rPr>
                      <w:color w:val="auto"/>
                      <w:sz w:val="22"/>
                      <w:szCs w:val="22"/>
                    </w:rPr>
                  </w:pPr>
                  <w:r>
                    <w:rPr>
                      <w:rFonts w:hint="eastAsia"/>
                      <w:color w:val="auto"/>
                      <w:sz w:val="22"/>
                      <w:szCs w:val="22"/>
                    </w:rPr>
                    <w:t>排放口编号</w:t>
                  </w:r>
                </w:p>
              </w:tc>
              <w:tc>
                <w:tcPr>
                  <w:tcW w:w="913" w:type="dxa"/>
                  <w:vMerge w:val="restart"/>
                  <w:vAlign w:val="center"/>
                </w:tcPr>
                <w:p w14:paraId="55D1BC4C">
                  <w:pPr>
                    <w:jc w:val="center"/>
                    <w:rPr>
                      <w:color w:val="auto"/>
                      <w:sz w:val="22"/>
                      <w:szCs w:val="22"/>
                    </w:rPr>
                  </w:pPr>
                  <w:r>
                    <w:rPr>
                      <w:rFonts w:hint="eastAsia"/>
                      <w:color w:val="auto"/>
                      <w:sz w:val="22"/>
                      <w:szCs w:val="22"/>
                    </w:rPr>
                    <w:t>排放口名称</w:t>
                  </w:r>
                </w:p>
              </w:tc>
              <w:tc>
                <w:tcPr>
                  <w:tcW w:w="1929" w:type="dxa"/>
                  <w:gridSpan w:val="2"/>
                  <w:vAlign w:val="center"/>
                </w:tcPr>
                <w:p w14:paraId="27BAF17D">
                  <w:pPr>
                    <w:jc w:val="center"/>
                    <w:rPr>
                      <w:color w:val="auto"/>
                      <w:sz w:val="22"/>
                      <w:szCs w:val="22"/>
                    </w:rPr>
                  </w:pPr>
                  <w:r>
                    <w:rPr>
                      <w:rFonts w:hint="eastAsia"/>
                      <w:color w:val="auto"/>
                      <w:sz w:val="22"/>
                      <w:szCs w:val="22"/>
                    </w:rPr>
                    <w:t>排放口地理坐标</w:t>
                  </w:r>
                </w:p>
              </w:tc>
              <w:tc>
                <w:tcPr>
                  <w:tcW w:w="917" w:type="dxa"/>
                  <w:vMerge w:val="restart"/>
                  <w:vAlign w:val="center"/>
                </w:tcPr>
                <w:p w14:paraId="7B347475">
                  <w:pPr>
                    <w:jc w:val="center"/>
                    <w:rPr>
                      <w:color w:val="auto"/>
                      <w:sz w:val="22"/>
                      <w:szCs w:val="22"/>
                    </w:rPr>
                  </w:pPr>
                  <w:r>
                    <w:rPr>
                      <w:rFonts w:hint="eastAsia"/>
                      <w:color w:val="auto"/>
                      <w:sz w:val="22"/>
                      <w:szCs w:val="22"/>
                    </w:rPr>
                    <w:t>排放去向</w:t>
                  </w:r>
                </w:p>
              </w:tc>
              <w:tc>
                <w:tcPr>
                  <w:tcW w:w="585" w:type="dxa"/>
                  <w:vMerge w:val="restart"/>
                  <w:vAlign w:val="center"/>
                </w:tcPr>
                <w:p w14:paraId="69468E13">
                  <w:pPr>
                    <w:jc w:val="center"/>
                    <w:rPr>
                      <w:color w:val="auto"/>
                      <w:sz w:val="22"/>
                      <w:szCs w:val="22"/>
                    </w:rPr>
                  </w:pPr>
                  <w:r>
                    <w:rPr>
                      <w:rFonts w:hint="eastAsia"/>
                      <w:color w:val="auto"/>
                      <w:sz w:val="22"/>
                      <w:szCs w:val="22"/>
                    </w:rPr>
                    <w:t>排放方式</w:t>
                  </w:r>
                </w:p>
              </w:tc>
              <w:tc>
                <w:tcPr>
                  <w:tcW w:w="1246" w:type="dxa"/>
                  <w:vMerge w:val="restart"/>
                  <w:vAlign w:val="center"/>
                </w:tcPr>
                <w:p w14:paraId="4F5663E5">
                  <w:pPr>
                    <w:jc w:val="center"/>
                    <w:rPr>
                      <w:color w:val="auto"/>
                      <w:sz w:val="22"/>
                      <w:szCs w:val="22"/>
                    </w:rPr>
                  </w:pPr>
                  <w:r>
                    <w:rPr>
                      <w:rFonts w:hint="eastAsia"/>
                      <w:color w:val="auto"/>
                      <w:sz w:val="22"/>
                      <w:szCs w:val="22"/>
                    </w:rPr>
                    <w:t>排放规律</w:t>
                  </w:r>
                </w:p>
              </w:tc>
              <w:tc>
                <w:tcPr>
                  <w:tcW w:w="544" w:type="dxa"/>
                  <w:vMerge w:val="restart"/>
                  <w:vAlign w:val="center"/>
                </w:tcPr>
                <w:p w14:paraId="5B21FC71">
                  <w:pPr>
                    <w:jc w:val="center"/>
                    <w:rPr>
                      <w:color w:val="auto"/>
                      <w:sz w:val="22"/>
                      <w:szCs w:val="22"/>
                    </w:rPr>
                  </w:pPr>
                  <w:r>
                    <w:rPr>
                      <w:rFonts w:hint="eastAsia"/>
                      <w:color w:val="auto"/>
                      <w:sz w:val="22"/>
                      <w:szCs w:val="22"/>
                    </w:rPr>
                    <w:t>排放口类型</w:t>
                  </w:r>
                </w:p>
              </w:tc>
            </w:tr>
            <w:tr w14:paraId="274A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64" w:type="dxa"/>
                  <w:vMerge w:val="continue"/>
                  <w:vAlign w:val="center"/>
                </w:tcPr>
                <w:p w14:paraId="139935D0">
                  <w:pPr>
                    <w:jc w:val="center"/>
                    <w:rPr>
                      <w:color w:val="auto"/>
                      <w:sz w:val="22"/>
                      <w:szCs w:val="22"/>
                    </w:rPr>
                  </w:pPr>
                </w:p>
              </w:tc>
              <w:tc>
                <w:tcPr>
                  <w:tcW w:w="1168" w:type="dxa"/>
                  <w:vMerge w:val="continue"/>
                  <w:vAlign w:val="center"/>
                </w:tcPr>
                <w:p w14:paraId="5FEBE215">
                  <w:pPr>
                    <w:jc w:val="center"/>
                    <w:rPr>
                      <w:color w:val="auto"/>
                      <w:sz w:val="22"/>
                      <w:szCs w:val="22"/>
                    </w:rPr>
                  </w:pPr>
                </w:p>
              </w:tc>
              <w:tc>
                <w:tcPr>
                  <w:tcW w:w="913" w:type="dxa"/>
                  <w:vMerge w:val="continue"/>
                  <w:vAlign w:val="center"/>
                </w:tcPr>
                <w:p w14:paraId="08881D24">
                  <w:pPr>
                    <w:jc w:val="center"/>
                    <w:rPr>
                      <w:color w:val="auto"/>
                      <w:sz w:val="22"/>
                      <w:szCs w:val="22"/>
                    </w:rPr>
                  </w:pPr>
                </w:p>
              </w:tc>
              <w:tc>
                <w:tcPr>
                  <w:tcW w:w="1028" w:type="dxa"/>
                  <w:vAlign w:val="center"/>
                </w:tcPr>
                <w:p w14:paraId="56BB650C">
                  <w:pPr>
                    <w:jc w:val="center"/>
                    <w:rPr>
                      <w:color w:val="auto"/>
                      <w:sz w:val="22"/>
                      <w:szCs w:val="22"/>
                    </w:rPr>
                  </w:pPr>
                  <w:r>
                    <w:rPr>
                      <w:rFonts w:hint="eastAsia"/>
                      <w:color w:val="auto"/>
                      <w:sz w:val="22"/>
                      <w:szCs w:val="22"/>
                    </w:rPr>
                    <w:t>经度</w:t>
                  </w:r>
                </w:p>
              </w:tc>
              <w:tc>
                <w:tcPr>
                  <w:tcW w:w="901" w:type="dxa"/>
                  <w:vAlign w:val="center"/>
                </w:tcPr>
                <w:p w14:paraId="7C12CC8F">
                  <w:pPr>
                    <w:jc w:val="center"/>
                    <w:rPr>
                      <w:color w:val="auto"/>
                      <w:sz w:val="22"/>
                      <w:szCs w:val="22"/>
                    </w:rPr>
                  </w:pPr>
                  <w:r>
                    <w:rPr>
                      <w:rFonts w:hint="eastAsia"/>
                      <w:color w:val="auto"/>
                      <w:sz w:val="22"/>
                      <w:szCs w:val="22"/>
                    </w:rPr>
                    <w:t>纬度</w:t>
                  </w:r>
                </w:p>
              </w:tc>
              <w:tc>
                <w:tcPr>
                  <w:tcW w:w="917" w:type="dxa"/>
                  <w:vMerge w:val="continue"/>
                  <w:vAlign w:val="center"/>
                </w:tcPr>
                <w:p w14:paraId="5BA9133B">
                  <w:pPr>
                    <w:jc w:val="center"/>
                    <w:rPr>
                      <w:color w:val="auto"/>
                      <w:sz w:val="22"/>
                      <w:szCs w:val="22"/>
                    </w:rPr>
                  </w:pPr>
                </w:p>
              </w:tc>
              <w:tc>
                <w:tcPr>
                  <w:tcW w:w="585" w:type="dxa"/>
                  <w:vMerge w:val="continue"/>
                  <w:vAlign w:val="center"/>
                </w:tcPr>
                <w:p w14:paraId="4073745D">
                  <w:pPr>
                    <w:jc w:val="center"/>
                    <w:rPr>
                      <w:color w:val="auto"/>
                      <w:sz w:val="22"/>
                      <w:szCs w:val="22"/>
                    </w:rPr>
                  </w:pPr>
                </w:p>
              </w:tc>
              <w:tc>
                <w:tcPr>
                  <w:tcW w:w="1246" w:type="dxa"/>
                  <w:vMerge w:val="continue"/>
                  <w:vAlign w:val="center"/>
                </w:tcPr>
                <w:p w14:paraId="001C2B1F">
                  <w:pPr>
                    <w:jc w:val="center"/>
                    <w:rPr>
                      <w:color w:val="auto"/>
                      <w:sz w:val="22"/>
                      <w:szCs w:val="22"/>
                    </w:rPr>
                  </w:pPr>
                </w:p>
              </w:tc>
              <w:tc>
                <w:tcPr>
                  <w:tcW w:w="544" w:type="dxa"/>
                  <w:vMerge w:val="continue"/>
                  <w:vAlign w:val="center"/>
                </w:tcPr>
                <w:p w14:paraId="47B7F20B">
                  <w:pPr>
                    <w:jc w:val="center"/>
                    <w:rPr>
                      <w:color w:val="auto"/>
                      <w:sz w:val="22"/>
                      <w:szCs w:val="22"/>
                    </w:rPr>
                  </w:pPr>
                </w:p>
              </w:tc>
            </w:tr>
            <w:tr w14:paraId="6501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64" w:type="dxa"/>
                  <w:vAlign w:val="center"/>
                </w:tcPr>
                <w:p w14:paraId="0E70B7DB">
                  <w:pPr>
                    <w:jc w:val="center"/>
                    <w:rPr>
                      <w:color w:val="auto"/>
                      <w:sz w:val="22"/>
                      <w:szCs w:val="22"/>
                    </w:rPr>
                  </w:pPr>
                  <w:r>
                    <w:rPr>
                      <w:rFonts w:hint="eastAsia" w:ascii="宋体" w:hAnsi="宋体" w:cs="宋体"/>
                      <w:color w:val="auto"/>
                      <w:kern w:val="0"/>
                      <w:sz w:val="22"/>
                      <w:szCs w:val="22"/>
                    </w:rPr>
                    <w:t>东地块生活污水</w:t>
                  </w:r>
                </w:p>
              </w:tc>
              <w:tc>
                <w:tcPr>
                  <w:tcW w:w="1168" w:type="dxa"/>
                  <w:vAlign w:val="center"/>
                </w:tcPr>
                <w:p w14:paraId="145D87C6">
                  <w:pPr>
                    <w:jc w:val="center"/>
                    <w:rPr>
                      <w:color w:val="auto"/>
                      <w:sz w:val="22"/>
                      <w:szCs w:val="22"/>
                    </w:rPr>
                  </w:pPr>
                  <w:r>
                    <w:rPr>
                      <w:rFonts w:hint="eastAsia"/>
                      <w:color w:val="auto"/>
                      <w:sz w:val="22"/>
                      <w:szCs w:val="22"/>
                    </w:rPr>
                    <w:t>DW</w:t>
                  </w:r>
                  <w:r>
                    <w:rPr>
                      <w:color w:val="auto"/>
                      <w:sz w:val="22"/>
                      <w:szCs w:val="22"/>
                    </w:rPr>
                    <w:t>00</w:t>
                  </w:r>
                  <w:r>
                    <w:rPr>
                      <w:rFonts w:hint="eastAsia"/>
                      <w:color w:val="auto"/>
                      <w:sz w:val="22"/>
                      <w:szCs w:val="22"/>
                    </w:rPr>
                    <w:t>1</w:t>
                  </w:r>
                </w:p>
              </w:tc>
              <w:tc>
                <w:tcPr>
                  <w:tcW w:w="913" w:type="dxa"/>
                  <w:vAlign w:val="center"/>
                </w:tcPr>
                <w:p w14:paraId="3A619E64">
                  <w:pPr>
                    <w:jc w:val="center"/>
                    <w:rPr>
                      <w:color w:val="auto"/>
                      <w:sz w:val="22"/>
                      <w:szCs w:val="22"/>
                    </w:rPr>
                  </w:pPr>
                  <w:r>
                    <w:rPr>
                      <w:rFonts w:hint="eastAsia"/>
                      <w:color w:val="auto"/>
                      <w:sz w:val="22"/>
                      <w:szCs w:val="22"/>
                      <w:lang w:eastAsia="zh-CN"/>
                    </w:rPr>
                    <w:t>化粪池</w:t>
                  </w:r>
                  <w:r>
                    <w:rPr>
                      <w:rFonts w:hint="eastAsia"/>
                      <w:color w:val="auto"/>
                      <w:sz w:val="22"/>
                      <w:szCs w:val="22"/>
                    </w:rPr>
                    <w:t>排口</w:t>
                  </w:r>
                </w:p>
              </w:tc>
              <w:tc>
                <w:tcPr>
                  <w:tcW w:w="1028" w:type="dxa"/>
                  <w:vAlign w:val="center"/>
                </w:tcPr>
                <w:p w14:paraId="181791C6">
                  <w:pPr>
                    <w:jc w:val="center"/>
                    <w:rPr>
                      <w:color w:val="auto"/>
                      <w:sz w:val="22"/>
                      <w:szCs w:val="22"/>
                    </w:rPr>
                  </w:pPr>
                  <w:r>
                    <w:rPr>
                      <w:rFonts w:hint="eastAsia"/>
                      <w:color w:val="auto"/>
                      <w:sz w:val="22"/>
                      <w:szCs w:val="22"/>
                    </w:rPr>
                    <w:t>106°21'30.38"东</w:t>
                  </w:r>
                </w:p>
              </w:tc>
              <w:tc>
                <w:tcPr>
                  <w:tcW w:w="901" w:type="dxa"/>
                  <w:vAlign w:val="center"/>
                </w:tcPr>
                <w:p w14:paraId="36E61C0C">
                  <w:pPr>
                    <w:jc w:val="center"/>
                    <w:rPr>
                      <w:color w:val="auto"/>
                      <w:sz w:val="22"/>
                      <w:szCs w:val="22"/>
                    </w:rPr>
                  </w:pPr>
                  <w:r>
                    <w:rPr>
                      <w:rFonts w:hint="eastAsia"/>
                      <w:color w:val="auto"/>
                      <w:sz w:val="22"/>
                      <w:szCs w:val="22"/>
                    </w:rPr>
                    <w:t>29°21'24.44"北</w:t>
                  </w:r>
                </w:p>
              </w:tc>
              <w:tc>
                <w:tcPr>
                  <w:tcW w:w="917" w:type="dxa"/>
                  <w:vMerge w:val="restart"/>
                  <w:vAlign w:val="center"/>
                </w:tcPr>
                <w:p w14:paraId="2DC5CFC2">
                  <w:pPr>
                    <w:jc w:val="center"/>
                    <w:rPr>
                      <w:color w:val="auto"/>
                      <w:sz w:val="22"/>
                      <w:szCs w:val="22"/>
                    </w:rPr>
                  </w:pPr>
                  <w:r>
                    <w:rPr>
                      <w:rFonts w:hint="eastAsia"/>
                      <w:color w:val="auto"/>
                      <w:sz w:val="22"/>
                      <w:szCs w:val="22"/>
                    </w:rPr>
                    <w:t>进入陶家工业污水处理厂</w:t>
                  </w:r>
                </w:p>
              </w:tc>
              <w:tc>
                <w:tcPr>
                  <w:tcW w:w="585" w:type="dxa"/>
                  <w:vMerge w:val="restart"/>
                  <w:vAlign w:val="center"/>
                </w:tcPr>
                <w:p w14:paraId="338559D1">
                  <w:pPr>
                    <w:jc w:val="center"/>
                    <w:rPr>
                      <w:color w:val="auto"/>
                      <w:sz w:val="22"/>
                      <w:szCs w:val="22"/>
                    </w:rPr>
                  </w:pPr>
                  <w:r>
                    <w:rPr>
                      <w:rFonts w:hint="eastAsia"/>
                      <w:color w:val="auto"/>
                      <w:sz w:val="22"/>
                      <w:szCs w:val="22"/>
                    </w:rPr>
                    <w:t>间接排放</w:t>
                  </w:r>
                </w:p>
              </w:tc>
              <w:tc>
                <w:tcPr>
                  <w:tcW w:w="1246" w:type="dxa"/>
                  <w:vMerge w:val="restart"/>
                  <w:vAlign w:val="center"/>
                </w:tcPr>
                <w:p w14:paraId="11C18B03">
                  <w:pPr>
                    <w:jc w:val="center"/>
                    <w:rPr>
                      <w:color w:val="auto"/>
                      <w:sz w:val="22"/>
                      <w:szCs w:val="22"/>
                    </w:rPr>
                  </w:pPr>
                  <w:r>
                    <w:rPr>
                      <w:rFonts w:hint="eastAsia"/>
                      <w:color w:val="auto"/>
                      <w:sz w:val="22"/>
                      <w:szCs w:val="22"/>
                    </w:rPr>
                    <w:t>连续排放，流量不稳定，但有规律，且不属于周期性规律</w:t>
                  </w:r>
                </w:p>
              </w:tc>
              <w:tc>
                <w:tcPr>
                  <w:tcW w:w="544" w:type="dxa"/>
                  <w:vMerge w:val="restart"/>
                  <w:vAlign w:val="center"/>
                </w:tcPr>
                <w:p w14:paraId="55D7AF42">
                  <w:pPr>
                    <w:jc w:val="center"/>
                    <w:rPr>
                      <w:color w:val="auto"/>
                      <w:sz w:val="22"/>
                      <w:szCs w:val="22"/>
                    </w:rPr>
                  </w:pPr>
                  <w:r>
                    <w:rPr>
                      <w:rFonts w:hint="eastAsia"/>
                      <w:color w:val="auto"/>
                      <w:sz w:val="22"/>
                      <w:szCs w:val="22"/>
                    </w:rPr>
                    <w:t>一般排放口</w:t>
                  </w:r>
                </w:p>
              </w:tc>
            </w:tr>
            <w:tr w14:paraId="5C6F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64" w:type="dxa"/>
                  <w:vAlign w:val="center"/>
                </w:tcPr>
                <w:p w14:paraId="2B849737">
                  <w:pPr>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rPr>
                    <w:t>西地块生活污水</w:t>
                  </w:r>
                </w:p>
              </w:tc>
              <w:tc>
                <w:tcPr>
                  <w:tcW w:w="1168" w:type="dxa"/>
                  <w:vAlign w:val="center"/>
                </w:tcPr>
                <w:p w14:paraId="17D02778">
                  <w:pPr>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DW00</w:t>
                  </w:r>
                  <w:r>
                    <w:rPr>
                      <w:rFonts w:hint="default" w:ascii="Times New Roman" w:hAnsi="Times New Roman" w:eastAsia="宋体" w:cs="Times New Roman"/>
                      <w:color w:val="auto"/>
                      <w:kern w:val="0"/>
                      <w:sz w:val="22"/>
                      <w:szCs w:val="22"/>
                      <w:lang w:val="en-US" w:eastAsia="zh-CN"/>
                    </w:rPr>
                    <w:t>2</w:t>
                  </w:r>
                </w:p>
              </w:tc>
              <w:tc>
                <w:tcPr>
                  <w:tcW w:w="913" w:type="dxa"/>
                  <w:vAlign w:val="center"/>
                </w:tcPr>
                <w:p w14:paraId="5E96369D">
                  <w:pPr>
                    <w:jc w:val="center"/>
                    <w:rPr>
                      <w:rFonts w:hint="default" w:ascii="Times New Roman" w:hAnsi="Times New Roman" w:eastAsia="宋体" w:cs="Times New Roman"/>
                      <w:color w:val="auto"/>
                      <w:kern w:val="0"/>
                      <w:sz w:val="22"/>
                      <w:szCs w:val="22"/>
                    </w:rPr>
                  </w:pPr>
                  <w:r>
                    <w:rPr>
                      <w:rFonts w:hint="eastAsia" w:cs="Times New Roman"/>
                      <w:color w:val="auto"/>
                      <w:kern w:val="0"/>
                      <w:sz w:val="22"/>
                      <w:szCs w:val="22"/>
                      <w:lang w:eastAsia="zh-CN"/>
                    </w:rPr>
                    <w:t>化粪池</w:t>
                  </w:r>
                  <w:r>
                    <w:rPr>
                      <w:rFonts w:hint="default" w:ascii="Times New Roman" w:hAnsi="Times New Roman" w:eastAsia="宋体" w:cs="Times New Roman"/>
                      <w:color w:val="auto"/>
                      <w:kern w:val="0"/>
                      <w:sz w:val="22"/>
                      <w:szCs w:val="22"/>
                    </w:rPr>
                    <w:t>排口</w:t>
                  </w:r>
                </w:p>
              </w:tc>
              <w:tc>
                <w:tcPr>
                  <w:tcW w:w="1028" w:type="dxa"/>
                  <w:vAlign w:val="center"/>
                </w:tcPr>
                <w:p w14:paraId="7B77D591">
                  <w:pPr>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106°21'23.98"东</w:t>
                  </w:r>
                </w:p>
              </w:tc>
              <w:tc>
                <w:tcPr>
                  <w:tcW w:w="901" w:type="dxa"/>
                  <w:vAlign w:val="center"/>
                </w:tcPr>
                <w:p w14:paraId="46138BD5">
                  <w:pPr>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29°21'16.24"北</w:t>
                  </w:r>
                </w:p>
              </w:tc>
              <w:tc>
                <w:tcPr>
                  <w:tcW w:w="917" w:type="dxa"/>
                  <w:vMerge w:val="continue"/>
                  <w:vAlign w:val="center"/>
                </w:tcPr>
                <w:p w14:paraId="40D49D4C">
                  <w:pPr>
                    <w:jc w:val="center"/>
                    <w:rPr>
                      <w:rFonts w:hint="eastAsia"/>
                      <w:color w:val="auto"/>
                      <w:sz w:val="22"/>
                      <w:szCs w:val="22"/>
                    </w:rPr>
                  </w:pPr>
                </w:p>
              </w:tc>
              <w:tc>
                <w:tcPr>
                  <w:tcW w:w="585" w:type="dxa"/>
                  <w:vMerge w:val="continue"/>
                  <w:vAlign w:val="center"/>
                </w:tcPr>
                <w:p w14:paraId="089B11FB">
                  <w:pPr>
                    <w:jc w:val="center"/>
                    <w:rPr>
                      <w:rFonts w:hint="eastAsia"/>
                      <w:color w:val="auto"/>
                      <w:sz w:val="22"/>
                      <w:szCs w:val="22"/>
                    </w:rPr>
                  </w:pPr>
                </w:p>
              </w:tc>
              <w:tc>
                <w:tcPr>
                  <w:tcW w:w="1246" w:type="dxa"/>
                  <w:vMerge w:val="continue"/>
                  <w:vAlign w:val="center"/>
                </w:tcPr>
                <w:p w14:paraId="67E42212">
                  <w:pPr>
                    <w:jc w:val="center"/>
                    <w:rPr>
                      <w:rFonts w:hint="eastAsia"/>
                      <w:color w:val="auto"/>
                      <w:sz w:val="22"/>
                      <w:szCs w:val="22"/>
                    </w:rPr>
                  </w:pPr>
                </w:p>
              </w:tc>
              <w:tc>
                <w:tcPr>
                  <w:tcW w:w="544" w:type="dxa"/>
                  <w:vMerge w:val="continue"/>
                  <w:vAlign w:val="center"/>
                </w:tcPr>
                <w:p w14:paraId="1C0096B0">
                  <w:pPr>
                    <w:jc w:val="center"/>
                    <w:rPr>
                      <w:rFonts w:hint="eastAsia"/>
                      <w:color w:val="auto"/>
                      <w:sz w:val="22"/>
                      <w:szCs w:val="22"/>
                    </w:rPr>
                  </w:pPr>
                </w:p>
              </w:tc>
            </w:tr>
          </w:tbl>
          <w:p w14:paraId="584F3C82">
            <w:pPr>
              <w:pStyle w:val="12"/>
              <w:keepNext w:val="0"/>
              <w:keepLines w:val="0"/>
              <w:pageBreakBefore w:val="0"/>
              <w:kinsoku/>
              <w:wordWrap/>
              <w:overflowPunct/>
              <w:topLinePunct w:val="0"/>
              <w:autoSpaceDE/>
              <w:autoSpaceDN/>
              <w:bidi w:val="0"/>
              <w:adjustRightInd/>
              <w:snapToGrid/>
              <w:spacing w:before="120"/>
              <w:rPr>
                <w:rFonts w:hint="eastAsia" w:ascii="宋体" w:hAnsi="宋体" w:eastAsia="宋体" w:cs="Times New Roman"/>
                <w:color w:val="auto"/>
                <w:highlight w:val="none"/>
              </w:rPr>
            </w:pPr>
            <w:r>
              <w:rPr>
                <w:rFonts w:hint="default" w:ascii="Times New Roman" w:hAnsi="Times New Roman" w:eastAsia="宋体" w:cs="Times New Roman"/>
                <w:color w:val="auto"/>
                <w:highlight w:val="none"/>
              </w:rPr>
              <w:t>表4.2-</w:t>
            </w:r>
            <w:r>
              <w:rPr>
                <w:rFonts w:hint="eastAsia" w:cs="Times New Roman"/>
                <w:color w:val="auto"/>
                <w:highlight w:val="none"/>
                <w:lang w:val="en-US" w:eastAsia="zh-CN"/>
              </w:rPr>
              <w:t xml:space="preserve">10  </w:t>
            </w:r>
            <w:r>
              <w:rPr>
                <w:rFonts w:hint="default" w:ascii="Times New Roman" w:hAnsi="Times New Roman" w:eastAsia="宋体" w:cs="Times New Roman"/>
                <w:color w:val="auto"/>
                <w:highlight w:val="none"/>
              </w:rPr>
              <w:t>受纳污</w:t>
            </w:r>
            <w:r>
              <w:rPr>
                <w:rFonts w:hint="eastAsia" w:ascii="宋体" w:hAnsi="宋体" w:eastAsia="宋体" w:cs="Times New Roman"/>
                <w:color w:val="auto"/>
                <w:highlight w:val="none"/>
              </w:rPr>
              <w:t>水厂及受纳水体信息</w:t>
            </w:r>
          </w:p>
          <w:tbl>
            <w:tblPr>
              <w:tblStyle w:val="30"/>
              <w:tblW w:w="83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765"/>
              <w:gridCol w:w="1139"/>
              <w:gridCol w:w="799"/>
              <w:gridCol w:w="1000"/>
              <w:gridCol w:w="842"/>
              <w:gridCol w:w="555"/>
              <w:gridCol w:w="720"/>
              <w:gridCol w:w="915"/>
              <w:gridCol w:w="963"/>
            </w:tblGrid>
            <w:tr w14:paraId="48B75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01" w:type="pct"/>
                  <w:vMerge w:val="restart"/>
                  <w:tcBorders>
                    <w:tl2br w:val="nil"/>
                    <w:tr2bl w:val="nil"/>
                  </w:tcBorders>
                  <w:shd w:val="clear" w:color="auto" w:fill="auto"/>
                  <w:vAlign w:val="center"/>
                </w:tcPr>
                <w:p w14:paraId="2054CFA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废水类别或废水来源</w:t>
                  </w:r>
                </w:p>
              </w:tc>
              <w:tc>
                <w:tcPr>
                  <w:tcW w:w="456" w:type="pct"/>
                  <w:vMerge w:val="restart"/>
                  <w:tcBorders>
                    <w:tl2br w:val="nil"/>
                    <w:tr2bl w:val="nil"/>
                  </w:tcBorders>
                  <w:shd w:val="clear" w:color="auto" w:fill="auto"/>
                  <w:vAlign w:val="center"/>
                </w:tcPr>
                <w:p w14:paraId="178844D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受纳污水处理厂名称</w:t>
                  </w:r>
                </w:p>
              </w:tc>
              <w:tc>
                <w:tcPr>
                  <w:tcW w:w="2257" w:type="pct"/>
                  <w:gridSpan w:val="4"/>
                  <w:tcBorders>
                    <w:tl2br w:val="nil"/>
                    <w:tr2bl w:val="nil"/>
                  </w:tcBorders>
                  <w:shd w:val="clear" w:color="auto" w:fill="auto"/>
                  <w:vAlign w:val="center"/>
                </w:tcPr>
                <w:p w14:paraId="0DA8F67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国家或地方污染物排放标准</w:t>
                  </w:r>
                </w:p>
              </w:tc>
              <w:tc>
                <w:tcPr>
                  <w:tcW w:w="331" w:type="pct"/>
                  <w:vMerge w:val="restart"/>
                  <w:tcBorders>
                    <w:tl2br w:val="nil"/>
                    <w:tr2bl w:val="nil"/>
                  </w:tcBorders>
                  <w:shd w:val="clear" w:color="auto" w:fill="auto"/>
                  <w:vAlign w:val="center"/>
                </w:tcPr>
                <w:p w14:paraId="6599AE0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受纳水体名称</w:t>
                  </w:r>
                </w:p>
              </w:tc>
              <w:tc>
                <w:tcPr>
                  <w:tcW w:w="430" w:type="pct"/>
                  <w:vMerge w:val="restart"/>
                  <w:tcBorders>
                    <w:tl2br w:val="nil"/>
                    <w:tr2bl w:val="nil"/>
                  </w:tcBorders>
                  <w:shd w:val="clear" w:color="auto" w:fill="auto"/>
                  <w:vAlign w:val="center"/>
                </w:tcPr>
                <w:p w14:paraId="5E425CEE">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受纳水体功能目标</w:t>
                  </w:r>
                </w:p>
              </w:tc>
              <w:tc>
                <w:tcPr>
                  <w:tcW w:w="1121" w:type="pct"/>
                  <w:gridSpan w:val="2"/>
                  <w:tcBorders>
                    <w:tl2br w:val="nil"/>
                    <w:tr2bl w:val="nil"/>
                  </w:tcBorders>
                  <w:shd w:val="clear" w:color="auto" w:fill="auto"/>
                  <w:vAlign w:val="center"/>
                </w:tcPr>
                <w:p w14:paraId="690D0A5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汇入受纳自然水体处地理坐标</w:t>
                  </w:r>
                </w:p>
              </w:tc>
            </w:tr>
            <w:tr w14:paraId="60E8D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01" w:type="pct"/>
                  <w:vMerge w:val="continue"/>
                  <w:tcBorders>
                    <w:tl2br w:val="nil"/>
                    <w:tr2bl w:val="nil"/>
                  </w:tcBorders>
                  <w:shd w:val="clear" w:color="auto" w:fill="auto"/>
                  <w:vAlign w:val="center"/>
                </w:tcPr>
                <w:p w14:paraId="1BDC75F3">
                  <w:pPr>
                    <w:jc w:val="center"/>
                    <w:rPr>
                      <w:rFonts w:hint="default" w:ascii="Times New Roman" w:hAnsi="Times New Roman" w:eastAsia="宋体" w:cs="Times New Roman"/>
                      <w:color w:val="auto"/>
                      <w:sz w:val="22"/>
                      <w:szCs w:val="22"/>
                      <w:highlight w:val="none"/>
                    </w:rPr>
                  </w:pPr>
                </w:p>
              </w:tc>
              <w:tc>
                <w:tcPr>
                  <w:tcW w:w="456" w:type="pct"/>
                  <w:vMerge w:val="continue"/>
                  <w:tcBorders>
                    <w:tl2br w:val="nil"/>
                    <w:tr2bl w:val="nil"/>
                  </w:tcBorders>
                  <w:shd w:val="clear" w:color="auto" w:fill="auto"/>
                  <w:vAlign w:val="center"/>
                </w:tcPr>
                <w:p w14:paraId="38105252">
                  <w:pPr>
                    <w:jc w:val="center"/>
                    <w:rPr>
                      <w:rFonts w:hint="default" w:ascii="Times New Roman" w:hAnsi="Times New Roman" w:eastAsia="宋体" w:cs="Times New Roman"/>
                      <w:color w:val="auto"/>
                      <w:sz w:val="22"/>
                      <w:szCs w:val="22"/>
                      <w:highlight w:val="none"/>
                    </w:rPr>
                  </w:pPr>
                </w:p>
              </w:tc>
              <w:tc>
                <w:tcPr>
                  <w:tcW w:w="680" w:type="pct"/>
                  <w:tcBorders>
                    <w:tl2br w:val="nil"/>
                    <w:tr2bl w:val="nil"/>
                  </w:tcBorders>
                  <w:shd w:val="clear" w:color="auto" w:fill="auto"/>
                  <w:vAlign w:val="center"/>
                </w:tcPr>
                <w:p w14:paraId="7169E652">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标准名称</w:t>
                  </w:r>
                </w:p>
              </w:tc>
              <w:tc>
                <w:tcPr>
                  <w:tcW w:w="477" w:type="pct"/>
                  <w:tcBorders>
                    <w:tl2br w:val="nil"/>
                    <w:tr2bl w:val="nil"/>
                  </w:tcBorders>
                  <w:shd w:val="clear" w:color="auto" w:fill="auto"/>
                  <w:vAlign w:val="center"/>
                </w:tcPr>
                <w:p w14:paraId="7D19D524">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污染物种类</w:t>
                  </w:r>
                </w:p>
              </w:tc>
              <w:tc>
                <w:tcPr>
                  <w:tcW w:w="597" w:type="pct"/>
                  <w:tcBorders>
                    <w:tl2br w:val="nil"/>
                    <w:tr2bl w:val="nil"/>
                  </w:tcBorders>
                  <w:shd w:val="clear" w:color="auto" w:fill="auto"/>
                  <w:vAlign w:val="center"/>
                </w:tcPr>
                <w:p w14:paraId="3B976739">
                  <w:pPr>
                    <w:widowControl/>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kern w:val="0"/>
                      <w:sz w:val="22"/>
                      <w:szCs w:val="22"/>
                      <w:highlight w:val="none"/>
                    </w:rPr>
                    <w:t>浓度限值</w:t>
                  </w:r>
                  <w:r>
                    <w:rPr>
                      <w:rFonts w:hint="eastAsia" w:ascii="Times New Roman" w:hAnsi="Times New Roman" w:eastAsia="宋体" w:cs="Times New Roman"/>
                      <w:color w:val="auto"/>
                      <w:kern w:val="0"/>
                      <w:sz w:val="22"/>
                      <w:szCs w:val="22"/>
                      <w:highlight w:val="none"/>
                      <w:lang w:eastAsia="zh-CN"/>
                    </w:rPr>
                    <w:t>（</w:t>
                  </w:r>
                  <w:r>
                    <w:rPr>
                      <w:rStyle w:val="118"/>
                      <w:rFonts w:hint="default" w:ascii="Times New Roman" w:hAnsi="Times New Roman" w:eastAsia="宋体" w:cs="Times New Roman"/>
                      <w:color w:val="auto"/>
                      <w:sz w:val="22"/>
                      <w:szCs w:val="22"/>
                      <w:highlight w:val="none"/>
                    </w:rPr>
                    <w:t>mg/L</w:t>
                  </w:r>
                  <w:r>
                    <w:rPr>
                      <w:rStyle w:val="118"/>
                      <w:rFonts w:hint="default" w:ascii="Times New Roman" w:hAnsi="Times New Roman" w:eastAsia="宋体" w:cs="Times New Roman"/>
                      <w:color w:val="auto"/>
                      <w:sz w:val="22"/>
                      <w:szCs w:val="22"/>
                      <w:highlight w:val="none"/>
                      <w:lang w:eastAsia="zh-CN"/>
                    </w:rPr>
                    <w:t>）</w:t>
                  </w:r>
                </w:p>
              </w:tc>
              <w:tc>
                <w:tcPr>
                  <w:tcW w:w="502" w:type="pct"/>
                  <w:tcBorders>
                    <w:tl2br w:val="nil"/>
                    <w:tr2bl w:val="nil"/>
                  </w:tcBorders>
                  <w:shd w:val="clear" w:color="auto" w:fill="auto"/>
                  <w:vAlign w:val="center"/>
                </w:tcPr>
                <w:p w14:paraId="4BC682AA">
                  <w:pPr>
                    <w:widowControl/>
                    <w:jc w:val="center"/>
                    <w:textAlignment w:val="center"/>
                    <w:rPr>
                      <w:rFonts w:hint="default" w:ascii="Times New Roman" w:hAnsi="Times New Roman" w:eastAsia="宋体" w:cs="Times New Roman"/>
                      <w:color w:val="auto"/>
                      <w:sz w:val="22"/>
                      <w:szCs w:val="22"/>
                      <w:highlight w:val="yellow"/>
                      <w:lang w:eastAsia="zh-CN"/>
                    </w:rPr>
                  </w:pPr>
                  <w:r>
                    <w:rPr>
                      <w:rFonts w:hint="default" w:ascii="Times New Roman" w:hAnsi="Times New Roman" w:eastAsia="宋体" w:cs="Times New Roman"/>
                      <w:color w:val="auto"/>
                      <w:kern w:val="0"/>
                      <w:sz w:val="22"/>
                      <w:szCs w:val="22"/>
                      <w:highlight w:val="none"/>
                    </w:rPr>
                    <w:t>排放量（</w:t>
                  </w:r>
                  <w:r>
                    <w:rPr>
                      <w:rStyle w:val="118"/>
                      <w:rFonts w:hint="default" w:ascii="Times New Roman" w:hAnsi="Times New Roman" w:eastAsia="宋体" w:cs="Times New Roman"/>
                      <w:color w:val="auto"/>
                      <w:sz w:val="22"/>
                      <w:szCs w:val="22"/>
                      <w:highlight w:val="none"/>
                    </w:rPr>
                    <w:t>t/a</w:t>
                  </w:r>
                  <w:r>
                    <w:rPr>
                      <w:rStyle w:val="118"/>
                      <w:rFonts w:hint="default" w:ascii="Times New Roman" w:hAnsi="Times New Roman" w:eastAsia="宋体" w:cs="Times New Roman"/>
                      <w:color w:val="auto"/>
                      <w:sz w:val="22"/>
                      <w:szCs w:val="22"/>
                      <w:highlight w:val="none"/>
                      <w:lang w:eastAsia="zh-CN"/>
                    </w:rPr>
                    <w:t>）</w:t>
                  </w:r>
                </w:p>
              </w:tc>
              <w:tc>
                <w:tcPr>
                  <w:tcW w:w="331" w:type="pct"/>
                  <w:vMerge w:val="continue"/>
                  <w:tcBorders>
                    <w:tl2br w:val="nil"/>
                    <w:tr2bl w:val="nil"/>
                  </w:tcBorders>
                  <w:shd w:val="clear" w:color="auto" w:fill="auto"/>
                  <w:vAlign w:val="center"/>
                </w:tcPr>
                <w:p w14:paraId="7A4AA9AA">
                  <w:pPr>
                    <w:jc w:val="center"/>
                    <w:rPr>
                      <w:rFonts w:hint="default" w:ascii="Times New Roman" w:hAnsi="Times New Roman" w:eastAsia="宋体" w:cs="Times New Roman"/>
                      <w:color w:val="auto"/>
                      <w:sz w:val="22"/>
                      <w:szCs w:val="22"/>
                      <w:highlight w:val="none"/>
                    </w:rPr>
                  </w:pPr>
                </w:p>
              </w:tc>
              <w:tc>
                <w:tcPr>
                  <w:tcW w:w="430" w:type="pct"/>
                  <w:vMerge w:val="continue"/>
                  <w:tcBorders>
                    <w:tl2br w:val="nil"/>
                    <w:tr2bl w:val="nil"/>
                  </w:tcBorders>
                  <w:shd w:val="clear" w:color="auto" w:fill="auto"/>
                  <w:vAlign w:val="center"/>
                </w:tcPr>
                <w:p w14:paraId="37045458">
                  <w:pPr>
                    <w:jc w:val="center"/>
                    <w:rPr>
                      <w:rFonts w:hint="default" w:ascii="Times New Roman" w:hAnsi="Times New Roman" w:eastAsia="宋体" w:cs="Times New Roman"/>
                      <w:color w:val="auto"/>
                      <w:sz w:val="22"/>
                      <w:szCs w:val="22"/>
                      <w:highlight w:val="none"/>
                    </w:rPr>
                  </w:pPr>
                </w:p>
              </w:tc>
              <w:tc>
                <w:tcPr>
                  <w:tcW w:w="546" w:type="pct"/>
                  <w:tcBorders>
                    <w:tl2br w:val="nil"/>
                    <w:tr2bl w:val="nil"/>
                  </w:tcBorders>
                  <w:shd w:val="clear" w:color="auto" w:fill="auto"/>
                  <w:vAlign w:val="center"/>
                </w:tcPr>
                <w:p w14:paraId="7296BCFC">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经度</w:t>
                  </w:r>
                </w:p>
              </w:tc>
              <w:tc>
                <w:tcPr>
                  <w:tcW w:w="575" w:type="pct"/>
                  <w:tcBorders>
                    <w:tl2br w:val="nil"/>
                    <w:tr2bl w:val="nil"/>
                  </w:tcBorders>
                  <w:shd w:val="clear" w:color="auto" w:fill="auto"/>
                  <w:vAlign w:val="center"/>
                </w:tcPr>
                <w:p w14:paraId="78CB2829">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纬度</w:t>
                  </w:r>
                </w:p>
              </w:tc>
            </w:tr>
            <w:tr w14:paraId="260B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401" w:type="pct"/>
                  <w:vMerge w:val="restart"/>
                  <w:tcBorders>
                    <w:tl2br w:val="nil"/>
                    <w:tr2bl w:val="nil"/>
                  </w:tcBorders>
                  <w:shd w:val="clear" w:color="auto" w:fill="auto"/>
                  <w:vAlign w:val="center"/>
                </w:tcPr>
                <w:p w14:paraId="5E60786E">
                  <w:pPr>
                    <w:widowControl/>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kern w:val="0"/>
                      <w:sz w:val="22"/>
                      <w:szCs w:val="22"/>
                      <w:highlight w:val="none"/>
                    </w:rPr>
                    <w:t>东地块污水</w:t>
                  </w:r>
                </w:p>
              </w:tc>
              <w:tc>
                <w:tcPr>
                  <w:tcW w:w="456" w:type="pct"/>
                  <w:vMerge w:val="restart"/>
                  <w:tcBorders>
                    <w:tl2br w:val="nil"/>
                    <w:tr2bl w:val="nil"/>
                  </w:tcBorders>
                  <w:shd w:val="clear" w:color="auto" w:fill="auto"/>
                  <w:vAlign w:val="center"/>
                </w:tcPr>
                <w:p w14:paraId="1E4082F8">
                  <w:pPr>
                    <w:widowControl/>
                    <w:jc w:val="center"/>
                    <w:textAlignment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cs="Times New Roman"/>
                      <w:color w:val="auto"/>
                      <w:kern w:val="0"/>
                      <w:sz w:val="22"/>
                      <w:szCs w:val="22"/>
                      <w:highlight w:val="none"/>
                      <w:lang w:eastAsia="zh-CN"/>
                    </w:rPr>
                    <w:t>陶家工业污水处理厂</w:t>
                  </w:r>
                </w:p>
              </w:tc>
              <w:tc>
                <w:tcPr>
                  <w:tcW w:w="680" w:type="pct"/>
                  <w:vMerge w:val="restart"/>
                  <w:tcBorders>
                    <w:tl2br w:val="nil"/>
                    <w:tr2bl w:val="nil"/>
                  </w:tcBorders>
                  <w:shd w:val="clear" w:color="auto" w:fill="auto"/>
                  <w:vAlign w:val="center"/>
                </w:tcPr>
                <w:p w14:paraId="476C0859">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《地表水环境质量标准》（GB3838-2002）IV类标准</w:t>
                  </w:r>
                </w:p>
              </w:tc>
              <w:tc>
                <w:tcPr>
                  <w:tcW w:w="477" w:type="pct"/>
                  <w:tcBorders>
                    <w:tl2br w:val="nil"/>
                    <w:tr2bl w:val="nil"/>
                  </w:tcBorders>
                  <w:shd w:val="clear" w:color="auto" w:fill="auto"/>
                  <w:vAlign w:val="center"/>
                </w:tcPr>
                <w:p w14:paraId="6027A7DC">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COD</w:t>
                  </w:r>
                </w:p>
              </w:tc>
              <w:tc>
                <w:tcPr>
                  <w:tcW w:w="597" w:type="pct"/>
                  <w:tcBorders>
                    <w:tl2br w:val="nil"/>
                    <w:tr2bl w:val="nil"/>
                  </w:tcBorders>
                  <w:shd w:val="clear" w:color="auto" w:fill="auto"/>
                  <w:vAlign w:val="center"/>
                </w:tcPr>
                <w:p w14:paraId="163E54D6">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30</w:t>
                  </w:r>
                </w:p>
              </w:tc>
              <w:tc>
                <w:tcPr>
                  <w:tcW w:w="502" w:type="pct"/>
                  <w:tcBorders>
                    <w:tl2br w:val="nil"/>
                    <w:tr2bl w:val="nil"/>
                  </w:tcBorders>
                  <w:shd w:val="clear" w:color="auto" w:fill="auto"/>
                  <w:vAlign w:val="center"/>
                </w:tcPr>
                <w:p w14:paraId="21ED10D0">
                  <w:pPr>
                    <w:keepNext w:val="0"/>
                    <w:keepLines w:val="0"/>
                    <w:widowControl/>
                    <w:suppressLineNumbers w:val="0"/>
                    <w:jc w:val="center"/>
                    <w:textAlignment w:val="center"/>
                    <w:rPr>
                      <w:rFonts w:hint="default" w:ascii="Times New Roman" w:hAnsi="Times New Roman" w:eastAsia="宋体" w:cs="Times New Roman"/>
                      <w:color w:val="auto"/>
                      <w:sz w:val="22"/>
                      <w:szCs w:val="22"/>
                      <w:highlight w:val="yellow"/>
                      <w:lang w:val="en-US"/>
                    </w:rPr>
                  </w:pPr>
                  <w:r>
                    <w:rPr>
                      <w:rFonts w:hint="eastAsia" w:ascii="Times New Roman" w:hAnsi="Times New Roman" w:eastAsia="宋体" w:cs="Times New Roman"/>
                      <w:i w:val="0"/>
                      <w:iCs w:val="0"/>
                      <w:color w:val="auto"/>
                      <w:kern w:val="0"/>
                      <w:sz w:val="22"/>
                      <w:szCs w:val="22"/>
                      <w:u w:val="none"/>
                      <w:lang w:val="en-US" w:eastAsia="zh-CN" w:bidi="ar"/>
                    </w:rPr>
                    <w:t>0.0</w:t>
                  </w:r>
                  <w:r>
                    <w:rPr>
                      <w:rFonts w:hint="eastAsia" w:cs="Times New Roman"/>
                      <w:i w:val="0"/>
                      <w:iCs w:val="0"/>
                      <w:color w:val="auto"/>
                      <w:kern w:val="0"/>
                      <w:sz w:val="22"/>
                      <w:szCs w:val="22"/>
                      <w:u w:val="none"/>
                      <w:lang w:val="en-US" w:eastAsia="zh-CN" w:bidi="ar"/>
                    </w:rPr>
                    <w:t>43</w:t>
                  </w:r>
                </w:p>
              </w:tc>
              <w:tc>
                <w:tcPr>
                  <w:tcW w:w="331" w:type="pct"/>
                  <w:vMerge w:val="restart"/>
                  <w:tcBorders>
                    <w:tl2br w:val="nil"/>
                    <w:tr2bl w:val="nil"/>
                  </w:tcBorders>
                  <w:shd w:val="clear" w:color="auto" w:fill="auto"/>
                  <w:vAlign w:val="center"/>
                </w:tcPr>
                <w:p w14:paraId="0D359448">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杨柳曲河</w:t>
                  </w:r>
                </w:p>
              </w:tc>
              <w:tc>
                <w:tcPr>
                  <w:tcW w:w="430" w:type="pct"/>
                  <w:vMerge w:val="restart"/>
                  <w:tcBorders>
                    <w:tl2br w:val="nil"/>
                    <w:tr2bl w:val="nil"/>
                  </w:tcBorders>
                  <w:shd w:val="clear" w:color="auto" w:fill="auto"/>
                  <w:vAlign w:val="center"/>
                </w:tcPr>
                <w:p w14:paraId="646196E0">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无</w:t>
                  </w:r>
                </w:p>
              </w:tc>
              <w:tc>
                <w:tcPr>
                  <w:tcW w:w="546" w:type="pct"/>
                  <w:vMerge w:val="restart"/>
                  <w:tcBorders>
                    <w:tl2br w:val="nil"/>
                    <w:tr2bl w:val="nil"/>
                  </w:tcBorders>
                  <w:shd w:val="clear" w:color="auto" w:fill="auto"/>
                  <w:vAlign w:val="center"/>
                </w:tcPr>
                <w:p w14:paraId="2863F3A8">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106°21'42.20"东</w:t>
                  </w:r>
                </w:p>
              </w:tc>
              <w:tc>
                <w:tcPr>
                  <w:tcW w:w="575" w:type="pct"/>
                  <w:vMerge w:val="restart"/>
                  <w:tcBorders>
                    <w:tl2br w:val="nil"/>
                    <w:tr2bl w:val="nil"/>
                  </w:tcBorders>
                  <w:shd w:val="clear" w:color="auto" w:fill="auto"/>
                  <w:vAlign w:val="center"/>
                </w:tcPr>
                <w:p w14:paraId="4068989E">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29°20'44.80"北</w:t>
                  </w:r>
                </w:p>
              </w:tc>
            </w:tr>
            <w:tr w14:paraId="4E9C0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401" w:type="pct"/>
                  <w:vMerge w:val="continue"/>
                  <w:tcBorders>
                    <w:tl2br w:val="nil"/>
                    <w:tr2bl w:val="nil"/>
                  </w:tcBorders>
                  <w:shd w:val="clear" w:color="auto" w:fill="auto"/>
                  <w:vAlign w:val="center"/>
                </w:tcPr>
                <w:p w14:paraId="2711C164">
                  <w:pPr>
                    <w:jc w:val="center"/>
                    <w:rPr>
                      <w:rFonts w:hint="default" w:ascii="Times New Roman" w:hAnsi="Times New Roman" w:eastAsia="宋体" w:cs="Times New Roman"/>
                      <w:color w:val="auto"/>
                      <w:sz w:val="22"/>
                      <w:szCs w:val="22"/>
                      <w:highlight w:val="none"/>
                    </w:rPr>
                  </w:pPr>
                </w:p>
              </w:tc>
              <w:tc>
                <w:tcPr>
                  <w:tcW w:w="456" w:type="pct"/>
                  <w:vMerge w:val="continue"/>
                  <w:tcBorders>
                    <w:tl2br w:val="nil"/>
                    <w:tr2bl w:val="nil"/>
                  </w:tcBorders>
                  <w:shd w:val="clear" w:color="auto" w:fill="auto"/>
                  <w:vAlign w:val="center"/>
                </w:tcPr>
                <w:p w14:paraId="6C174E99">
                  <w:pPr>
                    <w:jc w:val="center"/>
                    <w:rPr>
                      <w:rFonts w:hint="default" w:ascii="Times New Roman" w:hAnsi="Times New Roman" w:eastAsia="宋体" w:cs="Times New Roman"/>
                      <w:color w:val="auto"/>
                      <w:sz w:val="22"/>
                      <w:szCs w:val="22"/>
                      <w:highlight w:val="none"/>
                    </w:rPr>
                  </w:pPr>
                </w:p>
              </w:tc>
              <w:tc>
                <w:tcPr>
                  <w:tcW w:w="680" w:type="pct"/>
                  <w:vMerge w:val="continue"/>
                  <w:tcBorders>
                    <w:tl2br w:val="nil"/>
                    <w:tr2bl w:val="nil"/>
                  </w:tcBorders>
                  <w:shd w:val="clear" w:color="auto" w:fill="auto"/>
                  <w:vAlign w:val="center"/>
                </w:tcPr>
                <w:p w14:paraId="118F5C1E">
                  <w:pPr>
                    <w:widowControl/>
                    <w:jc w:val="center"/>
                    <w:textAlignment w:val="center"/>
                    <w:rPr>
                      <w:rFonts w:hint="default" w:ascii="Times New Roman" w:hAnsi="Times New Roman" w:eastAsia="宋体" w:cs="Times New Roman"/>
                      <w:color w:val="auto"/>
                      <w:sz w:val="22"/>
                      <w:szCs w:val="22"/>
                      <w:highlight w:val="none"/>
                    </w:rPr>
                  </w:pPr>
                </w:p>
              </w:tc>
              <w:tc>
                <w:tcPr>
                  <w:tcW w:w="477" w:type="pct"/>
                  <w:tcBorders>
                    <w:tl2br w:val="nil"/>
                    <w:tr2bl w:val="nil"/>
                  </w:tcBorders>
                  <w:shd w:val="clear" w:color="auto" w:fill="auto"/>
                  <w:vAlign w:val="center"/>
                </w:tcPr>
                <w:p w14:paraId="0C385C5C">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NH</w:t>
                  </w:r>
                  <w:r>
                    <w:rPr>
                      <w:rStyle w:val="119"/>
                      <w:rFonts w:hint="default" w:ascii="Times New Roman" w:hAnsi="Times New Roman" w:eastAsia="宋体" w:cs="Times New Roman"/>
                      <w:color w:val="auto"/>
                      <w:sz w:val="22"/>
                      <w:szCs w:val="22"/>
                      <w:highlight w:val="none"/>
                      <w:vertAlign w:val="subscript"/>
                    </w:rPr>
                    <w:t>3</w:t>
                  </w:r>
                  <w:r>
                    <w:rPr>
                      <w:rStyle w:val="114"/>
                      <w:rFonts w:hint="default" w:ascii="Times New Roman" w:hAnsi="Times New Roman" w:eastAsia="宋体" w:cs="Times New Roman"/>
                      <w:color w:val="auto"/>
                      <w:sz w:val="22"/>
                      <w:szCs w:val="22"/>
                      <w:highlight w:val="none"/>
                    </w:rPr>
                    <w:t>-N</w:t>
                  </w:r>
                </w:p>
              </w:tc>
              <w:tc>
                <w:tcPr>
                  <w:tcW w:w="597" w:type="pct"/>
                  <w:tcBorders>
                    <w:tl2br w:val="nil"/>
                    <w:tr2bl w:val="nil"/>
                  </w:tcBorders>
                  <w:shd w:val="clear" w:color="auto" w:fill="auto"/>
                  <w:vAlign w:val="center"/>
                </w:tcPr>
                <w:p w14:paraId="43D94872">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1.5</w:t>
                  </w:r>
                </w:p>
              </w:tc>
              <w:tc>
                <w:tcPr>
                  <w:tcW w:w="502" w:type="pct"/>
                  <w:tcBorders>
                    <w:tl2br w:val="nil"/>
                    <w:tr2bl w:val="nil"/>
                  </w:tcBorders>
                  <w:shd w:val="clear" w:color="auto" w:fill="auto"/>
                  <w:vAlign w:val="center"/>
                </w:tcPr>
                <w:p w14:paraId="39896036">
                  <w:pPr>
                    <w:keepNext w:val="0"/>
                    <w:keepLines w:val="0"/>
                    <w:widowControl/>
                    <w:suppressLineNumbers w:val="0"/>
                    <w:jc w:val="center"/>
                    <w:textAlignment w:val="center"/>
                    <w:rPr>
                      <w:rFonts w:hint="default" w:ascii="Times New Roman" w:hAnsi="Times New Roman" w:eastAsia="宋体" w:cs="Times New Roman"/>
                      <w:color w:val="auto"/>
                      <w:sz w:val="22"/>
                      <w:szCs w:val="22"/>
                      <w:highlight w:val="yellow"/>
                      <w:lang w:val="en-US"/>
                    </w:rPr>
                  </w:pPr>
                  <w:r>
                    <w:rPr>
                      <w:rFonts w:hint="eastAsia" w:cs="Times New Roman"/>
                      <w:i w:val="0"/>
                      <w:iCs w:val="0"/>
                      <w:color w:val="auto"/>
                      <w:kern w:val="0"/>
                      <w:sz w:val="22"/>
                      <w:szCs w:val="22"/>
                      <w:u w:val="none"/>
                      <w:lang w:val="en-US" w:eastAsia="zh-CN" w:bidi="ar"/>
                    </w:rPr>
                    <w:t>0.002</w:t>
                  </w:r>
                </w:p>
              </w:tc>
              <w:tc>
                <w:tcPr>
                  <w:tcW w:w="331" w:type="pct"/>
                  <w:vMerge w:val="continue"/>
                  <w:tcBorders>
                    <w:tl2br w:val="nil"/>
                    <w:tr2bl w:val="nil"/>
                  </w:tcBorders>
                  <w:shd w:val="clear" w:color="auto" w:fill="auto"/>
                  <w:vAlign w:val="center"/>
                </w:tcPr>
                <w:p w14:paraId="07713884">
                  <w:pPr>
                    <w:jc w:val="center"/>
                    <w:rPr>
                      <w:rFonts w:hint="default" w:ascii="Times New Roman" w:hAnsi="Times New Roman" w:eastAsia="宋体" w:cs="Times New Roman"/>
                      <w:color w:val="auto"/>
                      <w:sz w:val="22"/>
                      <w:szCs w:val="22"/>
                      <w:highlight w:val="yellow"/>
                    </w:rPr>
                  </w:pPr>
                </w:p>
              </w:tc>
              <w:tc>
                <w:tcPr>
                  <w:tcW w:w="430" w:type="pct"/>
                  <w:vMerge w:val="continue"/>
                  <w:tcBorders>
                    <w:tl2br w:val="nil"/>
                    <w:tr2bl w:val="nil"/>
                  </w:tcBorders>
                  <w:shd w:val="clear" w:color="auto" w:fill="auto"/>
                  <w:vAlign w:val="center"/>
                </w:tcPr>
                <w:p w14:paraId="12463FA8">
                  <w:pPr>
                    <w:jc w:val="center"/>
                    <w:rPr>
                      <w:rFonts w:hint="default" w:ascii="Times New Roman" w:hAnsi="Times New Roman" w:eastAsia="宋体" w:cs="Times New Roman"/>
                      <w:color w:val="auto"/>
                      <w:sz w:val="22"/>
                      <w:szCs w:val="22"/>
                      <w:highlight w:val="yellow"/>
                    </w:rPr>
                  </w:pPr>
                </w:p>
              </w:tc>
              <w:tc>
                <w:tcPr>
                  <w:tcW w:w="546" w:type="pct"/>
                  <w:vMerge w:val="continue"/>
                  <w:tcBorders>
                    <w:tl2br w:val="nil"/>
                    <w:tr2bl w:val="nil"/>
                  </w:tcBorders>
                  <w:shd w:val="clear" w:color="auto" w:fill="auto"/>
                  <w:vAlign w:val="center"/>
                </w:tcPr>
                <w:p w14:paraId="71D32937">
                  <w:pPr>
                    <w:jc w:val="center"/>
                    <w:rPr>
                      <w:rFonts w:hint="default" w:ascii="Times New Roman" w:hAnsi="Times New Roman" w:eastAsia="宋体" w:cs="Times New Roman"/>
                      <w:color w:val="auto"/>
                      <w:sz w:val="22"/>
                      <w:szCs w:val="22"/>
                      <w:highlight w:val="yellow"/>
                    </w:rPr>
                  </w:pPr>
                </w:p>
              </w:tc>
              <w:tc>
                <w:tcPr>
                  <w:tcW w:w="575" w:type="pct"/>
                  <w:vMerge w:val="continue"/>
                  <w:tcBorders>
                    <w:tl2br w:val="nil"/>
                    <w:tr2bl w:val="nil"/>
                  </w:tcBorders>
                  <w:shd w:val="clear" w:color="auto" w:fill="auto"/>
                  <w:vAlign w:val="center"/>
                </w:tcPr>
                <w:p w14:paraId="34B69D01">
                  <w:pPr>
                    <w:jc w:val="center"/>
                    <w:rPr>
                      <w:rFonts w:hint="default" w:ascii="Times New Roman" w:hAnsi="Times New Roman" w:eastAsia="宋体" w:cs="Times New Roman"/>
                      <w:color w:val="auto"/>
                      <w:sz w:val="22"/>
                      <w:szCs w:val="22"/>
                      <w:highlight w:val="yellow"/>
                    </w:rPr>
                  </w:pPr>
                </w:p>
              </w:tc>
            </w:tr>
            <w:tr w14:paraId="5BD3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401" w:type="pct"/>
                  <w:vMerge w:val="continue"/>
                  <w:tcBorders>
                    <w:tl2br w:val="nil"/>
                    <w:tr2bl w:val="nil"/>
                  </w:tcBorders>
                  <w:shd w:val="clear" w:color="auto" w:fill="auto"/>
                  <w:vAlign w:val="center"/>
                </w:tcPr>
                <w:p w14:paraId="68F6B73B">
                  <w:pPr>
                    <w:jc w:val="center"/>
                    <w:rPr>
                      <w:rFonts w:hint="default" w:ascii="Times New Roman" w:hAnsi="Times New Roman" w:eastAsia="宋体" w:cs="Times New Roman"/>
                      <w:color w:val="auto"/>
                      <w:sz w:val="22"/>
                      <w:szCs w:val="22"/>
                      <w:highlight w:val="none"/>
                    </w:rPr>
                  </w:pPr>
                </w:p>
              </w:tc>
              <w:tc>
                <w:tcPr>
                  <w:tcW w:w="456" w:type="pct"/>
                  <w:vMerge w:val="continue"/>
                  <w:tcBorders>
                    <w:tl2br w:val="nil"/>
                    <w:tr2bl w:val="nil"/>
                  </w:tcBorders>
                  <w:shd w:val="clear" w:color="auto" w:fill="auto"/>
                  <w:vAlign w:val="center"/>
                </w:tcPr>
                <w:p w14:paraId="014C850D">
                  <w:pPr>
                    <w:jc w:val="center"/>
                    <w:rPr>
                      <w:rFonts w:hint="default" w:ascii="Times New Roman" w:hAnsi="Times New Roman" w:eastAsia="宋体" w:cs="Times New Roman"/>
                      <w:color w:val="auto"/>
                      <w:sz w:val="22"/>
                      <w:szCs w:val="22"/>
                      <w:highlight w:val="none"/>
                    </w:rPr>
                  </w:pPr>
                </w:p>
              </w:tc>
              <w:tc>
                <w:tcPr>
                  <w:tcW w:w="680" w:type="pct"/>
                  <w:vMerge w:val="restart"/>
                  <w:tcBorders>
                    <w:tl2br w:val="nil"/>
                    <w:tr2bl w:val="nil"/>
                  </w:tcBorders>
                  <w:shd w:val="clear" w:color="auto" w:fill="auto"/>
                  <w:vAlign w:val="center"/>
                </w:tcPr>
                <w:p w14:paraId="5496E08A">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《城镇污水处理厂污染物排放标准》（GB18918-2002）一级A标准</w:t>
                  </w:r>
                </w:p>
              </w:tc>
              <w:tc>
                <w:tcPr>
                  <w:tcW w:w="477" w:type="pct"/>
                  <w:tcBorders>
                    <w:tl2br w:val="nil"/>
                    <w:tr2bl w:val="nil"/>
                  </w:tcBorders>
                  <w:shd w:val="clear" w:color="auto" w:fill="auto"/>
                  <w:vAlign w:val="center"/>
                </w:tcPr>
                <w:p w14:paraId="73B4F529">
                  <w:pPr>
                    <w:widowControl/>
                    <w:jc w:val="center"/>
                    <w:textAlignment w:val="center"/>
                    <w:rPr>
                      <w:rFonts w:hint="eastAsia"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kern w:val="0"/>
                      <w:sz w:val="22"/>
                      <w:szCs w:val="22"/>
                      <w:highlight w:val="none"/>
                    </w:rPr>
                    <w:t>BOD</w:t>
                  </w:r>
                  <w:r>
                    <w:rPr>
                      <w:rFonts w:hint="eastAsia" w:ascii="Times New Roman" w:hAnsi="Times New Roman" w:eastAsia="宋体" w:cs="Times New Roman"/>
                      <w:color w:val="auto"/>
                      <w:kern w:val="0"/>
                      <w:sz w:val="22"/>
                      <w:szCs w:val="22"/>
                      <w:highlight w:val="none"/>
                      <w:vertAlign w:val="subscript"/>
                      <w:lang w:val="en-US" w:eastAsia="zh-CN"/>
                    </w:rPr>
                    <w:t>5</w:t>
                  </w:r>
                </w:p>
              </w:tc>
              <w:tc>
                <w:tcPr>
                  <w:tcW w:w="597" w:type="pct"/>
                  <w:tcBorders>
                    <w:tl2br w:val="nil"/>
                    <w:tr2bl w:val="nil"/>
                  </w:tcBorders>
                  <w:shd w:val="clear" w:color="auto" w:fill="auto"/>
                  <w:vAlign w:val="center"/>
                </w:tcPr>
                <w:p w14:paraId="01ED16D2">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10</w:t>
                  </w:r>
                </w:p>
              </w:tc>
              <w:tc>
                <w:tcPr>
                  <w:tcW w:w="502" w:type="pct"/>
                  <w:tcBorders>
                    <w:tl2br w:val="nil"/>
                    <w:tr2bl w:val="nil"/>
                  </w:tcBorders>
                  <w:shd w:val="clear" w:color="auto" w:fill="auto"/>
                  <w:vAlign w:val="center"/>
                </w:tcPr>
                <w:p w14:paraId="4D8ABA45">
                  <w:pPr>
                    <w:keepNext w:val="0"/>
                    <w:keepLines w:val="0"/>
                    <w:widowControl/>
                    <w:suppressLineNumbers w:val="0"/>
                    <w:jc w:val="center"/>
                    <w:textAlignment w:val="center"/>
                    <w:rPr>
                      <w:rFonts w:hint="default" w:ascii="Times New Roman" w:hAnsi="Times New Roman" w:eastAsia="宋体" w:cs="Times New Roman"/>
                      <w:color w:val="auto"/>
                      <w:sz w:val="22"/>
                      <w:szCs w:val="22"/>
                      <w:highlight w:val="yellow"/>
                      <w:lang w:val="en-US"/>
                    </w:rPr>
                  </w:pPr>
                  <w:r>
                    <w:rPr>
                      <w:rFonts w:hint="default" w:ascii="Times New Roman" w:hAnsi="Times New Roman" w:eastAsia="宋体" w:cs="Times New Roman"/>
                      <w:i w:val="0"/>
                      <w:iCs w:val="0"/>
                      <w:color w:val="auto"/>
                      <w:kern w:val="0"/>
                      <w:sz w:val="22"/>
                      <w:szCs w:val="22"/>
                      <w:u w:val="none"/>
                      <w:lang w:val="en-US" w:eastAsia="zh-CN" w:bidi="ar"/>
                    </w:rPr>
                    <w:t>0.0</w:t>
                  </w:r>
                  <w:r>
                    <w:rPr>
                      <w:rFonts w:hint="eastAsia" w:cs="Times New Roman"/>
                      <w:i w:val="0"/>
                      <w:iCs w:val="0"/>
                      <w:color w:val="auto"/>
                      <w:kern w:val="0"/>
                      <w:sz w:val="22"/>
                      <w:szCs w:val="22"/>
                      <w:u w:val="none"/>
                      <w:lang w:val="en-US" w:eastAsia="zh-CN" w:bidi="ar"/>
                    </w:rPr>
                    <w:t>14</w:t>
                  </w:r>
                </w:p>
              </w:tc>
              <w:tc>
                <w:tcPr>
                  <w:tcW w:w="331" w:type="pct"/>
                  <w:vMerge w:val="continue"/>
                  <w:tcBorders>
                    <w:tl2br w:val="nil"/>
                    <w:tr2bl w:val="nil"/>
                  </w:tcBorders>
                  <w:shd w:val="clear" w:color="auto" w:fill="auto"/>
                  <w:vAlign w:val="center"/>
                </w:tcPr>
                <w:p w14:paraId="1920EE5B">
                  <w:pPr>
                    <w:jc w:val="center"/>
                    <w:rPr>
                      <w:rFonts w:hint="default" w:ascii="Times New Roman" w:hAnsi="Times New Roman" w:eastAsia="宋体" w:cs="Times New Roman"/>
                      <w:color w:val="auto"/>
                      <w:sz w:val="22"/>
                      <w:szCs w:val="22"/>
                      <w:highlight w:val="yellow"/>
                    </w:rPr>
                  </w:pPr>
                </w:p>
              </w:tc>
              <w:tc>
                <w:tcPr>
                  <w:tcW w:w="430" w:type="pct"/>
                  <w:vMerge w:val="continue"/>
                  <w:tcBorders>
                    <w:tl2br w:val="nil"/>
                    <w:tr2bl w:val="nil"/>
                  </w:tcBorders>
                  <w:shd w:val="clear" w:color="auto" w:fill="auto"/>
                  <w:vAlign w:val="center"/>
                </w:tcPr>
                <w:p w14:paraId="6064036E">
                  <w:pPr>
                    <w:jc w:val="center"/>
                    <w:rPr>
                      <w:rFonts w:hint="default" w:ascii="Times New Roman" w:hAnsi="Times New Roman" w:eastAsia="宋体" w:cs="Times New Roman"/>
                      <w:color w:val="auto"/>
                      <w:sz w:val="22"/>
                      <w:szCs w:val="22"/>
                      <w:highlight w:val="yellow"/>
                    </w:rPr>
                  </w:pPr>
                </w:p>
              </w:tc>
              <w:tc>
                <w:tcPr>
                  <w:tcW w:w="546" w:type="pct"/>
                  <w:vMerge w:val="continue"/>
                  <w:tcBorders>
                    <w:tl2br w:val="nil"/>
                    <w:tr2bl w:val="nil"/>
                  </w:tcBorders>
                  <w:shd w:val="clear" w:color="auto" w:fill="auto"/>
                  <w:vAlign w:val="center"/>
                </w:tcPr>
                <w:p w14:paraId="45A18DE5">
                  <w:pPr>
                    <w:jc w:val="center"/>
                    <w:rPr>
                      <w:rFonts w:hint="default" w:ascii="Times New Roman" w:hAnsi="Times New Roman" w:eastAsia="宋体" w:cs="Times New Roman"/>
                      <w:color w:val="auto"/>
                      <w:sz w:val="22"/>
                      <w:szCs w:val="22"/>
                      <w:highlight w:val="yellow"/>
                    </w:rPr>
                  </w:pPr>
                </w:p>
              </w:tc>
              <w:tc>
                <w:tcPr>
                  <w:tcW w:w="575" w:type="pct"/>
                  <w:vMerge w:val="continue"/>
                  <w:tcBorders>
                    <w:tl2br w:val="nil"/>
                    <w:tr2bl w:val="nil"/>
                  </w:tcBorders>
                  <w:shd w:val="clear" w:color="auto" w:fill="auto"/>
                  <w:vAlign w:val="center"/>
                </w:tcPr>
                <w:p w14:paraId="446EA50D">
                  <w:pPr>
                    <w:jc w:val="center"/>
                    <w:rPr>
                      <w:rFonts w:hint="default" w:ascii="Times New Roman" w:hAnsi="Times New Roman" w:eastAsia="宋体" w:cs="Times New Roman"/>
                      <w:color w:val="auto"/>
                      <w:sz w:val="22"/>
                      <w:szCs w:val="22"/>
                      <w:highlight w:val="yellow"/>
                    </w:rPr>
                  </w:pPr>
                </w:p>
              </w:tc>
            </w:tr>
            <w:tr w14:paraId="0071D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01" w:type="pct"/>
                  <w:vMerge w:val="continue"/>
                  <w:tcBorders>
                    <w:tl2br w:val="nil"/>
                    <w:tr2bl w:val="nil"/>
                  </w:tcBorders>
                  <w:shd w:val="clear" w:color="auto" w:fill="auto"/>
                  <w:vAlign w:val="center"/>
                </w:tcPr>
                <w:p w14:paraId="462914A2">
                  <w:pPr>
                    <w:jc w:val="center"/>
                    <w:rPr>
                      <w:rFonts w:hint="default" w:ascii="Times New Roman" w:hAnsi="Times New Roman" w:eastAsia="宋体" w:cs="Times New Roman"/>
                      <w:color w:val="auto"/>
                      <w:sz w:val="22"/>
                      <w:szCs w:val="22"/>
                      <w:highlight w:val="none"/>
                    </w:rPr>
                  </w:pPr>
                </w:p>
              </w:tc>
              <w:tc>
                <w:tcPr>
                  <w:tcW w:w="456" w:type="pct"/>
                  <w:vMerge w:val="continue"/>
                  <w:tcBorders>
                    <w:tl2br w:val="nil"/>
                    <w:tr2bl w:val="nil"/>
                  </w:tcBorders>
                  <w:shd w:val="clear" w:color="auto" w:fill="auto"/>
                  <w:vAlign w:val="center"/>
                </w:tcPr>
                <w:p w14:paraId="3A95BD4B">
                  <w:pPr>
                    <w:jc w:val="center"/>
                    <w:rPr>
                      <w:rFonts w:hint="default" w:ascii="Times New Roman" w:hAnsi="Times New Roman" w:eastAsia="宋体" w:cs="Times New Roman"/>
                      <w:color w:val="auto"/>
                      <w:sz w:val="22"/>
                      <w:szCs w:val="22"/>
                      <w:highlight w:val="none"/>
                    </w:rPr>
                  </w:pPr>
                </w:p>
              </w:tc>
              <w:tc>
                <w:tcPr>
                  <w:tcW w:w="680" w:type="pct"/>
                  <w:vMerge w:val="continue"/>
                  <w:tcBorders>
                    <w:tl2br w:val="nil"/>
                    <w:tr2bl w:val="nil"/>
                  </w:tcBorders>
                  <w:shd w:val="clear" w:color="auto" w:fill="auto"/>
                  <w:vAlign w:val="center"/>
                </w:tcPr>
                <w:p w14:paraId="3F9E4FF1">
                  <w:pPr>
                    <w:jc w:val="center"/>
                    <w:rPr>
                      <w:rFonts w:hint="default" w:ascii="Times New Roman" w:hAnsi="Times New Roman" w:eastAsia="宋体" w:cs="Times New Roman"/>
                      <w:color w:val="auto"/>
                      <w:sz w:val="22"/>
                      <w:szCs w:val="22"/>
                      <w:highlight w:val="none"/>
                    </w:rPr>
                  </w:pPr>
                </w:p>
              </w:tc>
              <w:tc>
                <w:tcPr>
                  <w:tcW w:w="477" w:type="pct"/>
                  <w:tcBorders>
                    <w:tl2br w:val="nil"/>
                    <w:tr2bl w:val="nil"/>
                  </w:tcBorders>
                  <w:shd w:val="clear" w:color="auto" w:fill="auto"/>
                  <w:vAlign w:val="center"/>
                </w:tcPr>
                <w:p w14:paraId="686B8601">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SS</w:t>
                  </w:r>
                </w:p>
              </w:tc>
              <w:tc>
                <w:tcPr>
                  <w:tcW w:w="597" w:type="pct"/>
                  <w:tcBorders>
                    <w:tl2br w:val="nil"/>
                    <w:tr2bl w:val="nil"/>
                  </w:tcBorders>
                  <w:shd w:val="clear" w:color="auto" w:fill="auto"/>
                  <w:vAlign w:val="center"/>
                </w:tcPr>
                <w:p w14:paraId="380F10B1">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10</w:t>
                  </w:r>
                </w:p>
              </w:tc>
              <w:tc>
                <w:tcPr>
                  <w:tcW w:w="502" w:type="pct"/>
                  <w:tcBorders>
                    <w:tl2br w:val="nil"/>
                    <w:tr2bl w:val="nil"/>
                  </w:tcBorders>
                  <w:shd w:val="clear" w:color="auto" w:fill="auto"/>
                  <w:vAlign w:val="center"/>
                </w:tcPr>
                <w:p w14:paraId="7CA29B4D">
                  <w:pPr>
                    <w:keepNext w:val="0"/>
                    <w:keepLines w:val="0"/>
                    <w:widowControl/>
                    <w:suppressLineNumbers w:val="0"/>
                    <w:jc w:val="center"/>
                    <w:textAlignment w:val="center"/>
                    <w:rPr>
                      <w:rFonts w:hint="default" w:ascii="Times New Roman" w:hAnsi="Times New Roman" w:eastAsia="宋体" w:cs="Times New Roman"/>
                      <w:color w:val="auto"/>
                      <w:sz w:val="22"/>
                      <w:szCs w:val="22"/>
                      <w:highlight w:val="yellow"/>
                      <w:lang w:val="en-US"/>
                    </w:rPr>
                  </w:pPr>
                  <w:r>
                    <w:rPr>
                      <w:rFonts w:hint="default" w:ascii="Times New Roman" w:hAnsi="Times New Roman" w:eastAsia="宋体" w:cs="Times New Roman"/>
                      <w:i w:val="0"/>
                      <w:iCs w:val="0"/>
                      <w:color w:val="auto"/>
                      <w:kern w:val="0"/>
                      <w:sz w:val="22"/>
                      <w:szCs w:val="22"/>
                      <w:u w:val="none"/>
                      <w:lang w:val="en-US" w:eastAsia="zh-CN" w:bidi="ar"/>
                    </w:rPr>
                    <w:t>0.0</w:t>
                  </w:r>
                  <w:r>
                    <w:rPr>
                      <w:rFonts w:hint="eastAsia" w:cs="Times New Roman"/>
                      <w:i w:val="0"/>
                      <w:iCs w:val="0"/>
                      <w:color w:val="auto"/>
                      <w:kern w:val="0"/>
                      <w:sz w:val="22"/>
                      <w:szCs w:val="22"/>
                      <w:u w:val="none"/>
                      <w:lang w:val="en-US" w:eastAsia="zh-CN" w:bidi="ar"/>
                    </w:rPr>
                    <w:t>14</w:t>
                  </w:r>
                </w:p>
              </w:tc>
              <w:tc>
                <w:tcPr>
                  <w:tcW w:w="331" w:type="pct"/>
                  <w:vMerge w:val="continue"/>
                  <w:tcBorders>
                    <w:tl2br w:val="nil"/>
                    <w:tr2bl w:val="nil"/>
                  </w:tcBorders>
                  <w:shd w:val="clear" w:color="auto" w:fill="auto"/>
                  <w:vAlign w:val="center"/>
                </w:tcPr>
                <w:p w14:paraId="1CDD6851">
                  <w:pPr>
                    <w:jc w:val="center"/>
                    <w:rPr>
                      <w:rFonts w:hint="default" w:ascii="Times New Roman" w:hAnsi="Times New Roman" w:eastAsia="宋体" w:cs="Times New Roman"/>
                      <w:color w:val="auto"/>
                      <w:sz w:val="22"/>
                      <w:szCs w:val="22"/>
                      <w:highlight w:val="yellow"/>
                    </w:rPr>
                  </w:pPr>
                </w:p>
              </w:tc>
              <w:tc>
                <w:tcPr>
                  <w:tcW w:w="430" w:type="pct"/>
                  <w:vMerge w:val="continue"/>
                  <w:tcBorders>
                    <w:tl2br w:val="nil"/>
                    <w:tr2bl w:val="nil"/>
                  </w:tcBorders>
                  <w:shd w:val="clear" w:color="auto" w:fill="auto"/>
                  <w:vAlign w:val="center"/>
                </w:tcPr>
                <w:p w14:paraId="69196800">
                  <w:pPr>
                    <w:jc w:val="center"/>
                    <w:rPr>
                      <w:rFonts w:hint="default" w:ascii="Times New Roman" w:hAnsi="Times New Roman" w:eastAsia="宋体" w:cs="Times New Roman"/>
                      <w:color w:val="auto"/>
                      <w:sz w:val="22"/>
                      <w:szCs w:val="22"/>
                      <w:highlight w:val="yellow"/>
                    </w:rPr>
                  </w:pPr>
                </w:p>
              </w:tc>
              <w:tc>
                <w:tcPr>
                  <w:tcW w:w="546" w:type="pct"/>
                  <w:vMerge w:val="continue"/>
                  <w:tcBorders>
                    <w:tl2br w:val="nil"/>
                    <w:tr2bl w:val="nil"/>
                  </w:tcBorders>
                  <w:shd w:val="clear" w:color="auto" w:fill="auto"/>
                  <w:vAlign w:val="center"/>
                </w:tcPr>
                <w:p w14:paraId="3FF4C925">
                  <w:pPr>
                    <w:jc w:val="center"/>
                    <w:rPr>
                      <w:rFonts w:hint="default" w:ascii="Times New Roman" w:hAnsi="Times New Roman" w:eastAsia="宋体" w:cs="Times New Roman"/>
                      <w:color w:val="auto"/>
                      <w:sz w:val="22"/>
                      <w:szCs w:val="22"/>
                      <w:highlight w:val="yellow"/>
                    </w:rPr>
                  </w:pPr>
                </w:p>
              </w:tc>
              <w:tc>
                <w:tcPr>
                  <w:tcW w:w="575" w:type="pct"/>
                  <w:vMerge w:val="continue"/>
                  <w:tcBorders>
                    <w:tl2br w:val="nil"/>
                    <w:tr2bl w:val="nil"/>
                  </w:tcBorders>
                  <w:shd w:val="clear" w:color="auto" w:fill="auto"/>
                  <w:vAlign w:val="center"/>
                </w:tcPr>
                <w:p w14:paraId="766F6320">
                  <w:pPr>
                    <w:jc w:val="center"/>
                    <w:rPr>
                      <w:rFonts w:hint="default" w:ascii="Times New Roman" w:hAnsi="Times New Roman" w:eastAsia="宋体" w:cs="Times New Roman"/>
                      <w:color w:val="auto"/>
                      <w:sz w:val="22"/>
                      <w:szCs w:val="22"/>
                      <w:highlight w:val="yellow"/>
                    </w:rPr>
                  </w:pPr>
                </w:p>
              </w:tc>
            </w:tr>
            <w:tr w14:paraId="535C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trPr>
              <w:tc>
                <w:tcPr>
                  <w:tcW w:w="401" w:type="pct"/>
                  <w:vMerge w:val="continue"/>
                  <w:tcBorders>
                    <w:tl2br w:val="nil"/>
                    <w:tr2bl w:val="nil"/>
                  </w:tcBorders>
                  <w:shd w:val="clear" w:color="auto" w:fill="auto"/>
                  <w:vAlign w:val="center"/>
                </w:tcPr>
                <w:p w14:paraId="1B64C4E1">
                  <w:pPr>
                    <w:jc w:val="center"/>
                    <w:rPr>
                      <w:rFonts w:hint="default" w:ascii="Times New Roman" w:hAnsi="Times New Roman" w:eastAsia="宋体" w:cs="Times New Roman"/>
                      <w:color w:val="auto"/>
                      <w:sz w:val="22"/>
                      <w:szCs w:val="22"/>
                      <w:highlight w:val="none"/>
                    </w:rPr>
                  </w:pPr>
                </w:p>
              </w:tc>
              <w:tc>
                <w:tcPr>
                  <w:tcW w:w="456" w:type="pct"/>
                  <w:vMerge w:val="continue"/>
                  <w:tcBorders>
                    <w:tl2br w:val="nil"/>
                    <w:tr2bl w:val="nil"/>
                  </w:tcBorders>
                  <w:shd w:val="clear" w:color="auto" w:fill="auto"/>
                  <w:vAlign w:val="center"/>
                </w:tcPr>
                <w:p w14:paraId="3B605C91">
                  <w:pPr>
                    <w:jc w:val="center"/>
                    <w:rPr>
                      <w:rFonts w:hint="default" w:ascii="Times New Roman" w:hAnsi="Times New Roman" w:eastAsia="宋体" w:cs="Times New Roman"/>
                      <w:color w:val="auto"/>
                      <w:sz w:val="22"/>
                      <w:szCs w:val="22"/>
                      <w:highlight w:val="none"/>
                    </w:rPr>
                  </w:pPr>
                </w:p>
              </w:tc>
              <w:tc>
                <w:tcPr>
                  <w:tcW w:w="680" w:type="pct"/>
                  <w:vMerge w:val="continue"/>
                  <w:tcBorders>
                    <w:tl2br w:val="nil"/>
                    <w:tr2bl w:val="nil"/>
                  </w:tcBorders>
                  <w:shd w:val="clear" w:color="auto" w:fill="auto"/>
                  <w:vAlign w:val="center"/>
                </w:tcPr>
                <w:p w14:paraId="437733E9">
                  <w:pPr>
                    <w:widowControl/>
                    <w:jc w:val="center"/>
                    <w:textAlignment w:val="center"/>
                    <w:rPr>
                      <w:rFonts w:hint="default" w:ascii="Times New Roman" w:hAnsi="Times New Roman" w:eastAsia="宋体" w:cs="Times New Roman"/>
                      <w:color w:val="auto"/>
                      <w:sz w:val="22"/>
                      <w:szCs w:val="22"/>
                      <w:highlight w:val="none"/>
                    </w:rPr>
                  </w:pPr>
                </w:p>
              </w:tc>
              <w:tc>
                <w:tcPr>
                  <w:tcW w:w="477" w:type="pct"/>
                  <w:tcBorders>
                    <w:tl2br w:val="nil"/>
                    <w:tr2bl w:val="nil"/>
                  </w:tcBorders>
                  <w:shd w:val="clear" w:color="auto" w:fill="auto"/>
                  <w:vAlign w:val="center"/>
                </w:tcPr>
                <w:p w14:paraId="15B60CF1">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动植物油</w:t>
                  </w:r>
                </w:p>
              </w:tc>
              <w:tc>
                <w:tcPr>
                  <w:tcW w:w="597" w:type="pct"/>
                  <w:tcBorders>
                    <w:tl2br w:val="nil"/>
                    <w:tr2bl w:val="nil"/>
                  </w:tcBorders>
                  <w:shd w:val="clear" w:color="auto" w:fill="auto"/>
                  <w:vAlign w:val="center"/>
                </w:tcPr>
                <w:p w14:paraId="33C470F5">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rPr>
                    <w:t>1</w:t>
                  </w:r>
                </w:p>
              </w:tc>
              <w:tc>
                <w:tcPr>
                  <w:tcW w:w="502" w:type="pct"/>
                  <w:tcBorders>
                    <w:tl2br w:val="nil"/>
                    <w:tr2bl w:val="nil"/>
                  </w:tcBorders>
                  <w:shd w:val="clear" w:color="auto" w:fill="auto"/>
                  <w:vAlign w:val="center"/>
                </w:tcPr>
                <w:p w14:paraId="3B7E9A05">
                  <w:pPr>
                    <w:keepNext w:val="0"/>
                    <w:keepLines w:val="0"/>
                    <w:widowControl/>
                    <w:suppressLineNumbers w:val="0"/>
                    <w:jc w:val="center"/>
                    <w:textAlignment w:val="center"/>
                    <w:rPr>
                      <w:rFonts w:hint="default" w:ascii="Times New Roman" w:hAnsi="Times New Roman" w:eastAsia="宋体" w:cs="Times New Roman"/>
                      <w:color w:val="auto"/>
                      <w:sz w:val="22"/>
                      <w:szCs w:val="22"/>
                      <w:highlight w:val="yellow"/>
                    </w:rPr>
                  </w:pPr>
                  <w:r>
                    <w:rPr>
                      <w:rFonts w:hint="default" w:ascii="Times New Roman" w:hAnsi="Times New Roman" w:eastAsia="宋体" w:cs="Times New Roman"/>
                      <w:i w:val="0"/>
                      <w:iCs w:val="0"/>
                      <w:color w:val="auto"/>
                      <w:kern w:val="0"/>
                      <w:sz w:val="22"/>
                      <w:szCs w:val="22"/>
                      <w:u w:val="none"/>
                      <w:lang w:val="en-US" w:eastAsia="zh-CN" w:bidi="ar"/>
                    </w:rPr>
                    <w:t>0.001</w:t>
                  </w:r>
                </w:p>
              </w:tc>
              <w:tc>
                <w:tcPr>
                  <w:tcW w:w="331" w:type="pct"/>
                  <w:vMerge w:val="continue"/>
                  <w:tcBorders>
                    <w:tl2br w:val="nil"/>
                    <w:tr2bl w:val="nil"/>
                  </w:tcBorders>
                  <w:shd w:val="clear" w:color="auto" w:fill="auto"/>
                  <w:vAlign w:val="center"/>
                </w:tcPr>
                <w:p w14:paraId="128D69FA">
                  <w:pPr>
                    <w:jc w:val="center"/>
                    <w:rPr>
                      <w:rFonts w:hint="default" w:ascii="Times New Roman" w:hAnsi="Times New Roman" w:eastAsia="宋体" w:cs="Times New Roman"/>
                      <w:color w:val="auto"/>
                      <w:sz w:val="22"/>
                      <w:szCs w:val="22"/>
                      <w:highlight w:val="yellow"/>
                    </w:rPr>
                  </w:pPr>
                </w:p>
              </w:tc>
              <w:tc>
                <w:tcPr>
                  <w:tcW w:w="430" w:type="pct"/>
                  <w:vMerge w:val="continue"/>
                  <w:tcBorders>
                    <w:tl2br w:val="nil"/>
                    <w:tr2bl w:val="nil"/>
                  </w:tcBorders>
                  <w:shd w:val="clear" w:color="auto" w:fill="auto"/>
                  <w:vAlign w:val="center"/>
                </w:tcPr>
                <w:p w14:paraId="7DE54720">
                  <w:pPr>
                    <w:jc w:val="center"/>
                    <w:rPr>
                      <w:rFonts w:hint="default" w:ascii="Times New Roman" w:hAnsi="Times New Roman" w:eastAsia="宋体" w:cs="Times New Roman"/>
                      <w:color w:val="auto"/>
                      <w:sz w:val="22"/>
                      <w:szCs w:val="22"/>
                      <w:highlight w:val="yellow"/>
                    </w:rPr>
                  </w:pPr>
                </w:p>
              </w:tc>
              <w:tc>
                <w:tcPr>
                  <w:tcW w:w="546" w:type="pct"/>
                  <w:vMerge w:val="continue"/>
                  <w:tcBorders>
                    <w:tl2br w:val="nil"/>
                    <w:tr2bl w:val="nil"/>
                  </w:tcBorders>
                  <w:shd w:val="clear" w:color="auto" w:fill="auto"/>
                  <w:vAlign w:val="center"/>
                </w:tcPr>
                <w:p w14:paraId="5D487C0B">
                  <w:pPr>
                    <w:jc w:val="center"/>
                    <w:rPr>
                      <w:rFonts w:hint="default" w:ascii="Times New Roman" w:hAnsi="Times New Roman" w:eastAsia="宋体" w:cs="Times New Roman"/>
                      <w:color w:val="auto"/>
                      <w:sz w:val="22"/>
                      <w:szCs w:val="22"/>
                      <w:highlight w:val="yellow"/>
                    </w:rPr>
                  </w:pPr>
                </w:p>
              </w:tc>
              <w:tc>
                <w:tcPr>
                  <w:tcW w:w="575" w:type="pct"/>
                  <w:vMerge w:val="continue"/>
                  <w:tcBorders>
                    <w:tl2br w:val="nil"/>
                    <w:tr2bl w:val="nil"/>
                  </w:tcBorders>
                  <w:shd w:val="clear" w:color="auto" w:fill="auto"/>
                  <w:vAlign w:val="center"/>
                </w:tcPr>
                <w:p w14:paraId="1B084228">
                  <w:pPr>
                    <w:jc w:val="center"/>
                    <w:rPr>
                      <w:rFonts w:hint="default" w:ascii="Times New Roman" w:hAnsi="Times New Roman" w:eastAsia="宋体" w:cs="Times New Roman"/>
                      <w:color w:val="auto"/>
                      <w:sz w:val="22"/>
                      <w:szCs w:val="22"/>
                      <w:highlight w:val="yellow"/>
                    </w:rPr>
                  </w:pPr>
                </w:p>
              </w:tc>
            </w:tr>
            <w:tr w14:paraId="3EFD7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401" w:type="pct"/>
                  <w:vMerge w:val="restart"/>
                  <w:tcBorders>
                    <w:tl2br w:val="nil"/>
                    <w:tr2bl w:val="nil"/>
                  </w:tcBorders>
                  <w:shd w:val="clear" w:color="auto" w:fill="auto"/>
                  <w:vAlign w:val="center"/>
                </w:tcPr>
                <w:p w14:paraId="5844DBAE">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西地块污水</w:t>
                  </w:r>
                </w:p>
              </w:tc>
              <w:tc>
                <w:tcPr>
                  <w:tcW w:w="456" w:type="pct"/>
                  <w:vMerge w:val="continue"/>
                  <w:tcBorders>
                    <w:tl2br w:val="nil"/>
                    <w:tr2bl w:val="nil"/>
                  </w:tcBorders>
                  <w:shd w:val="clear" w:color="auto" w:fill="auto"/>
                  <w:vAlign w:val="center"/>
                </w:tcPr>
                <w:p w14:paraId="786474C9">
                  <w:pPr>
                    <w:jc w:val="center"/>
                    <w:rPr>
                      <w:rFonts w:hint="default" w:ascii="Times New Roman" w:hAnsi="Times New Roman" w:eastAsia="宋体" w:cs="Times New Roman"/>
                      <w:color w:val="auto"/>
                      <w:sz w:val="22"/>
                      <w:szCs w:val="22"/>
                      <w:highlight w:val="none"/>
                    </w:rPr>
                  </w:pPr>
                </w:p>
              </w:tc>
              <w:tc>
                <w:tcPr>
                  <w:tcW w:w="680" w:type="pct"/>
                  <w:vMerge w:val="restart"/>
                  <w:tcBorders>
                    <w:tl2br w:val="nil"/>
                    <w:tr2bl w:val="nil"/>
                  </w:tcBorders>
                  <w:shd w:val="clear" w:color="auto" w:fill="auto"/>
                  <w:vAlign w:val="center"/>
                </w:tcPr>
                <w:p w14:paraId="7A676AA3">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《地表水环境质量标准》（GB3838-2002）IV类标准</w:t>
                  </w:r>
                </w:p>
              </w:tc>
              <w:tc>
                <w:tcPr>
                  <w:tcW w:w="477" w:type="pct"/>
                  <w:tcBorders>
                    <w:tl2br w:val="nil"/>
                    <w:tr2bl w:val="nil"/>
                  </w:tcBorders>
                  <w:shd w:val="clear" w:color="auto" w:fill="auto"/>
                  <w:vAlign w:val="center"/>
                </w:tcPr>
                <w:p w14:paraId="391D2BD8">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COD</w:t>
                  </w:r>
                </w:p>
              </w:tc>
              <w:tc>
                <w:tcPr>
                  <w:tcW w:w="597" w:type="pct"/>
                  <w:tcBorders>
                    <w:tl2br w:val="nil"/>
                    <w:tr2bl w:val="nil"/>
                  </w:tcBorders>
                  <w:shd w:val="clear" w:color="auto" w:fill="auto"/>
                  <w:vAlign w:val="center"/>
                </w:tcPr>
                <w:p w14:paraId="57DA419D">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30</w:t>
                  </w:r>
                </w:p>
              </w:tc>
              <w:tc>
                <w:tcPr>
                  <w:tcW w:w="502" w:type="pct"/>
                  <w:tcBorders>
                    <w:tl2br w:val="nil"/>
                    <w:tr2bl w:val="nil"/>
                  </w:tcBorders>
                  <w:shd w:val="clear" w:color="auto" w:fill="auto"/>
                  <w:vAlign w:val="center"/>
                </w:tcPr>
                <w:p w14:paraId="2517DFAF">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cs="Times New Roman"/>
                      <w:i w:val="0"/>
                      <w:iCs w:val="0"/>
                      <w:color w:val="auto"/>
                      <w:kern w:val="0"/>
                      <w:sz w:val="22"/>
                      <w:szCs w:val="22"/>
                      <w:u w:val="none"/>
                      <w:lang w:val="en-US" w:eastAsia="zh-CN" w:bidi="ar"/>
                    </w:rPr>
                    <w:t>0.102</w:t>
                  </w:r>
                </w:p>
              </w:tc>
              <w:tc>
                <w:tcPr>
                  <w:tcW w:w="331" w:type="pct"/>
                  <w:vMerge w:val="restart"/>
                  <w:tcBorders>
                    <w:tl2br w:val="nil"/>
                    <w:tr2bl w:val="nil"/>
                  </w:tcBorders>
                  <w:shd w:val="clear" w:color="auto" w:fill="auto"/>
                  <w:vAlign w:val="center"/>
                </w:tcPr>
                <w:p w14:paraId="4A78C915">
                  <w:pPr>
                    <w:widowControl/>
                    <w:jc w:val="center"/>
                    <w:textAlignment w:val="center"/>
                    <w:rPr>
                      <w:rFonts w:hint="default" w:ascii="Times New Roman" w:hAnsi="Times New Roman" w:eastAsia="宋体" w:cs="Times New Roman"/>
                      <w:color w:val="auto"/>
                      <w:sz w:val="22"/>
                      <w:szCs w:val="22"/>
                      <w:highlight w:val="yellow"/>
                    </w:rPr>
                  </w:pPr>
                  <w:r>
                    <w:rPr>
                      <w:rFonts w:hint="default" w:ascii="Times New Roman" w:hAnsi="Times New Roman" w:eastAsia="宋体" w:cs="Times New Roman"/>
                      <w:color w:val="auto"/>
                      <w:kern w:val="0"/>
                      <w:sz w:val="22"/>
                      <w:szCs w:val="22"/>
                      <w:highlight w:val="none"/>
                    </w:rPr>
                    <w:t>杨柳曲河</w:t>
                  </w:r>
                </w:p>
              </w:tc>
              <w:tc>
                <w:tcPr>
                  <w:tcW w:w="430" w:type="pct"/>
                  <w:vMerge w:val="restart"/>
                  <w:tcBorders>
                    <w:tl2br w:val="nil"/>
                    <w:tr2bl w:val="nil"/>
                  </w:tcBorders>
                  <w:shd w:val="clear" w:color="auto" w:fill="auto"/>
                  <w:vAlign w:val="center"/>
                </w:tcPr>
                <w:p w14:paraId="64A4163C">
                  <w:pPr>
                    <w:widowControl/>
                    <w:jc w:val="center"/>
                    <w:textAlignment w:val="center"/>
                    <w:rPr>
                      <w:rFonts w:hint="default" w:ascii="Times New Roman" w:hAnsi="Times New Roman" w:eastAsia="宋体" w:cs="Times New Roman"/>
                      <w:color w:val="auto"/>
                      <w:sz w:val="22"/>
                      <w:szCs w:val="22"/>
                      <w:highlight w:val="yellow"/>
                    </w:rPr>
                  </w:pPr>
                  <w:r>
                    <w:rPr>
                      <w:rFonts w:hint="default" w:ascii="Times New Roman" w:hAnsi="Times New Roman" w:eastAsia="宋体" w:cs="Times New Roman"/>
                      <w:color w:val="auto"/>
                      <w:kern w:val="0"/>
                      <w:sz w:val="22"/>
                      <w:szCs w:val="22"/>
                      <w:highlight w:val="none"/>
                    </w:rPr>
                    <w:t>无</w:t>
                  </w:r>
                </w:p>
              </w:tc>
              <w:tc>
                <w:tcPr>
                  <w:tcW w:w="546" w:type="pct"/>
                  <w:vMerge w:val="restart"/>
                  <w:tcBorders>
                    <w:tl2br w:val="nil"/>
                    <w:tr2bl w:val="nil"/>
                  </w:tcBorders>
                  <w:shd w:val="clear" w:color="auto" w:fill="auto"/>
                  <w:vAlign w:val="center"/>
                </w:tcPr>
                <w:p w14:paraId="740F0D77">
                  <w:pPr>
                    <w:widowControl/>
                    <w:jc w:val="center"/>
                    <w:textAlignment w:val="center"/>
                    <w:rPr>
                      <w:rFonts w:hint="default" w:ascii="Times New Roman" w:hAnsi="Times New Roman" w:eastAsia="宋体" w:cs="Times New Roman"/>
                      <w:color w:val="auto"/>
                      <w:sz w:val="22"/>
                      <w:szCs w:val="22"/>
                      <w:highlight w:val="yellow"/>
                    </w:rPr>
                  </w:pPr>
                  <w:r>
                    <w:rPr>
                      <w:rFonts w:hint="eastAsia" w:cs="宋体"/>
                      <w:color w:val="auto"/>
                      <w:kern w:val="0"/>
                      <w:sz w:val="22"/>
                      <w:szCs w:val="22"/>
                      <w:lang w:bidi="ar"/>
                    </w:rPr>
                    <w:t>106°21'42.20"东</w:t>
                  </w:r>
                </w:p>
              </w:tc>
              <w:tc>
                <w:tcPr>
                  <w:tcW w:w="575" w:type="pct"/>
                  <w:vMerge w:val="restart"/>
                  <w:tcBorders>
                    <w:tl2br w:val="nil"/>
                    <w:tr2bl w:val="nil"/>
                  </w:tcBorders>
                  <w:shd w:val="clear" w:color="auto" w:fill="auto"/>
                  <w:vAlign w:val="center"/>
                </w:tcPr>
                <w:p w14:paraId="0627FB34">
                  <w:pPr>
                    <w:widowControl/>
                    <w:jc w:val="center"/>
                    <w:textAlignment w:val="center"/>
                    <w:rPr>
                      <w:rFonts w:hint="default" w:ascii="Times New Roman" w:hAnsi="Times New Roman" w:eastAsia="宋体" w:cs="Times New Roman"/>
                      <w:color w:val="auto"/>
                      <w:sz w:val="22"/>
                      <w:szCs w:val="22"/>
                      <w:highlight w:val="yellow"/>
                    </w:rPr>
                  </w:pPr>
                  <w:r>
                    <w:rPr>
                      <w:rFonts w:hint="eastAsia" w:cs="宋体"/>
                      <w:color w:val="auto"/>
                      <w:kern w:val="0"/>
                      <w:sz w:val="22"/>
                      <w:szCs w:val="22"/>
                      <w:lang w:bidi="ar"/>
                    </w:rPr>
                    <w:t>29°20'44.80"北</w:t>
                  </w:r>
                </w:p>
              </w:tc>
            </w:tr>
            <w:tr w14:paraId="6DB0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01" w:type="pct"/>
                  <w:vMerge w:val="continue"/>
                  <w:tcBorders>
                    <w:tl2br w:val="nil"/>
                    <w:tr2bl w:val="nil"/>
                  </w:tcBorders>
                  <w:shd w:val="clear" w:color="auto" w:fill="auto"/>
                  <w:vAlign w:val="center"/>
                </w:tcPr>
                <w:p w14:paraId="031808A5">
                  <w:pPr>
                    <w:jc w:val="center"/>
                    <w:rPr>
                      <w:rFonts w:hint="default" w:ascii="Times New Roman" w:hAnsi="Times New Roman" w:eastAsia="宋体" w:cs="Times New Roman"/>
                      <w:color w:val="auto"/>
                      <w:sz w:val="22"/>
                      <w:szCs w:val="22"/>
                      <w:highlight w:val="none"/>
                    </w:rPr>
                  </w:pPr>
                </w:p>
              </w:tc>
              <w:tc>
                <w:tcPr>
                  <w:tcW w:w="456" w:type="pct"/>
                  <w:vMerge w:val="continue"/>
                  <w:tcBorders>
                    <w:tl2br w:val="nil"/>
                    <w:tr2bl w:val="nil"/>
                  </w:tcBorders>
                  <w:shd w:val="clear" w:color="auto" w:fill="auto"/>
                  <w:vAlign w:val="center"/>
                </w:tcPr>
                <w:p w14:paraId="2BB3E422">
                  <w:pPr>
                    <w:jc w:val="center"/>
                    <w:rPr>
                      <w:rFonts w:hint="default" w:ascii="Times New Roman" w:hAnsi="Times New Roman" w:eastAsia="宋体" w:cs="Times New Roman"/>
                      <w:color w:val="auto"/>
                      <w:sz w:val="22"/>
                      <w:szCs w:val="22"/>
                      <w:highlight w:val="none"/>
                    </w:rPr>
                  </w:pPr>
                </w:p>
              </w:tc>
              <w:tc>
                <w:tcPr>
                  <w:tcW w:w="680" w:type="pct"/>
                  <w:vMerge w:val="continue"/>
                  <w:tcBorders>
                    <w:tl2br w:val="nil"/>
                    <w:tr2bl w:val="nil"/>
                  </w:tcBorders>
                  <w:shd w:val="clear" w:color="auto" w:fill="auto"/>
                  <w:vAlign w:val="center"/>
                </w:tcPr>
                <w:p w14:paraId="402C1D1E">
                  <w:pPr>
                    <w:widowControl/>
                    <w:jc w:val="center"/>
                    <w:textAlignment w:val="center"/>
                    <w:rPr>
                      <w:rFonts w:hint="default" w:ascii="Times New Roman" w:hAnsi="Times New Roman" w:eastAsia="宋体" w:cs="Times New Roman"/>
                      <w:color w:val="auto"/>
                      <w:kern w:val="0"/>
                      <w:sz w:val="22"/>
                      <w:szCs w:val="22"/>
                      <w:highlight w:val="none"/>
                    </w:rPr>
                  </w:pPr>
                </w:p>
              </w:tc>
              <w:tc>
                <w:tcPr>
                  <w:tcW w:w="477" w:type="pct"/>
                  <w:tcBorders>
                    <w:tl2br w:val="nil"/>
                    <w:tr2bl w:val="nil"/>
                  </w:tcBorders>
                  <w:shd w:val="clear" w:color="auto" w:fill="auto"/>
                  <w:vAlign w:val="center"/>
                </w:tcPr>
                <w:p w14:paraId="6B55F74B">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NH</w:t>
                  </w:r>
                  <w:r>
                    <w:rPr>
                      <w:rStyle w:val="119"/>
                      <w:rFonts w:hint="default" w:ascii="Times New Roman" w:hAnsi="Times New Roman" w:eastAsia="宋体" w:cs="Times New Roman"/>
                      <w:color w:val="auto"/>
                      <w:sz w:val="22"/>
                      <w:szCs w:val="22"/>
                      <w:highlight w:val="none"/>
                      <w:vertAlign w:val="subscript"/>
                    </w:rPr>
                    <w:t>3</w:t>
                  </w:r>
                  <w:r>
                    <w:rPr>
                      <w:rStyle w:val="114"/>
                      <w:rFonts w:hint="default" w:ascii="Times New Roman" w:hAnsi="Times New Roman" w:eastAsia="宋体" w:cs="Times New Roman"/>
                      <w:color w:val="auto"/>
                      <w:sz w:val="22"/>
                      <w:szCs w:val="22"/>
                      <w:highlight w:val="none"/>
                    </w:rPr>
                    <w:t>-N</w:t>
                  </w:r>
                </w:p>
              </w:tc>
              <w:tc>
                <w:tcPr>
                  <w:tcW w:w="597" w:type="pct"/>
                  <w:tcBorders>
                    <w:tl2br w:val="nil"/>
                    <w:tr2bl w:val="nil"/>
                  </w:tcBorders>
                  <w:shd w:val="clear" w:color="auto" w:fill="auto"/>
                  <w:vAlign w:val="center"/>
                </w:tcPr>
                <w:p w14:paraId="77B0D22E">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1.5</w:t>
                  </w:r>
                </w:p>
              </w:tc>
              <w:tc>
                <w:tcPr>
                  <w:tcW w:w="502" w:type="pct"/>
                  <w:tcBorders>
                    <w:tl2br w:val="nil"/>
                    <w:tr2bl w:val="nil"/>
                  </w:tcBorders>
                  <w:shd w:val="clear" w:color="auto" w:fill="auto"/>
                  <w:vAlign w:val="center"/>
                </w:tcPr>
                <w:p w14:paraId="50F3C9CF">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cs="Times New Roman"/>
                      <w:i w:val="0"/>
                      <w:iCs w:val="0"/>
                      <w:color w:val="auto"/>
                      <w:kern w:val="0"/>
                      <w:sz w:val="22"/>
                      <w:szCs w:val="22"/>
                      <w:u w:val="none"/>
                      <w:lang w:val="en-US" w:eastAsia="zh-CN" w:bidi="ar"/>
                    </w:rPr>
                    <w:t>0.0051</w:t>
                  </w:r>
                </w:p>
              </w:tc>
              <w:tc>
                <w:tcPr>
                  <w:tcW w:w="331" w:type="pct"/>
                  <w:vMerge w:val="continue"/>
                  <w:tcBorders>
                    <w:tl2br w:val="nil"/>
                    <w:tr2bl w:val="nil"/>
                  </w:tcBorders>
                  <w:shd w:val="clear" w:color="auto" w:fill="auto"/>
                  <w:vAlign w:val="center"/>
                </w:tcPr>
                <w:p w14:paraId="0019DCF3">
                  <w:pPr>
                    <w:jc w:val="center"/>
                    <w:rPr>
                      <w:rFonts w:hint="default" w:ascii="Times New Roman" w:hAnsi="Times New Roman" w:eastAsia="宋体" w:cs="Times New Roman"/>
                      <w:color w:val="auto"/>
                      <w:sz w:val="22"/>
                      <w:szCs w:val="22"/>
                      <w:highlight w:val="yellow"/>
                    </w:rPr>
                  </w:pPr>
                </w:p>
              </w:tc>
              <w:tc>
                <w:tcPr>
                  <w:tcW w:w="430" w:type="pct"/>
                  <w:vMerge w:val="continue"/>
                  <w:tcBorders>
                    <w:tl2br w:val="nil"/>
                    <w:tr2bl w:val="nil"/>
                  </w:tcBorders>
                  <w:shd w:val="clear" w:color="auto" w:fill="auto"/>
                  <w:vAlign w:val="center"/>
                </w:tcPr>
                <w:p w14:paraId="79F80E32">
                  <w:pPr>
                    <w:jc w:val="center"/>
                    <w:rPr>
                      <w:rFonts w:hint="default" w:ascii="Times New Roman" w:hAnsi="Times New Roman" w:eastAsia="宋体" w:cs="Times New Roman"/>
                      <w:color w:val="auto"/>
                      <w:sz w:val="22"/>
                      <w:szCs w:val="22"/>
                      <w:highlight w:val="yellow"/>
                    </w:rPr>
                  </w:pPr>
                </w:p>
              </w:tc>
              <w:tc>
                <w:tcPr>
                  <w:tcW w:w="546" w:type="pct"/>
                  <w:vMerge w:val="continue"/>
                  <w:tcBorders>
                    <w:tl2br w:val="nil"/>
                    <w:tr2bl w:val="nil"/>
                  </w:tcBorders>
                  <w:shd w:val="clear" w:color="auto" w:fill="auto"/>
                  <w:vAlign w:val="center"/>
                </w:tcPr>
                <w:p w14:paraId="5A7AA48F">
                  <w:pPr>
                    <w:jc w:val="center"/>
                    <w:rPr>
                      <w:rFonts w:hint="default" w:ascii="Times New Roman" w:hAnsi="Times New Roman" w:eastAsia="宋体" w:cs="Times New Roman"/>
                      <w:color w:val="auto"/>
                      <w:sz w:val="22"/>
                      <w:szCs w:val="22"/>
                      <w:highlight w:val="yellow"/>
                    </w:rPr>
                  </w:pPr>
                </w:p>
              </w:tc>
              <w:tc>
                <w:tcPr>
                  <w:tcW w:w="575" w:type="pct"/>
                  <w:vMerge w:val="continue"/>
                  <w:tcBorders>
                    <w:tl2br w:val="nil"/>
                    <w:tr2bl w:val="nil"/>
                  </w:tcBorders>
                  <w:shd w:val="clear" w:color="auto" w:fill="auto"/>
                  <w:vAlign w:val="center"/>
                </w:tcPr>
                <w:p w14:paraId="65832563">
                  <w:pPr>
                    <w:jc w:val="center"/>
                    <w:rPr>
                      <w:rFonts w:hint="default" w:ascii="Times New Roman" w:hAnsi="Times New Roman" w:eastAsia="宋体" w:cs="Times New Roman"/>
                      <w:color w:val="auto"/>
                      <w:sz w:val="22"/>
                      <w:szCs w:val="22"/>
                      <w:highlight w:val="yellow"/>
                    </w:rPr>
                  </w:pPr>
                </w:p>
              </w:tc>
            </w:tr>
            <w:tr w14:paraId="60CC8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401" w:type="pct"/>
                  <w:vMerge w:val="continue"/>
                  <w:tcBorders>
                    <w:tl2br w:val="nil"/>
                    <w:tr2bl w:val="nil"/>
                  </w:tcBorders>
                  <w:shd w:val="clear" w:color="auto" w:fill="auto"/>
                  <w:vAlign w:val="center"/>
                </w:tcPr>
                <w:p w14:paraId="132AD441">
                  <w:pPr>
                    <w:jc w:val="center"/>
                    <w:rPr>
                      <w:rFonts w:hint="default" w:ascii="Times New Roman" w:hAnsi="Times New Roman" w:eastAsia="宋体" w:cs="Times New Roman"/>
                      <w:color w:val="auto"/>
                      <w:sz w:val="22"/>
                      <w:szCs w:val="22"/>
                      <w:highlight w:val="none"/>
                    </w:rPr>
                  </w:pPr>
                </w:p>
              </w:tc>
              <w:tc>
                <w:tcPr>
                  <w:tcW w:w="456" w:type="pct"/>
                  <w:vMerge w:val="continue"/>
                  <w:tcBorders>
                    <w:tl2br w:val="nil"/>
                    <w:tr2bl w:val="nil"/>
                  </w:tcBorders>
                  <w:shd w:val="clear" w:color="auto" w:fill="auto"/>
                  <w:vAlign w:val="center"/>
                </w:tcPr>
                <w:p w14:paraId="7D0D488C">
                  <w:pPr>
                    <w:jc w:val="center"/>
                    <w:rPr>
                      <w:rFonts w:hint="default" w:ascii="Times New Roman" w:hAnsi="Times New Roman" w:eastAsia="宋体" w:cs="Times New Roman"/>
                      <w:color w:val="auto"/>
                      <w:sz w:val="22"/>
                      <w:szCs w:val="22"/>
                      <w:highlight w:val="none"/>
                    </w:rPr>
                  </w:pPr>
                </w:p>
              </w:tc>
              <w:tc>
                <w:tcPr>
                  <w:tcW w:w="680" w:type="pct"/>
                  <w:vMerge w:val="restart"/>
                  <w:tcBorders>
                    <w:tl2br w:val="nil"/>
                    <w:tr2bl w:val="nil"/>
                  </w:tcBorders>
                  <w:shd w:val="clear" w:color="auto" w:fill="auto"/>
                  <w:vAlign w:val="center"/>
                </w:tcPr>
                <w:p w14:paraId="26EB2E3C">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《城镇污水处理厂污染物排放标准》（GB18918-2002）一级A标准</w:t>
                  </w:r>
                </w:p>
              </w:tc>
              <w:tc>
                <w:tcPr>
                  <w:tcW w:w="477" w:type="pct"/>
                  <w:tcBorders>
                    <w:tl2br w:val="nil"/>
                    <w:tr2bl w:val="nil"/>
                  </w:tcBorders>
                  <w:shd w:val="clear" w:color="auto" w:fill="auto"/>
                  <w:vAlign w:val="center"/>
                </w:tcPr>
                <w:p w14:paraId="00F94ABC">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BOD</w:t>
                  </w:r>
                  <w:r>
                    <w:rPr>
                      <w:rStyle w:val="119"/>
                      <w:rFonts w:hint="default" w:ascii="Times New Roman" w:hAnsi="Times New Roman" w:eastAsia="宋体" w:cs="Times New Roman"/>
                      <w:color w:val="auto"/>
                      <w:sz w:val="22"/>
                      <w:szCs w:val="22"/>
                      <w:highlight w:val="none"/>
                      <w:vertAlign w:val="subscript"/>
                    </w:rPr>
                    <w:t>5</w:t>
                  </w:r>
                </w:p>
              </w:tc>
              <w:tc>
                <w:tcPr>
                  <w:tcW w:w="597" w:type="pct"/>
                  <w:tcBorders>
                    <w:tl2br w:val="nil"/>
                    <w:tr2bl w:val="nil"/>
                  </w:tcBorders>
                  <w:shd w:val="clear" w:color="auto" w:fill="auto"/>
                  <w:vAlign w:val="center"/>
                </w:tcPr>
                <w:p w14:paraId="46EB454B">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10</w:t>
                  </w:r>
                </w:p>
              </w:tc>
              <w:tc>
                <w:tcPr>
                  <w:tcW w:w="502" w:type="pct"/>
                  <w:tcBorders>
                    <w:tl2br w:val="nil"/>
                    <w:tr2bl w:val="nil"/>
                  </w:tcBorders>
                  <w:shd w:val="clear" w:color="auto" w:fill="auto"/>
                  <w:vAlign w:val="center"/>
                </w:tcPr>
                <w:p w14:paraId="25EDF342">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cs="Times New Roman"/>
                      <w:i w:val="0"/>
                      <w:iCs w:val="0"/>
                      <w:color w:val="auto"/>
                      <w:kern w:val="0"/>
                      <w:sz w:val="22"/>
                      <w:szCs w:val="22"/>
                      <w:u w:val="none"/>
                      <w:lang w:val="en-US" w:eastAsia="zh-CN" w:bidi="ar"/>
                    </w:rPr>
                    <w:t>0.034</w:t>
                  </w:r>
                </w:p>
              </w:tc>
              <w:tc>
                <w:tcPr>
                  <w:tcW w:w="331" w:type="pct"/>
                  <w:vMerge w:val="continue"/>
                  <w:tcBorders>
                    <w:tl2br w:val="nil"/>
                    <w:tr2bl w:val="nil"/>
                  </w:tcBorders>
                  <w:shd w:val="clear" w:color="auto" w:fill="auto"/>
                  <w:vAlign w:val="center"/>
                </w:tcPr>
                <w:p w14:paraId="12E44FA0">
                  <w:pPr>
                    <w:jc w:val="center"/>
                    <w:rPr>
                      <w:rFonts w:hint="default" w:ascii="Times New Roman" w:hAnsi="Times New Roman" w:eastAsia="宋体" w:cs="Times New Roman"/>
                      <w:color w:val="auto"/>
                      <w:sz w:val="22"/>
                      <w:szCs w:val="22"/>
                      <w:highlight w:val="yellow"/>
                    </w:rPr>
                  </w:pPr>
                </w:p>
              </w:tc>
              <w:tc>
                <w:tcPr>
                  <w:tcW w:w="430" w:type="pct"/>
                  <w:vMerge w:val="continue"/>
                  <w:tcBorders>
                    <w:tl2br w:val="nil"/>
                    <w:tr2bl w:val="nil"/>
                  </w:tcBorders>
                  <w:shd w:val="clear" w:color="auto" w:fill="auto"/>
                  <w:vAlign w:val="center"/>
                </w:tcPr>
                <w:p w14:paraId="52C925DA">
                  <w:pPr>
                    <w:jc w:val="center"/>
                    <w:rPr>
                      <w:rFonts w:hint="default" w:ascii="Times New Roman" w:hAnsi="Times New Roman" w:eastAsia="宋体" w:cs="Times New Roman"/>
                      <w:color w:val="auto"/>
                      <w:sz w:val="22"/>
                      <w:szCs w:val="22"/>
                      <w:highlight w:val="yellow"/>
                    </w:rPr>
                  </w:pPr>
                </w:p>
              </w:tc>
              <w:tc>
                <w:tcPr>
                  <w:tcW w:w="546" w:type="pct"/>
                  <w:vMerge w:val="continue"/>
                  <w:tcBorders>
                    <w:tl2br w:val="nil"/>
                    <w:tr2bl w:val="nil"/>
                  </w:tcBorders>
                  <w:shd w:val="clear" w:color="auto" w:fill="auto"/>
                  <w:vAlign w:val="center"/>
                </w:tcPr>
                <w:p w14:paraId="51C804AF">
                  <w:pPr>
                    <w:jc w:val="center"/>
                    <w:rPr>
                      <w:rFonts w:hint="default" w:ascii="Times New Roman" w:hAnsi="Times New Roman" w:eastAsia="宋体" w:cs="Times New Roman"/>
                      <w:color w:val="auto"/>
                      <w:sz w:val="22"/>
                      <w:szCs w:val="22"/>
                      <w:highlight w:val="yellow"/>
                    </w:rPr>
                  </w:pPr>
                </w:p>
              </w:tc>
              <w:tc>
                <w:tcPr>
                  <w:tcW w:w="575" w:type="pct"/>
                  <w:vMerge w:val="continue"/>
                  <w:tcBorders>
                    <w:tl2br w:val="nil"/>
                    <w:tr2bl w:val="nil"/>
                  </w:tcBorders>
                  <w:shd w:val="clear" w:color="auto" w:fill="auto"/>
                  <w:vAlign w:val="center"/>
                </w:tcPr>
                <w:p w14:paraId="73CECF4A">
                  <w:pPr>
                    <w:jc w:val="center"/>
                    <w:rPr>
                      <w:rFonts w:hint="default" w:ascii="Times New Roman" w:hAnsi="Times New Roman" w:eastAsia="宋体" w:cs="Times New Roman"/>
                      <w:color w:val="auto"/>
                      <w:sz w:val="22"/>
                      <w:szCs w:val="22"/>
                      <w:highlight w:val="yellow"/>
                    </w:rPr>
                  </w:pPr>
                </w:p>
              </w:tc>
            </w:tr>
            <w:tr w14:paraId="23D1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401" w:type="pct"/>
                  <w:vMerge w:val="continue"/>
                  <w:tcBorders>
                    <w:tl2br w:val="nil"/>
                    <w:tr2bl w:val="nil"/>
                  </w:tcBorders>
                  <w:shd w:val="clear" w:color="auto" w:fill="auto"/>
                  <w:vAlign w:val="center"/>
                </w:tcPr>
                <w:p w14:paraId="62D424E6">
                  <w:pPr>
                    <w:jc w:val="center"/>
                    <w:rPr>
                      <w:rFonts w:hint="default" w:ascii="Times New Roman" w:hAnsi="Times New Roman" w:eastAsia="宋体" w:cs="Times New Roman"/>
                      <w:color w:val="auto"/>
                      <w:sz w:val="22"/>
                      <w:szCs w:val="22"/>
                      <w:highlight w:val="none"/>
                    </w:rPr>
                  </w:pPr>
                </w:p>
              </w:tc>
              <w:tc>
                <w:tcPr>
                  <w:tcW w:w="456" w:type="pct"/>
                  <w:vMerge w:val="continue"/>
                  <w:tcBorders>
                    <w:tl2br w:val="nil"/>
                    <w:tr2bl w:val="nil"/>
                  </w:tcBorders>
                  <w:shd w:val="clear" w:color="auto" w:fill="auto"/>
                  <w:vAlign w:val="center"/>
                </w:tcPr>
                <w:p w14:paraId="36D2E411">
                  <w:pPr>
                    <w:jc w:val="center"/>
                    <w:rPr>
                      <w:rFonts w:hint="default" w:ascii="Times New Roman" w:hAnsi="Times New Roman" w:eastAsia="宋体" w:cs="Times New Roman"/>
                      <w:color w:val="auto"/>
                      <w:sz w:val="22"/>
                      <w:szCs w:val="22"/>
                      <w:highlight w:val="none"/>
                    </w:rPr>
                  </w:pPr>
                </w:p>
              </w:tc>
              <w:tc>
                <w:tcPr>
                  <w:tcW w:w="680" w:type="pct"/>
                  <w:vMerge w:val="continue"/>
                  <w:tcBorders>
                    <w:tl2br w:val="nil"/>
                    <w:tr2bl w:val="nil"/>
                  </w:tcBorders>
                  <w:shd w:val="clear" w:color="auto" w:fill="auto"/>
                  <w:vAlign w:val="center"/>
                </w:tcPr>
                <w:p w14:paraId="6E024AA9">
                  <w:pPr>
                    <w:jc w:val="center"/>
                    <w:rPr>
                      <w:rFonts w:hint="default" w:ascii="Times New Roman" w:hAnsi="Times New Roman" w:eastAsia="宋体" w:cs="Times New Roman"/>
                      <w:color w:val="auto"/>
                      <w:kern w:val="0"/>
                      <w:sz w:val="22"/>
                      <w:szCs w:val="22"/>
                      <w:highlight w:val="none"/>
                    </w:rPr>
                  </w:pPr>
                </w:p>
              </w:tc>
              <w:tc>
                <w:tcPr>
                  <w:tcW w:w="477" w:type="pct"/>
                  <w:tcBorders>
                    <w:tl2br w:val="nil"/>
                    <w:tr2bl w:val="nil"/>
                  </w:tcBorders>
                  <w:shd w:val="clear" w:color="auto" w:fill="auto"/>
                  <w:vAlign w:val="center"/>
                </w:tcPr>
                <w:p w14:paraId="69A5524E">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SS</w:t>
                  </w:r>
                </w:p>
              </w:tc>
              <w:tc>
                <w:tcPr>
                  <w:tcW w:w="597" w:type="pct"/>
                  <w:tcBorders>
                    <w:tl2br w:val="nil"/>
                    <w:tr2bl w:val="nil"/>
                  </w:tcBorders>
                  <w:shd w:val="clear" w:color="auto" w:fill="auto"/>
                  <w:vAlign w:val="center"/>
                </w:tcPr>
                <w:p w14:paraId="27EF4F02">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10</w:t>
                  </w:r>
                </w:p>
              </w:tc>
              <w:tc>
                <w:tcPr>
                  <w:tcW w:w="502" w:type="pct"/>
                  <w:tcBorders>
                    <w:tl2br w:val="nil"/>
                    <w:tr2bl w:val="nil"/>
                  </w:tcBorders>
                  <w:shd w:val="clear" w:color="auto" w:fill="auto"/>
                  <w:vAlign w:val="center"/>
                </w:tcPr>
                <w:p w14:paraId="7A5F0DAA">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0.0</w:t>
                  </w:r>
                  <w:r>
                    <w:rPr>
                      <w:rFonts w:hint="eastAsia" w:cs="Times New Roman"/>
                      <w:i w:val="0"/>
                      <w:iCs w:val="0"/>
                      <w:color w:val="auto"/>
                      <w:kern w:val="0"/>
                      <w:sz w:val="22"/>
                      <w:szCs w:val="22"/>
                      <w:u w:val="none"/>
                      <w:lang w:val="en-US" w:eastAsia="zh-CN" w:bidi="ar"/>
                    </w:rPr>
                    <w:t>34</w:t>
                  </w:r>
                </w:p>
              </w:tc>
              <w:tc>
                <w:tcPr>
                  <w:tcW w:w="331" w:type="pct"/>
                  <w:vMerge w:val="continue"/>
                  <w:tcBorders>
                    <w:tl2br w:val="nil"/>
                    <w:tr2bl w:val="nil"/>
                  </w:tcBorders>
                  <w:shd w:val="clear" w:color="auto" w:fill="auto"/>
                  <w:vAlign w:val="center"/>
                </w:tcPr>
                <w:p w14:paraId="50209604">
                  <w:pPr>
                    <w:jc w:val="center"/>
                    <w:rPr>
                      <w:rFonts w:hint="default" w:ascii="Times New Roman" w:hAnsi="Times New Roman" w:eastAsia="宋体" w:cs="Times New Roman"/>
                      <w:color w:val="auto"/>
                      <w:sz w:val="22"/>
                      <w:szCs w:val="22"/>
                      <w:highlight w:val="yellow"/>
                    </w:rPr>
                  </w:pPr>
                </w:p>
              </w:tc>
              <w:tc>
                <w:tcPr>
                  <w:tcW w:w="430" w:type="pct"/>
                  <w:vMerge w:val="continue"/>
                  <w:tcBorders>
                    <w:tl2br w:val="nil"/>
                    <w:tr2bl w:val="nil"/>
                  </w:tcBorders>
                  <w:shd w:val="clear" w:color="auto" w:fill="auto"/>
                  <w:vAlign w:val="center"/>
                </w:tcPr>
                <w:p w14:paraId="7AAD3A83">
                  <w:pPr>
                    <w:jc w:val="center"/>
                    <w:rPr>
                      <w:rFonts w:hint="default" w:ascii="Times New Roman" w:hAnsi="Times New Roman" w:eastAsia="宋体" w:cs="Times New Roman"/>
                      <w:color w:val="auto"/>
                      <w:sz w:val="22"/>
                      <w:szCs w:val="22"/>
                      <w:highlight w:val="yellow"/>
                    </w:rPr>
                  </w:pPr>
                </w:p>
              </w:tc>
              <w:tc>
                <w:tcPr>
                  <w:tcW w:w="546" w:type="pct"/>
                  <w:vMerge w:val="continue"/>
                  <w:tcBorders>
                    <w:tl2br w:val="nil"/>
                    <w:tr2bl w:val="nil"/>
                  </w:tcBorders>
                  <w:shd w:val="clear" w:color="auto" w:fill="auto"/>
                  <w:vAlign w:val="center"/>
                </w:tcPr>
                <w:p w14:paraId="485D88F0">
                  <w:pPr>
                    <w:jc w:val="center"/>
                    <w:rPr>
                      <w:rFonts w:hint="default" w:ascii="Times New Roman" w:hAnsi="Times New Roman" w:eastAsia="宋体" w:cs="Times New Roman"/>
                      <w:color w:val="auto"/>
                      <w:sz w:val="22"/>
                      <w:szCs w:val="22"/>
                      <w:highlight w:val="yellow"/>
                    </w:rPr>
                  </w:pPr>
                </w:p>
              </w:tc>
              <w:tc>
                <w:tcPr>
                  <w:tcW w:w="575" w:type="pct"/>
                  <w:vMerge w:val="continue"/>
                  <w:tcBorders>
                    <w:tl2br w:val="nil"/>
                    <w:tr2bl w:val="nil"/>
                  </w:tcBorders>
                  <w:shd w:val="clear" w:color="auto" w:fill="auto"/>
                  <w:vAlign w:val="center"/>
                </w:tcPr>
                <w:p w14:paraId="7AC58AA5">
                  <w:pPr>
                    <w:jc w:val="center"/>
                    <w:rPr>
                      <w:rFonts w:hint="default" w:ascii="Times New Roman" w:hAnsi="Times New Roman" w:eastAsia="宋体" w:cs="Times New Roman"/>
                      <w:color w:val="auto"/>
                      <w:sz w:val="22"/>
                      <w:szCs w:val="22"/>
                      <w:highlight w:val="yellow"/>
                    </w:rPr>
                  </w:pPr>
                </w:p>
              </w:tc>
            </w:tr>
            <w:tr w14:paraId="682E8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401" w:type="pct"/>
                  <w:vMerge w:val="continue"/>
                  <w:tcBorders>
                    <w:tl2br w:val="nil"/>
                    <w:tr2bl w:val="nil"/>
                  </w:tcBorders>
                  <w:shd w:val="clear" w:color="auto" w:fill="auto"/>
                  <w:vAlign w:val="center"/>
                </w:tcPr>
                <w:p w14:paraId="69A605AB">
                  <w:pPr>
                    <w:jc w:val="center"/>
                    <w:rPr>
                      <w:rFonts w:hint="default" w:ascii="Times New Roman" w:hAnsi="Times New Roman" w:eastAsia="宋体" w:cs="Times New Roman"/>
                      <w:color w:val="auto"/>
                      <w:sz w:val="22"/>
                      <w:szCs w:val="22"/>
                      <w:highlight w:val="none"/>
                    </w:rPr>
                  </w:pPr>
                </w:p>
              </w:tc>
              <w:tc>
                <w:tcPr>
                  <w:tcW w:w="456" w:type="pct"/>
                  <w:vMerge w:val="continue"/>
                  <w:tcBorders>
                    <w:tl2br w:val="nil"/>
                    <w:tr2bl w:val="nil"/>
                  </w:tcBorders>
                  <w:shd w:val="clear" w:color="auto" w:fill="auto"/>
                  <w:vAlign w:val="center"/>
                </w:tcPr>
                <w:p w14:paraId="7B2174FF">
                  <w:pPr>
                    <w:jc w:val="center"/>
                    <w:rPr>
                      <w:rFonts w:hint="default" w:ascii="Times New Roman" w:hAnsi="Times New Roman" w:eastAsia="宋体" w:cs="Times New Roman"/>
                      <w:color w:val="auto"/>
                      <w:sz w:val="22"/>
                      <w:szCs w:val="22"/>
                      <w:highlight w:val="none"/>
                    </w:rPr>
                  </w:pPr>
                </w:p>
              </w:tc>
              <w:tc>
                <w:tcPr>
                  <w:tcW w:w="680" w:type="pct"/>
                  <w:vMerge w:val="continue"/>
                  <w:tcBorders>
                    <w:tl2br w:val="nil"/>
                    <w:tr2bl w:val="nil"/>
                  </w:tcBorders>
                  <w:shd w:val="clear" w:color="auto" w:fill="auto"/>
                  <w:vAlign w:val="center"/>
                </w:tcPr>
                <w:p w14:paraId="1135FD03">
                  <w:pPr>
                    <w:widowControl/>
                    <w:jc w:val="center"/>
                    <w:textAlignment w:val="center"/>
                    <w:rPr>
                      <w:rFonts w:hint="default" w:ascii="Times New Roman" w:hAnsi="Times New Roman" w:eastAsia="宋体" w:cs="Times New Roman"/>
                      <w:color w:val="auto"/>
                      <w:kern w:val="0"/>
                      <w:sz w:val="22"/>
                      <w:szCs w:val="22"/>
                      <w:highlight w:val="none"/>
                    </w:rPr>
                  </w:pPr>
                </w:p>
              </w:tc>
              <w:tc>
                <w:tcPr>
                  <w:tcW w:w="477" w:type="pct"/>
                  <w:tcBorders>
                    <w:tl2br w:val="nil"/>
                    <w:tr2bl w:val="nil"/>
                  </w:tcBorders>
                  <w:shd w:val="clear" w:color="auto" w:fill="auto"/>
                  <w:vAlign w:val="center"/>
                </w:tcPr>
                <w:p w14:paraId="7C84362F">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动植物油</w:t>
                  </w:r>
                </w:p>
              </w:tc>
              <w:tc>
                <w:tcPr>
                  <w:tcW w:w="597" w:type="pct"/>
                  <w:tcBorders>
                    <w:tl2br w:val="nil"/>
                    <w:tr2bl w:val="nil"/>
                  </w:tcBorders>
                  <w:shd w:val="clear" w:color="auto" w:fill="auto"/>
                  <w:vAlign w:val="center"/>
                </w:tcPr>
                <w:p w14:paraId="1225FDB9">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w:t>
                  </w:r>
                </w:p>
              </w:tc>
              <w:tc>
                <w:tcPr>
                  <w:tcW w:w="502" w:type="pct"/>
                  <w:tcBorders>
                    <w:tl2br w:val="nil"/>
                    <w:tr2bl w:val="nil"/>
                  </w:tcBorders>
                  <w:shd w:val="clear" w:color="auto" w:fill="auto"/>
                  <w:vAlign w:val="center"/>
                </w:tcPr>
                <w:p w14:paraId="590285DE">
                  <w:pPr>
                    <w:widowControl/>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0.00</w:t>
                  </w:r>
                  <w:r>
                    <w:rPr>
                      <w:rFonts w:hint="eastAsia" w:cs="Times New Roman"/>
                      <w:color w:val="auto"/>
                      <w:kern w:val="0"/>
                      <w:sz w:val="22"/>
                      <w:szCs w:val="22"/>
                      <w:highlight w:val="none"/>
                      <w:lang w:val="en-US" w:eastAsia="zh-CN"/>
                    </w:rPr>
                    <w:t>34</w:t>
                  </w:r>
                </w:p>
              </w:tc>
              <w:tc>
                <w:tcPr>
                  <w:tcW w:w="331" w:type="pct"/>
                  <w:vMerge w:val="continue"/>
                  <w:tcBorders>
                    <w:tl2br w:val="nil"/>
                    <w:tr2bl w:val="nil"/>
                  </w:tcBorders>
                  <w:shd w:val="clear" w:color="auto" w:fill="auto"/>
                  <w:vAlign w:val="center"/>
                </w:tcPr>
                <w:p w14:paraId="2F4D6874">
                  <w:pPr>
                    <w:jc w:val="center"/>
                    <w:rPr>
                      <w:rFonts w:hint="default" w:ascii="Times New Roman" w:hAnsi="Times New Roman" w:eastAsia="宋体" w:cs="Times New Roman"/>
                      <w:color w:val="auto"/>
                      <w:sz w:val="22"/>
                      <w:szCs w:val="22"/>
                      <w:highlight w:val="yellow"/>
                    </w:rPr>
                  </w:pPr>
                </w:p>
              </w:tc>
              <w:tc>
                <w:tcPr>
                  <w:tcW w:w="430" w:type="pct"/>
                  <w:vMerge w:val="continue"/>
                  <w:tcBorders>
                    <w:tl2br w:val="nil"/>
                    <w:tr2bl w:val="nil"/>
                  </w:tcBorders>
                  <w:shd w:val="clear" w:color="auto" w:fill="auto"/>
                  <w:vAlign w:val="center"/>
                </w:tcPr>
                <w:p w14:paraId="5DFAA860">
                  <w:pPr>
                    <w:jc w:val="center"/>
                    <w:rPr>
                      <w:rFonts w:hint="default" w:ascii="Times New Roman" w:hAnsi="Times New Roman" w:eastAsia="宋体" w:cs="Times New Roman"/>
                      <w:color w:val="auto"/>
                      <w:sz w:val="22"/>
                      <w:szCs w:val="22"/>
                      <w:highlight w:val="yellow"/>
                    </w:rPr>
                  </w:pPr>
                </w:p>
              </w:tc>
              <w:tc>
                <w:tcPr>
                  <w:tcW w:w="546" w:type="pct"/>
                  <w:vMerge w:val="continue"/>
                  <w:tcBorders>
                    <w:tl2br w:val="nil"/>
                    <w:tr2bl w:val="nil"/>
                  </w:tcBorders>
                  <w:shd w:val="clear" w:color="auto" w:fill="auto"/>
                  <w:vAlign w:val="center"/>
                </w:tcPr>
                <w:p w14:paraId="277B7BBE">
                  <w:pPr>
                    <w:jc w:val="center"/>
                    <w:rPr>
                      <w:rFonts w:hint="default" w:ascii="Times New Roman" w:hAnsi="Times New Roman" w:eastAsia="宋体" w:cs="Times New Roman"/>
                      <w:color w:val="auto"/>
                      <w:sz w:val="22"/>
                      <w:szCs w:val="22"/>
                      <w:highlight w:val="yellow"/>
                    </w:rPr>
                  </w:pPr>
                </w:p>
              </w:tc>
              <w:tc>
                <w:tcPr>
                  <w:tcW w:w="575" w:type="pct"/>
                  <w:vMerge w:val="continue"/>
                  <w:tcBorders>
                    <w:tl2br w:val="nil"/>
                    <w:tr2bl w:val="nil"/>
                  </w:tcBorders>
                  <w:shd w:val="clear" w:color="auto" w:fill="auto"/>
                  <w:vAlign w:val="center"/>
                </w:tcPr>
                <w:p w14:paraId="5F21DACF">
                  <w:pPr>
                    <w:jc w:val="center"/>
                    <w:rPr>
                      <w:rFonts w:hint="default" w:ascii="Times New Roman" w:hAnsi="Times New Roman" w:eastAsia="宋体" w:cs="Times New Roman"/>
                      <w:color w:val="auto"/>
                      <w:sz w:val="22"/>
                      <w:szCs w:val="22"/>
                      <w:highlight w:val="yellow"/>
                    </w:rPr>
                  </w:pPr>
                </w:p>
              </w:tc>
            </w:tr>
            <w:tr w14:paraId="6D15E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401" w:type="pct"/>
                  <w:vMerge w:val="restart"/>
                  <w:tcBorders>
                    <w:tl2br w:val="nil"/>
                    <w:tr2bl w:val="nil"/>
                  </w:tcBorders>
                  <w:shd w:val="clear" w:color="auto" w:fill="auto"/>
                  <w:vAlign w:val="center"/>
                </w:tcPr>
                <w:p w14:paraId="2B8135D2">
                  <w:pPr>
                    <w:jc w:val="center"/>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合计</w:t>
                  </w:r>
                </w:p>
              </w:tc>
              <w:tc>
                <w:tcPr>
                  <w:tcW w:w="456" w:type="pct"/>
                  <w:vMerge w:val="continue"/>
                  <w:tcBorders>
                    <w:tl2br w:val="nil"/>
                    <w:tr2bl w:val="nil"/>
                  </w:tcBorders>
                  <w:shd w:val="clear" w:color="auto" w:fill="auto"/>
                  <w:vAlign w:val="center"/>
                </w:tcPr>
                <w:p w14:paraId="01BC4B1E">
                  <w:pPr>
                    <w:jc w:val="center"/>
                    <w:rPr>
                      <w:rFonts w:hint="default" w:ascii="Times New Roman" w:hAnsi="Times New Roman" w:eastAsia="宋体" w:cs="Times New Roman"/>
                      <w:color w:val="auto"/>
                      <w:sz w:val="22"/>
                      <w:szCs w:val="22"/>
                      <w:highlight w:val="none"/>
                    </w:rPr>
                  </w:pPr>
                </w:p>
              </w:tc>
              <w:tc>
                <w:tcPr>
                  <w:tcW w:w="680" w:type="pct"/>
                  <w:vMerge w:val="restart"/>
                  <w:tcBorders>
                    <w:tl2br w:val="nil"/>
                    <w:tr2bl w:val="nil"/>
                  </w:tcBorders>
                  <w:shd w:val="clear" w:color="auto" w:fill="auto"/>
                  <w:vAlign w:val="center"/>
                </w:tcPr>
                <w:p w14:paraId="6E014EBB">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《地表水环境质量标准》（GB3838-2002）IV类标准</w:t>
                  </w:r>
                </w:p>
              </w:tc>
              <w:tc>
                <w:tcPr>
                  <w:tcW w:w="477" w:type="pct"/>
                  <w:tcBorders>
                    <w:tl2br w:val="nil"/>
                    <w:tr2bl w:val="nil"/>
                  </w:tcBorders>
                  <w:shd w:val="clear" w:color="auto" w:fill="auto"/>
                  <w:vAlign w:val="center"/>
                </w:tcPr>
                <w:p w14:paraId="0A693691">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COD</w:t>
                  </w:r>
                </w:p>
              </w:tc>
              <w:tc>
                <w:tcPr>
                  <w:tcW w:w="597" w:type="pct"/>
                  <w:tcBorders>
                    <w:tl2br w:val="nil"/>
                    <w:tr2bl w:val="nil"/>
                  </w:tcBorders>
                  <w:shd w:val="clear" w:color="auto" w:fill="auto"/>
                  <w:vAlign w:val="center"/>
                </w:tcPr>
                <w:p w14:paraId="3BE2BA71">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30</w:t>
                  </w:r>
                </w:p>
              </w:tc>
              <w:tc>
                <w:tcPr>
                  <w:tcW w:w="502" w:type="pct"/>
                  <w:tcBorders>
                    <w:tl2br w:val="nil"/>
                    <w:tr2bl w:val="nil"/>
                  </w:tcBorders>
                  <w:shd w:val="clear" w:color="auto" w:fill="auto"/>
                  <w:vAlign w:val="center"/>
                </w:tcPr>
                <w:p w14:paraId="27100270">
                  <w:pPr>
                    <w:widowControl/>
                    <w:jc w:val="center"/>
                    <w:textAlignment w:val="center"/>
                    <w:rPr>
                      <w:rFonts w:hint="default" w:ascii="Times New Roman" w:hAnsi="Times New Roman"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0.145</w:t>
                  </w:r>
                </w:p>
              </w:tc>
              <w:tc>
                <w:tcPr>
                  <w:tcW w:w="331" w:type="pct"/>
                  <w:vMerge w:val="restart"/>
                  <w:tcBorders>
                    <w:tl2br w:val="nil"/>
                    <w:tr2bl w:val="nil"/>
                  </w:tcBorders>
                  <w:shd w:val="clear" w:color="auto" w:fill="auto"/>
                  <w:vAlign w:val="center"/>
                </w:tcPr>
                <w:p w14:paraId="17CEB740">
                  <w:pPr>
                    <w:widowControl/>
                    <w:jc w:val="center"/>
                    <w:textAlignment w:val="center"/>
                    <w:rPr>
                      <w:rFonts w:hint="default" w:ascii="Times New Roman" w:hAnsi="Times New Roman" w:eastAsia="宋体" w:cs="Times New Roman"/>
                      <w:color w:val="auto"/>
                      <w:sz w:val="22"/>
                      <w:szCs w:val="22"/>
                      <w:highlight w:val="yellow"/>
                    </w:rPr>
                  </w:pPr>
                  <w:r>
                    <w:rPr>
                      <w:rFonts w:hint="default" w:ascii="Times New Roman" w:hAnsi="Times New Roman" w:eastAsia="宋体" w:cs="Times New Roman"/>
                      <w:color w:val="auto"/>
                      <w:kern w:val="0"/>
                      <w:sz w:val="22"/>
                      <w:szCs w:val="22"/>
                      <w:highlight w:val="none"/>
                    </w:rPr>
                    <w:t>杨柳曲河</w:t>
                  </w:r>
                </w:p>
              </w:tc>
              <w:tc>
                <w:tcPr>
                  <w:tcW w:w="430" w:type="pct"/>
                  <w:vMerge w:val="restart"/>
                  <w:tcBorders>
                    <w:tl2br w:val="nil"/>
                    <w:tr2bl w:val="nil"/>
                  </w:tcBorders>
                  <w:shd w:val="clear" w:color="auto" w:fill="auto"/>
                  <w:vAlign w:val="center"/>
                </w:tcPr>
                <w:p w14:paraId="064F1CDE">
                  <w:pPr>
                    <w:widowControl/>
                    <w:jc w:val="center"/>
                    <w:textAlignment w:val="center"/>
                    <w:rPr>
                      <w:rFonts w:hint="default" w:ascii="Times New Roman" w:hAnsi="Times New Roman" w:eastAsia="宋体" w:cs="Times New Roman"/>
                      <w:color w:val="auto"/>
                      <w:sz w:val="22"/>
                      <w:szCs w:val="22"/>
                      <w:highlight w:val="yellow"/>
                    </w:rPr>
                  </w:pPr>
                  <w:r>
                    <w:rPr>
                      <w:rFonts w:hint="default" w:ascii="Times New Roman" w:hAnsi="Times New Roman" w:eastAsia="宋体" w:cs="Times New Roman"/>
                      <w:color w:val="auto"/>
                      <w:kern w:val="0"/>
                      <w:sz w:val="22"/>
                      <w:szCs w:val="22"/>
                      <w:highlight w:val="none"/>
                    </w:rPr>
                    <w:t>无</w:t>
                  </w:r>
                </w:p>
              </w:tc>
              <w:tc>
                <w:tcPr>
                  <w:tcW w:w="546" w:type="pct"/>
                  <w:vMerge w:val="restart"/>
                  <w:tcBorders>
                    <w:tl2br w:val="nil"/>
                    <w:tr2bl w:val="nil"/>
                  </w:tcBorders>
                  <w:shd w:val="clear" w:color="auto" w:fill="auto"/>
                  <w:vAlign w:val="center"/>
                </w:tcPr>
                <w:p w14:paraId="68031269">
                  <w:pPr>
                    <w:widowControl/>
                    <w:jc w:val="center"/>
                    <w:textAlignment w:val="center"/>
                    <w:rPr>
                      <w:rFonts w:hint="default" w:ascii="Times New Roman" w:hAnsi="Times New Roman" w:eastAsia="宋体" w:cs="Times New Roman"/>
                      <w:color w:val="auto"/>
                      <w:sz w:val="22"/>
                      <w:szCs w:val="22"/>
                      <w:highlight w:val="yellow"/>
                    </w:rPr>
                  </w:pPr>
                  <w:r>
                    <w:rPr>
                      <w:rFonts w:hint="eastAsia" w:cs="宋体"/>
                      <w:color w:val="auto"/>
                      <w:kern w:val="0"/>
                      <w:sz w:val="22"/>
                      <w:szCs w:val="22"/>
                      <w:lang w:bidi="ar"/>
                    </w:rPr>
                    <w:t>106°21'42.20"东</w:t>
                  </w:r>
                </w:p>
              </w:tc>
              <w:tc>
                <w:tcPr>
                  <w:tcW w:w="575" w:type="pct"/>
                  <w:vMerge w:val="restart"/>
                  <w:tcBorders>
                    <w:tl2br w:val="nil"/>
                    <w:tr2bl w:val="nil"/>
                  </w:tcBorders>
                  <w:shd w:val="clear" w:color="auto" w:fill="auto"/>
                  <w:vAlign w:val="center"/>
                </w:tcPr>
                <w:p w14:paraId="7661E3DB">
                  <w:pPr>
                    <w:widowControl/>
                    <w:jc w:val="center"/>
                    <w:textAlignment w:val="center"/>
                    <w:rPr>
                      <w:rFonts w:hint="default" w:ascii="Times New Roman" w:hAnsi="Times New Roman" w:eastAsia="宋体" w:cs="Times New Roman"/>
                      <w:color w:val="auto"/>
                      <w:sz w:val="22"/>
                      <w:szCs w:val="22"/>
                      <w:highlight w:val="yellow"/>
                    </w:rPr>
                  </w:pPr>
                  <w:r>
                    <w:rPr>
                      <w:rFonts w:hint="eastAsia" w:cs="宋体"/>
                      <w:color w:val="auto"/>
                      <w:kern w:val="0"/>
                      <w:sz w:val="22"/>
                      <w:szCs w:val="22"/>
                      <w:lang w:bidi="ar"/>
                    </w:rPr>
                    <w:t>29°20'44.80"北</w:t>
                  </w:r>
                </w:p>
              </w:tc>
            </w:tr>
            <w:tr w14:paraId="6E1D5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401" w:type="pct"/>
                  <w:vMerge w:val="continue"/>
                  <w:tcBorders>
                    <w:tl2br w:val="nil"/>
                    <w:tr2bl w:val="nil"/>
                  </w:tcBorders>
                  <w:shd w:val="clear" w:color="auto" w:fill="auto"/>
                  <w:vAlign w:val="center"/>
                </w:tcPr>
                <w:p w14:paraId="7C618851">
                  <w:pPr>
                    <w:jc w:val="center"/>
                    <w:rPr>
                      <w:color w:val="auto"/>
                    </w:rPr>
                  </w:pPr>
                </w:p>
              </w:tc>
              <w:tc>
                <w:tcPr>
                  <w:tcW w:w="456" w:type="pct"/>
                  <w:vMerge w:val="continue"/>
                  <w:tcBorders>
                    <w:tl2br w:val="nil"/>
                    <w:tr2bl w:val="nil"/>
                  </w:tcBorders>
                  <w:shd w:val="clear" w:color="auto" w:fill="auto"/>
                  <w:vAlign w:val="center"/>
                </w:tcPr>
                <w:p w14:paraId="2BFD8E6D">
                  <w:pPr>
                    <w:jc w:val="center"/>
                    <w:rPr>
                      <w:color w:val="auto"/>
                    </w:rPr>
                  </w:pPr>
                </w:p>
              </w:tc>
              <w:tc>
                <w:tcPr>
                  <w:tcW w:w="680" w:type="pct"/>
                  <w:vMerge w:val="continue"/>
                  <w:tcBorders>
                    <w:tl2br w:val="nil"/>
                    <w:tr2bl w:val="nil"/>
                  </w:tcBorders>
                  <w:shd w:val="clear" w:color="auto" w:fill="auto"/>
                  <w:vAlign w:val="center"/>
                </w:tcPr>
                <w:p w14:paraId="15396744">
                  <w:pPr>
                    <w:jc w:val="center"/>
                    <w:rPr>
                      <w:rFonts w:hint="default" w:ascii="Times New Roman" w:hAnsi="Times New Roman" w:eastAsia="宋体" w:cs="Times New Roman"/>
                      <w:color w:val="auto"/>
                      <w:kern w:val="0"/>
                      <w:sz w:val="22"/>
                      <w:szCs w:val="22"/>
                      <w:highlight w:val="none"/>
                    </w:rPr>
                  </w:pPr>
                </w:p>
              </w:tc>
              <w:tc>
                <w:tcPr>
                  <w:tcW w:w="477" w:type="pct"/>
                  <w:tcBorders>
                    <w:tl2br w:val="nil"/>
                    <w:tr2bl w:val="nil"/>
                  </w:tcBorders>
                  <w:shd w:val="clear" w:color="auto" w:fill="auto"/>
                  <w:vAlign w:val="center"/>
                </w:tcPr>
                <w:p w14:paraId="7B8D6948">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NH</w:t>
                  </w:r>
                  <w:r>
                    <w:rPr>
                      <w:rStyle w:val="119"/>
                      <w:rFonts w:hint="default" w:ascii="Times New Roman" w:hAnsi="Times New Roman" w:eastAsia="宋体" w:cs="Times New Roman"/>
                      <w:color w:val="auto"/>
                      <w:sz w:val="22"/>
                      <w:szCs w:val="22"/>
                      <w:highlight w:val="none"/>
                      <w:vertAlign w:val="subscript"/>
                    </w:rPr>
                    <w:t>3</w:t>
                  </w:r>
                  <w:r>
                    <w:rPr>
                      <w:rStyle w:val="114"/>
                      <w:rFonts w:hint="default" w:ascii="Times New Roman" w:hAnsi="Times New Roman" w:eastAsia="宋体" w:cs="Times New Roman"/>
                      <w:color w:val="auto"/>
                      <w:sz w:val="22"/>
                      <w:szCs w:val="22"/>
                      <w:highlight w:val="none"/>
                    </w:rPr>
                    <w:t>-N</w:t>
                  </w:r>
                </w:p>
              </w:tc>
              <w:tc>
                <w:tcPr>
                  <w:tcW w:w="597" w:type="pct"/>
                  <w:tcBorders>
                    <w:tl2br w:val="nil"/>
                    <w:tr2bl w:val="nil"/>
                  </w:tcBorders>
                  <w:shd w:val="clear" w:color="auto" w:fill="auto"/>
                  <w:vAlign w:val="center"/>
                </w:tcPr>
                <w:p w14:paraId="66B0D1BE">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1.5</w:t>
                  </w:r>
                </w:p>
              </w:tc>
              <w:tc>
                <w:tcPr>
                  <w:tcW w:w="502" w:type="pct"/>
                  <w:tcBorders>
                    <w:tl2br w:val="nil"/>
                    <w:tr2bl w:val="nil"/>
                  </w:tcBorders>
                  <w:shd w:val="clear" w:color="auto" w:fill="auto"/>
                  <w:vAlign w:val="center"/>
                </w:tcPr>
                <w:p w14:paraId="4CF5FB2C">
                  <w:pPr>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0.007</w:t>
                  </w:r>
                </w:p>
              </w:tc>
              <w:tc>
                <w:tcPr>
                  <w:tcW w:w="331" w:type="pct"/>
                  <w:vMerge w:val="continue"/>
                  <w:tcBorders>
                    <w:tl2br w:val="nil"/>
                    <w:tr2bl w:val="nil"/>
                  </w:tcBorders>
                  <w:shd w:val="clear" w:color="auto" w:fill="auto"/>
                  <w:vAlign w:val="center"/>
                </w:tcPr>
                <w:p w14:paraId="5B371F06">
                  <w:pPr>
                    <w:jc w:val="center"/>
                    <w:rPr>
                      <w:rFonts w:hint="default" w:ascii="Times New Roman" w:hAnsi="Times New Roman" w:eastAsia="宋体" w:cs="Times New Roman"/>
                      <w:color w:val="auto"/>
                      <w:kern w:val="0"/>
                      <w:sz w:val="22"/>
                      <w:szCs w:val="22"/>
                      <w:highlight w:val="none"/>
                    </w:rPr>
                  </w:pPr>
                </w:p>
              </w:tc>
              <w:tc>
                <w:tcPr>
                  <w:tcW w:w="430" w:type="pct"/>
                  <w:vMerge w:val="continue"/>
                  <w:tcBorders>
                    <w:tl2br w:val="nil"/>
                    <w:tr2bl w:val="nil"/>
                  </w:tcBorders>
                  <w:shd w:val="clear" w:color="auto" w:fill="auto"/>
                  <w:vAlign w:val="center"/>
                </w:tcPr>
                <w:p w14:paraId="70779863">
                  <w:pPr>
                    <w:jc w:val="center"/>
                    <w:rPr>
                      <w:rFonts w:hint="default" w:ascii="Times New Roman" w:hAnsi="Times New Roman" w:eastAsia="宋体" w:cs="Times New Roman"/>
                      <w:color w:val="auto"/>
                      <w:kern w:val="0"/>
                      <w:sz w:val="22"/>
                      <w:szCs w:val="22"/>
                      <w:highlight w:val="none"/>
                    </w:rPr>
                  </w:pPr>
                </w:p>
              </w:tc>
              <w:tc>
                <w:tcPr>
                  <w:tcW w:w="546" w:type="pct"/>
                  <w:vMerge w:val="continue"/>
                  <w:tcBorders>
                    <w:tl2br w:val="nil"/>
                    <w:tr2bl w:val="nil"/>
                  </w:tcBorders>
                  <w:shd w:val="clear" w:color="auto" w:fill="auto"/>
                  <w:vAlign w:val="center"/>
                </w:tcPr>
                <w:p w14:paraId="2AEC6038">
                  <w:pPr>
                    <w:jc w:val="center"/>
                    <w:rPr>
                      <w:rFonts w:hint="default" w:ascii="Times New Roman" w:hAnsi="Times New Roman" w:eastAsia="宋体" w:cs="Times New Roman"/>
                      <w:color w:val="auto"/>
                      <w:kern w:val="0"/>
                      <w:sz w:val="22"/>
                      <w:szCs w:val="22"/>
                      <w:highlight w:val="none"/>
                    </w:rPr>
                  </w:pPr>
                </w:p>
              </w:tc>
              <w:tc>
                <w:tcPr>
                  <w:tcW w:w="575" w:type="pct"/>
                  <w:vMerge w:val="continue"/>
                  <w:tcBorders>
                    <w:tl2br w:val="nil"/>
                    <w:tr2bl w:val="nil"/>
                  </w:tcBorders>
                  <w:shd w:val="clear" w:color="auto" w:fill="auto"/>
                  <w:vAlign w:val="center"/>
                </w:tcPr>
                <w:p w14:paraId="53D08B4A">
                  <w:pPr>
                    <w:jc w:val="center"/>
                    <w:rPr>
                      <w:rFonts w:hint="default" w:ascii="Times New Roman" w:hAnsi="Times New Roman" w:eastAsia="宋体" w:cs="Times New Roman"/>
                      <w:color w:val="auto"/>
                      <w:kern w:val="0"/>
                      <w:sz w:val="22"/>
                      <w:szCs w:val="22"/>
                      <w:highlight w:val="none"/>
                    </w:rPr>
                  </w:pPr>
                </w:p>
              </w:tc>
            </w:tr>
            <w:tr w14:paraId="45174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401" w:type="pct"/>
                  <w:vMerge w:val="continue"/>
                  <w:tcBorders>
                    <w:tl2br w:val="nil"/>
                    <w:tr2bl w:val="nil"/>
                  </w:tcBorders>
                  <w:shd w:val="clear" w:color="auto" w:fill="auto"/>
                  <w:vAlign w:val="center"/>
                </w:tcPr>
                <w:p w14:paraId="0633E9EF">
                  <w:pPr>
                    <w:jc w:val="center"/>
                    <w:rPr>
                      <w:rFonts w:hint="default" w:ascii="Times New Roman" w:hAnsi="Times New Roman" w:eastAsia="宋体" w:cs="Times New Roman"/>
                      <w:color w:val="auto"/>
                      <w:kern w:val="0"/>
                      <w:sz w:val="22"/>
                      <w:szCs w:val="22"/>
                      <w:highlight w:val="none"/>
                    </w:rPr>
                  </w:pPr>
                </w:p>
              </w:tc>
              <w:tc>
                <w:tcPr>
                  <w:tcW w:w="456" w:type="pct"/>
                  <w:vMerge w:val="continue"/>
                  <w:tcBorders>
                    <w:tl2br w:val="nil"/>
                    <w:tr2bl w:val="nil"/>
                  </w:tcBorders>
                  <w:shd w:val="clear" w:color="auto" w:fill="auto"/>
                  <w:vAlign w:val="center"/>
                </w:tcPr>
                <w:p w14:paraId="2EA49F8F">
                  <w:pPr>
                    <w:jc w:val="center"/>
                    <w:rPr>
                      <w:rFonts w:hint="default" w:ascii="Times New Roman" w:hAnsi="Times New Roman" w:eastAsia="宋体" w:cs="Times New Roman"/>
                      <w:color w:val="auto"/>
                      <w:kern w:val="0"/>
                      <w:sz w:val="22"/>
                      <w:szCs w:val="22"/>
                      <w:highlight w:val="none"/>
                    </w:rPr>
                  </w:pPr>
                </w:p>
              </w:tc>
              <w:tc>
                <w:tcPr>
                  <w:tcW w:w="680" w:type="pct"/>
                  <w:vMerge w:val="restart"/>
                  <w:tcBorders>
                    <w:tl2br w:val="nil"/>
                    <w:tr2bl w:val="nil"/>
                  </w:tcBorders>
                  <w:shd w:val="clear" w:color="auto" w:fill="auto"/>
                  <w:vAlign w:val="center"/>
                </w:tcPr>
                <w:p w14:paraId="44B7C33D">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《城镇污水处理厂污染物排放标准》（GB18918-2002）一级A标准</w:t>
                  </w:r>
                </w:p>
              </w:tc>
              <w:tc>
                <w:tcPr>
                  <w:tcW w:w="477" w:type="pct"/>
                  <w:tcBorders>
                    <w:tl2br w:val="nil"/>
                    <w:tr2bl w:val="nil"/>
                  </w:tcBorders>
                  <w:shd w:val="clear" w:color="auto" w:fill="auto"/>
                  <w:vAlign w:val="center"/>
                </w:tcPr>
                <w:p w14:paraId="0E20C7FF">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BOD</w:t>
                  </w:r>
                  <w:r>
                    <w:rPr>
                      <w:rStyle w:val="119"/>
                      <w:rFonts w:hint="default" w:ascii="Times New Roman" w:hAnsi="Times New Roman" w:eastAsia="宋体" w:cs="Times New Roman"/>
                      <w:color w:val="auto"/>
                      <w:sz w:val="22"/>
                      <w:szCs w:val="22"/>
                      <w:highlight w:val="none"/>
                      <w:vertAlign w:val="subscript"/>
                    </w:rPr>
                    <w:t>5</w:t>
                  </w:r>
                </w:p>
              </w:tc>
              <w:tc>
                <w:tcPr>
                  <w:tcW w:w="597" w:type="pct"/>
                  <w:tcBorders>
                    <w:tl2br w:val="nil"/>
                    <w:tr2bl w:val="nil"/>
                  </w:tcBorders>
                  <w:shd w:val="clear" w:color="auto" w:fill="auto"/>
                  <w:vAlign w:val="center"/>
                </w:tcPr>
                <w:p w14:paraId="47A9A7DD">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10</w:t>
                  </w:r>
                </w:p>
              </w:tc>
              <w:tc>
                <w:tcPr>
                  <w:tcW w:w="502" w:type="pct"/>
                  <w:tcBorders>
                    <w:tl2br w:val="nil"/>
                    <w:tr2bl w:val="nil"/>
                  </w:tcBorders>
                  <w:shd w:val="clear" w:color="auto" w:fill="auto"/>
                  <w:vAlign w:val="center"/>
                </w:tcPr>
                <w:p w14:paraId="3B07229B">
                  <w:pPr>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0.048</w:t>
                  </w:r>
                </w:p>
              </w:tc>
              <w:tc>
                <w:tcPr>
                  <w:tcW w:w="331" w:type="pct"/>
                  <w:vMerge w:val="continue"/>
                  <w:tcBorders>
                    <w:tl2br w:val="nil"/>
                    <w:tr2bl w:val="nil"/>
                  </w:tcBorders>
                  <w:shd w:val="clear" w:color="auto" w:fill="auto"/>
                  <w:vAlign w:val="center"/>
                </w:tcPr>
                <w:p w14:paraId="304FE160">
                  <w:pPr>
                    <w:jc w:val="center"/>
                    <w:rPr>
                      <w:rFonts w:hint="default" w:ascii="Times New Roman" w:hAnsi="Times New Roman" w:eastAsia="宋体" w:cs="Times New Roman"/>
                      <w:color w:val="auto"/>
                      <w:kern w:val="0"/>
                      <w:sz w:val="22"/>
                      <w:szCs w:val="22"/>
                      <w:highlight w:val="none"/>
                    </w:rPr>
                  </w:pPr>
                </w:p>
              </w:tc>
              <w:tc>
                <w:tcPr>
                  <w:tcW w:w="430" w:type="pct"/>
                  <w:vMerge w:val="continue"/>
                  <w:tcBorders>
                    <w:tl2br w:val="nil"/>
                    <w:tr2bl w:val="nil"/>
                  </w:tcBorders>
                  <w:shd w:val="clear" w:color="auto" w:fill="auto"/>
                  <w:vAlign w:val="center"/>
                </w:tcPr>
                <w:p w14:paraId="2DA9DF88">
                  <w:pPr>
                    <w:jc w:val="center"/>
                    <w:rPr>
                      <w:rFonts w:hint="default" w:ascii="Times New Roman" w:hAnsi="Times New Roman" w:eastAsia="宋体" w:cs="Times New Roman"/>
                      <w:color w:val="auto"/>
                      <w:kern w:val="0"/>
                      <w:sz w:val="22"/>
                      <w:szCs w:val="22"/>
                      <w:highlight w:val="none"/>
                    </w:rPr>
                  </w:pPr>
                </w:p>
              </w:tc>
              <w:tc>
                <w:tcPr>
                  <w:tcW w:w="546" w:type="pct"/>
                  <w:vMerge w:val="continue"/>
                  <w:tcBorders>
                    <w:tl2br w:val="nil"/>
                    <w:tr2bl w:val="nil"/>
                  </w:tcBorders>
                  <w:shd w:val="clear" w:color="auto" w:fill="auto"/>
                  <w:vAlign w:val="center"/>
                </w:tcPr>
                <w:p w14:paraId="4F11D03F">
                  <w:pPr>
                    <w:jc w:val="center"/>
                    <w:rPr>
                      <w:rFonts w:hint="default" w:ascii="Times New Roman" w:hAnsi="Times New Roman" w:eastAsia="宋体" w:cs="Times New Roman"/>
                      <w:color w:val="auto"/>
                      <w:kern w:val="0"/>
                      <w:sz w:val="22"/>
                      <w:szCs w:val="22"/>
                      <w:highlight w:val="none"/>
                    </w:rPr>
                  </w:pPr>
                </w:p>
              </w:tc>
              <w:tc>
                <w:tcPr>
                  <w:tcW w:w="575" w:type="pct"/>
                  <w:vMerge w:val="continue"/>
                  <w:tcBorders>
                    <w:tl2br w:val="nil"/>
                    <w:tr2bl w:val="nil"/>
                  </w:tcBorders>
                  <w:shd w:val="clear" w:color="auto" w:fill="auto"/>
                  <w:vAlign w:val="center"/>
                </w:tcPr>
                <w:p w14:paraId="117C0025">
                  <w:pPr>
                    <w:jc w:val="center"/>
                    <w:rPr>
                      <w:rFonts w:hint="default" w:ascii="Times New Roman" w:hAnsi="Times New Roman" w:eastAsia="宋体" w:cs="Times New Roman"/>
                      <w:color w:val="auto"/>
                      <w:kern w:val="0"/>
                      <w:sz w:val="22"/>
                      <w:szCs w:val="22"/>
                      <w:highlight w:val="none"/>
                    </w:rPr>
                  </w:pPr>
                </w:p>
              </w:tc>
            </w:tr>
            <w:tr w14:paraId="31894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401" w:type="pct"/>
                  <w:vMerge w:val="continue"/>
                  <w:tcBorders>
                    <w:tl2br w:val="nil"/>
                    <w:tr2bl w:val="nil"/>
                  </w:tcBorders>
                  <w:shd w:val="clear" w:color="auto" w:fill="auto"/>
                  <w:vAlign w:val="center"/>
                </w:tcPr>
                <w:p w14:paraId="48A4629E">
                  <w:pPr>
                    <w:jc w:val="center"/>
                    <w:rPr>
                      <w:rFonts w:hint="default" w:ascii="Times New Roman" w:hAnsi="Times New Roman" w:eastAsia="宋体" w:cs="Times New Roman"/>
                      <w:color w:val="auto"/>
                      <w:kern w:val="0"/>
                      <w:sz w:val="22"/>
                      <w:szCs w:val="22"/>
                      <w:highlight w:val="none"/>
                    </w:rPr>
                  </w:pPr>
                </w:p>
              </w:tc>
              <w:tc>
                <w:tcPr>
                  <w:tcW w:w="456" w:type="pct"/>
                  <w:vMerge w:val="continue"/>
                  <w:tcBorders>
                    <w:tl2br w:val="nil"/>
                    <w:tr2bl w:val="nil"/>
                  </w:tcBorders>
                  <w:shd w:val="clear" w:color="auto" w:fill="auto"/>
                  <w:vAlign w:val="center"/>
                </w:tcPr>
                <w:p w14:paraId="50176B77">
                  <w:pPr>
                    <w:jc w:val="center"/>
                    <w:rPr>
                      <w:rFonts w:hint="default" w:ascii="Times New Roman" w:hAnsi="Times New Roman" w:eastAsia="宋体" w:cs="Times New Roman"/>
                      <w:color w:val="auto"/>
                      <w:kern w:val="0"/>
                      <w:sz w:val="22"/>
                      <w:szCs w:val="22"/>
                      <w:highlight w:val="none"/>
                    </w:rPr>
                  </w:pPr>
                </w:p>
              </w:tc>
              <w:tc>
                <w:tcPr>
                  <w:tcW w:w="680" w:type="pct"/>
                  <w:vMerge w:val="continue"/>
                  <w:tcBorders>
                    <w:tl2br w:val="nil"/>
                    <w:tr2bl w:val="nil"/>
                  </w:tcBorders>
                  <w:shd w:val="clear" w:color="auto" w:fill="auto"/>
                  <w:vAlign w:val="center"/>
                </w:tcPr>
                <w:p w14:paraId="7FA90BEA">
                  <w:pPr>
                    <w:jc w:val="center"/>
                    <w:rPr>
                      <w:rFonts w:hint="default" w:ascii="Times New Roman" w:hAnsi="Times New Roman" w:eastAsia="宋体" w:cs="Times New Roman"/>
                      <w:color w:val="auto"/>
                      <w:kern w:val="0"/>
                      <w:sz w:val="22"/>
                      <w:szCs w:val="22"/>
                      <w:highlight w:val="none"/>
                    </w:rPr>
                  </w:pPr>
                </w:p>
              </w:tc>
              <w:tc>
                <w:tcPr>
                  <w:tcW w:w="477" w:type="pct"/>
                  <w:tcBorders>
                    <w:tl2br w:val="nil"/>
                    <w:tr2bl w:val="nil"/>
                  </w:tcBorders>
                  <w:shd w:val="clear" w:color="auto" w:fill="auto"/>
                  <w:vAlign w:val="center"/>
                </w:tcPr>
                <w:p w14:paraId="6190E0D4">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SS</w:t>
                  </w:r>
                </w:p>
              </w:tc>
              <w:tc>
                <w:tcPr>
                  <w:tcW w:w="597" w:type="pct"/>
                  <w:tcBorders>
                    <w:tl2br w:val="nil"/>
                    <w:tr2bl w:val="nil"/>
                  </w:tcBorders>
                  <w:shd w:val="clear" w:color="auto" w:fill="auto"/>
                  <w:vAlign w:val="center"/>
                </w:tcPr>
                <w:p w14:paraId="516C9529">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10</w:t>
                  </w:r>
                </w:p>
              </w:tc>
              <w:tc>
                <w:tcPr>
                  <w:tcW w:w="502" w:type="pct"/>
                  <w:tcBorders>
                    <w:tl2br w:val="nil"/>
                    <w:tr2bl w:val="nil"/>
                  </w:tcBorders>
                  <w:shd w:val="clear" w:color="auto" w:fill="auto"/>
                  <w:vAlign w:val="center"/>
                </w:tcPr>
                <w:p w14:paraId="0D4D0E85">
                  <w:pPr>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0.048</w:t>
                  </w:r>
                </w:p>
              </w:tc>
              <w:tc>
                <w:tcPr>
                  <w:tcW w:w="331" w:type="pct"/>
                  <w:vMerge w:val="continue"/>
                  <w:tcBorders>
                    <w:tl2br w:val="nil"/>
                    <w:tr2bl w:val="nil"/>
                  </w:tcBorders>
                  <w:shd w:val="clear" w:color="auto" w:fill="auto"/>
                  <w:vAlign w:val="center"/>
                </w:tcPr>
                <w:p w14:paraId="07E6F9F9">
                  <w:pPr>
                    <w:jc w:val="center"/>
                    <w:rPr>
                      <w:rFonts w:hint="default" w:ascii="Times New Roman" w:hAnsi="Times New Roman" w:eastAsia="宋体" w:cs="Times New Roman"/>
                      <w:color w:val="auto"/>
                      <w:kern w:val="0"/>
                      <w:sz w:val="22"/>
                      <w:szCs w:val="22"/>
                      <w:highlight w:val="none"/>
                    </w:rPr>
                  </w:pPr>
                </w:p>
              </w:tc>
              <w:tc>
                <w:tcPr>
                  <w:tcW w:w="430" w:type="pct"/>
                  <w:vMerge w:val="continue"/>
                  <w:tcBorders>
                    <w:tl2br w:val="nil"/>
                    <w:tr2bl w:val="nil"/>
                  </w:tcBorders>
                  <w:shd w:val="clear" w:color="auto" w:fill="auto"/>
                  <w:vAlign w:val="center"/>
                </w:tcPr>
                <w:p w14:paraId="599ECDB9">
                  <w:pPr>
                    <w:jc w:val="center"/>
                    <w:rPr>
                      <w:rFonts w:hint="default" w:ascii="Times New Roman" w:hAnsi="Times New Roman" w:eastAsia="宋体" w:cs="Times New Roman"/>
                      <w:color w:val="auto"/>
                      <w:kern w:val="0"/>
                      <w:sz w:val="22"/>
                      <w:szCs w:val="22"/>
                      <w:highlight w:val="none"/>
                    </w:rPr>
                  </w:pPr>
                </w:p>
              </w:tc>
              <w:tc>
                <w:tcPr>
                  <w:tcW w:w="546" w:type="pct"/>
                  <w:vMerge w:val="continue"/>
                  <w:tcBorders>
                    <w:tl2br w:val="nil"/>
                    <w:tr2bl w:val="nil"/>
                  </w:tcBorders>
                  <w:shd w:val="clear" w:color="auto" w:fill="auto"/>
                  <w:vAlign w:val="center"/>
                </w:tcPr>
                <w:p w14:paraId="7418B57F">
                  <w:pPr>
                    <w:jc w:val="center"/>
                    <w:rPr>
                      <w:rFonts w:hint="default" w:ascii="Times New Roman" w:hAnsi="Times New Roman" w:eastAsia="宋体" w:cs="Times New Roman"/>
                      <w:color w:val="auto"/>
                      <w:kern w:val="0"/>
                      <w:sz w:val="22"/>
                      <w:szCs w:val="22"/>
                      <w:highlight w:val="none"/>
                    </w:rPr>
                  </w:pPr>
                </w:p>
              </w:tc>
              <w:tc>
                <w:tcPr>
                  <w:tcW w:w="575" w:type="pct"/>
                  <w:vMerge w:val="continue"/>
                  <w:tcBorders>
                    <w:tl2br w:val="nil"/>
                    <w:tr2bl w:val="nil"/>
                  </w:tcBorders>
                  <w:shd w:val="clear" w:color="auto" w:fill="auto"/>
                  <w:vAlign w:val="center"/>
                </w:tcPr>
                <w:p w14:paraId="5138438C">
                  <w:pPr>
                    <w:jc w:val="center"/>
                    <w:rPr>
                      <w:rFonts w:hint="default" w:ascii="Times New Roman" w:hAnsi="Times New Roman" w:eastAsia="宋体" w:cs="Times New Roman"/>
                      <w:color w:val="auto"/>
                      <w:kern w:val="0"/>
                      <w:sz w:val="22"/>
                      <w:szCs w:val="22"/>
                      <w:highlight w:val="none"/>
                    </w:rPr>
                  </w:pPr>
                </w:p>
              </w:tc>
            </w:tr>
            <w:tr w14:paraId="09388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401" w:type="pct"/>
                  <w:vMerge w:val="continue"/>
                  <w:tcBorders>
                    <w:tl2br w:val="nil"/>
                    <w:tr2bl w:val="nil"/>
                  </w:tcBorders>
                  <w:shd w:val="clear" w:color="auto" w:fill="auto"/>
                  <w:vAlign w:val="center"/>
                </w:tcPr>
                <w:p w14:paraId="20C01E36">
                  <w:pPr>
                    <w:jc w:val="center"/>
                    <w:rPr>
                      <w:rFonts w:hint="default" w:ascii="Times New Roman" w:hAnsi="Times New Roman" w:eastAsia="宋体" w:cs="Times New Roman"/>
                      <w:color w:val="auto"/>
                      <w:kern w:val="0"/>
                      <w:sz w:val="22"/>
                      <w:szCs w:val="22"/>
                      <w:highlight w:val="none"/>
                    </w:rPr>
                  </w:pPr>
                </w:p>
              </w:tc>
              <w:tc>
                <w:tcPr>
                  <w:tcW w:w="456" w:type="pct"/>
                  <w:vMerge w:val="continue"/>
                  <w:tcBorders>
                    <w:tl2br w:val="nil"/>
                    <w:tr2bl w:val="nil"/>
                  </w:tcBorders>
                  <w:shd w:val="clear" w:color="auto" w:fill="auto"/>
                  <w:vAlign w:val="center"/>
                </w:tcPr>
                <w:p w14:paraId="48FC13CB">
                  <w:pPr>
                    <w:jc w:val="center"/>
                    <w:rPr>
                      <w:rFonts w:hint="default" w:ascii="Times New Roman" w:hAnsi="Times New Roman" w:eastAsia="宋体" w:cs="Times New Roman"/>
                      <w:color w:val="auto"/>
                      <w:kern w:val="0"/>
                      <w:sz w:val="22"/>
                      <w:szCs w:val="22"/>
                      <w:highlight w:val="none"/>
                    </w:rPr>
                  </w:pPr>
                </w:p>
              </w:tc>
              <w:tc>
                <w:tcPr>
                  <w:tcW w:w="680" w:type="pct"/>
                  <w:vMerge w:val="continue"/>
                  <w:tcBorders>
                    <w:tl2br w:val="nil"/>
                    <w:tr2bl w:val="nil"/>
                  </w:tcBorders>
                  <w:shd w:val="clear" w:color="auto" w:fill="auto"/>
                  <w:vAlign w:val="center"/>
                </w:tcPr>
                <w:p w14:paraId="0CBBAB7E">
                  <w:pPr>
                    <w:jc w:val="center"/>
                    <w:rPr>
                      <w:rFonts w:hint="default" w:ascii="Times New Roman" w:hAnsi="Times New Roman" w:eastAsia="宋体" w:cs="Times New Roman"/>
                      <w:color w:val="auto"/>
                      <w:kern w:val="0"/>
                      <w:sz w:val="22"/>
                      <w:szCs w:val="22"/>
                      <w:highlight w:val="none"/>
                    </w:rPr>
                  </w:pPr>
                </w:p>
              </w:tc>
              <w:tc>
                <w:tcPr>
                  <w:tcW w:w="477" w:type="pct"/>
                  <w:tcBorders>
                    <w:tl2br w:val="nil"/>
                    <w:tr2bl w:val="nil"/>
                  </w:tcBorders>
                  <w:shd w:val="clear" w:color="auto" w:fill="auto"/>
                  <w:vAlign w:val="center"/>
                </w:tcPr>
                <w:p w14:paraId="7DC22EB3">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动植物油</w:t>
                  </w:r>
                </w:p>
              </w:tc>
              <w:tc>
                <w:tcPr>
                  <w:tcW w:w="597" w:type="pct"/>
                  <w:tcBorders>
                    <w:tl2br w:val="nil"/>
                    <w:tr2bl w:val="nil"/>
                  </w:tcBorders>
                  <w:shd w:val="clear" w:color="auto" w:fill="auto"/>
                  <w:vAlign w:val="center"/>
                </w:tcPr>
                <w:p w14:paraId="4961A20D">
                  <w:pPr>
                    <w:widowControl/>
                    <w:jc w:val="center"/>
                    <w:textAlignment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w:t>
                  </w:r>
                </w:p>
              </w:tc>
              <w:tc>
                <w:tcPr>
                  <w:tcW w:w="502" w:type="pct"/>
                  <w:tcBorders>
                    <w:tl2br w:val="nil"/>
                    <w:tr2bl w:val="nil"/>
                  </w:tcBorders>
                  <w:shd w:val="clear" w:color="auto" w:fill="auto"/>
                  <w:vAlign w:val="center"/>
                </w:tcPr>
                <w:p w14:paraId="576DC63A">
                  <w:pPr>
                    <w:jc w:val="center"/>
                    <w:rPr>
                      <w:rFonts w:hint="default" w:ascii="Times New Roman" w:hAnsi="Times New Roman" w:eastAsia="宋体" w:cs="Times New Roman"/>
                      <w:color w:val="auto"/>
                      <w:kern w:val="0"/>
                      <w:sz w:val="22"/>
                      <w:szCs w:val="22"/>
                      <w:highlight w:val="none"/>
                      <w:lang w:val="en-US" w:eastAsia="zh-CN"/>
                    </w:rPr>
                  </w:pPr>
                  <w:r>
                    <w:rPr>
                      <w:rFonts w:hint="eastAsia" w:cs="Times New Roman"/>
                      <w:color w:val="auto"/>
                      <w:kern w:val="0"/>
                      <w:sz w:val="22"/>
                      <w:szCs w:val="22"/>
                      <w:highlight w:val="none"/>
                      <w:lang w:val="en-US" w:eastAsia="zh-CN"/>
                    </w:rPr>
                    <w:t>0.005</w:t>
                  </w:r>
                </w:p>
              </w:tc>
              <w:tc>
                <w:tcPr>
                  <w:tcW w:w="331" w:type="pct"/>
                  <w:vMerge w:val="continue"/>
                  <w:tcBorders>
                    <w:tl2br w:val="nil"/>
                    <w:tr2bl w:val="nil"/>
                  </w:tcBorders>
                  <w:shd w:val="clear" w:color="auto" w:fill="auto"/>
                  <w:vAlign w:val="center"/>
                </w:tcPr>
                <w:p w14:paraId="48ED7447">
                  <w:pPr>
                    <w:jc w:val="center"/>
                    <w:rPr>
                      <w:rFonts w:hint="default" w:ascii="Times New Roman" w:hAnsi="Times New Roman" w:eastAsia="宋体" w:cs="Times New Roman"/>
                      <w:color w:val="auto"/>
                      <w:kern w:val="0"/>
                      <w:sz w:val="22"/>
                      <w:szCs w:val="22"/>
                      <w:highlight w:val="none"/>
                    </w:rPr>
                  </w:pPr>
                </w:p>
              </w:tc>
              <w:tc>
                <w:tcPr>
                  <w:tcW w:w="430" w:type="pct"/>
                  <w:vMerge w:val="continue"/>
                  <w:tcBorders>
                    <w:tl2br w:val="nil"/>
                    <w:tr2bl w:val="nil"/>
                  </w:tcBorders>
                  <w:shd w:val="clear" w:color="auto" w:fill="auto"/>
                  <w:vAlign w:val="center"/>
                </w:tcPr>
                <w:p w14:paraId="4E3B328F">
                  <w:pPr>
                    <w:jc w:val="center"/>
                    <w:rPr>
                      <w:rFonts w:hint="default" w:ascii="Times New Roman" w:hAnsi="Times New Roman" w:eastAsia="宋体" w:cs="Times New Roman"/>
                      <w:color w:val="auto"/>
                      <w:kern w:val="0"/>
                      <w:sz w:val="22"/>
                      <w:szCs w:val="22"/>
                      <w:highlight w:val="none"/>
                    </w:rPr>
                  </w:pPr>
                </w:p>
              </w:tc>
              <w:tc>
                <w:tcPr>
                  <w:tcW w:w="546" w:type="pct"/>
                  <w:vMerge w:val="continue"/>
                  <w:tcBorders>
                    <w:tl2br w:val="nil"/>
                    <w:tr2bl w:val="nil"/>
                  </w:tcBorders>
                  <w:shd w:val="clear" w:color="auto" w:fill="auto"/>
                  <w:vAlign w:val="center"/>
                </w:tcPr>
                <w:p w14:paraId="656EF25C">
                  <w:pPr>
                    <w:jc w:val="center"/>
                    <w:rPr>
                      <w:rFonts w:hint="default" w:ascii="Times New Roman" w:hAnsi="Times New Roman" w:eastAsia="宋体" w:cs="Times New Roman"/>
                      <w:color w:val="auto"/>
                      <w:kern w:val="0"/>
                      <w:sz w:val="22"/>
                      <w:szCs w:val="22"/>
                      <w:highlight w:val="none"/>
                    </w:rPr>
                  </w:pPr>
                </w:p>
              </w:tc>
              <w:tc>
                <w:tcPr>
                  <w:tcW w:w="575" w:type="pct"/>
                  <w:vMerge w:val="continue"/>
                  <w:tcBorders>
                    <w:tl2br w:val="nil"/>
                    <w:tr2bl w:val="nil"/>
                  </w:tcBorders>
                  <w:shd w:val="clear" w:color="auto" w:fill="auto"/>
                  <w:vAlign w:val="center"/>
                </w:tcPr>
                <w:p w14:paraId="0358A97D">
                  <w:pPr>
                    <w:jc w:val="center"/>
                    <w:rPr>
                      <w:rFonts w:hint="default" w:ascii="Times New Roman" w:hAnsi="Times New Roman" w:eastAsia="宋体" w:cs="Times New Roman"/>
                      <w:color w:val="auto"/>
                      <w:kern w:val="0"/>
                      <w:sz w:val="22"/>
                      <w:szCs w:val="22"/>
                      <w:highlight w:val="none"/>
                    </w:rPr>
                  </w:pPr>
                </w:p>
              </w:tc>
            </w:tr>
          </w:tbl>
          <w:p w14:paraId="01F7003A">
            <w:pPr>
              <w:pStyle w:val="82"/>
              <w:ind w:firstLine="520"/>
              <w:rPr>
                <w:color w:val="auto"/>
                <w:szCs w:val="26"/>
              </w:rPr>
            </w:pPr>
            <w:r>
              <w:rPr>
                <w:rFonts w:hint="eastAsia"/>
                <w:color w:val="auto"/>
              </w:rPr>
              <w:t>4</w:t>
            </w:r>
            <w:r>
              <w:rPr>
                <w:color w:val="auto"/>
              </w:rPr>
              <w:t>.2.2.2</w:t>
            </w:r>
            <w:r>
              <w:rPr>
                <w:rFonts w:hint="eastAsia" w:ascii="宋体" w:hAnsi="宋体"/>
                <w:color w:val="auto"/>
              </w:rPr>
              <w:t>水污染物自行监测计划</w:t>
            </w:r>
          </w:p>
          <w:p w14:paraId="79A24F99">
            <w:pPr>
              <w:pStyle w:val="82"/>
              <w:ind w:firstLine="520"/>
              <w:rPr>
                <w:color w:val="auto"/>
              </w:rPr>
            </w:pPr>
            <w:r>
              <w:rPr>
                <w:rFonts w:hint="eastAsia"/>
                <w:color w:val="auto"/>
              </w:rPr>
              <w:t>参照《排污单位自行监测技术指南总则》（HJ819-2017）、《排污许可证申请与核发技术规范汽车制造业》（HJ971-2018），项目废水监测要求见下表。</w:t>
            </w:r>
          </w:p>
          <w:p w14:paraId="3DDC6FF5">
            <w:pPr>
              <w:pStyle w:val="82"/>
              <w:ind w:firstLine="520"/>
              <w:jc w:val="center"/>
              <w:rPr>
                <w:color w:val="auto"/>
              </w:rPr>
            </w:pPr>
            <w:r>
              <w:rPr>
                <w:rFonts w:hint="eastAsia" w:ascii="宋体" w:hAnsi="宋体"/>
                <w:color w:val="auto"/>
              </w:rPr>
              <w:t>表</w:t>
            </w:r>
            <w:r>
              <w:rPr>
                <w:rFonts w:hint="eastAsia"/>
                <w:color w:val="auto"/>
              </w:rPr>
              <w:t>4</w:t>
            </w:r>
            <w:r>
              <w:rPr>
                <w:color w:val="auto"/>
              </w:rPr>
              <w:t>.2-</w:t>
            </w:r>
            <w:r>
              <w:rPr>
                <w:rFonts w:hint="eastAsia"/>
                <w:color w:val="auto"/>
                <w:lang w:val="en-US" w:eastAsia="zh-CN"/>
              </w:rPr>
              <w:t xml:space="preserve">11  </w:t>
            </w:r>
            <w:r>
              <w:rPr>
                <w:rFonts w:hint="eastAsia" w:ascii="宋体" w:hAnsi="宋体"/>
                <w:color w:val="auto"/>
              </w:rPr>
              <w:t>水污染物自行监测计划</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111"/>
              <w:gridCol w:w="1514"/>
              <w:gridCol w:w="1035"/>
              <w:gridCol w:w="1183"/>
              <w:gridCol w:w="2404"/>
            </w:tblGrid>
            <w:tr w14:paraId="0C22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Align w:val="center"/>
                </w:tcPr>
                <w:p w14:paraId="1A7BBA56">
                  <w:pPr>
                    <w:jc w:val="center"/>
                    <w:rPr>
                      <w:color w:val="auto"/>
                      <w:sz w:val="22"/>
                      <w:szCs w:val="22"/>
                    </w:rPr>
                  </w:pPr>
                  <w:r>
                    <w:rPr>
                      <w:rFonts w:hint="eastAsia"/>
                      <w:color w:val="auto"/>
                      <w:sz w:val="22"/>
                      <w:szCs w:val="22"/>
                    </w:rPr>
                    <w:t>监测对象</w:t>
                  </w:r>
                </w:p>
              </w:tc>
              <w:tc>
                <w:tcPr>
                  <w:tcW w:w="664" w:type="pct"/>
                  <w:vAlign w:val="center"/>
                </w:tcPr>
                <w:p w14:paraId="1C306567">
                  <w:pPr>
                    <w:jc w:val="center"/>
                    <w:rPr>
                      <w:color w:val="auto"/>
                      <w:sz w:val="22"/>
                      <w:szCs w:val="22"/>
                    </w:rPr>
                  </w:pPr>
                  <w:r>
                    <w:rPr>
                      <w:rFonts w:hint="eastAsia"/>
                      <w:color w:val="auto"/>
                      <w:sz w:val="22"/>
                      <w:szCs w:val="22"/>
                    </w:rPr>
                    <w:t>监测点位</w:t>
                  </w:r>
                </w:p>
              </w:tc>
              <w:tc>
                <w:tcPr>
                  <w:tcW w:w="905" w:type="pct"/>
                  <w:vAlign w:val="center"/>
                </w:tcPr>
                <w:p w14:paraId="161E0E66">
                  <w:pPr>
                    <w:jc w:val="center"/>
                    <w:rPr>
                      <w:color w:val="auto"/>
                      <w:sz w:val="22"/>
                      <w:szCs w:val="22"/>
                    </w:rPr>
                  </w:pPr>
                  <w:r>
                    <w:rPr>
                      <w:rFonts w:hint="eastAsia"/>
                      <w:color w:val="auto"/>
                      <w:sz w:val="22"/>
                      <w:szCs w:val="22"/>
                    </w:rPr>
                    <w:t>监测因子</w:t>
                  </w:r>
                </w:p>
              </w:tc>
              <w:tc>
                <w:tcPr>
                  <w:tcW w:w="618" w:type="pct"/>
                  <w:vAlign w:val="center"/>
                </w:tcPr>
                <w:p w14:paraId="176FAC39">
                  <w:pPr>
                    <w:jc w:val="center"/>
                    <w:rPr>
                      <w:color w:val="auto"/>
                      <w:sz w:val="22"/>
                      <w:szCs w:val="22"/>
                    </w:rPr>
                  </w:pPr>
                  <w:r>
                    <w:rPr>
                      <w:rFonts w:hint="eastAsia"/>
                      <w:color w:val="auto"/>
                      <w:sz w:val="22"/>
                      <w:szCs w:val="22"/>
                    </w:rPr>
                    <w:t>验收监测频次</w:t>
                  </w:r>
                </w:p>
              </w:tc>
              <w:tc>
                <w:tcPr>
                  <w:tcW w:w="707" w:type="pct"/>
                  <w:vAlign w:val="center"/>
                </w:tcPr>
                <w:p w14:paraId="648A749E">
                  <w:pPr>
                    <w:jc w:val="center"/>
                    <w:rPr>
                      <w:color w:val="auto"/>
                      <w:sz w:val="22"/>
                      <w:szCs w:val="22"/>
                    </w:rPr>
                  </w:pPr>
                  <w:r>
                    <w:rPr>
                      <w:rFonts w:hint="eastAsia"/>
                      <w:color w:val="auto"/>
                      <w:sz w:val="22"/>
                      <w:szCs w:val="22"/>
                    </w:rPr>
                    <w:t>自行监测频次</w:t>
                  </w:r>
                </w:p>
              </w:tc>
              <w:tc>
                <w:tcPr>
                  <w:tcW w:w="1437" w:type="pct"/>
                  <w:vAlign w:val="center"/>
                </w:tcPr>
                <w:p w14:paraId="338E73AA">
                  <w:pPr>
                    <w:jc w:val="center"/>
                    <w:rPr>
                      <w:color w:val="auto"/>
                      <w:sz w:val="22"/>
                      <w:szCs w:val="22"/>
                    </w:rPr>
                  </w:pPr>
                  <w:r>
                    <w:rPr>
                      <w:rFonts w:hint="eastAsia"/>
                      <w:color w:val="auto"/>
                      <w:sz w:val="22"/>
                      <w:szCs w:val="22"/>
                    </w:rPr>
                    <w:t>执行标准</w:t>
                  </w:r>
                </w:p>
              </w:tc>
            </w:tr>
            <w:tr w14:paraId="352A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Align w:val="center"/>
                </w:tcPr>
                <w:p w14:paraId="3434599A">
                  <w:pPr>
                    <w:jc w:val="center"/>
                    <w:rPr>
                      <w:color w:val="auto"/>
                      <w:sz w:val="22"/>
                      <w:szCs w:val="22"/>
                    </w:rPr>
                  </w:pPr>
                  <w:r>
                    <w:rPr>
                      <w:rFonts w:hint="eastAsia" w:cs="宋体"/>
                      <w:color w:val="auto"/>
                      <w:kern w:val="0"/>
                      <w:sz w:val="22"/>
                      <w:szCs w:val="22"/>
                    </w:rPr>
                    <w:t>东地块废水</w:t>
                  </w:r>
                </w:p>
              </w:tc>
              <w:tc>
                <w:tcPr>
                  <w:tcW w:w="664" w:type="pct"/>
                  <w:vAlign w:val="center"/>
                </w:tcPr>
                <w:p w14:paraId="03B54853">
                  <w:pPr>
                    <w:jc w:val="center"/>
                    <w:rPr>
                      <w:color w:val="auto"/>
                      <w:sz w:val="22"/>
                      <w:szCs w:val="22"/>
                    </w:rPr>
                  </w:pPr>
                  <w:r>
                    <w:rPr>
                      <w:rFonts w:hint="eastAsia"/>
                      <w:color w:val="auto"/>
                      <w:sz w:val="22"/>
                      <w:szCs w:val="22"/>
                    </w:rPr>
                    <w:t>DW</w:t>
                  </w:r>
                  <w:r>
                    <w:rPr>
                      <w:color w:val="auto"/>
                      <w:sz w:val="22"/>
                      <w:szCs w:val="22"/>
                    </w:rPr>
                    <w:t>00</w:t>
                  </w:r>
                  <w:r>
                    <w:rPr>
                      <w:rFonts w:hint="eastAsia"/>
                      <w:color w:val="auto"/>
                      <w:sz w:val="22"/>
                      <w:szCs w:val="22"/>
                    </w:rPr>
                    <w:t>1</w:t>
                  </w:r>
                </w:p>
              </w:tc>
              <w:tc>
                <w:tcPr>
                  <w:tcW w:w="905" w:type="pct"/>
                  <w:vAlign w:val="center"/>
                </w:tcPr>
                <w:p w14:paraId="36A9623A">
                  <w:pPr>
                    <w:jc w:val="center"/>
                    <w:rPr>
                      <w:color w:val="auto"/>
                      <w:sz w:val="22"/>
                      <w:szCs w:val="22"/>
                    </w:rPr>
                  </w:pPr>
                  <w:r>
                    <w:rPr>
                      <w:rFonts w:hint="eastAsia"/>
                      <w:color w:val="auto"/>
                      <w:sz w:val="22"/>
                      <w:szCs w:val="22"/>
                    </w:rPr>
                    <w:t>废水量、p</w:t>
                  </w:r>
                  <w:r>
                    <w:rPr>
                      <w:color w:val="auto"/>
                      <w:sz w:val="22"/>
                      <w:szCs w:val="22"/>
                    </w:rPr>
                    <w:t>H</w:t>
                  </w:r>
                  <w:r>
                    <w:rPr>
                      <w:rFonts w:hint="eastAsia"/>
                      <w:color w:val="auto"/>
                      <w:sz w:val="22"/>
                      <w:szCs w:val="22"/>
                    </w:rPr>
                    <w:t>、C</w:t>
                  </w:r>
                  <w:r>
                    <w:rPr>
                      <w:color w:val="auto"/>
                      <w:sz w:val="22"/>
                      <w:szCs w:val="22"/>
                    </w:rPr>
                    <w:t>OD</w:t>
                  </w:r>
                  <w:r>
                    <w:rPr>
                      <w:rFonts w:hint="eastAsia"/>
                      <w:color w:val="auto"/>
                      <w:sz w:val="22"/>
                      <w:szCs w:val="22"/>
                    </w:rPr>
                    <w:t>、S</w:t>
                  </w:r>
                  <w:r>
                    <w:rPr>
                      <w:color w:val="auto"/>
                      <w:sz w:val="22"/>
                      <w:szCs w:val="22"/>
                    </w:rPr>
                    <w:t>S</w:t>
                  </w:r>
                  <w:r>
                    <w:rPr>
                      <w:rFonts w:hint="eastAsia"/>
                      <w:color w:val="auto"/>
                      <w:sz w:val="22"/>
                      <w:szCs w:val="22"/>
                    </w:rPr>
                    <w:t>、BOD</w:t>
                  </w:r>
                  <w:r>
                    <w:rPr>
                      <w:rFonts w:hint="eastAsia"/>
                      <w:color w:val="auto"/>
                      <w:sz w:val="22"/>
                      <w:szCs w:val="22"/>
                      <w:vertAlign w:val="subscript"/>
                    </w:rPr>
                    <w:t>5</w:t>
                  </w:r>
                  <w:r>
                    <w:rPr>
                      <w:rFonts w:hint="eastAsia"/>
                      <w:color w:val="auto"/>
                      <w:sz w:val="22"/>
                      <w:szCs w:val="22"/>
                    </w:rPr>
                    <w:t>、氨氮、动植物油、石油类</w:t>
                  </w:r>
                </w:p>
              </w:tc>
              <w:tc>
                <w:tcPr>
                  <w:tcW w:w="618" w:type="pct"/>
                  <w:vAlign w:val="center"/>
                </w:tcPr>
                <w:p w14:paraId="6D3EF57A">
                  <w:pPr>
                    <w:jc w:val="center"/>
                    <w:rPr>
                      <w:color w:val="auto"/>
                      <w:sz w:val="22"/>
                      <w:szCs w:val="22"/>
                    </w:rPr>
                  </w:pPr>
                  <w:r>
                    <w:rPr>
                      <w:rFonts w:hint="eastAsia"/>
                      <w:color w:val="auto"/>
                      <w:sz w:val="22"/>
                      <w:szCs w:val="22"/>
                    </w:rPr>
                    <w:t>1次</w:t>
                  </w:r>
                </w:p>
              </w:tc>
              <w:tc>
                <w:tcPr>
                  <w:tcW w:w="707" w:type="pct"/>
                  <w:vAlign w:val="center"/>
                </w:tcPr>
                <w:p w14:paraId="7417B4E6">
                  <w:pPr>
                    <w:jc w:val="center"/>
                    <w:rPr>
                      <w:color w:val="auto"/>
                      <w:sz w:val="22"/>
                      <w:szCs w:val="22"/>
                    </w:rPr>
                  </w:pPr>
                  <w:r>
                    <w:rPr>
                      <w:rFonts w:hint="eastAsia"/>
                      <w:color w:val="auto"/>
                      <w:sz w:val="22"/>
                      <w:szCs w:val="22"/>
                    </w:rPr>
                    <w:t>1次/年</w:t>
                  </w:r>
                </w:p>
              </w:tc>
              <w:tc>
                <w:tcPr>
                  <w:tcW w:w="1437" w:type="pct"/>
                  <w:vMerge w:val="restart"/>
                  <w:vAlign w:val="center"/>
                </w:tcPr>
                <w:p w14:paraId="4C073DAB">
                  <w:pPr>
                    <w:jc w:val="center"/>
                    <w:rPr>
                      <w:color w:val="auto"/>
                      <w:sz w:val="22"/>
                      <w:szCs w:val="22"/>
                    </w:rPr>
                  </w:pPr>
                  <w:r>
                    <w:rPr>
                      <w:rFonts w:hint="eastAsia"/>
                      <w:color w:val="auto"/>
                      <w:sz w:val="22"/>
                      <w:szCs w:val="22"/>
                    </w:rPr>
                    <w:t>《污水综合排放标准》（GB8978-1996）三级标准、</w:t>
                  </w:r>
                  <w:r>
                    <w:rPr>
                      <w:rFonts w:hint="eastAsia" w:cs="宋体"/>
                      <w:color w:val="auto"/>
                      <w:kern w:val="0"/>
                      <w:sz w:val="22"/>
                      <w:szCs w:val="22"/>
                    </w:rPr>
                    <w:t>氨氮参照执行《污水排入城镇下水道水质标准》（</w:t>
                  </w:r>
                  <w:r>
                    <w:rPr>
                      <w:color w:val="auto"/>
                      <w:kern w:val="0"/>
                      <w:sz w:val="22"/>
                      <w:szCs w:val="22"/>
                    </w:rPr>
                    <w:t>GB/T31962-2015</w:t>
                  </w:r>
                  <w:r>
                    <w:rPr>
                      <w:rFonts w:hint="eastAsia" w:cs="宋体"/>
                      <w:color w:val="auto"/>
                      <w:kern w:val="0"/>
                      <w:sz w:val="22"/>
                      <w:szCs w:val="22"/>
                    </w:rPr>
                    <w:t>）</w:t>
                  </w:r>
                </w:p>
              </w:tc>
            </w:tr>
            <w:tr w14:paraId="4BA7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Align w:val="center"/>
                </w:tcPr>
                <w:p w14:paraId="6329C0A2">
                  <w:pPr>
                    <w:jc w:val="center"/>
                    <w:rPr>
                      <w:rFonts w:hint="eastAsia" w:cs="宋体"/>
                      <w:color w:val="auto"/>
                      <w:kern w:val="0"/>
                      <w:sz w:val="22"/>
                      <w:szCs w:val="22"/>
                    </w:rPr>
                  </w:pPr>
                  <w:r>
                    <w:rPr>
                      <w:rFonts w:hint="eastAsia" w:cs="宋体"/>
                      <w:color w:val="auto"/>
                      <w:kern w:val="0"/>
                      <w:sz w:val="22"/>
                      <w:szCs w:val="22"/>
                      <w:lang w:val="en-US" w:eastAsia="zh-CN"/>
                    </w:rPr>
                    <w:t>西</w:t>
                  </w:r>
                  <w:r>
                    <w:rPr>
                      <w:rFonts w:hint="eastAsia" w:cs="宋体"/>
                      <w:color w:val="auto"/>
                      <w:kern w:val="0"/>
                      <w:sz w:val="22"/>
                      <w:szCs w:val="22"/>
                    </w:rPr>
                    <w:t>地块废水</w:t>
                  </w:r>
                </w:p>
              </w:tc>
              <w:tc>
                <w:tcPr>
                  <w:tcW w:w="664" w:type="pct"/>
                  <w:vAlign w:val="center"/>
                </w:tcPr>
                <w:p w14:paraId="35AAADDC">
                  <w:pPr>
                    <w:jc w:val="center"/>
                    <w:rPr>
                      <w:rFonts w:hint="eastAsia" w:eastAsia="宋体"/>
                      <w:color w:val="auto"/>
                      <w:sz w:val="22"/>
                      <w:szCs w:val="22"/>
                      <w:lang w:eastAsia="zh-CN"/>
                    </w:rPr>
                  </w:pPr>
                  <w:r>
                    <w:rPr>
                      <w:rFonts w:hint="eastAsia"/>
                      <w:color w:val="auto"/>
                      <w:sz w:val="22"/>
                      <w:szCs w:val="22"/>
                    </w:rPr>
                    <w:t>DW</w:t>
                  </w:r>
                  <w:r>
                    <w:rPr>
                      <w:color w:val="auto"/>
                      <w:sz w:val="22"/>
                      <w:szCs w:val="22"/>
                    </w:rPr>
                    <w:t>00</w:t>
                  </w:r>
                  <w:r>
                    <w:rPr>
                      <w:rFonts w:hint="eastAsia"/>
                      <w:color w:val="auto"/>
                      <w:sz w:val="22"/>
                      <w:szCs w:val="22"/>
                      <w:lang w:val="en-US" w:eastAsia="zh-CN"/>
                    </w:rPr>
                    <w:t>2</w:t>
                  </w:r>
                </w:p>
              </w:tc>
              <w:tc>
                <w:tcPr>
                  <w:tcW w:w="905" w:type="pct"/>
                  <w:vAlign w:val="center"/>
                </w:tcPr>
                <w:p w14:paraId="2692BE9D">
                  <w:pPr>
                    <w:jc w:val="center"/>
                    <w:rPr>
                      <w:rFonts w:hint="eastAsia"/>
                      <w:color w:val="auto"/>
                      <w:sz w:val="22"/>
                      <w:szCs w:val="22"/>
                    </w:rPr>
                  </w:pPr>
                  <w:r>
                    <w:rPr>
                      <w:rFonts w:hint="eastAsia"/>
                      <w:color w:val="auto"/>
                      <w:sz w:val="22"/>
                      <w:szCs w:val="22"/>
                    </w:rPr>
                    <w:t>废水量、p</w:t>
                  </w:r>
                  <w:r>
                    <w:rPr>
                      <w:color w:val="auto"/>
                      <w:sz w:val="22"/>
                      <w:szCs w:val="22"/>
                    </w:rPr>
                    <w:t>H</w:t>
                  </w:r>
                  <w:r>
                    <w:rPr>
                      <w:rFonts w:hint="eastAsia"/>
                      <w:color w:val="auto"/>
                      <w:sz w:val="22"/>
                      <w:szCs w:val="22"/>
                    </w:rPr>
                    <w:t>、C</w:t>
                  </w:r>
                  <w:r>
                    <w:rPr>
                      <w:color w:val="auto"/>
                      <w:sz w:val="22"/>
                      <w:szCs w:val="22"/>
                    </w:rPr>
                    <w:t>OD</w:t>
                  </w:r>
                  <w:r>
                    <w:rPr>
                      <w:rFonts w:hint="eastAsia"/>
                      <w:color w:val="auto"/>
                      <w:sz w:val="22"/>
                      <w:szCs w:val="22"/>
                    </w:rPr>
                    <w:t>、S</w:t>
                  </w:r>
                  <w:r>
                    <w:rPr>
                      <w:color w:val="auto"/>
                      <w:sz w:val="22"/>
                      <w:szCs w:val="22"/>
                    </w:rPr>
                    <w:t>S</w:t>
                  </w:r>
                  <w:r>
                    <w:rPr>
                      <w:rFonts w:hint="eastAsia"/>
                      <w:color w:val="auto"/>
                      <w:sz w:val="22"/>
                      <w:szCs w:val="22"/>
                    </w:rPr>
                    <w:t>、BOD</w:t>
                  </w:r>
                  <w:r>
                    <w:rPr>
                      <w:rFonts w:hint="eastAsia"/>
                      <w:color w:val="auto"/>
                      <w:sz w:val="22"/>
                      <w:szCs w:val="22"/>
                      <w:vertAlign w:val="subscript"/>
                    </w:rPr>
                    <w:t>5</w:t>
                  </w:r>
                  <w:r>
                    <w:rPr>
                      <w:rFonts w:hint="eastAsia"/>
                      <w:color w:val="auto"/>
                      <w:sz w:val="22"/>
                      <w:szCs w:val="22"/>
                    </w:rPr>
                    <w:t>、氨氮、动植物油、石油类</w:t>
                  </w:r>
                </w:p>
              </w:tc>
              <w:tc>
                <w:tcPr>
                  <w:tcW w:w="618" w:type="pct"/>
                  <w:vAlign w:val="center"/>
                </w:tcPr>
                <w:p w14:paraId="71DADD2E">
                  <w:pPr>
                    <w:jc w:val="center"/>
                    <w:rPr>
                      <w:rFonts w:hint="eastAsia"/>
                      <w:color w:val="auto"/>
                      <w:sz w:val="22"/>
                      <w:szCs w:val="22"/>
                    </w:rPr>
                  </w:pPr>
                  <w:r>
                    <w:rPr>
                      <w:rFonts w:hint="eastAsia"/>
                      <w:color w:val="auto"/>
                      <w:sz w:val="22"/>
                      <w:szCs w:val="22"/>
                    </w:rPr>
                    <w:t>1次</w:t>
                  </w:r>
                </w:p>
              </w:tc>
              <w:tc>
                <w:tcPr>
                  <w:tcW w:w="707" w:type="pct"/>
                  <w:vAlign w:val="center"/>
                </w:tcPr>
                <w:p w14:paraId="7D60E892">
                  <w:pPr>
                    <w:jc w:val="center"/>
                    <w:rPr>
                      <w:rFonts w:hint="eastAsia"/>
                      <w:color w:val="auto"/>
                      <w:sz w:val="22"/>
                      <w:szCs w:val="22"/>
                    </w:rPr>
                  </w:pPr>
                  <w:r>
                    <w:rPr>
                      <w:rFonts w:hint="eastAsia"/>
                      <w:color w:val="auto"/>
                      <w:sz w:val="22"/>
                      <w:szCs w:val="22"/>
                    </w:rPr>
                    <w:t>1次/年</w:t>
                  </w:r>
                </w:p>
              </w:tc>
              <w:tc>
                <w:tcPr>
                  <w:tcW w:w="1437" w:type="pct"/>
                  <w:vMerge w:val="continue"/>
                  <w:vAlign w:val="center"/>
                </w:tcPr>
                <w:p w14:paraId="59A5CEBD">
                  <w:pPr>
                    <w:jc w:val="center"/>
                    <w:rPr>
                      <w:rFonts w:hint="eastAsia"/>
                      <w:color w:val="auto"/>
                      <w:sz w:val="22"/>
                      <w:szCs w:val="22"/>
                    </w:rPr>
                  </w:pPr>
                </w:p>
              </w:tc>
            </w:tr>
          </w:tbl>
          <w:p w14:paraId="5E12AF97">
            <w:pPr>
              <w:pStyle w:val="82"/>
              <w:ind w:firstLine="0" w:firstLineChars="0"/>
              <w:jc w:val="left"/>
              <w:rPr>
                <w:color w:val="auto"/>
                <w:sz w:val="21"/>
                <w:szCs w:val="21"/>
              </w:rPr>
            </w:pPr>
            <w:r>
              <w:rPr>
                <w:rFonts w:hint="eastAsia"/>
                <w:color w:val="auto"/>
                <w:sz w:val="21"/>
                <w:szCs w:val="21"/>
              </w:rPr>
              <w:t>注：因现有工程产生空压机含油废水，因此将石油类纳入全厂水污染物自行监测计划。</w:t>
            </w:r>
          </w:p>
          <w:p w14:paraId="1D49CF64">
            <w:pPr>
              <w:pStyle w:val="82"/>
              <w:ind w:firstLine="520"/>
              <w:rPr>
                <w:color w:val="auto"/>
                <w:kern w:val="0"/>
                <w:szCs w:val="26"/>
              </w:rPr>
            </w:pPr>
            <w:r>
              <w:rPr>
                <w:rFonts w:hint="eastAsia"/>
                <w:color w:val="auto"/>
              </w:rPr>
              <w:t>4</w:t>
            </w:r>
            <w:r>
              <w:rPr>
                <w:color w:val="auto"/>
              </w:rPr>
              <w:t>.2.2.</w:t>
            </w:r>
            <w:r>
              <w:rPr>
                <w:rFonts w:hint="eastAsia"/>
                <w:color w:val="auto"/>
              </w:rPr>
              <w:t>3废水治理技术可行性分析</w:t>
            </w:r>
          </w:p>
          <w:p w14:paraId="7FE49733">
            <w:pPr>
              <w:pStyle w:val="136"/>
              <w:spacing w:line="460" w:lineRule="exact"/>
              <w:ind w:firstLine="520"/>
              <w:rPr>
                <w:color w:val="auto"/>
                <w:sz w:val="26"/>
                <w:szCs w:val="26"/>
              </w:rPr>
            </w:pPr>
            <w:r>
              <w:rPr>
                <w:rFonts w:hint="eastAsia"/>
                <w:color w:val="auto"/>
                <w:sz w:val="26"/>
                <w:szCs w:val="26"/>
              </w:rPr>
              <w:t>①废水性质及处理工艺</w:t>
            </w:r>
          </w:p>
          <w:p w14:paraId="5C3D3A97">
            <w:pPr>
              <w:pStyle w:val="136"/>
              <w:spacing w:line="460" w:lineRule="exact"/>
              <w:ind w:firstLine="520"/>
              <w:rPr>
                <w:color w:val="auto"/>
                <w:sz w:val="26"/>
                <w:szCs w:val="26"/>
              </w:rPr>
            </w:pPr>
            <w:r>
              <w:rPr>
                <w:color w:val="auto"/>
                <w:sz w:val="26"/>
                <w:szCs w:val="26"/>
              </w:rPr>
              <w:t>项目新增废水</w:t>
            </w:r>
            <w:r>
              <w:rPr>
                <w:rFonts w:hint="eastAsia"/>
                <w:color w:val="auto"/>
                <w:sz w:val="26"/>
                <w:szCs w:val="26"/>
                <w:lang w:val="en-US" w:eastAsia="zh-CN"/>
              </w:rPr>
              <w:t>主要</w:t>
            </w:r>
            <w:r>
              <w:rPr>
                <w:rFonts w:hint="eastAsia"/>
                <w:color w:val="auto"/>
                <w:sz w:val="26"/>
                <w:szCs w:val="26"/>
              </w:rPr>
              <w:t>为生活污水</w:t>
            </w:r>
            <w:r>
              <w:rPr>
                <w:color w:val="auto"/>
                <w:sz w:val="26"/>
                <w:szCs w:val="26"/>
              </w:rPr>
              <w:t>，</w:t>
            </w:r>
            <w:r>
              <w:rPr>
                <w:rFonts w:hint="eastAsia"/>
                <w:color w:val="auto"/>
                <w:sz w:val="26"/>
                <w:szCs w:val="26"/>
              </w:rPr>
              <w:t>主要污染因子为COD、BOD</w:t>
            </w:r>
            <w:r>
              <w:rPr>
                <w:rFonts w:hint="eastAsia"/>
                <w:color w:val="auto"/>
                <w:sz w:val="26"/>
                <w:szCs w:val="26"/>
                <w:vertAlign w:val="subscript"/>
              </w:rPr>
              <w:t>5</w:t>
            </w:r>
            <w:r>
              <w:rPr>
                <w:rFonts w:hint="eastAsia"/>
                <w:color w:val="auto"/>
                <w:sz w:val="26"/>
                <w:szCs w:val="26"/>
              </w:rPr>
              <w:t>、SS、氨氮、动植物油，</w:t>
            </w:r>
            <w:r>
              <w:rPr>
                <w:color w:val="auto"/>
                <w:sz w:val="26"/>
                <w:szCs w:val="26"/>
              </w:rPr>
              <w:t>新增废水依托现有的</w:t>
            </w:r>
            <w:r>
              <w:rPr>
                <w:rFonts w:hint="eastAsia"/>
                <w:color w:val="auto"/>
                <w:sz w:val="26"/>
                <w:szCs w:val="26"/>
              </w:rPr>
              <w:t>污水处理设施</w:t>
            </w:r>
            <w:r>
              <w:rPr>
                <w:color w:val="auto"/>
                <w:sz w:val="26"/>
                <w:szCs w:val="26"/>
              </w:rPr>
              <w:t>（</w:t>
            </w:r>
            <w:r>
              <w:rPr>
                <w:rFonts w:hint="eastAsia"/>
                <w:color w:val="auto"/>
                <w:sz w:val="26"/>
                <w:szCs w:val="26"/>
              </w:rPr>
              <w:t>东地块</w:t>
            </w:r>
            <w:r>
              <w:rPr>
                <w:color w:val="auto"/>
                <w:sz w:val="26"/>
                <w:szCs w:val="26"/>
              </w:rPr>
              <w:t>处理规模</w:t>
            </w:r>
            <w:r>
              <w:rPr>
                <w:rFonts w:hint="eastAsia"/>
                <w:color w:val="auto"/>
                <w:sz w:val="26"/>
                <w:szCs w:val="26"/>
                <w:lang w:val="en-US" w:eastAsia="zh-CN"/>
              </w:rPr>
              <w:t>50</w:t>
            </w:r>
            <w:r>
              <w:rPr>
                <w:color w:val="auto"/>
                <w:sz w:val="26"/>
                <w:szCs w:val="26"/>
              </w:rPr>
              <w:t>m</w:t>
            </w:r>
            <w:r>
              <w:rPr>
                <w:color w:val="auto"/>
                <w:sz w:val="26"/>
                <w:szCs w:val="26"/>
                <w:vertAlign w:val="superscript"/>
              </w:rPr>
              <w:t>3</w:t>
            </w:r>
            <w:r>
              <w:rPr>
                <w:color w:val="auto"/>
                <w:sz w:val="26"/>
                <w:szCs w:val="26"/>
              </w:rPr>
              <w:t>/d</w:t>
            </w:r>
            <w:r>
              <w:rPr>
                <w:rFonts w:hint="eastAsia"/>
                <w:color w:val="auto"/>
                <w:sz w:val="26"/>
                <w:szCs w:val="26"/>
              </w:rPr>
              <w:t>，西地块</w:t>
            </w:r>
            <w:r>
              <w:rPr>
                <w:color w:val="auto"/>
                <w:sz w:val="26"/>
                <w:szCs w:val="26"/>
              </w:rPr>
              <w:t>处理规模</w:t>
            </w:r>
            <w:r>
              <w:rPr>
                <w:rFonts w:hint="eastAsia"/>
                <w:color w:val="auto"/>
                <w:sz w:val="26"/>
                <w:szCs w:val="26"/>
                <w:lang w:val="en-US" w:eastAsia="zh-CN"/>
              </w:rPr>
              <w:t>4</w:t>
            </w:r>
            <w:r>
              <w:rPr>
                <w:rFonts w:hint="eastAsia"/>
                <w:color w:val="auto"/>
                <w:sz w:val="26"/>
                <w:szCs w:val="26"/>
              </w:rPr>
              <w:t>0</w:t>
            </w:r>
            <w:r>
              <w:rPr>
                <w:color w:val="auto"/>
                <w:sz w:val="26"/>
                <w:szCs w:val="26"/>
              </w:rPr>
              <w:t>m</w:t>
            </w:r>
            <w:r>
              <w:rPr>
                <w:color w:val="auto"/>
                <w:sz w:val="26"/>
                <w:szCs w:val="26"/>
                <w:vertAlign w:val="superscript"/>
              </w:rPr>
              <w:t>3</w:t>
            </w:r>
            <w:r>
              <w:rPr>
                <w:color w:val="auto"/>
                <w:sz w:val="26"/>
                <w:szCs w:val="26"/>
              </w:rPr>
              <w:t>/d）处理后</w:t>
            </w:r>
            <w:r>
              <w:rPr>
                <w:rFonts w:hint="eastAsia"/>
                <w:color w:val="auto"/>
                <w:sz w:val="26"/>
                <w:szCs w:val="26"/>
              </w:rPr>
              <w:t>达《污水综合排放标准》（GB8978-1996）三级排放标准后进入陶家工业污水处理厂</w:t>
            </w:r>
            <w:r>
              <w:rPr>
                <w:color w:val="auto"/>
                <w:sz w:val="26"/>
                <w:szCs w:val="26"/>
              </w:rPr>
              <w:t>；废水最终经</w:t>
            </w:r>
            <w:r>
              <w:rPr>
                <w:rFonts w:hint="eastAsia"/>
                <w:color w:val="auto"/>
                <w:sz w:val="26"/>
                <w:szCs w:val="26"/>
              </w:rPr>
              <w:t>陶家工业污水处理厂</w:t>
            </w:r>
            <w:r>
              <w:rPr>
                <w:color w:val="auto"/>
                <w:sz w:val="26"/>
                <w:szCs w:val="26"/>
              </w:rPr>
              <w:t>处理</w:t>
            </w:r>
            <w:r>
              <w:rPr>
                <w:rFonts w:hint="eastAsia"/>
                <w:color w:val="auto"/>
                <w:sz w:val="26"/>
                <w:szCs w:val="26"/>
              </w:rPr>
              <w:t>COD、NH</w:t>
            </w:r>
            <w:r>
              <w:rPr>
                <w:rFonts w:hint="eastAsia"/>
                <w:color w:val="auto"/>
                <w:sz w:val="26"/>
                <w:szCs w:val="26"/>
                <w:vertAlign w:val="subscript"/>
              </w:rPr>
              <w:t>3</w:t>
            </w:r>
            <w:r>
              <w:rPr>
                <w:rFonts w:hint="eastAsia"/>
                <w:color w:val="auto"/>
                <w:sz w:val="26"/>
                <w:szCs w:val="26"/>
              </w:rPr>
              <w:t>-N等主要指标能稳定达《地表水环境质量标准》（GB3838-2002）IV类标准，BOD</w:t>
            </w:r>
            <w:r>
              <w:rPr>
                <w:rFonts w:hint="eastAsia"/>
                <w:color w:val="auto"/>
                <w:sz w:val="26"/>
                <w:szCs w:val="26"/>
                <w:vertAlign w:val="subscript"/>
              </w:rPr>
              <w:t>5</w:t>
            </w:r>
            <w:r>
              <w:rPr>
                <w:rFonts w:hint="eastAsia"/>
                <w:color w:val="auto"/>
                <w:sz w:val="26"/>
                <w:szCs w:val="26"/>
              </w:rPr>
              <w:t>、SS、动植物油达《城镇污水处理厂污染物排放标准》（GB18918-2002）一级A标准</w:t>
            </w:r>
            <w:r>
              <w:rPr>
                <w:color w:val="auto"/>
                <w:sz w:val="26"/>
                <w:szCs w:val="26"/>
              </w:rPr>
              <w:t>排入</w:t>
            </w:r>
            <w:r>
              <w:rPr>
                <w:rFonts w:hint="eastAsia"/>
                <w:color w:val="auto"/>
                <w:sz w:val="26"/>
                <w:szCs w:val="26"/>
              </w:rPr>
              <w:t>杨柳曲河</w:t>
            </w:r>
            <w:r>
              <w:rPr>
                <w:color w:val="auto"/>
                <w:sz w:val="26"/>
                <w:szCs w:val="26"/>
              </w:rPr>
              <w:t>。</w:t>
            </w:r>
          </w:p>
          <w:p w14:paraId="76A94958">
            <w:pPr>
              <w:pStyle w:val="136"/>
              <w:spacing w:line="460" w:lineRule="exact"/>
              <w:ind w:firstLine="520"/>
              <w:rPr>
                <w:color w:val="auto"/>
                <w:sz w:val="26"/>
                <w:szCs w:val="26"/>
              </w:rPr>
            </w:pPr>
            <w:r>
              <w:rPr>
                <w:rFonts w:hint="eastAsia"/>
                <w:color w:val="auto"/>
                <w:sz w:val="26"/>
                <w:szCs w:val="26"/>
              </w:rPr>
              <w:t>目前现有项目东地块污水处理设施的处理量约</w:t>
            </w:r>
            <w:r>
              <w:rPr>
                <w:rFonts w:hint="eastAsia"/>
                <w:color w:val="auto"/>
                <w:sz w:val="26"/>
                <w:szCs w:val="26"/>
                <w:lang w:val="en-US" w:eastAsia="zh-CN"/>
              </w:rPr>
              <w:t>18.80</w:t>
            </w:r>
            <w:r>
              <w:rPr>
                <w:rFonts w:hint="eastAsia"/>
                <w:color w:val="auto"/>
                <w:sz w:val="26"/>
                <w:szCs w:val="26"/>
              </w:rPr>
              <w:t>m</w:t>
            </w:r>
            <w:r>
              <w:rPr>
                <w:rFonts w:hint="eastAsia"/>
                <w:color w:val="auto"/>
                <w:sz w:val="26"/>
                <w:szCs w:val="26"/>
                <w:vertAlign w:val="superscript"/>
              </w:rPr>
              <w:t>3</w:t>
            </w:r>
            <w:r>
              <w:rPr>
                <w:rFonts w:hint="eastAsia"/>
                <w:color w:val="auto"/>
                <w:sz w:val="26"/>
                <w:szCs w:val="26"/>
              </w:rPr>
              <w:t>/d，设计规模为</w:t>
            </w:r>
            <w:r>
              <w:rPr>
                <w:rFonts w:hint="eastAsia"/>
                <w:color w:val="auto"/>
                <w:sz w:val="26"/>
                <w:szCs w:val="26"/>
                <w:lang w:val="en-US" w:eastAsia="zh-CN"/>
              </w:rPr>
              <w:t>50</w:t>
            </w:r>
            <w:r>
              <w:rPr>
                <w:rFonts w:hint="eastAsia"/>
                <w:color w:val="auto"/>
                <w:sz w:val="26"/>
                <w:szCs w:val="26"/>
              </w:rPr>
              <w:t>m</w:t>
            </w:r>
            <w:r>
              <w:rPr>
                <w:rFonts w:hint="eastAsia"/>
                <w:color w:val="auto"/>
                <w:sz w:val="26"/>
                <w:szCs w:val="26"/>
                <w:vertAlign w:val="superscript"/>
              </w:rPr>
              <w:t>3</w:t>
            </w:r>
            <w:r>
              <w:rPr>
                <w:rFonts w:hint="eastAsia"/>
                <w:color w:val="auto"/>
                <w:sz w:val="26"/>
                <w:szCs w:val="26"/>
              </w:rPr>
              <w:t>/d，处理</w:t>
            </w:r>
            <w:r>
              <w:rPr>
                <w:color w:val="auto"/>
                <w:sz w:val="26"/>
                <w:szCs w:val="26"/>
              </w:rPr>
              <w:t>余量</w:t>
            </w:r>
            <w:r>
              <w:rPr>
                <w:rFonts w:hint="eastAsia"/>
                <w:color w:val="auto"/>
                <w:sz w:val="26"/>
                <w:szCs w:val="26"/>
                <w:lang w:val="en-US" w:eastAsia="zh-CN"/>
              </w:rPr>
              <w:t>31.19</w:t>
            </w:r>
            <w:r>
              <w:rPr>
                <w:rFonts w:hint="eastAsia"/>
                <w:color w:val="auto"/>
                <w:sz w:val="26"/>
                <w:szCs w:val="26"/>
              </w:rPr>
              <w:t>m</w:t>
            </w:r>
            <w:r>
              <w:rPr>
                <w:rFonts w:hint="eastAsia"/>
                <w:color w:val="auto"/>
                <w:sz w:val="26"/>
                <w:szCs w:val="26"/>
                <w:vertAlign w:val="superscript"/>
              </w:rPr>
              <w:t>3</w:t>
            </w:r>
            <w:r>
              <w:rPr>
                <w:rFonts w:hint="eastAsia"/>
                <w:color w:val="auto"/>
                <w:sz w:val="26"/>
                <w:szCs w:val="26"/>
              </w:rPr>
              <w:t>/d</w:t>
            </w:r>
            <w:r>
              <w:rPr>
                <w:rFonts w:hint="eastAsia"/>
                <w:color w:val="auto"/>
                <w:sz w:val="26"/>
                <w:szCs w:val="26"/>
                <w:lang w:eastAsia="zh-CN"/>
              </w:rPr>
              <w:t>；</w:t>
            </w:r>
            <w:r>
              <w:rPr>
                <w:rFonts w:hint="eastAsia"/>
                <w:color w:val="auto"/>
                <w:sz w:val="26"/>
                <w:szCs w:val="26"/>
                <w:lang w:val="en-US" w:eastAsia="zh-CN"/>
              </w:rPr>
              <w:t>西地块</w:t>
            </w:r>
            <w:r>
              <w:rPr>
                <w:rFonts w:hint="eastAsia"/>
                <w:color w:val="auto"/>
                <w:sz w:val="26"/>
                <w:szCs w:val="26"/>
              </w:rPr>
              <w:t>污水处理设施的处理量约</w:t>
            </w:r>
            <w:r>
              <w:rPr>
                <w:rFonts w:hint="eastAsia"/>
                <w:color w:val="auto"/>
                <w:sz w:val="26"/>
                <w:szCs w:val="26"/>
                <w:lang w:val="en-US" w:eastAsia="zh-CN"/>
              </w:rPr>
              <w:t>21.05</w:t>
            </w:r>
            <w:r>
              <w:rPr>
                <w:rFonts w:hint="eastAsia"/>
                <w:color w:val="auto"/>
                <w:sz w:val="26"/>
                <w:szCs w:val="26"/>
              </w:rPr>
              <w:t>m</w:t>
            </w:r>
            <w:r>
              <w:rPr>
                <w:rFonts w:hint="eastAsia"/>
                <w:color w:val="auto"/>
                <w:sz w:val="26"/>
                <w:szCs w:val="26"/>
                <w:vertAlign w:val="superscript"/>
              </w:rPr>
              <w:t>3</w:t>
            </w:r>
            <w:r>
              <w:rPr>
                <w:rFonts w:hint="eastAsia"/>
                <w:color w:val="auto"/>
                <w:sz w:val="26"/>
                <w:szCs w:val="26"/>
              </w:rPr>
              <w:t>/d，设计规模为</w:t>
            </w:r>
            <w:r>
              <w:rPr>
                <w:rFonts w:hint="eastAsia"/>
                <w:color w:val="auto"/>
                <w:sz w:val="26"/>
                <w:szCs w:val="26"/>
                <w:lang w:val="en-US" w:eastAsia="zh-CN"/>
              </w:rPr>
              <w:t>40</w:t>
            </w:r>
            <w:r>
              <w:rPr>
                <w:rFonts w:hint="eastAsia"/>
                <w:color w:val="auto"/>
                <w:sz w:val="26"/>
                <w:szCs w:val="26"/>
              </w:rPr>
              <w:t>m</w:t>
            </w:r>
            <w:r>
              <w:rPr>
                <w:rFonts w:hint="eastAsia"/>
                <w:color w:val="auto"/>
                <w:sz w:val="26"/>
                <w:szCs w:val="26"/>
                <w:vertAlign w:val="superscript"/>
              </w:rPr>
              <w:t>3</w:t>
            </w:r>
            <w:r>
              <w:rPr>
                <w:rFonts w:hint="eastAsia"/>
                <w:color w:val="auto"/>
                <w:sz w:val="26"/>
                <w:szCs w:val="26"/>
              </w:rPr>
              <w:t>/d，处理余量</w:t>
            </w:r>
            <w:r>
              <w:rPr>
                <w:rFonts w:hint="eastAsia"/>
                <w:color w:val="auto"/>
                <w:sz w:val="26"/>
                <w:szCs w:val="26"/>
                <w:lang w:val="en-US" w:eastAsia="zh-CN"/>
              </w:rPr>
              <w:t>18.95</w:t>
            </w:r>
            <w:r>
              <w:rPr>
                <w:rFonts w:hint="eastAsia"/>
                <w:color w:val="auto"/>
                <w:sz w:val="26"/>
                <w:szCs w:val="26"/>
              </w:rPr>
              <w:t>m</w:t>
            </w:r>
            <w:r>
              <w:rPr>
                <w:rFonts w:hint="eastAsia"/>
                <w:color w:val="auto"/>
                <w:sz w:val="26"/>
                <w:szCs w:val="26"/>
                <w:vertAlign w:val="superscript"/>
              </w:rPr>
              <w:t>3</w:t>
            </w:r>
            <w:r>
              <w:rPr>
                <w:rFonts w:hint="eastAsia"/>
                <w:color w:val="auto"/>
                <w:sz w:val="26"/>
                <w:szCs w:val="26"/>
              </w:rPr>
              <w:t>/d</w:t>
            </w:r>
            <w:r>
              <w:rPr>
                <w:rFonts w:hint="eastAsia"/>
                <w:color w:val="auto"/>
                <w:sz w:val="26"/>
                <w:szCs w:val="26"/>
                <w:lang w:eastAsia="zh-CN"/>
              </w:rPr>
              <w:t>。</w:t>
            </w:r>
            <w:r>
              <w:rPr>
                <w:rFonts w:hint="eastAsia"/>
                <w:snapToGrid w:val="0"/>
                <w:color w:val="auto"/>
                <w:spacing w:val="4"/>
                <w:sz w:val="26"/>
                <w:szCs w:val="26"/>
              </w:rPr>
              <w:t>拟</w:t>
            </w:r>
            <w:r>
              <w:rPr>
                <w:rFonts w:hint="eastAsia"/>
                <w:color w:val="auto"/>
                <w:sz w:val="26"/>
                <w:szCs w:val="26"/>
              </w:rPr>
              <w:t>建项目</w:t>
            </w:r>
            <w:r>
              <w:rPr>
                <w:color w:val="auto"/>
                <w:sz w:val="26"/>
                <w:szCs w:val="26"/>
              </w:rPr>
              <w:t>投产</w:t>
            </w:r>
            <w:r>
              <w:rPr>
                <w:rFonts w:hint="eastAsia"/>
                <w:color w:val="auto"/>
                <w:sz w:val="26"/>
                <w:szCs w:val="26"/>
              </w:rPr>
              <w:t>后东地块新增</w:t>
            </w:r>
            <w:r>
              <w:rPr>
                <w:rFonts w:hint="eastAsia"/>
                <w:color w:val="auto"/>
                <w:sz w:val="26"/>
                <w:szCs w:val="26"/>
                <w:lang w:val="en-US" w:eastAsia="zh-CN"/>
              </w:rPr>
              <w:t>污水4.785</w:t>
            </w:r>
            <w:r>
              <w:rPr>
                <w:color w:val="auto"/>
                <w:sz w:val="26"/>
                <w:szCs w:val="26"/>
              </w:rPr>
              <w:t>m</w:t>
            </w:r>
            <w:r>
              <w:rPr>
                <w:color w:val="auto"/>
                <w:sz w:val="26"/>
                <w:szCs w:val="26"/>
                <w:vertAlign w:val="superscript"/>
              </w:rPr>
              <w:t>3</w:t>
            </w:r>
            <w:r>
              <w:rPr>
                <w:color w:val="auto"/>
                <w:sz w:val="26"/>
                <w:szCs w:val="26"/>
              </w:rPr>
              <w:t>/d，</w:t>
            </w:r>
            <w:r>
              <w:rPr>
                <w:rFonts w:hint="eastAsia"/>
                <w:color w:val="auto"/>
                <w:sz w:val="26"/>
                <w:szCs w:val="26"/>
              </w:rPr>
              <w:t>污水处理设施</w:t>
            </w:r>
            <w:r>
              <w:rPr>
                <w:color w:val="auto"/>
                <w:sz w:val="26"/>
                <w:szCs w:val="26"/>
              </w:rPr>
              <w:t>处理量</w:t>
            </w:r>
            <w:r>
              <w:rPr>
                <w:rFonts w:hint="eastAsia"/>
                <w:color w:val="auto"/>
                <w:sz w:val="26"/>
                <w:szCs w:val="26"/>
              </w:rPr>
              <w:t>为</w:t>
            </w:r>
            <w:r>
              <w:rPr>
                <w:rFonts w:hint="eastAsia"/>
                <w:color w:val="auto"/>
                <w:sz w:val="26"/>
                <w:szCs w:val="26"/>
                <w:lang w:val="en-US" w:eastAsia="zh-CN"/>
              </w:rPr>
              <w:t>23.59</w:t>
            </w:r>
            <w:r>
              <w:rPr>
                <w:color w:val="auto"/>
                <w:sz w:val="26"/>
                <w:szCs w:val="26"/>
              </w:rPr>
              <w:t>m</w:t>
            </w:r>
            <w:r>
              <w:rPr>
                <w:color w:val="auto"/>
                <w:sz w:val="26"/>
                <w:szCs w:val="26"/>
                <w:vertAlign w:val="superscript"/>
              </w:rPr>
              <w:t>3</w:t>
            </w:r>
            <w:r>
              <w:rPr>
                <w:color w:val="auto"/>
                <w:sz w:val="26"/>
                <w:szCs w:val="26"/>
              </w:rPr>
              <w:t>/d</w:t>
            </w:r>
            <w:r>
              <w:rPr>
                <w:rFonts w:hint="eastAsia"/>
                <w:color w:val="auto"/>
                <w:sz w:val="26"/>
                <w:szCs w:val="26"/>
              </w:rPr>
              <w:t>；西地块新增污水排放</w:t>
            </w:r>
            <w:r>
              <w:rPr>
                <w:rFonts w:hint="eastAsia"/>
                <w:color w:val="auto"/>
                <w:sz w:val="26"/>
                <w:szCs w:val="26"/>
                <w:lang w:val="en-US" w:eastAsia="zh-CN"/>
              </w:rPr>
              <w:t>11.28</w:t>
            </w:r>
            <w:r>
              <w:rPr>
                <w:color w:val="auto"/>
                <w:sz w:val="26"/>
                <w:szCs w:val="26"/>
              </w:rPr>
              <w:t>m</w:t>
            </w:r>
            <w:r>
              <w:rPr>
                <w:color w:val="auto"/>
                <w:sz w:val="26"/>
                <w:szCs w:val="26"/>
                <w:vertAlign w:val="superscript"/>
              </w:rPr>
              <w:t>3</w:t>
            </w:r>
            <w:r>
              <w:rPr>
                <w:color w:val="auto"/>
                <w:sz w:val="26"/>
                <w:szCs w:val="26"/>
              </w:rPr>
              <w:t>/d，</w:t>
            </w:r>
            <w:r>
              <w:rPr>
                <w:rFonts w:hint="eastAsia"/>
                <w:color w:val="auto"/>
                <w:sz w:val="26"/>
                <w:szCs w:val="26"/>
              </w:rPr>
              <w:t>污水处理设施</w:t>
            </w:r>
            <w:r>
              <w:rPr>
                <w:color w:val="auto"/>
                <w:sz w:val="26"/>
                <w:szCs w:val="26"/>
              </w:rPr>
              <w:t>处理量</w:t>
            </w:r>
            <w:r>
              <w:rPr>
                <w:rFonts w:hint="eastAsia"/>
                <w:color w:val="auto"/>
                <w:sz w:val="26"/>
                <w:szCs w:val="26"/>
              </w:rPr>
              <w:t>为</w:t>
            </w:r>
            <w:r>
              <w:rPr>
                <w:rFonts w:hint="eastAsia"/>
                <w:color w:val="auto"/>
                <w:sz w:val="26"/>
                <w:szCs w:val="26"/>
                <w:lang w:val="en-US" w:eastAsia="zh-CN"/>
              </w:rPr>
              <w:t>32.33</w:t>
            </w:r>
            <w:r>
              <w:rPr>
                <w:color w:val="auto"/>
                <w:sz w:val="26"/>
                <w:szCs w:val="26"/>
              </w:rPr>
              <w:t>m</w:t>
            </w:r>
            <w:r>
              <w:rPr>
                <w:color w:val="auto"/>
                <w:sz w:val="26"/>
                <w:szCs w:val="26"/>
                <w:vertAlign w:val="superscript"/>
              </w:rPr>
              <w:t>3</w:t>
            </w:r>
            <w:r>
              <w:rPr>
                <w:color w:val="auto"/>
                <w:sz w:val="26"/>
                <w:szCs w:val="26"/>
              </w:rPr>
              <w:t>/d</w:t>
            </w:r>
            <w:r>
              <w:rPr>
                <w:rFonts w:hint="eastAsia"/>
                <w:color w:val="auto"/>
                <w:sz w:val="26"/>
                <w:szCs w:val="26"/>
              </w:rPr>
              <w:t>，均未</w:t>
            </w:r>
            <w:r>
              <w:rPr>
                <w:color w:val="auto"/>
                <w:sz w:val="26"/>
                <w:szCs w:val="26"/>
              </w:rPr>
              <w:t>突破设计规模</w:t>
            </w:r>
            <w:r>
              <w:rPr>
                <w:rFonts w:hint="eastAsia"/>
                <w:color w:val="auto"/>
                <w:sz w:val="26"/>
                <w:szCs w:val="26"/>
              </w:rPr>
              <w:t>，现有项目污水处理设施处理工艺为生化处理，规模</w:t>
            </w:r>
            <w:r>
              <w:rPr>
                <w:color w:val="auto"/>
                <w:sz w:val="26"/>
                <w:szCs w:val="26"/>
              </w:rPr>
              <w:t>满足</w:t>
            </w:r>
            <w:r>
              <w:rPr>
                <w:rFonts w:hint="eastAsia"/>
                <w:color w:val="auto"/>
                <w:sz w:val="26"/>
                <w:szCs w:val="26"/>
              </w:rPr>
              <w:t>拟建</w:t>
            </w:r>
            <w:r>
              <w:rPr>
                <w:color w:val="auto"/>
                <w:sz w:val="26"/>
                <w:szCs w:val="26"/>
              </w:rPr>
              <w:t>项目的废水处理需求</w:t>
            </w:r>
            <w:r>
              <w:rPr>
                <w:rFonts w:hint="eastAsia"/>
                <w:color w:val="auto"/>
                <w:sz w:val="26"/>
                <w:szCs w:val="26"/>
              </w:rPr>
              <w:t>。</w:t>
            </w:r>
          </w:p>
          <w:p w14:paraId="47859ED0">
            <w:pPr>
              <w:pStyle w:val="136"/>
              <w:spacing w:line="460" w:lineRule="exact"/>
              <w:ind w:firstLine="520"/>
              <w:rPr>
                <w:color w:val="auto"/>
                <w:sz w:val="26"/>
                <w:szCs w:val="26"/>
              </w:rPr>
            </w:pPr>
            <w:r>
              <w:rPr>
                <w:rFonts w:hint="eastAsia"/>
                <w:color w:val="auto"/>
                <w:sz w:val="26"/>
                <w:szCs w:val="26"/>
              </w:rPr>
              <w:t>②废水处理工艺可行性分析</w:t>
            </w:r>
          </w:p>
          <w:p w14:paraId="2922E557">
            <w:pPr>
              <w:pStyle w:val="136"/>
              <w:spacing w:line="460" w:lineRule="exact"/>
              <w:ind w:firstLine="520"/>
              <w:rPr>
                <w:color w:val="auto"/>
                <w:sz w:val="26"/>
                <w:szCs w:val="26"/>
              </w:rPr>
            </w:pPr>
            <w:r>
              <w:rPr>
                <w:color w:val="auto"/>
                <w:sz w:val="26"/>
                <w:szCs w:val="26"/>
              </w:rPr>
              <w:t>a.现有项目废水处理情况</w:t>
            </w:r>
          </w:p>
          <w:p w14:paraId="4996462B">
            <w:pPr>
              <w:pStyle w:val="136"/>
              <w:spacing w:line="460" w:lineRule="exact"/>
              <w:ind w:firstLine="520"/>
              <w:rPr>
                <w:b/>
                <w:bCs/>
                <w:color w:val="auto"/>
                <w:sz w:val="26"/>
                <w:szCs w:val="26"/>
              </w:rPr>
            </w:pPr>
            <w:r>
              <w:rPr>
                <w:color w:val="auto"/>
                <w:sz w:val="26"/>
                <w:szCs w:val="26"/>
              </w:rPr>
              <w:t>根据现有项目验收情况，现有项目营运期废水主要为生产废水、生活污水，</w:t>
            </w:r>
            <w:r>
              <w:rPr>
                <w:rFonts w:hint="eastAsia"/>
                <w:color w:val="auto"/>
                <w:sz w:val="26"/>
                <w:szCs w:val="26"/>
              </w:rPr>
              <w:t>主要有冷却水、生活污水、食堂废水</w:t>
            </w:r>
            <w:r>
              <w:rPr>
                <w:color w:val="auto"/>
                <w:sz w:val="26"/>
                <w:szCs w:val="26"/>
              </w:rPr>
              <w:t>。</w:t>
            </w:r>
            <w:r>
              <w:rPr>
                <w:rFonts w:hint="eastAsia"/>
                <w:bCs/>
                <w:color w:val="auto"/>
                <w:kern w:val="2"/>
                <w:sz w:val="26"/>
                <w:szCs w:val="26"/>
              </w:rPr>
              <w:t>根据</w:t>
            </w:r>
            <w:r>
              <w:rPr>
                <w:bCs/>
                <w:color w:val="auto"/>
                <w:kern w:val="2"/>
                <w:sz w:val="26"/>
                <w:szCs w:val="26"/>
              </w:rPr>
              <w:t>202</w:t>
            </w:r>
            <w:r>
              <w:rPr>
                <w:rFonts w:hint="eastAsia"/>
                <w:bCs/>
                <w:color w:val="auto"/>
                <w:kern w:val="2"/>
                <w:sz w:val="26"/>
                <w:szCs w:val="26"/>
              </w:rPr>
              <w:t>4</w:t>
            </w:r>
            <w:r>
              <w:rPr>
                <w:bCs/>
                <w:color w:val="auto"/>
                <w:kern w:val="2"/>
                <w:sz w:val="26"/>
                <w:szCs w:val="26"/>
              </w:rPr>
              <w:t>年</w:t>
            </w:r>
            <w:r>
              <w:rPr>
                <w:rFonts w:hint="eastAsia"/>
                <w:bCs/>
                <w:color w:val="auto"/>
                <w:kern w:val="2"/>
                <w:sz w:val="26"/>
                <w:szCs w:val="26"/>
                <w:lang w:val="en-US" w:eastAsia="zh-CN"/>
              </w:rPr>
              <w:t>12</w:t>
            </w:r>
            <w:r>
              <w:rPr>
                <w:bCs/>
                <w:color w:val="auto"/>
                <w:kern w:val="2"/>
                <w:sz w:val="26"/>
                <w:szCs w:val="26"/>
              </w:rPr>
              <w:t>月</w:t>
            </w:r>
            <w:r>
              <w:rPr>
                <w:rFonts w:hint="eastAsia"/>
                <w:bCs/>
                <w:color w:val="auto"/>
                <w:kern w:val="2"/>
                <w:sz w:val="26"/>
                <w:szCs w:val="26"/>
              </w:rPr>
              <w:t>企业自行监测</w:t>
            </w:r>
            <w:r>
              <w:rPr>
                <w:bCs/>
                <w:color w:val="auto"/>
                <w:kern w:val="2"/>
                <w:sz w:val="26"/>
                <w:szCs w:val="26"/>
              </w:rPr>
              <w:t>报告的数据（监测报告编号：渝久(监)字【2024】第WT51</w:t>
            </w:r>
            <w:r>
              <w:rPr>
                <w:rFonts w:hint="eastAsia"/>
                <w:bCs/>
                <w:color w:val="auto"/>
                <w:kern w:val="2"/>
                <w:sz w:val="26"/>
                <w:szCs w:val="26"/>
                <w:lang w:val="en-US" w:eastAsia="zh-CN"/>
              </w:rPr>
              <w:t>5</w:t>
            </w:r>
            <w:r>
              <w:rPr>
                <w:bCs/>
                <w:color w:val="auto"/>
                <w:kern w:val="2"/>
                <w:sz w:val="26"/>
                <w:szCs w:val="26"/>
              </w:rPr>
              <w:t>号）</w:t>
            </w:r>
            <w:r>
              <w:rPr>
                <w:color w:val="auto"/>
                <w:sz w:val="26"/>
                <w:szCs w:val="26"/>
              </w:rPr>
              <w:t>数据分析，经</w:t>
            </w:r>
            <w:r>
              <w:rPr>
                <w:rFonts w:hint="eastAsia"/>
                <w:color w:val="auto"/>
                <w:sz w:val="26"/>
                <w:szCs w:val="26"/>
              </w:rPr>
              <w:t>污水处理设施</w:t>
            </w:r>
            <w:r>
              <w:rPr>
                <w:color w:val="auto"/>
                <w:sz w:val="26"/>
                <w:szCs w:val="26"/>
              </w:rPr>
              <w:t>处理满足《污水综合排放标准》（GB8978-1996）三级排放标准及《污水排入城镇下水道水质标准》（GB/T31962-2015）</w:t>
            </w:r>
            <w:r>
              <w:rPr>
                <w:rFonts w:hint="eastAsia"/>
                <w:color w:val="auto"/>
                <w:sz w:val="26"/>
                <w:szCs w:val="26"/>
              </w:rPr>
              <w:t>。</w:t>
            </w:r>
          </w:p>
          <w:p w14:paraId="3C5FCEAB">
            <w:pPr>
              <w:pStyle w:val="136"/>
              <w:spacing w:line="460" w:lineRule="exact"/>
              <w:ind w:firstLine="520"/>
              <w:rPr>
                <w:b/>
                <w:bCs/>
                <w:color w:val="auto"/>
                <w:sz w:val="26"/>
                <w:szCs w:val="26"/>
              </w:rPr>
            </w:pPr>
            <w:r>
              <w:rPr>
                <w:color w:val="auto"/>
                <w:sz w:val="26"/>
                <w:szCs w:val="26"/>
              </w:rPr>
              <w:t>b.</w:t>
            </w:r>
            <w:r>
              <w:rPr>
                <w:snapToGrid w:val="0"/>
                <w:color w:val="auto"/>
                <w:spacing w:val="4"/>
                <w:sz w:val="26"/>
                <w:szCs w:val="26"/>
              </w:rPr>
              <w:t>拟</w:t>
            </w:r>
            <w:r>
              <w:rPr>
                <w:color w:val="auto"/>
                <w:sz w:val="26"/>
                <w:szCs w:val="26"/>
              </w:rPr>
              <w:t>建项目废水处理情况</w:t>
            </w:r>
          </w:p>
          <w:p w14:paraId="68DE0016">
            <w:pPr>
              <w:pStyle w:val="136"/>
              <w:spacing w:line="460" w:lineRule="exact"/>
              <w:ind w:firstLine="536"/>
              <w:rPr>
                <w:color w:val="auto"/>
                <w:sz w:val="26"/>
                <w:szCs w:val="26"/>
              </w:rPr>
            </w:pPr>
            <w:r>
              <w:rPr>
                <w:rFonts w:hint="eastAsia"/>
                <w:snapToGrid w:val="0"/>
                <w:color w:val="auto"/>
                <w:spacing w:val="4"/>
                <w:sz w:val="26"/>
                <w:szCs w:val="26"/>
              </w:rPr>
              <w:t>拟</w:t>
            </w:r>
            <w:r>
              <w:rPr>
                <w:rFonts w:hint="eastAsia"/>
                <w:color w:val="auto"/>
                <w:sz w:val="26"/>
                <w:szCs w:val="26"/>
              </w:rPr>
              <w:t>建项目产生的废水</w:t>
            </w:r>
            <w:r>
              <w:rPr>
                <w:rFonts w:hint="eastAsia"/>
                <w:color w:val="auto"/>
                <w:sz w:val="26"/>
                <w:szCs w:val="26"/>
                <w:lang w:val="en-US" w:eastAsia="zh-CN"/>
              </w:rPr>
              <w:t>主要</w:t>
            </w:r>
            <w:r>
              <w:rPr>
                <w:rFonts w:hint="eastAsia"/>
                <w:color w:val="auto"/>
                <w:sz w:val="26"/>
                <w:szCs w:val="26"/>
              </w:rPr>
              <w:t>为生活污水</w:t>
            </w:r>
            <w:r>
              <w:rPr>
                <w:rFonts w:hint="eastAsia"/>
                <w:color w:val="auto"/>
                <w:sz w:val="26"/>
                <w:szCs w:val="26"/>
                <w:lang w:val="en-US" w:eastAsia="zh-CN"/>
              </w:rPr>
              <w:t>及循环水排水</w:t>
            </w:r>
            <w:r>
              <w:rPr>
                <w:rFonts w:hint="eastAsia"/>
                <w:color w:val="auto"/>
                <w:sz w:val="26"/>
                <w:szCs w:val="26"/>
              </w:rPr>
              <w:t>，污染物种类和浓度和现有项目一致，项目依托现有的污水处理设施可进行</w:t>
            </w:r>
            <w:r>
              <w:rPr>
                <w:color w:val="auto"/>
                <w:sz w:val="26"/>
                <w:szCs w:val="26"/>
              </w:rPr>
              <w:t>COD、SS</w:t>
            </w:r>
            <w:r>
              <w:rPr>
                <w:rFonts w:hint="eastAsia"/>
                <w:color w:val="auto"/>
                <w:sz w:val="26"/>
                <w:szCs w:val="26"/>
              </w:rPr>
              <w:t>、BOD</w:t>
            </w:r>
            <w:r>
              <w:rPr>
                <w:rFonts w:hint="eastAsia"/>
                <w:color w:val="auto"/>
                <w:sz w:val="26"/>
                <w:szCs w:val="26"/>
                <w:vertAlign w:val="subscript"/>
              </w:rPr>
              <w:t>5</w:t>
            </w:r>
            <w:r>
              <w:rPr>
                <w:rFonts w:hint="eastAsia"/>
                <w:color w:val="auto"/>
                <w:sz w:val="26"/>
                <w:szCs w:val="26"/>
              </w:rPr>
              <w:t>、氨氮、动植物油的有效去除，出水可以达标排入污水处理厂。</w:t>
            </w:r>
          </w:p>
          <w:p w14:paraId="5E899E3D">
            <w:pPr>
              <w:pStyle w:val="136"/>
              <w:spacing w:line="460" w:lineRule="exact"/>
              <w:ind w:firstLine="520"/>
              <w:rPr>
                <w:color w:val="auto"/>
                <w:sz w:val="26"/>
                <w:szCs w:val="26"/>
              </w:rPr>
            </w:pPr>
            <w:r>
              <w:rPr>
                <w:rFonts w:hint="eastAsia"/>
                <w:color w:val="auto"/>
                <w:sz w:val="26"/>
                <w:szCs w:val="26"/>
              </w:rPr>
              <w:t>③依托污水处理厂可行性分析</w:t>
            </w:r>
          </w:p>
          <w:p w14:paraId="49F92B16">
            <w:pPr>
              <w:pStyle w:val="136"/>
              <w:spacing w:line="460" w:lineRule="exact"/>
              <w:ind w:firstLine="520"/>
              <w:rPr>
                <w:color w:val="auto"/>
                <w:sz w:val="26"/>
                <w:szCs w:val="26"/>
              </w:rPr>
            </w:pPr>
            <w:r>
              <w:rPr>
                <w:rFonts w:hint="eastAsia"/>
                <w:color w:val="auto"/>
                <w:sz w:val="26"/>
                <w:szCs w:val="26"/>
              </w:rPr>
              <w:t>陶家工业污水处理厂，设计处理能力为5000m</w:t>
            </w:r>
            <w:r>
              <w:rPr>
                <w:rFonts w:hint="eastAsia"/>
                <w:color w:val="auto"/>
                <w:sz w:val="26"/>
                <w:szCs w:val="26"/>
                <w:vertAlign w:val="superscript"/>
              </w:rPr>
              <w:t>3</w:t>
            </w:r>
            <w:r>
              <w:rPr>
                <w:rFonts w:hint="eastAsia"/>
                <w:color w:val="auto"/>
                <w:sz w:val="26"/>
                <w:szCs w:val="26"/>
              </w:rPr>
              <w:t>/d，污水主要为原九龙园区C区工业区废水。陶家工业污水处理厂处理后废水达标排入杨柳曲河，排入杨柳曲河后经0.05km汇入大溪河，3.7km汇入长江。目前污水处理厂正常运行，</w:t>
            </w:r>
            <w:r>
              <w:rPr>
                <w:color w:val="auto"/>
                <w:sz w:val="26"/>
                <w:szCs w:val="26"/>
              </w:rPr>
              <w:t>出水</w:t>
            </w:r>
            <w:r>
              <w:rPr>
                <w:rFonts w:hint="eastAsia"/>
                <w:color w:val="auto"/>
                <w:sz w:val="26"/>
                <w:szCs w:val="26"/>
              </w:rPr>
              <w:t>COD、NH</w:t>
            </w:r>
            <w:r>
              <w:rPr>
                <w:rFonts w:hint="eastAsia"/>
                <w:color w:val="auto"/>
                <w:sz w:val="26"/>
                <w:szCs w:val="26"/>
                <w:vertAlign w:val="subscript"/>
              </w:rPr>
              <w:t>3</w:t>
            </w:r>
            <w:r>
              <w:rPr>
                <w:rFonts w:hint="eastAsia"/>
                <w:color w:val="auto"/>
                <w:sz w:val="26"/>
                <w:szCs w:val="26"/>
              </w:rPr>
              <w:t>-N等主要指标能稳定达《地表水环境质量标准》（GB3838-2002）IV类标准，BOD</w:t>
            </w:r>
            <w:r>
              <w:rPr>
                <w:rFonts w:hint="eastAsia"/>
                <w:color w:val="auto"/>
                <w:sz w:val="26"/>
                <w:szCs w:val="26"/>
                <w:vertAlign w:val="subscript"/>
              </w:rPr>
              <w:t>5</w:t>
            </w:r>
            <w:r>
              <w:rPr>
                <w:rFonts w:hint="eastAsia"/>
                <w:color w:val="auto"/>
                <w:sz w:val="26"/>
                <w:szCs w:val="26"/>
              </w:rPr>
              <w:t>、SS、动植物油达《城镇污水处理厂污染物排放标准》（GB18918-2002）一级A标准。</w:t>
            </w:r>
          </w:p>
          <w:p w14:paraId="3CC0D8FE">
            <w:pPr>
              <w:pStyle w:val="136"/>
              <w:spacing w:line="460" w:lineRule="exact"/>
              <w:ind w:firstLine="520"/>
              <w:rPr>
                <w:color w:val="auto"/>
                <w:sz w:val="26"/>
                <w:szCs w:val="26"/>
              </w:rPr>
            </w:pPr>
            <w:r>
              <w:rPr>
                <w:rFonts w:hint="eastAsia"/>
                <w:color w:val="auto"/>
                <w:sz w:val="26"/>
                <w:szCs w:val="26"/>
              </w:rPr>
              <w:t>陶家工业污水处理厂主要针对</w:t>
            </w:r>
            <w:r>
              <w:rPr>
                <w:rFonts w:hint="eastAsia"/>
                <w:bCs/>
                <w:color w:val="auto"/>
                <w:spacing w:val="-6"/>
                <w:sz w:val="26"/>
                <w:szCs w:val="26"/>
              </w:rPr>
              <w:t>陶家组团内工业区废水</w:t>
            </w:r>
            <w:r>
              <w:rPr>
                <w:rFonts w:hint="eastAsia"/>
                <w:color w:val="auto"/>
                <w:sz w:val="26"/>
                <w:szCs w:val="26"/>
              </w:rPr>
              <w:t>进行设计。园区入驻企业不涉及造纸、印染、化工、化学原料药、排放重金属以及存在严重环境安全风险的项目，本废水排放量较小，水质较简单（主要为COD、氨氮、SS等），不会对污水处理厂工艺造成冲击。</w:t>
            </w:r>
          </w:p>
          <w:p w14:paraId="20BD6A2C">
            <w:pPr>
              <w:pStyle w:val="82"/>
              <w:spacing w:line="460" w:lineRule="exact"/>
              <w:ind w:firstLine="520"/>
              <w:rPr>
                <w:color w:val="auto"/>
                <w:szCs w:val="26"/>
              </w:rPr>
            </w:pPr>
            <w:r>
              <w:rPr>
                <w:rFonts w:hint="eastAsia"/>
                <w:color w:val="auto"/>
                <w:szCs w:val="26"/>
              </w:rPr>
              <w:t>拟建项目位于重庆市九龙坡区西彭工业园区陶家组团，在</w:t>
            </w:r>
            <w:r>
              <w:rPr>
                <w:rFonts w:hint="eastAsia"/>
                <w:color w:val="auto"/>
                <w:kern w:val="0"/>
                <w:szCs w:val="26"/>
              </w:rPr>
              <w:t>陶家工业污水处理厂</w:t>
            </w:r>
            <w:r>
              <w:rPr>
                <w:rFonts w:hint="eastAsia"/>
                <w:color w:val="auto"/>
                <w:szCs w:val="26"/>
              </w:rPr>
              <w:t>服务范围内且所在片区污水管网已接通，目前</w:t>
            </w:r>
            <w:r>
              <w:rPr>
                <w:color w:val="auto"/>
                <w:szCs w:val="26"/>
              </w:rPr>
              <w:t>污水处理厂处理后的废水</w:t>
            </w:r>
            <w:r>
              <w:rPr>
                <w:rFonts w:hint="eastAsia"/>
                <w:color w:val="auto"/>
                <w:szCs w:val="26"/>
              </w:rPr>
              <w:t>能</w:t>
            </w:r>
            <w:r>
              <w:rPr>
                <w:color w:val="auto"/>
                <w:szCs w:val="26"/>
              </w:rPr>
              <w:t>稳定达标排放</w:t>
            </w:r>
            <w:r>
              <w:rPr>
                <w:rFonts w:hint="eastAsia"/>
                <w:color w:val="auto"/>
                <w:szCs w:val="26"/>
              </w:rPr>
              <w:t>。拟建项目产生的污水主要污染物为COD、BOD</w:t>
            </w:r>
            <w:r>
              <w:rPr>
                <w:rFonts w:hint="eastAsia"/>
                <w:color w:val="auto"/>
                <w:szCs w:val="26"/>
                <w:vertAlign w:val="subscript"/>
              </w:rPr>
              <w:t>5</w:t>
            </w:r>
            <w:r>
              <w:rPr>
                <w:rFonts w:hint="eastAsia"/>
                <w:color w:val="auto"/>
                <w:szCs w:val="26"/>
              </w:rPr>
              <w:t>、SS、氨氮、动植物油，不产生</w:t>
            </w:r>
            <w:r>
              <w:rPr>
                <w:color w:val="auto"/>
                <w:szCs w:val="26"/>
              </w:rPr>
              <w:t>有毒有害的特征水污染物</w:t>
            </w:r>
            <w:r>
              <w:rPr>
                <w:rFonts w:hint="eastAsia"/>
                <w:color w:val="auto"/>
                <w:szCs w:val="26"/>
              </w:rPr>
              <w:t>，</w:t>
            </w:r>
            <w:r>
              <w:rPr>
                <w:rFonts w:hint="eastAsia"/>
                <w:color w:val="auto"/>
                <w:kern w:val="0"/>
                <w:szCs w:val="26"/>
              </w:rPr>
              <w:t>陶家工业污水处理厂</w:t>
            </w:r>
            <w:r>
              <w:rPr>
                <w:rFonts w:hint="eastAsia"/>
                <w:color w:val="auto"/>
                <w:szCs w:val="26"/>
              </w:rPr>
              <w:t>能</w:t>
            </w:r>
            <w:r>
              <w:rPr>
                <w:color w:val="auto"/>
                <w:szCs w:val="26"/>
              </w:rPr>
              <w:t>满足</w:t>
            </w:r>
            <w:r>
              <w:rPr>
                <w:rFonts w:hint="eastAsia"/>
                <w:color w:val="auto"/>
                <w:szCs w:val="26"/>
              </w:rPr>
              <w:t>项目</w:t>
            </w:r>
            <w:r>
              <w:rPr>
                <w:color w:val="auto"/>
                <w:szCs w:val="26"/>
              </w:rPr>
              <w:t>依托的环境可行性要求。</w:t>
            </w:r>
          </w:p>
          <w:p w14:paraId="25A34612">
            <w:pPr>
              <w:pStyle w:val="82"/>
              <w:ind w:firstLine="522"/>
              <w:rPr>
                <w:b/>
                <w:bCs w:val="0"/>
                <w:color w:val="auto"/>
                <w:szCs w:val="26"/>
              </w:rPr>
            </w:pPr>
            <w:r>
              <w:rPr>
                <w:rFonts w:hint="eastAsia"/>
                <w:b/>
                <w:bCs w:val="0"/>
                <w:color w:val="auto"/>
                <w:szCs w:val="26"/>
              </w:rPr>
              <w:t>4</w:t>
            </w:r>
            <w:r>
              <w:rPr>
                <w:b/>
                <w:bCs w:val="0"/>
                <w:color w:val="auto"/>
                <w:szCs w:val="26"/>
              </w:rPr>
              <w:t>.2.3</w:t>
            </w:r>
            <w:r>
              <w:rPr>
                <w:rFonts w:hint="eastAsia"/>
                <w:b/>
                <w:bCs w:val="0"/>
                <w:color w:val="auto"/>
                <w:szCs w:val="26"/>
              </w:rPr>
              <w:t>声环境影响分析</w:t>
            </w:r>
          </w:p>
          <w:p w14:paraId="716127B8">
            <w:pPr>
              <w:pStyle w:val="19"/>
              <w:adjustRightInd w:val="0"/>
              <w:snapToGrid w:val="0"/>
              <w:spacing w:line="460" w:lineRule="exact"/>
              <w:ind w:firstLine="522"/>
              <w:rPr>
                <w:rFonts w:ascii="Times New Roman" w:hAnsi="Times New Roman" w:cs="Times New Roman"/>
                <w:color w:val="auto"/>
                <w:kern w:val="0"/>
                <w:sz w:val="26"/>
                <w:szCs w:val="26"/>
              </w:rPr>
            </w:pPr>
            <w:r>
              <w:rPr>
                <w:rFonts w:hint="eastAsia" w:ascii="Times New Roman" w:hAnsi="Times New Roman" w:cs="Times New Roman"/>
                <w:color w:val="auto"/>
                <w:kern w:val="0"/>
                <w:sz w:val="26"/>
                <w:szCs w:val="26"/>
              </w:rPr>
              <w:t>（1）</w:t>
            </w:r>
            <w:r>
              <w:rPr>
                <w:rFonts w:hint="eastAsia"/>
                <w:color w:val="auto"/>
                <w:sz w:val="26"/>
                <w:szCs w:val="26"/>
              </w:rPr>
              <w:t>噪声源强分析</w:t>
            </w:r>
          </w:p>
          <w:p w14:paraId="0DA4886E">
            <w:pPr>
              <w:pStyle w:val="19"/>
              <w:adjustRightInd w:val="0"/>
              <w:snapToGrid w:val="0"/>
              <w:spacing w:line="460" w:lineRule="exact"/>
              <w:ind w:firstLine="522"/>
              <w:rPr>
                <w:rFonts w:ascii="Times New Roman" w:hAnsi="Times New Roman" w:cs="Times New Roman"/>
                <w:color w:val="auto"/>
                <w:kern w:val="0"/>
                <w:sz w:val="26"/>
                <w:szCs w:val="26"/>
              </w:rPr>
            </w:pPr>
            <w:r>
              <w:rPr>
                <w:rFonts w:hint="eastAsia" w:ascii="Times New Roman" w:hAnsi="Times New Roman"/>
                <w:color w:val="auto"/>
                <w:sz w:val="26"/>
                <w:szCs w:val="26"/>
              </w:rPr>
              <w:t>根据声源分布情况及场址所在地环境状况，按《环境影响评价技术导则声环境》（HJ2.4-2021）进行噪声源强调查。</w:t>
            </w:r>
            <w:r>
              <w:rPr>
                <w:rFonts w:hint="eastAsia" w:ascii="Times New Roman" w:hAnsi="Times New Roman" w:cs="Times New Roman"/>
                <w:color w:val="auto"/>
                <w:kern w:val="0"/>
                <w:sz w:val="26"/>
                <w:szCs w:val="26"/>
              </w:rPr>
              <w:t>本项目噪声设备主要为空压机、增压机</w:t>
            </w:r>
            <w:r>
              <w:rPr>
                <w:rFonts w:hint="eastAsia" w:ascii="Times New Roman" w:hAnsi="Times New Roman" w:cs="Times New Roman"/>
                <w:color w:val="auto"/>
                <w:kern w:val="0"/>
                <w:sz w:val="26"/>
                <w:szCs w:val="26"/>
                <w:lang w:val="en-US" w:eastAsia="zh-CN"/>
              </w:rPr>
              <w:t>、压缩机</w:t>
            </w:r>
            <w:r>
              <w:rPr>
                <w:rFonts w:hint="eastAsia" w:ascii="Times New Roman" w:hAnsi="Times New Roman" w:cs="Times New Roman"/>
                <w:color w:val="auto"/>
                <w:kern w:val="0"/>
                <w:sz w:val="26"/>
                <w:szCs w:val="26"/>
              </w:rPr>
              <w:t>等，噪声源强约为</w:t>
            </w:r>
            <w:r>
              <w:rPr>
                <w:rFonts w:hint="eastAsia" w:ascii="Times New Roman" w:hAnsi="Times New Roman" w:cs="Times New Roman"/>
                <w:color w:val="auto"/>
                <w:kern w:val="0"/>
                <w:sz w:val="26"/>
                <w:szCs w:val="26"/>
                <w:lang w:val="en-US" w:eastAsia="zh-CN"/>
              </w:rPr>
              <w:t>75~</w:t>
            </w:r>
            <w:r>
              <w:rPr>
                <w:rFonts w:hint="eastAsia" w:ascii="Times New Roman" w:hAnsi="Times New Roman" w:cs="Times New Roman"/>
                <w:color w:val="auto"/>
                <w:kern w:val="0"/>
                <w:sz w:val="26"/>
                <w:szCs w:val="26"/>
              </w:rPr>
              <w:t>85dB(</w:t>
            </w:r>
            <w:r>
              <w:rPr>
                <w:rFonts w:ascii="Times New Roman" w:hAnsi="Times New Roman" w:cs="Times New Roman"/>
                <w:color w:val="auto"/>
                <w:kern w:val="0"/>
                <w:sz w:val="26"/>
                <w:szCs w:val="26"/>
              </w:rPr>
              <w:t>A)</w:t>
            </w:r>
            <w:r>
              <w:rPr>
                <w:rFonts w:hint="eastAsia" w:ascii="Times New Roman" w:hAnsi="Times New Roman" w:cs="Times New Roman"/>
                <w:color w:val="auto"/>
                <w:kern w:val="0"/>
                <w:sz w:val="26"/>
                <w:szCs w:val="26"/>
              </w:rPr>
              <w:t>，通过采取基础减振、厂房隔声等措施减小噪声污染，降噪声效果一般为15 dB(A)左右。</w:t>
            </w:r>
            <w:r>
              <w:rPr>
                <w:rFonts w:hint="eastAsia" w:ascii="Times New Roman" w:hAnsi="Times New Roman"/>
                <w:color w:val="auto"/>
                <w:sz w:val="26"/>
                <w:szCs w:val="26"/>
              </w:rPr>
              <w:t>本项目噪声污染源强调查清单见表4.2-</w:t>
            </w:r>
            <w:r>
              <w:rPr>
                <w:rFonts w:hint="eastAsia" w:ascii="Times New Roman" w:hAnsi="Times New Roman"/>
                <w:color w:val="auto"/>
                <w:sz w:val="26"/>
                <w:szCs w:val="26"/>
                <w:lang w:val="en-US" w:eastAsia="zh-CN"/>
              </w:rPr>
              <w:t>12</w:t>
            </w:r>
            <w:r>
              <w:rPr>
                <w:rFonts w:hint="eastAsia" w:ascii="Times New Roman" w:hAnsi="Times New Roman"/>
                <w:color w:val="auto"/>
                <w:sz w:val="26"/>
                <w:szCs w:val="26"/>
              </w:rPr>
              <w:t>。</w:t>
            </w:r>
          </w:p>
          <w:p w14:paraId="57F60218">
            <w:pPr>
              <w:adjustRightInd w:val="0"/>
              <w:snapToGrid w:val="0"/>
              <w:spacing w:line="460" w:lineRule="exact"/>
              <w:rPr>
                <w:color w:val="auto"/>
                <w:sz w:val="26"/>
                <w:szCs w:val="26"/>
              </w:rPr>
            </w:pPr>
          </w:p>
        </w:tc>
      </w:tr>
    </w:tbl>
    <w:p w14:paraId="1A90537E">
      <w:pPr>
        <w:rPr>
          <w:color w:val="auto"/>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664ABEB3">
      <w:pPr>
        <w:spacing w:line="500" w:lineRule="exact"/>
        <w:ind w:firstLine="520" w:firstLineChars="200"/>
        <w:jc w:val="center"/>
        <w:rPr>
          <w:rFonts w:hint="eastAsia" w:cs="宋体"/>
          <w:color w:val="auto"/>
          <w:sz w:val="26"/>
          <w:szCs w:val="26"/>
        </w:rPr>
      </w:pPr>
      <w:r>
        <w:rPr>
          <w:rFonts w:hint="eastAsia" w:cs="宋体"/>
          <w:color w:val="auto"/>
          <w:sz w:val="26"/>
          <w:szCs w:val="26"/>
        </w:rPr>
        <w:t>表4.2-</w:t>
      </w:r>
      <w:r>
        <w:rPr>
          <w:rFonts w:hint="eastAsia" w:cs="宋体"/>
          <w:color w:val="auto"/>
          <w:sz w:val="26"/>
          <w:szCs w:val="26"/>
          <w:lang w:val="en-US" w:eastAsia="zh-CN"/>
        </w:rPr>
        <w:t xml:space="preserve">12  </w:t>
      </w:r>
      <w:r>
        <w:rPr>
          <w:rFonts w:hint="eastAsia" w:cs="宋体"/>
          <w:color w:val="auto"/>
          <w:sz w:val="26"/>
          <w:szCs w:val="26"/>
        </w:rPr>
        <w:t>本项目噪声源强调查清单（室内）</w:t>
      </w:r>
    </w:p>
    <w:p w14:paraId="3CA9B9EF">
      <w:pPr>
        <w:pStyle w:val="38"/>
        <w:rPr>
          <w:rFonts w:hint="eastAsia"/>
          <w:color w:val="auto"/>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1"/>
        <w:gridCol w:w="771"/>
        <w:gridCol w:w="907"/>
        <w:gridCol w:w="519"/>
        <w:gridCol w:w="1406"/>
        <w:gridCol w:w="1075"/>
        <w:gridCol w:w="992"/>
        <w:gridCol w:w="739"/>
        <w:gridCol w:w="577"/>
        <w:gridCol w:w="761"/>
        <w:gridCol w:w="508"/>
        <w:gridCol w:w="450"/>
        <w:gridCol w:w="496"/>
        <w:gridCol w:w="646"/>
        <w:gridCol w:w="623"/>
        <w:gridCol w:w="693"/>
        <w:gridCol w:w="680"/>
        <w:gridCol w:w="647"/>
        <w:gridCol w:w="357"/>
      </w:tblGrid>
      <w:tr w14:paraId="58E830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 w:type="pct"/>
            <w:vMerge w:val="restart"/>
            <w:noWrap w:val="0"/>
            <w:vAlign w:val="center"/>
          </w:tcPr>
          <w:p w14:paraId="6E25A5DD">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序号</w:t>
            </w:r>
          </w:p>
        </w:tc>
        <w:tc>
          <w:tcPr>
            <w:tcW w:w="291" w:type="pct"/>
            <w:vMerge w:val="restart"/>
            <w:noWrap w:val="0"/>
            <w:vAlign w:val="center"/>
          </w:tcPr>
          <w:p w14:paraId="7800C828">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建筑物名称</w:t>
            </w:r>
          </w:p>
        </w:tc>
        <w:tc>
          <w:tcPr>
            <w:tcW w:w="342" w:type="pct"/>
            <w:vMerge w:val="restart"/>
            <w:noWrap w:val="0"/>
            <w:vAlign w:val="center"/>
          </w:tcPr>
          <w:p w14:paraId="03137D40">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声源名称</w:t>
            </w:r>
          </w:p>
        </w:tc>
        <w:tc>
          <w:tcPr>
            <w:tcW w:w="196" w:type="pct"/>
            <w:vMerge w:val="restart"/>
            <w:noWrap w:val="0"/>
            <w:vAlign w:val="center"/>
          </w:tcPr>
          <w:p w14:paraId="1E55F0A5">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r>
              <w:rPr>
                <w:rFonts w:hint="default" w:ascii="Times New Roman" w:hAnsi="Times New Roman" w:eastAsia="宋体" w:cs="Times New Roman"/>
                <w:b w:val="0"/>
                <w:bCs w:val="0"/>
                <w:color w:val="auto"/>
                <w:sz w:val="22"/>
                <w:szCs w:val="22"/>
                <w:lang w:val="en-US" w:eastAsia="zh-CN"/>
              </w:rPr>
              <w:t>设备数量</w:t>
            </w:r>
          </w:p>
        </w:tc>
        <w:tc>
          <w:tcPr>
            <w:tcW w:w="531" w:type="pct"/>
            <w:vMerge w:val="restart"/>
            <w:noWrap w:val="0"/>
            <w:vAlign w:val="center"/>
          </w:tcPr>
          <w:p w14:paraId="5368A8FC">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（声压级/距声源距离）/（dB(A)/m）)</w:t>
            </w:r>
          </w:p>
        </w:tc>
        <w:tc>
          <w:tcPr>
            <w:tcW w:w="406" w:type="pct"/>
            <w:vMerge w:val="restart"/>
            <w:noWrap w:val="0"/>
            <w:vAlign w:val="center"/>
          </w:tcPr>
          <w:p w14:paraId="40605C13">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声源控制措施</w:t>
            </w:r>
          </w:p>
        </w:tc>
        <w:tc>
          <w:tcPr>
            <w:tcW w:w="374" w:type="pct"/>
            <w:vMerge w:val="restart"/>
            <w:noWrap w:val="0"/>
            <w:vAlign w:val="center"/>
          </w:tcPr>
          <w:p w14:paraId="4F7F1884">
            <w:pPr>
              <w:pStyle w:val="41"/>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b w:val="0"/>
                <w:bCs w:val="0"/>
                <w:color w:val="auto"/>
                <w:sz w:val="22"/>
                <w:szCs w:val="22"/>
                <w:lang w:eastAsia="zh-CN"/>
              </w:rPr>
            </w:pPr>
            <w:r>
              <w:rPr>
                <w:rFonts w:hint="eastAsia" w:ascii="Times New Roman" w:hAnsi="Times New Roman" w:eastAsia="宋体" w:cs="Times New Roman"/>
                <w:b w:val="0"/>
                <w:bCs w:val="0"/>
                <w:color w:val="auto"/>
                <w:sz w:val="22"/>
                <w:szCs w:val="22"/>
                <w:lang w:eastAsia="zh-CN"/>
              </w:rPr>
              <w:t>建筑物插入损失</w:t>
            </w:r>
            <w:r>
              <w:rPr>
                <w:rFonts w:hint="eastAsia" w:ascii="Times New Roman" w:hAnsi="Times New Roman" w:eastAsia="宋体" w:cs="Times New Roman"/>
                <w:b w:val="0"/>
                <w:bCs w:val="0"/>
                <w:color w:val="auto"/>
                <w:sz w:val="22"/>
                <w:szCs w:val="22"/>
                <w:lang w:val="en-US" w:eastAsia="zh-CN"/>
              </w:rPr>
              <w:t>/</w:t>
            </w:r>
            <w:r>
              <w:rPr>
                <w:rFonts w:hint="eastAsia" w:ascii="Times New Roman" w:hAnsi="Times New Roman" w:eastAsia="宋体" w:cs="Times New Roman"/>
                <w:b w:val="0"/>
                <w:bCs w:val="0"/>
                <w:color w:val="auto"/>
                <w:sz w:val="22"/>
                <w:szCs w:val="22"/>
                <w:lang w:eastAsia="zh-CN"/>
              </w:rPr>
              <w:t>dB(A)</w:t>
            </w:r>
          </w:p>
        </w:tc>
        <w:tc>
          <w:tcPr>
            <w:tcW w:w="785" w:type="pct"/>
            <w:gridSpan w:val="3"/>
            <w:noWrap w:val="0"/>
            <w:vAlign w:val="center"/>
          </w:tcPr>
          <w:p w14:paraId="765F628B">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空间相对位置/m</w:t>
            </w:r>
          </w:p>
        </w:tc>
        <w:tc>
          <w:tcPr>
            <w:tcW w:w="793" w:type="pct"/>
            <w:gridSpan w:val="4"/>
            <w:noWrap w:val="0"/>
            <w:vAlign w:val="center"/>
          </w:tcPr>
          <w:p w14:paraId="7F32A16E">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距室内边界距离/m</w:t>
            </w:r>
          </w:p>
        </w:tc>
        <w:tc>
          <w:tcPr>
            <w:tcW w:w="999" w:type="pct"/>
            <w:gridSpan w:val="4"/>
            <w:noWrap w:val="0"/>
            <w:vAlign w:val="center"/>
          </w:tcPr>
          <w:p w14:paraId="66637028">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室内边界声级 /dB(A)</w:t>
            </w:r>
          </w:p>
        </w:tc>
        <w:tc>
          <w:tcPr>
            <w:tcW w:w="134" w:type="pct"/>
            <w:vMerge w:val="restart"/>
            <w:noWrap w:val="0"/>
            <w:vAlign w:val="center"/>
          </w:tcPr>
          <w:p w14:paraId="413EE672">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运行时段</w:t>
            </w:r>
          </w:p>
        </w:tc>
      </w:tr>
      <w:tr w14:paraId="15F214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 w:type="pct"/>
            <w:vMerge w:val="continue"/>
            <w:noWrap w:val="0"/>
            <w:vAlign w:val="center"/>
          </w:tcPr>
          <w:p w14:paraId="6710EEBD">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291" w:type="pct"/>
            <w:vMerge w:val="continue"/>
            <w:noWrap w:val="0"/>
            <w:vAlign w:val="center"/>
          </w:tcPr>
          <w:p w14:paraId="512133F2">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342" w:type="pct"/>
            <w:vMerge w:val="continue"/>
            <w:noWrap w:val="0"/>
            <w:vAlign w:val="center"/>
          </w:tcPr>
          <w:p w14:paraId="7F5ACF43">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196" w:type="pct"/>
            <w:vMerge w:val="continue"/>
            <w:noWrap w:val="0"/>
            <w:vAlign w:val="center"/>
          </w:tcPr>
          <w:p w14:paraId="671A9E72">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531" w:type="pct"/>
            <w:vMerge w:val="continue"/>
            <w:noWrap w:val="0"/>
            <w:vAlign w:val="center"/>
          </w:tcPr>
          <w:p w14:paraId="09AE4512">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406" w:type="pct"/>
            <w:vMerge w:val="continue"/>
            <w:noWrap w:val="0"/>
            <w:vAlign w:val="center"/>
          </w:tcPr>
          <w:p w14:paraId="735B4CED">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374" w:type="pct"/>
            <w:vMerge w:val="continue"/>
            <w:noWrap w:val="0"/>
            <w:vAlign w:val="center"/>
          </w:tcPr>
          <w:p w14:paraId="3C018670">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279" w:type="pct"/>
            <w:noWrap w:val="0"/>
            <w:vAlign w:val="center"/>
          </w:tcPr>
          <w:p w14:paraId="6DDC13B7">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X</w:t>
            </w:r>
          </w:p>
        </w:tc>
        <w:tc>
          <w:tcPr>
            <w:tcW w:w="218" w:type="pct"/>
            <w:noWrap w:val="0"/>
            <w:vAlign w:val="center"/>
          </w:tcPr>
          <w:p w14:paraId="238610CC">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Y</w:t>
            </w:r>
          </w:p>
        </w:tc>
        <w:tc>
          <w:tcPr>
            <w:tcW w:w="287" w:type="pct"/>
            <w:noWrap w:val="0"/>
            <w:vAlign w:val="center"/>
          </w:tcPr>
          <w:p w14:paraId="33980256">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Z</w:t>
            </w:r>
          </w:p>
        </w:tc>
        <w:tc>
          <w:tcPr>
            <w:tcW w:w="192" w:type="pct"/>
            <w:noWrap w:val="0"/>
            <w:vAlign w:val="center"/>
          </w:tcPr>
          <w:p w14:paraId="560E4D12">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东</w:t>
            </w:r>
          </w:p>
        </w:tc>
        <w:tc>
          <w:tcPr>
            <w:tcW w:w="170" w:type="pct"/>
            <w:noWrap w:val="0"/>
            <w:vAlign w:val="center"/>
          </w:tcPr>
          <w:p w14:paraId="6DF2F1B5">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南</w:t>
            </w:r>
          </w:p>
        </w:tc>
        <w:tc>
          <w:tcPr>
            <w:tcW w:w="187" w:type="pct"/>
            <w:noWrap w:val="0"/>
            <w:vAlign w:val="center"/>
          </w:tcPr>
          <w:p w14:paraId="00CC87B2">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西</w:t>
            </w:r>
          </w:p>
        </w:tc>
        <w:tc>
          <w:tcPr>
            <w:tcW w:w="244" w:type="pct"/>
            <w:noWrap w:val="0"/>
            <w:vAlign w:val="center"/>
          </w:tcPr>
          <w:p w14:paraId="4FF9ACE5">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北</w:t>
            </w:r>
          </w:p>
        </w:tc>
        <w:tc>
          <w:tcPr>
            <w:tcW w:w="235" w:type="pct"/>
            <w:noWrap w:val="0"/>
            <w:vAlign w:val="center"/>
          </w:tcPr>
          <w:p w14:paraId="01806FBE">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东</w:t>
            </w:r>
          </w:p>
        </w:tc>
        <w:tc>
          <w:tcPr>
            <w:tcW w:w="261" w:type="pct"/>
            <w:noWrap w:val="0"/>
            <w:vAlign w:val="center"/>
          </w:tcPr>
          <w:p w14:paraId="5AAD6700">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南</w:t>
            </w:r>
          </w:p>
        </w:tc>
        <w:tc>
          <w:tcPr>
            <w:tcW w:w="257" w:type="pct"/>
            <w:noWrap w:val="0"/>
            <w:vAlign w:val="center"/>
          </w:tcPr>
          <w:p w14:paraId="2D757299">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西</w:t>
            </w:r>
          </w:p>
        </w:tc>
        <w:tc>
          <w:tcPr>
            <w:tcW w:w="244" w:type="pct"/>
            <w:noWrap w:val="0"/>
            <w:vAlign w:val="center"/>
          </w:tcPr>
          <w:p w14:paraId="25C4B32A">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北</w:t>
            </w:r>
          </w:p>
        </w:tc>
        <w:tc>
          <w:tcPr>
            <w:tcW w:w="134" w:type="pct"/>
            <w:vMerge w:val="continue"/>
            <w:noWrap w:val="0"/>
            <w:vAlign w:val="center"/>
          </w:tcPr>
          <w:p w14:paraId="1CC7366E">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r>
      <w:tr w14:paraId="3A5634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 w:type="pct"/>
            <w:vMerge w:val="restart"/>
            <w:noWrap w:val="0"/>
            <w:vAlign w:val="center"/>
          </w:tcPr>
          <w:p w14:paraId="6E9DC46D">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1</w:t>
            </w:r>
          </w:p>
        </w:tc>
        <w:tc>
          <w:tcPr>
            <w:tcW w:w="291" w:type="pct"/>
            <w:vMerge w:val="restart"/>
            <w:noWrap w:val="0"/>
            <w:vAlign w:val="center"/>
          </w:tcPr>
          <w:p w14:paraId="059AFB2E">
            <w:pPr>
              <w:pStyle w:val="41"/>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060车间（</w:t>
            </w:r>
            <w:r>
              <w:rPr>
                <w:rFonts w:hint="eastAsia" w:cs="Times New Roman"/>
                <w:color w:val="auto"/>
                <w:sz w:val="22"/>
                <w:szCs w:val="22"/>
                <w:lang w:val="en-US" w:eastAsia="zh-CN"/>
              </w:rPr>
              <w:t>东地块</w:t>
            </w:r>
            <w:r>
              <w:rPr>
                <w:rFonts w:hint="eastAsia"/>
                <w:color w:val="auto"/>
                <w:lang w:eastAsia="zh-CN"/>
              </w:rPr>
              <w:t>）</w:t>
            </w:r>
          </w:p>
        </w:tc>
        <w:tc>
          <w:tcPr>
            <w:tcW w:w="342" w:type="pct"/>
            <w:noWrap w:val="0"/>
            <w:vAlign w:val="center"/>
          </w:tcPr>
          <w:p w14:paraId="566038D0">
            <w:pPr>
              <w:keepNext w:val="0"/>
              <w:keepLines w:val="0"/>
              <w:widowControl/>
              <w:suppressLineNumbers w:val="0"/>
              <w:jc w:val="center"/>
              <w:textAlignment w:val="center"/>
              <w:rPr>
                <w:rFonts w:hint="default" w:ascii="Times New Roman" w:hAnsi="Times New Roman" w:eastAsia="宋体" w:cs="Times New Roman"/>
                <w:b w:val="0"/>
                <w:bCs w:val="0"/>
                <w:color w:val="auto"/>
                <w:sz w:val="22"/>
                <w:szCs w:val="22"/>
              </w:rPr>
            </w:pPr>
            <w:r>
              <w:rPr>
                <w:rFonts w:hint="eastAsia" w:ascii="宋体" w:hAnsi="宋体" w:eastAsia="宋体" w:cs="宋体"/>
                <w:i w:val="0"/>
                <w:iCs w:val="0"/>
                <w:color w:val="auto"/>
                <w:kern w:val="0"/>
                <w:sz w:val="22"/>
                <w:szCs w:val="22"/>
                <w:u w:val="none"/>
                <w:lang w:val="en-US" w:eastAsia="zh-CN" w:bidi="ar"/>
              </w:rPr>
              <w:t>空压机</w:t>
            </w:r>
          </w:p>
        </w:tc>
        <w:tc>
          <w:tcPr>
            <w:tcW w:w="196" w:type="pct"/>
            <w:noWrap w:val="0"/>
            <w:vAlign w:val="center"/>
          </w:tcPr>
          <w:p w14:paraId="3AC894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Times New Roman" w:hAnsi="Times New Roman" w:eastAsia="宋体" w:cs="Times New Roman"/>
                <w:b w:val="0"/>
                <w:bCs w:val="0"/>
                <w:i w:val="0"/>
                <w:iCs w:val="0"/>
                <w:color w:val="auto"/>
                <w:kern w:val="0"/>
                <w:sz w:val="22"/>
                <w:szCs w:val="22"/>
                <w:u w:val="none"/>
                <w:lang w:val="en-US" w:eastAsia="zh-CN" w:bidi="ar"/>
              </w:rPr>
              <w:t>1</w:t>
            </w:r>
          </w:p>
        </w:tc>
        <w:tc>
          <w:tcPr>
            <w:tcW w:w="531" w:type="pct"/>
            <w:noWrap w:val="0"/>
            <w:vAlign w:val="center"/>
          </w:tcPr>
          <w:p w14:paraId="2E0E9657">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default" w:ascii="Times New Roman" w:hAnsi="Times New Roman" w:cs="Times New Roman"/>
                <w:b w:val="0"/>
                <w:bCs w:val="0"/>
                <w:color w:val="auto"/>
                <w:sz w:val="22"/>
                <w:szCs w:val="22"/>
              </w:rPr>
              <w:t>8</w:t>
            </w:r>
            <w:r>
              <w:rPr>
                <w:rFonts w:hint="eastAsia" w:cs="Times New Roman"/>
                <w:b w:val="0"/>
                <w:bCs w:val="0"/>
                <w:color w:val="auto"/>
                <w:sz w:val="22"/>
                <w:szCs w:val="22"/>
                <w:lang w:val="en-US" w:eastAsia="zh-CN"/>
              </w:rPr>
              <w:t>5</w:t>
            </w:r>
            <w:r>
              <w:rPr>
                <w:rFonts w:hint="default" w:ascii="Times New Roman" w:hAnsi="Times New Roman" w:cs="Times New Roman"/>
                <w:b w:val="0"/>
                <w:bCs w:val="0"/>
                <w:color w:val="auto"/>
                <w:sz w:val="22"/>
                <w:szCs w:val="22"/>
                <w:lang w:val="en-US" w:eastAsia="zh-CN"/>
              </w:rPr>
              <w:t>/1</w:t>
            </w:r>
          </w:p>
        </w:tc>
        <w:tc>
          <w:tcPr>
            <w:tcW w:w="406" w:type="pct"/>
            <w:vMerge w:val="restart"/>
            <w:noWrap w:val="0"/>
            <w:vAlign w:val="center"/>
          </w:tcPr>
          <w:p w14:paraId="442BEB44">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z w:val="22"/>
                <w:szCs w:val="22"/>
              </w:rPr>
              <w:t>主要通过选用低噪声设备，利用建筑隔声，采取减震措施来进行降噪。</w:t>
            </w:r>
          </w:p>
        </w:tc>
        <w:tc>
          <w:tcPr>
            <w:tcW w:w="374" w:type="pct"/>
            <w:noWrap w:val="0"/>
            <w:vAlign w:val="center"/>
          </w:tcPr>
          <w:p w14:paraId="4720A163">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cs="Times New Roman"/>
                <w:b w:val="0"/>
                <w:bCs w:val="0"/>
                <w:color w:val="auto"/>
                <w:sz w:val="22"/>
                <w:szCs w:val="22"/>
                <w:lang w:val="en-US" w:eastAsia="zh-CN"/>
              </w:rPr>
            </w:pPr>
            <w:r>
              <w:rPr>
                <w:rFonts w:hint="eastAsia" w:cs="Times New Roman"/>
                <w:b w:val="0"/>
                <w:bCs w:val="0"/>
                <w:color w:val="auto"/>
                <w:sz w:val="22"/>
                <w:szCs w:val="22"/>
                <w:lang w:val="en-US" w:eastAsia="zh-CN"/>
              </w:rPr>
              <w:t>15</w:t>
            </w:r>
          </w:p>
        </w:tc>
        <w:tc>
          <w:tcPr>
            <w:tcW w:w="279" w:type="pct"/>
            <w:noWrap w:val="0"/>
            <w:vAlign w:val="center"/>
          </w:tcPr>
          <w:p w14:paraId="213A14D5">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-117</w:t>
            </w:r>
          </w:p>
        </w:tc>
        <w:tc>
          <w:tcPr>
            <w:tcW w:w="218" w:type="pct"/>
            <w:noWrap w:val="0"/>
            <w:vAlign w:val="center"/>
          </w:tcPr>
          <w:p w14:paraId="258E7713">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-78</w:t>
            </w:r>
            <w:r>
              <w:rPr>
                <w:rFonts w:hint="eastAsia" w:ascii="Times New Roman" w:hAnsi="Times New Roman" w:eastAsia="宋体" w:cs="Times New Roman"/>
                <w:b w:val="0"/>
                <w:bCs w:val="0"/>
                <w:color w:val="auto"/>
                <w:sz w:val="22"/>
                <w:szCs w:val="22"/>
                <w:lang w:val="en-US" w:eastAsia="zh-CN"/>
              </w:rPr>
              <w:t xml:space="preserve"> </w:t>
            </w:r>
          </w:p>
        </w:tc>
        <w:tc>
          <w:tcPr>
            <w:tcW w:w="287" w:type="pct"/>
            <w:noWrap w:val="0"/>
            <w:vAlign w:val="center"/>
          </w:tcPr>
          <w:p w14:paraId="3EC1E041">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ascii="Times New Roman" w:hAnsi="Times New Roman" w:eastAsia="宋体" w:cs="Times New Roman"/>
                <w:b w:val="0"/>
                <w:bCs w:val="0"/>
                <w:color w:val="auto"/>
                <w:sz w:val="22"/>
                <w:szCs w:val="22"/>
                <w:lang w:val="en-US" w:eastAsia="zh-CN"/>
              </w:rPr>
              <w:t>1</w:t>
            </w:r>
            <w:r>
              <w:rPr>
                <w:rFonts w:hint="eastAsia" w:cs="Times New Roman"/>
                <w:b w:val="0"/>
                <w:bCs w:val="0"/>
                <w:color w:val="auto"/>
                <w:sz w:val="22"/>
                <w:szCs w:val="22"/>
                <w:lang w:val="en-US" w:eastAsia="zh-CN"/>
              </w:rPr>
              <w:t>8</w:t>
            </w:r>
          </w:p>
        </w:tc>
        <w:tc>
          <w:tcPr>
            <w:tcW w:w="192" w:type="pct"/>
            <w:noWrap w:val="0"/>
            <w:vAlign w:val="center"/>
          </w:tcPr>
          <w:p w14:paraId="1389DFB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77</w:t>
            </w:r>
          </w:p>
        </w:tc>
        <w:tc>
          <w:tcPr>
            <w:tcW w:w="170" w:type="pct"/>
            <w:noWrap w:val="0"/>
            <w:vAlign w:val="center"/>
          </w:tcPr>
          <w:p w14:paraId="2468D8A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23</w:t>
            </w:r>
          </w:p>
        </w:tc>
        <w:tc>
          <w:tcPr>
            <w:tcW w:w="187" w:type="pct"/>
            <w:noWrap w:val="0"/>
            <w:vAlign w:val="center"/>
          </w:tcPr>
          <w:p w14:paraId="4A50EED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8</w:t>
            </w:r>
          </w:p>
        </w:tc>
        <w:tc>
          <w:tcPr>
            <w:tcW w:w="244" w:type="pct"/>
            <w:noWrap w:val="0"/>
            <w:vAlign w:val="center"/>
          </w:tcPr>
          <w:p w14:paraId="054635E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179</w:t>
            </w:r>
          </w:p>
        </w:tc>
        <w:tc>
          <w:tcPr>
            <w:tcW w:w="235" w:type="pct"/>
            <w:noWrap w:val="0"/>
            <w:vAlign w:val="center"/>
          </w:tcPr>
          <w:p w14:paraId="2CDA6A0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47.3</w:t>
            </w:r>
          </w:p>
        </w:tc>
        <w:tc>
          <w:tcPr>
            <w:tcW w:w="261" w:type="pct"/>
            <w:noWrap w:val="0"/>
            <w:vAlign w:val="center"/>
          </w:tcPr>
          <w:p w14:paraId="33AF5C6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57.8</w:t>
            </w:r>
          </w:p>
        </w:tc>
        <w:tc>
          <w:tcPr>
            <w:tcW w:w="257" w:type="pct"/>
            <w:noWrap w:val="0"/>
            <w:vAlign w:val="center"/>
          </w:tcPr>
          <w:p w14:paraId="75A2B85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66.9</w:t>
            </w:r>
          </w:p>
        </w:tc>
        <w:tc>
          <w:tcPr>
            <w:tcW w:w="244" w:type="pct"/>
            <w:noWrap w:val="0"/>
            <w:vAlign w:val="center"/>
          </w:tcPr>
          <w:p w14:paraId="16C467C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39.9</w:t>
            </w:r>
          </w:p>
        </w:tc>
        <w:tc>
          <w:tcPr>
            <w:tcW w:w="134" w:type="pct"/>
            <w:vMerge w:val="restart"/>
            <w:noWrap w:val="0"/>
            <w:vAlign w:val="center"/>
          </w:tcPr>
          <w:p w14:paraId="23E1F445">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16</w:t>
            </w:r>
            <w:r>
              <w:rPr>
                <w:rFonts w:hint="eastAsia" w:ascii="Times New Roman" w:hAnsi="Times New Roman" w:eastAsia="宋体" w:cs="Times New Roman"/>
                <w:b w:val="0"/>
                <w:bCs w:val="0"/>
                <w:color w:val="auto"/>
                <w:sz w:val="22"/>
                <w:szCs w:val="22"/>
                <w:lang w:val="en-US" w:eastAsia="zh-CN"/>
              </w:rPr>
              <w:t>h/d</w:t>
            </w:r>
          </w:p>
        </w:tc>
      </w:tr>
      <w:tr w14:paraId="3E1DA4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 w:type="pct"/>
            <w:vMerge w:val="continue"/>
            <w:noWrap w:val="0"/>
            <w:vAlign w:val="center"/>
          </w:tcPr>
          <w:p w14:paraId="2763C5B3">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291" w:type="pct"/>
            <w:vMerge w:val="continue"/>
            <w:noWrap w:val="0"/>
            <w:vAlign w:val="center"/>
          </w:tcPr>
          <w:p w14:paraId="311C81C3">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p>
        </w:tc>
        <w:tc>
          <w:tcPr>
            <w:tcW w:w="342" w:type="pct"/>
            <w:noWrap w:val="0"/>
            <w:vAlign w:val="center"/>
          </w:tcPr>
          <w:p w14:paraId="031FA0E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增压机</w:t>
            </w:r>
          </w:p>
        </w:tc>
        <w:tc>
          <w:tcPr>
            <w:tcW w:w="196" w:type="pct"/>
            <w:noWrap w:val="0"/>
            <w:vAlign w:val="center"/>
          </w:tcPr>
          <w:p w14:paraId="087EB2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Times New Roman" w:hAnsi="Times New Roman" w:eastAsia="宋体" w:cs="Times New Roman"/>
                <w:b w:val="0"/>
                <w:bCs w:val="0"/>
                <w:i w:val="0"/>
                <w:iCs w:val="0"/>
                <w:color w:val="auto"/>
                <w:kern w:val="0"/>
                <w:sz w:val="22"/>
                <w:szCs w:val="22"/>
                <w:u w:val="none"/>
                <w:lang w:val="en-US" w:eastAsia="zh-CN" w:bidi="ar"/>
              </w:rPr>
              <w:t>1</w:t>
            </w:r>
          </w:p>
        </w:tc>
        <w:tc>
          <w:tcPr>
            <w:tcW w:w="531" w:type="pct"/>
            <w:noWrap w:val="0"/>
            <w:vAlign w:val="center"/>
          </w:tcPr>
          <w:p w14:paraId="478EA80C">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8</w:t>
            </w:r>
            <w:r>
              <w:rPr>
                <w:rFonts w:hint="eastAsia" w:cs="Times New Roman"/>
                <w:b w:val="0"/>
                <w:bCs w:val="0"/>
                <w:color w:val="auto"/>
                <w:sz w:val="22"/>
                <w:szCs w:val="22"/>
                <w:lang w:val="en-US" w:eastAsia="zh-CN"/>
              </w:rPr>
              <w:t>5</w:t>
            </w:r>
            <w:r>
              <w:rPr>
                <w:rFonts w:hint="default" w:ascii="Times New Roman" w:hAnsi="Times New Roman" w:cs="Times New Roman"/>
                <w:b w:val="0"/>
                <w:bCs w:val="0"/>
                <w:color w:val="auto"/>
                <w:sz w:val="22"/>
                <w:szCs w:val="22"/>
                <w:lang w:val="en-US" w:eastAsia="zh-CN"/>
              </w:rPr>
              <w:t>/1</w:t>
            </w:r>
          </w:p>
        </w:tc>
        <w:tc>
          <w:tcPr>
            <w:tcW w:w="406" w:type="pct"/>
            <w:vMerge w:val="continue"/>
            <w:noWrap w:val="0"/>
            <w:vAlign w:val="center"/>
          </w:tcPr>
          <w:p w14:paraId="04FCC6E4">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374" w:type="pct"/>
            <w:noWrap w:val="0"/>
            <w:vAlign w:val="center"/>
          </w:tcPr>
          <w:p w14:paraId="16B9FCC6">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cs="Times New Roman"/>
                <w:b w:val="0"/>
                <w:bCs w:val="0"/>
                <w:color w:val="auto"/>
                <w:sz w:val="22"/>
                <w:szCs w:val="22"/>
                <w:lang w:val="en-US" w:eastAsia="zh-CN"/>
              </w:rPr>
            </w:pPr>
            <w:r>
              <w:rPr>
                <w:rFonts w:hint="eastAsia" w:cs="Times New Roman"/>
                <w:b w:val="0"/>
                <w:bCs w:val="0"/>
                <w:color w:val="auto"/>
                <w:sz w:val="22"/>
                <w:szCs w:val="22"/>
                <w:lang w:val="en-US" w:eastAsia="zh-CN"/>
              </w:rPr>
              <w:t>15</w:t>
            </w:r>
          </w:p>
        </w:tc>
        <w:tc>
          <w:tcPr>
            <w:tcW w:w="279" w:type="pct"/>
            <w:noWrap w:val="0"/>
            <w:vAlign w:val="center"/>
          </w:tcPr>
          <w:p w14:paraId="5C4AE314">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-116</w:t>
            </w:r>
            <w:r>
              <w:rPr>
                <w:rFonts w:hint="eastAsia" w:ascii="Times New Roman" w:hAnsi="Times New Roman" w:eastAsia="宋体" w:cs="Times New Roman"/>
                <w:b w:val="0"/>
                <w:bCs w:val="0"/>
                <w:color w:val="auto"/>
                <w:sz w:val="22"/>
                <w:szCs w:val="22"/>
                <w:lang w:val="en-US" w:eastAsia="zh-CN"/>
              </w:rPr>
              <w:t xml:space="preserve"> </w:t>
            </w:r>
          </w:p>
        </w:tc>
        <w:tc>
          <w:tcPr>
            <w:tcW w:w="218" w:type="pct"/>
            <w:noWrap w:val="0"/>
            <w:vAlign w:val="center"/>
          </w:tcPr>
          <w:p w14:paraId="11107C6F">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-71</w:t>
            </w:r>
          </w:p>
        </w:tc>
        <w:tc>
          <w:tcPr>
            <w:tcW w:w="287" w:type="pct"/>
            <w:noWrap w:val="0"/>
            <w:vAlign w:val="center"/>
          </w:tcPr>
          <w:p w14:paraId="13F4F4F9">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ascii="Times New Roman" w:hAnsi="Times New Roman" w:eastAsia="宋体" w:cs="Times New Roman"/>
                <w:b w:val="0"/>
                <w:bCs w:val="0"/>
                <w:color w:val="auto"/>
                <w:sz w:val="22"/>
                <w:szCs w:val="22"/>
                <w:lang w:val="en-US" w:eastAsia="zh-CN"/>
              </w:rPr>
              <w:t>1</w:t>
            </w:r>
            <w:r>
              <w:rPr>
                <w:rFonts w:hint="eastAsia" w:cs="Times New Roman"/>
                <w:b w:val="0"/>
                <w:bCs w:val="0"/>
                <w:color w:val="auto"/>
                <w:sz w:val="22"/>
                <w:szCs w:val="22"/>
                <w:lang w:val="en-US" w:eastAsia="zh-CN"/>
              </w:rPr>
              <w:t>8</w:t>
            </w:r>
          </w:p>
        </w:tc>
        <w:tc>
          <w:tcPr>
            <w:tcW w:w="192" w:type="pct"/>
            <w:noWrap w:val="0"/>
            <w:vAlign w:val="center"/>
          </w:tcPr>
          <w:p w14:paraId="3774AFB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75</w:t>
            </w:r>
          </w:p>
        </w:tc>
        <w:tc>
          <w:tcPr>
            <w:tcW w:w="170" w:type="pct"/>
            <w:noWrap w:val="0"/>
            <w:vAlign w:val="center"/>
          </w:tcPr>
          <w:p w14:paraId="0425619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21</w:t>
            </w:r>
          </w:p>
        </w:tc>
        <w:tc>
          <w:tcPr>
            <w:tcW w:w="187" w:type="pct"/>
            <w:noWrap w:val="0"/>
            <w:vAlign w:val="center"/>
          </w:tcPr>
          <w:p w14:paraId="260CE69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10</w:t>
            </w:r>
          </w:p>
        </w:tc>
        <w:tc>
          <w:tcPr>
            <w:tcW w:w="244" w:type="pct"/>
            <w:noWrap w:val="0"/>
            <w:vAlign w:val="center"/>
          </w:tcPr>
          <w:p w14:paraId="31B34A0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181</w:t>
            </w:r>
          </w:p>
        </w:tc>
        <w:tc>
          <w:tcPr>
            <w:tcW w:w="235" w:type="pct"/>
            <w:noWrap w:val="0"/>
            <w:vAlign w:val="center"/>
          </w:tcPr>
          <w:p w14:paraId="2917A5F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47.5</w:t>
            </w:r>
          </w:p>
        </w:tc>
        <w:tc>
          <w:tcPr>
            <w:tcW w:w="261" w:type="pct"/>
            <w:noWrap w:val="0"/>
            <w:vAlign w:val="center"/>
          </w:tcPr>
          <w:p w14:paraId="3B62F15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58.6</w:t>
            </w:r>
          </w:p>
        </w:tc>
        <w:tc>
          <w:tcPr>
            <w:tcW w:w="257" w:type="pct"/>
            <w:noWrap w:val="0"/>
            <w:vAlign w:val="center"/>
          </w:tcPr>
          <w:p w14:paraId="657FFCC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65.0</w:t>
            </w:r>
          </w:p>
        </w:tc>
        <w:tc>
          <w:tcPr>
            <w:tcW w:w="244" w:type="pct"/>
            <w:noWrap w:val="0"/>
            <w:vAlign w:val="center"/>
          </w:tcPr>
          <w:p w14:paraId="5A4082D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39.8</w:t>
            </w:r>
          </w:p>
        </w:tc>
        <w:tc>
          <w:tcPr>
            <w:tcW w:w="134" w:type="pct"/>
            <w:vMerge w:val="continue"/>
            <w:noWrap w:val="0"/>
            <w:vAlign w:val="center"/>
          </w:tcPr>
          <w:p w14:paraId="44291D37">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p>
        </w:tc>
      </w:tr>
      <w:tr w14:paraId="27055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 w:type="pct"/>
            <w:vMerge w:val="restart"/>
            <w:noWrap w:val="0"/>
            <w:vAlign w:val="center"/>
          </w:tcPr>
          <w:p w14:paraId="0AF038AC">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2</w:t>
            </w:r>
          </w:p>
        </w:tc>
        <w:tc>
          <w:tcPr>
            <w:tcW w:w="291" w:type="pct"/>
            <w:vMerge w:val="restart"/>
            <w:noWrap w:val="0"/>
            <w:vAlign w:val="center"/>
          </w:tcPr>
          <w:p w14:paraId="65BCEDD6">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071车间（</w:t>
            </w:r>
            <w:r>
              <w:rPr>
                <w:rFonts w:hint="eastAsia" w:cs="Times New Roman"/>
                <w:color w:val="auto"/>
                <w:sz w:val="22"/>
                <w:szCs w:val="22"/>
                <w:lang w:val="en-US" w:eastAsia="zh-CN"/>
              </w:rPr>
              <w:t>西地块</w:t>
            </w:r>
            <w:r>
              <w:rPr>
                <w:rFonts w:hint="eastAsia" w:cs="Times New Roman"/>
                <w:b w:val="0"/>
                <w:bCs w:val="0"/>
                <w:color w:val="auto"/>
                <w:sz w:val="22"/>
                <w:szCs w:val="22"/>
                <w:lang w:val="en-US" w:eastAsia="zh-CN"/>
              </w:rPr>
              <w:t>）</w:t>
            </w:r>
          </w:p>
        </w:tc>
        <w:tc>
          <w:tcPr>
            <w:tcW w:w="342" w:type="pct"/>
            <w:noWrap w:val="0"/>
            <w:vAlign w:val="center"/>
          </w:tcPr>
          <w:p w14:paraId="670F96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涡旋式</w:t>
            </w:r>
          </w:p>
          <w:p w14:paraId="790314F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压缩机</w:t>
            </w:r>
          </w:p>
        </w:tc>
        <w:tc>
          <w:tcPr>
            <w:tcW w:w="196" w:type="pct"/>
            <w:noWrap w:val="0"/>
            <w:vAlign w:val="center"/>
          </w:tcPr>
          <w:p w14:paraId="4C3D38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Times New Roman" w:hAnsi="Times New Roman" w:eastAsia="宋体" w:cs="Times New Roman"/>
                <w:b w:val="0"/>
                <w:bCs w:val="0"/>
                <w:i w:val="0"/>
                <w:iCs w:val="0"/>
                <w:color w:val="auto"/>
                <w:kern w:val="0"/>
                <w:sz w:val="22"/>
                <w:szCs w:val="22"/>
                <w:u w:val="none"/>
                <w:lang w:val="en-US" w:eastAsia="zh-CN" w:bidi="ar"/>
              </w:rPr>
              <w:t>1</w:t>
            </w:r>
          </w:p>
        </w:tc>
        <w:tc>
          <w:tcPr>
            <w:tcW w:w="531" w:type="pct"/>
            <w:noWrap w:val="0"/>
            <w:vAlign w:val="center"/>
          </w:tcPr>
          <w:p w14:paraId="72DD59E6">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80</w:t>
            </w:r>
            <w:r>
              <w:rPr>
                <w:rFonts w:hint="default" w:ascii="Times New Roman" w:hAnsi="Times New Roman" w:cs="Times New Roman"/>
                <w:b w:val="0"/>
                <w:bCs w:val="0"/>
                <w:color w:val="auto"/>
                <w:sz w:val="22"/>
                <w:szCs w:val="22"/>
                <w:lang w:val="en-US" w:eastAsia="zh-CN"/>
              </w:rPr>
              <w:t>/1</w:t>
            </w:r>
          </w:p>
        </w:tc>
        <w:tc>
          <w:tcPr>
            <w:tcW w:w="406" w:type="pct"/>
            <w:vMerge w:val="continue"/>
            <w:noWrap w:val="0"/>
            <w:vAlign w:val="center"/>
          </w:tcPr>
          <w:p w14:paraId="217EC572">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374" w:type="pct"/>
            <w:noWrap w:val="0"/>
            <w:vAlign w:val="center"/>
          </w:tcPr>
          <w:p w14:paraId="61BEA24E">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cs="Times New Roman"/>
                <w:b w:val="0"/>
                <w:bCs w:val="0"/>
                <w:color w:val="auto"/>
                <w:sz w:val="22"/>
                <w:szCs w:val="22"/>
                <w:lang w:val="en-US" w:eastAsia="zh-CN"/>
              </w:rPr>
            </w:pPr>
            <w:r>
              <w:rPr>
                <w:rFonts w:hint="eastAsia" w:cs="Times New Roman"/>
                <w:b w:val="0"/>
                <w:bCs w:val="0"/>
                <w:color w:val="auto"/>
                <w:sz w:val="22"/>
                <w:szCs w:val="22"/>
                <w:lang w:val="en-US" w:eastAsia="zh-CN"/>
              </w:rPr>
              <w:t>15</w:t>
            </w:r>
          </w:p>
        </w:tc>
        <w:tc>
          <w:tcPr>
            <w:tcW w:w="279" w:type="pct"/>
            <w:noWrap w:val="0"/>
            <w:vAlign w:val="center"/>
          </w:tcPr>
          <w:p w14:paraId="4793294C">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25</w:t>
            </w:r>
          </w:p>
        </w:tc>
        <w:tc>
          <w:tcPr>
            <w:tcW w:w="218" w:type="pct"/>
            <w:noWrap w:val="0"/>
            <w:vAlign w:val="center"/>
          </w:tcPr>
          <w:p w14:paraId="217E7881">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115</w:t>
            </w:r>
            <w:r>
              <w:rPr>
                <w:rFonts w:hint="eastAsia" w:ascii="Times New Roman" w:hAnsi="Times New Roman" w:eastAsia="宋体" w:cs="Times New Roman"/>
                <w:b w:val="0"/>
                <w:bCs w:val="0"/>
                <w:color w:val="auto"/>
                <w:sz w:val="22"/>
                <w:szCs w:val="22"/>
                <w:lang w:val="en-US" w:eastAsia="zh-CN"/>
              </w:rPr>
              <w:t xml:space="preserve"> </w:t>
            </w:r>
          </w:p>
        </w:tc>
        <w:tc>
          <w:tcPr>
            <w:tcW w:w="287" w:type="pct"/>
            <w:noWrap w:val="0"/>
            <w:vAlign w:val="center"/>
          </w:tcPr>
          <w:p w14:paraId="37FF19C4">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ascii="Times New Roman" w:hAnsi="Times New Roman" w:eastAsia="宋体" w:cs="Times New Roman"/>
                <w:b w:val="0"/>
                <w:bCs w:val="0"/>
                <w:color w:val="auto"/>
                <w:sz w:val="22"/>
                <w:szCs w:val="22"/>
                <w:lang w:val="en-US" w:eastAsia="zh-CN"/>
              </w:rPr>
              <w:t>1</w:t>
            </w:r>
            <w:r>
              <w:rPr>
                <w:rFonts w:hint="eastAsia" w:cs="Times New Roman"/>
                <w:b w:val="0"/>
                <w:bCs w:val="0"/>
                <w:color w:val="auto"/>
                <w:sz w:val="22"/>
                <w:szCs w:val="22"/>
                <w:lang w:val="en-US" w:eastAsia="zh-CN"/>
              </w:rPr>
              <w:t>2</w:t>
            </w:r>
          </w:p>
        </w:tc>
        <w:tc>
          <w:tcPr>
            <w:tcW w:w="192" w:type="pct"/>
            <w:noWrap w:val="0"/>
            <w:vAlign w:val="center"/>
          </w:tcPr>
          <w:p w14:paraId="0A4882A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58</w:t>
            </w:r>
          </w:p>
        </w:tc>
        <w:tc>
          <w:tcPr>
            <w:tcW w:w="170" w:type="pct"/>
            <w:noWrap w:val="0"/>
            <w:vAlign w:val="center"/>
          </w:tcPr>
          <w:p w14:paraId="367016F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91</w:t>
            </w:r>
          </w:p>
        </w:tc>
        <w:tc>
          <w:tcPr>
            <w:tcW w:w="187" w:type="pct"/>
            <w:noWrap w:val="0"/>
            <w:vAlign w:val="center"/>
          </w:tcPr>
          <w:p w14:paraId="0377E36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35</w:t>
            </w:r>
          </w:p>
        </w:tc>
        <w:tc>
          <w:tcPr>
            <w:tcW w:w="244" w:type="pct"/>
            <w:noWrap w:val="0"/>
            <w:vAlign w:val="center"/>
          </w:tcPr>
          <w:p w14:paraId="2D015E8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22</w:t>
            </w:r>
          </w:p>
        </w:tc>
        <w:tc>
          <w:tcPr>
            <w:tcW w:w="235" w:type="pct"/>
            <w:noWrap w:val="0"/>
            <w:vAlign w:val="center"/>
          </w:tcPr>
          <w:p w14:paraId="4585AD5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44.7</w:t>
            </w:r>
          </w:p>
        </w:tc>
        <w:tc>
          <w:tcPr>
            <w:tcW w:w="261" w:type="pct"/>
            <w:noWrap w:val="0"/>
            <w:vAlign w:val="center"/>
          </w:tcPr>
          <w:p w14:paraId="3806293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40.8</w:t>
            </w:r>
          </w:p>
        </w:tc>
        <w:tc>
          <w:tcPr>
            <w:tcW w:w="257" w:type="pct"/>
            <w:noWrap w:val="0"/>
            <w:vAlign w:val="center"/>
          </w:tcPr>
          <w:p w14:paraId="2580F2F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49.1</w:t>
            </w:r>
          </w:p>
        </w:tc>
        <w:tc>
          <w:tcPr>
            <w:tcW w:w="244" w:type="pct"/>
            <w:noWrap w:val="0"/>
            <w:vAlign w:val="center"/>
          </w:tcPr>
          <w:p w14:paraId="62994C3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53.2</w:t>
            </w:r>
          </w:p>
        </w:tc>
        <w:tc>
          <w:tcPr>
            <w:tcW w:w="134" w:type="pct"/>
            <w:vMerge w:val="continue"/>
            <w:noWrap w:val="0"/>
            <w:vAlign w:val="center"/>
          </w:tcPr>
          <w:p w14:paraId="17596624">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p>
        </w:tc>
      </w:tr>
      <w:tr w14:paraId="76C093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 w:type="pct"/>
            <w:vMerge w:val="continue"/>
            <w:noWrap w:val="0"/>
            <w:vAlign w:val="center"/>
          </w:tcPr>
          <w:p w14:paraId="38397229">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p>
        </w:tc>
        <w:tc>
          <w:tcPr>
            <w:tcW w:w="291" w:type="pct"/>
            <w:vMerge w:val="continue"/>
            <w:noWrap w:val="0"/>
            <w:vAlign w:val="center"/>
          </w:tcPr>
          <w:p w14:paraId="64A2757C">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p>
        </w:tc>
        <w:tc>
          <w:tcPr>
            <w:tcW w:w="342" w:type="pct"/>
            <w:noWrap w:val="0"/>
            <w:vAlign w:val="center"/>
          </w:tcPr>
          <w:p w14:paraId="4F53AC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涡旋式</w:t>
            </w:r>
          </w:p>
          <w:p w14:paraId="12F8F23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压缩机</w:t>
            </w:r>
          </w:p>
        </w:tc>
        <w:tc>
          <w:tcPr>
            <w:tcW w:w="196" w:type="pct"/>
            <w:noWrap w:val="0"/>
            <w:vAlign w:val="center"/>
          </w:tcPr>
          <w:p w14:paraId="242322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Times New Roman" w:hAnsi="Times New Roman" w:eastAsia="宋体" w:cs="Times New Roman"/>
                <w:b w:val="0"/>
                <w:bCs w:val="0"/>
                <w:i w:val="0"/>
                <w:iCs w:val="0"/>
                <w:color w:val="auto"/>
                <w:kern w:val="0"/>
                <w:sz w:val="22"/>
                <w:szCs w:val="22"/>
                <w:u w:val="none"/>
                <w:lang w:val="en-US" w:eastAsia="zh-CN" w:bidi="ar"/>
              </w:rPr>
              <w:t>1</w:t>
            </w:r>
          </w:p>
        </w:tc>
        <w:tc>
          <w:tcPr>
            <w:tcW w:w="531" w:type="pct"/>
            <w:noWrap w:val="0"/>
            <w:vAlign w:val="center"/>
          </w:tcPr>
          <w:p w14:paraId="79502F92">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80</w:t>
            </w:r>
            <w:r>
              <w:rPr>
                <w:rFonts w:hint="default" w:ascii="Times New Roman" w:hAnsi="Times New Roman" w:cs="Times New Roman"/>
                <w:b w:val="0"/>
                <w:bCs w:val="0"/>
                <w:color w:val="auto"/>
                <w:sz w:val="22"/>
                <w:szCs w:val="22"/>
                <w:lang w:val="en-US" w:eastAsia="zh-CN"/>
              </w:rPr>
              <w:t>/1</w:t>
            </w:r>
          </w:p>
        </w:tc>
        <w:tc>
          <w:tcPr>
            <w:tcW w:w="406" w:type="pct"/>
            <w:vMerge w:val="continue"/>
            <w:noWrap w:val="0"/>
            <w:vAlign w:val="center"/>
          </w:tcPr>
          <w:p w14:paraId="0DA63F15">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374" w:type="pct"/>
            <w:noWrap w:val="0"/>
            <w:vAlign w:val="center"/>
          </w:tcPr>
          <w:p w14:paraId="6F75A7C2">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cs="Times New Roman"/>
                <w:b w:val="0"/>
                <w:bCs w:val="0"/>
                <w:color w:val="auto"/>
                <w:sz w:val="22"/>
                <w:szCs w:val="22"/>
                <w:lang w:val="en-US" w:eastAsia="zh-CN"/>
              </w:rPr>
            </w:pPr>
            <w:r>
              <w:rPr>
                <w:rFonts w:hint="eastAsia" w:cs="Times New Roman"/>
                <w:b w:val="0"/>
                <w:bCs w:val="0"/>
                <w:color w:val="auto"/>
                <w:sz w:val="22"/>
                <w:szCs w:val="22"/>
                <w:lang w:val="en-US" w:eastAsia="zh-CN"/>
              </w:rPr>
              <w:t>15</w:t>
            </w:r>
          </w:p>
        </w:tc>
        <w:tc>
          <w:tcPr>
            <w:tcW w:w="279" w:type="pct"/>
            <w:noWrap w:val="0"/>
            <w:vAlign w:val="center"/>
          </w:tcPr>
          <w:p w14:paraId="6CB34783">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30</w:t>
            </w:r>
            <w:r>
              <w:rPr>
                <w:rFonts w:hint="eastAsia" w:ascii="Times New Roman" w:hAnsi="Times New Roman" w:eastAsia="宋体" w:cs="Times New Roman"/>
                <w:b w:val="0"/>
                <w:bCs w:val="0"/>
                <w:color w:val="auto"/>
                <w:sz w:val="22"/>
                <w:szCs w:val="22"/>
                <w:lang w:val="en-US" w:eastAsia="zh-CN"/>
              </w:rPr>
              <w:t xml:space="preserve"> </w:t>
            </w:r>
          </w:p>
        </w:tc>
        <w:tc>
          <w:tcPr>
            <w:tcW w:w="218" w:type="pct"/>
            <w:noWrap w:val="0"/>
            <w:vAlign w:val="center"/>
          </w:tcPr>
          <w:p w14:paraId="49450171">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122</w:t>
            </w:r>
            <w:r>
              <w:rPr>
                <w:rFonts w:hint="eastAsia" w:ascii="Times New Roman" w:hAnsi="Times New Roman" w:eastAsia="宋体" w:cs="Times New Roman"/>
                <w:b w:val="0"/>
                <w:bCs w:val="0"/>
                <w:color w:val="auto"/>
                <w:sz w:val="22"/>
                <w:szCs w:val="22"/>
                <w:lang w:val="en-US" w:eastAsia="zh-CN"/>
              </w:rPr>
              <w:t xml:space="preserve"> </w:t>
            </w:r>
          </w:p>
        </w:tc>
        <w:tc>
          <w:tcPr>
            <w:tcW w:w="287" w:type="pct"/>
            <w:noWrap w:val="0"/>
            <w:vAlign w:val="center"/>
          </w:tcPr>
          <w:p w14:paraId="0BC8AEC7">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ascii="Times New Roman" w:hAnsi="Times New Roman" w:eastAsia="宋体" w:cs="Times New Roman"/>
                <w:b w:val="0"/>
                <w:bCs w:val="0"/>
                <w:color w:val="auto"/>
                <w:sz w:val="22"/>
                <w:szCs w:val="22"/>
                <w:lang w:val="en-US" w:eastAsia="zh-CN"/>
              </w:rPr>
              <w:t>1</w:t>
            </w:r>
            <w:r>
              <w:rPr>
                <w:rFonts w:hint="eastAsia" w:cs="Times New Roman"/>
                <w:b w:val="0"/>
                <w:bCs w:val="0"/>
                <w:color w:val="auto"/>
                <w:sz w:val="22"/>
                <w:szCs w:val="22"/>
                <w:lang w:val="en-US" w:eastAsia="zh-CN"/>
              </w:rPr>
              <w:t>2</w:t>
            </w:r>
          </w:p>
        </w:tc>
        <w:tc>
          <w:tcPr>
            <w:tcW w:w="192" w:type="pct"/>
            <w:noWrap w:val="0"/>
            <w:vAlign w:val="center"/>
          </w:tcPr>
          <w:p w14:paraId="35BDAB9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73</w:t>
            </w:r>
          </w:p>
        </w:tc>
        <w:tc>
          <w:tcPr>
            <w:tcW w:w="170" w:type="pct"/>
            <w:noWrap w:val="0"/>
            <w:vAlign w:val="center"/>
          </w:tcPr>
          <w:p w14:paraId="4EAF764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77</w:t>
            </w:r>
          </w:p>
        </w:tc>
        <w:tc>
          <w:tcPr>
            <w:tcW w:w="187" w:type="pct"/>
            <w:noWrap w:val="0"/>
            <w:vAlign w:val="center"/>
          </w:tcPr>
          <w:p w14:paraId="52AA39A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20</w:t>
            </w:r>
          </w:p>
        </w:tc>
        <w:tc>
          <w:tcPr>
            <w:tcW w:w="244" w:type="pct"/>
            <w:noWrap w:val="0"/>
            <w:vAlign w:val="center"/>
          </w:tcPr>
          <w:p w14:paraId="47791CD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36</w:t>
            </w:r>
          </w:p>
        </w:tc>
        <w:tc>
          <w:tcPr>
            <w:tcW w:w="235" w:type="pct"/>
            <w:noWrap w:val="0"/>
            <w:vAlign w:val="center"/>
          </w:tcPr>
          <w:p w14:paraId="2E2DD12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42.7</w:t>
            </w:r>
          </w:p>
        </w:tc>
        <w:tc>
          <w:tcPr>
            <w:tcW w:w="261" w:type="pct"/>
            <w:noWrap w:val="0"/>
            <w:vAlign w:val="center"/>
          </w:tcPr>
          <w:p w14:paraId="6EC9249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42.3</w:t>
            </w:r>
          </w:p>
        </w:tc>
        <w:tc>
          <w:tcPr>
            <w:tcW w:w="257" w:type="pct"/>
            <w:noWrap w:val="0"/>
            <w:vAlign w:val="center"/>
          </w:tcPr>
          <w:p w14:paraId="58A1E85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54.0</w:t>
            </w:r>
          </w:p>
        </w:tc>
        <w:tc>
          <w:tcPr>
            <w:tcW w:w="244" w:type="pct"/>
            <w:noWrap w:val="0"/>
            <w:vAlign w:val="center"/>
          </w:tcPr>
          <w:p w14:paraId="63D4052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48.9</w:t>
            </w:r>
          </w:p>
        </w:tc>
        <w:tc>
          <w:tcPr>
            <w:tcW w:w="134" w:type="pct"/>
            <w:vMerge w:val="continue"/>
            <w:noWrap w:val="0"/>
            <w:vAlign w:val="center"/>
          </w:tcPr>
          <w:p w14:paraId="37DDEF0C">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p>
        </w:tc>
      </w:tr>
      <w:tr w14:paraId="21E10E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 w:type="pct"/>
            <w:vMerge w:val="continue"/>
            <w:noWrap w:val="0"/>
            <w:vAlign w:val="center"/>
          </w:tcPr>
          <w:p w14:paraId="6090B81A">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p>
        </w:tc>
        <w:tc>
          <w:tcPr>
            <w:tcW w:w="291" w:type="pct"/>
            <w:vMerge w:val="continue"/>
            <w:noWrap w:val="0"/>
            <w:vAlign w:val="center"/>
          </w:tcPr>
          <w:p w14:paraId="16D8A969">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p>
        </w:tc>
        <w:tc>
          <w:tcPr>
            <w:tcW w:w="342" w:type="pct"/>
            <w:noWrap w:val="0"/>
            <w:vAlign w:val="center"/>
          </w:tcPr>
          <w:p w14:paraId="053A70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涡旋式</w:t>
            </w:r>
          </w:p>
          <w:p w14:paraId="6915A81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压缩机</w:t>
            </w:r>
          </w:p>
        </w:tc>
        <w:tc>
          <w:tcPr>
            <w:tcW w:w="196" w:type="pct"/>
            <w:noWrap w:val="0"/>
            <w:vAlign w:val="center"/>
          </w:tcPr>
          <w:p w14:paraId="4925FD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Times New Roman" w:hAnsi="Times New Roman" w:eastAsia="宋体" w:cs="Times New Roman"/>
                <w:b w:val="0"/>
                <w:bCs w:val="0"/>
                <w:i w:val="0"/>
                <w:iCs w:val="0"/>
                <w:color w:val="auto"/>
                <w:kern w:val="0"/>
                <w:sz w:val="22"/>
                <w:szCs w:val="22"/>
                <w:u w:val="none"/>
                <w:lang w:val="en-US" w:eastAsia="zh-CN" w:bidi="ar"/>
              </w:rPr>
              <w:t>1</w:t>
            </w:r>
          </w:p>
        </w:tc>
        <w:tc>
          <w:tcPr>
            <w:tcW w:w="531" w:type="pct"/>
            <w:noWrap w:val="0"/>
            <w:vAlign w:val="center"/>
          </w:tcPr>
          <w:p w14:paraId="5F397119">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80</w:t>
            </w:r>
            <w:r>
              <w:rPr>
                <w:rFonts w:hint="default" w:ascii="Times New Roman" w:hAnsi="Times New Roman" w:cs="Times New Roman"/>
                <w:b w:val="0"/>
                <w:bCs w:val="0"/>
                <w:color w:val="auto"/>
                <w:sz w:val="22"/>
                <w:szCs w:val="22"/>
                <w:lang w:val="en-US" w:eastAsia="zh-CN"/>
              </w:rPr>
              <w:t>/1</w:t>
            </w:r>
          </w:p>
        </w:tc>
        <w:tc>
          <w:tcPr>
            <w:tcW w:w="406" w:type="pct"/>
            <w:vMerge w:val="continue"/>
            <w:noWrap w:val="0"/>
            <w:vAlign w:val="center"/>
          </w:tcPr>
          <w:p w14:paraId="655CA67C">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rPr>
            </w:pPr>
          </w:p>
        </w:tc>
        <w:tc>
          <w:tcPr>
            <w:tcW w:w="374" w:type="pct"/>
            <w:noWrap w:val="0"/>
            <w:vAlign w:val="center"/>
          </w:tcPr>
          <w:p w14:paraId="20DB38B1">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cs="Times New Roman"/>
                <w:b w:val="0"/>
                <w:bCs w:val="0"/>
                <w:color w:val="auto"/>
                <w:sz w:val="22"/>
                <w:szCs w:val="22"/>
                <w:lang w:val="en-US" w:eastAsia="zh-CN"/>
              </w:rPr>
            </w:pPr>
            <w:r>
              <w:rPr>
                <w:rFonts w:hint="eastAsia" w:cs="Times New Roman"/>
                <w:b w:val="0"/>
                <w:bCs w:val="0"/>
                <w:color w:val="auto"/>
                <w:sz w:val="22"/>
                <w:szCs w:val="22"/>
                <w:lang w:val="en-US" w:eastAsia="zh-CN"/>
              </w:rPr>
              <w:t>15</w:t>
            </w:r>
          </w:p>
        </w:tc>
        <w:tc>
          <w:tcPr>
            <w:tcW w:w="279" w:type="pct"/>
            <w:noWrap w:val="0"/>
            <w:vAlign w:val="center"/>
          </w:tcPr>
          <w:p w14:paraId="5474481F">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70</w:t>
            </w:r>
            <w:r>
              <w:rPr>
                <w:rFonts w:hint="eastAsia" w:ascii="Times New Roman" w:hAnsi="Times New Roman" w:eastAsia="宋体" w:cs="Times New Roman"/>
                <w:b w:val="0"/>
                <w:bCs w:val="0"/>
                <w:color w:val="auto"/>
                <w:sz w:val="22"/>
                <w:szCs w:val="22"/>
                <w:lang w:val="en-US" w:eastAsia="zh-CN"/>
              </w:rPr>
              <w:t xml:space="preserve"> </w:t>
            </w:r>
          </w:p>
        </w:tc>
        <w:tc>
          <w:tcPr>
            <w:tcW w:w="218" w:type="pct"/>
            <w:noWrap w:val="0"/>
            <w:vAlign w:val="center"/>
          </w:tcPr>
          <w:p w14:paraId="19CB707D">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cs="Times New Roman"/>
                <w:b w:val="0"/>
                <w:bCs w:val="0"/>
                <w:color w:val="auto"/>
                <w:sz w:val="22"/>
                <w:szCs w:val="22"/>
                <w:lang w:val="en-US" w:eastAsia="zh-CN"/>
              </w:rPr>
              <w:t>124</w:t>
            </w:r>
            <w:r>
              <w:rPr>
                <w:rFonts w:hint="eastAsia" w:ascii="Times New Roman" w:hAnsi="Times New Roman" w:eastAsia="宋体" w:cs="Times New Roman"/>
                <w:b w:val="0"/>
                <w:bCs w:val="0"/>
                <w:color w:val="auto"/>
                <w:sz w:val="22"/>
                <w:szCs w:val="22"/>
                <w:lang w:val="en-US" w:eastAsia="zh-CN"/>
              </w:rPr>
              <w:t xml:space="preserve"> </w:t>
            </w:r>
          </w:p>
        </w:tc>
        <w:tc>
          <w:tcPr>
            <w:tcW w:w="287" w:type="pct"/>
            <w:noWrap w:val="0"/>
            <w:vAlign w:val="center"/>
          </w:tcPr>
          <w:p w14:paraId="4B2084DF">
            <w:pPr>
              <w:pStyle w:val="154"/>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宋体" w:cs="Times New Roman"/>
                <w:b w:val="0"/>
                <w:bCs w:val="0"/>
                <w:color w:val="auto"/>
                <w:sz w:val="22"/>
                <w:szCs w:val="22"/>
                <w:lang w:val="en-US" w:eastAsia="zh-CN"/>
              </w:rPr>
            </w:pPr>
            <w:r>
              <w:rPr>
                <w:rFonts w:hint="eastAsia" w:ascii="Times New Roman" w:hAnsi="Times New Roman" w:eastAsia="宋体" w:cs="Times New Roman"/>
                <w:b w:val="0"/>
                <w:bCs w:val="0"/>
                <w:color w:val="auto"/>
                <w:sz w:val="22"/>
                <w:szCs w:val="22"/>
                <w:lang w:val="en-US" w:eastAsia="zh-CN"/>
              </w:rPr>
              <w:t>1</w:t>
            </w:r>
            <w:r>
              <w:rPr>
                <w:rFonts w:hint="eastAsia" w:cs="Times New Roman"/>
                <w:b w:val="0"/>
                <w:bCs w:val="0"/>
                <w:color w:val="auto"/>
                <w:sz w:val="22"/>
                <w:szCs w:val="22"/>
                <w:lang w:val="en-US" w:eastAsia="zh-CN"/>
              </w:rPr>
              <w:t>3</w:t>
            </w:r>
          </w:p>
        </w:tc>
        <w:tc>
          <w:tcPr>
            <w:tcW w:w="192" w:type="pct"/>
            <w:noWrap w:val="0"/>
            <w:vAlign w:val="center"/>
          </w:tcPr>
          <w:p w14:paraId="3E64FBA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27</w:t>
            </w:r>
          </w:p>
        </w:tc>
        <w:tc>
          <w:tcPr>
            <w:tcW w:w="170" w:type="pct"/>
            <w:noWrap w:val="0"/>
            <w:vAlign w:val="center"/>
          </w:tcPr>
          <w:p w14:paraId="0E06A9B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97</w:t>
            </w:r>
          </w:p>
        </w:tc>
        <w:tc>
          <w:tcPr>
            <w:tcW w:w="187" w:type="pct"/>
            <w:noWrap w:val="0"/>
            <w:vAlign w:val="center"/>
          </w:tcPr>
          <w:p w14:paraId="1A95E21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66</w:t>
            </w:r>
          </w:p>
        </w:tc>
        <w:tc>
          <w:tcPr>
            <w:tcW w:w="244" w:type="pct"/>
            <w:noWrap w:val="0"/>
            <w:vAlign w:val="center"/>
          </w:tcPr>
          <w:p w14:paraId="0C5075C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16</w:t>
            </w:r>
          </w:p>
        </w:tc>
        <w:tc>
          <w:tcPr>
            <w:tcW w:w="235" w:type="pct"/>
            <w:noWrap w:val="0"/>
            <w:vAlign w:val="center"/>
          </w:tcPr>
          <w:p w14:paraId="13BD561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51.4</w:t>
            </w:r>
          </w:p>
        </w:tc>
        <w:tc>
          <w:tcPr>
            <w:tcW w:w="261" w:type="pct"/>
            <w:noWrap w:val="0"/>
            <w:vAlign w:val="center"/>
          </w:tcPr>
          <w:p w14:paraId="3AD2849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40.3</w:t>
            </w:r>
          </w:p>
        </w:tc>
        <w:tc>
          <w:tcPr>
            <w:tcW w:w="257" w:type="pct"/>
            <w:noWrap w:val="0"/>
            <w:vAlign w:val="center"/>
          </w:tcPr>
          <w:p w14:paraId="7854615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43.6</w:t>
            </w:r>
          </w:p>
        </w:tc>
        <w:tc>
          <w:tcPr>
            <w:tcW w:w="244" w:type="pct"/>
            <w:noWrap w:val="0"/>
            <w:vAlign w:val="center"/>
          </w:tcPr>
          <w:p w14:paraId="26B93F6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55.9</w:t>
            </w:r>
          </w:p>
        </w:tc>
        <w:tc>
          <w:tcPr>
            <w:tcW w:w="134" w:type="pct"/>
            <w:vMerge w:val="continue"/>
            <w:noWrap w:val="0"/>
            <w:vAlign w:val="center"/>
          </w:tcPr>
          <w:p w14:paraId="40C9FE3D">
            <w:pPr>
              <w:pStyle w:val="41"/>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2"/>
                <w:szCs w:val="22"/>
                <w:lang w:val="en-US" w:eastAsia="zh-CN"/>
              </w:rPr>
            </w:pPr>
          </w:p>
        </w:tc>
      </w:tr>
    </w:tbl>
    <w:p w14:paraId="69038952">
      <w:pPr>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注：</w:t>
      </w:r>
      <w:r>
        <w:rPr>
          <w:rFonts w:hint="eastAsia" w:cs="Times New Roman"/>
          <w:color w:val="auto"/>
          <w:sz w:val="22"/>
          <w:szCs w:val="22"/>
          <w:lang w:val="en-US" w:eastAsia="zh-CN"/>
        </w:rPr>
        <w:t>东地块</w:t>
      </w:r>
      <w:r>
        <w:rPr>
          <w:rFonts w:hint="eastAsia" w:ascii="Times New Roman" w:hAnsi="Times New Roman" w:eastAsia="宋体" w:cs="Times New Roman"/>
          <w:color w:val="auto"/>
          <w:sz w:val="22"/>
          <w:szCs w:val="22"/>
          <w:lang w:val="en-US" w:eastAsia="zh-CN"/>
        </w:rPr>
        <w:t>相对位置原点位于</w:t>
      </w:r>
      <w:r>
        <w:rPr>
          <w:rFonts w:hint="eastAsia" w:cs="Times New Roman"/>
          <w:color w:val="auto"/>
          <w:sz w:val="22"/>
          <w:szCs w:val="22"/>
          <w:lang w:val="en-US" w:eastAsia="zh-CN"/>
        </w:rPr>
        <w:t>东地块</w:t>
      </w:r>
      <w:r>
        <w:rPr>
          <w:rFonts w:hint="eastAsia" w:ascii="Times New Roman" w:hAnsi="Times New Roman" w:eastAsia="宋体" w:cs="Times New Roman"/>
          <w:color w:val="auto"/>
          <w:sz w:val="22"/>
          <w:szCs w:val="22"/>
          <w:lang w:val="en-US" w:eastAsia="zh-CN"/>
        </w:rPr>
        <w:t>中心地平，</w:t>
      </w:r>
      <w:r>
        <w:rPr>
          <w:rFonts w:hint="eastAsia" w:cs="Times New Roman"/>
          <w:color w:val="auto"/>
          <w:sz w:val="22"/>
          <w:szCs w:val="22"/>
          <w:lang w:val="en-US" w:eastAsia="zh-CN"/>
        </w:rPr>
        <w:t>西地块</w:t>
      </w:r>
      <w:r>
        <w:rPr>
          <w:rFonts w:hint="eastAsia" w:ascii="Times New Roman" w:hAnsi="Times New Roman" w:eastAsia="宋体" w:cs="Times New Roman"/>
          <w:color w:val="auto"/>
          <w:sz w:val="22"/>
          <w:szCs w:val="22"/>
          <w:lang w:val="en-US" w:eastAsia="zh-CN"/>
        </w:rPr>
        <w:t>相对位置原点位于</w:t>
      </w:r>
      <w:r>
        <w:rPr>
          <w:rFonts w:hint="eastAsia" w:cs="Times New Roman"/>
          <w:color w:val="auto"/>
          <w:sz w:val="22"/>
          <w:szCs w:val="22"/>
          <w:lang w:val="en-US" w:eastAsia="zh-CN"/>
        </w:rPr>
        <w:t>西地块</w:t>
      </w:r>
      <w:r>
        <w:rPr>
          <w:rFonts w:hint="eastAsia" w:ascii="Times New Roman" w:hAnsi="Times New Roman" w:eastAsia="宋体" w:cs="Times New Roman"/>
          <w:color w:val="auto"/>
          <w:sz w:val="22"/>
          <w:szCs w:val="22"/>
          <w:lang w:val="en-US" w:eastAsia="zh-CN"/>
        </w:rPr>
        <w:t>中心地平。正北方向为Y轴正方向，正东方向为X轴正方向</w:t>
      </w:r>
      <w:r>
        <w:rPr>
          <w:rFonts w:hint="eastAsia" w:ascii="Times New Roman" w:hAnsi="Times New Roman" w:eastAsia="宋体" w:cs="Times New Roman"/>
          <w:color w:val="auto"/>
          <w:sz w:val="22"/>
          <w:szCs w:val="22"/>
        </w:rPr>
        <w:t>。</w:t>
      </w:r>
    </w:p>
    <w:p w14:paraId="6887F9C1">
      <w:pPr>
        <w:rPr>
          <w:color w:val="auto"/>
        </w:rPr>
      </w:pPr>
    </w:p>
    <w:p w14:paraId="64E82299">
      <w:pPr>
        <w:spacing w:line="500" w:lineRule="exact"/>
        <w:ind w:firstLine="520" w:firstLineChars="200"/>
        <w:jc w:val="center"/>
        <w:rPr>
          <w:rFonts w:hint="eastAsia" w:cs="宋体"/>
          <w:color w:val="auto"/>
          <w:sz w:val="26"/>
          <w:szCs w:val="26"/>
          <w:lang w:val="en-US" w:eastAsia="zh-CN"/>
        </w:rPr>
      </w:pPr>
      <w:r>
        <w:rPr>
          <w:rFonts w:hint="eastAsia" w:cs="宋体"/>
          <w:color w:val="auto"/>
          <w:sz w:val="26"/>
          <w:szCs w:val="26"/>
        </w:rPr>
        <w:t>表4.2-</w:t>
      </w:r>
      <w:r>
        <w:rPr>
          <w:rFonts w:hint="eastAsia" w:cs="宋体"/>
          <w:color w:val="auto"/>
          <w:sz w:val="26"/>
          <w:szCs w:val="26"/>
          <w:lang w:val="en-US" w:eastAsia="zh-CN"/>
        </w:rPr>
        <w:t>13  室外围护结构边界噪声叠加声压级</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1173"/>
        <w:gridCol w:w="1173"/>
        <w:gridCol w:w="1173"/>
        <w:gridCol w:w="1173"/>
        <w:gridCol w:w="1173"/>
        <w:gridCol w:w="1173"/>
        <w:gridCol w:w="1173"/>
        <w:gridCol w:w="1180"/>
      </w:tblGrid>
      <w:tr w14:paraId="1616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449" w:type="pct"/>
            <w:vMerge w:val="restart"/>
            <w:noWrap/>
            <w:vAlign w:val="center"/>
          </w:tcPr>
          <w:p w14:paraId="3DBD316C">
            <w:pPr>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车间名称</w:t>
            </w:r>
          </w:p>
        </w:tc>
        <w:tc>
          <w:tcPr>
            <w:tcW w:w="1773" w:type="pct"/>
            <w:gridSpan w:val="4"/>
            <w:noWrap/>
            <w:vAlign w:val="center"/>
          </w:tcPr>
          <w:p w14:paraId="7AEE17C3">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室外围护结构处声压级dB(A)</w:t>
            </w:r>
          </w:p>
        </w:tc>
        <w:tc>
          <w:tcPr>
            <w:tcW w:w="1776" w:type="pct"/>
            <w:gridSpan w:val="4"/>
            <w:noWrap/>
            <w:vAlign w:val="center"/>
          </w:tcPr>
          <w:p w14:paraId="354436BC">
            <w:pPr>
              <w:tabs>
                <w:tab w:val="left" w:pos="1513"/>
              </w:tabs>
              <w:jc w:val="left"/>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ab/>
            </w:r>
            <w:r>
              <w:rPr>
                <w:rFonts w:hint="eastAsia" w:ascii="Times New Roman" w:hAnsi="Times New Roman" w:eastAsia="宋体" w:cs="Times New Roman"/>
                <w:color w:val="auto"/>
                <w:sz w:val="22"/>
                <w:szCs w:val="22"/>
                <w:lang w:eastAsia="zh-CN"/>
              </w:rPr>
              <w:t>距离厂界距离，m</w:t>
            </w:r>
          </w:p>
        </w:tc>
      </w:tr>
      <w:tr w14:paraId="7851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449" w:type="pct"/>
            <w:vMerge w:val="continue"/>
            <w:noWrap/>
            <w:vAlign w:val="center"/>
          </w:tcPr>
          <w:p w14:paraId="794FA3EB">
            <w:pPr>
              <w:jc w:val="center"/>
              <w:rPr>
                <w:rFonts w:hint="default" w:ascii="Times New Roman" w:hAnsi="Times New Roman" w:eastAsia="宋体" w:cs="Times New Roman"/>
                <w:color w:val="auto"/>
                <w:sz w:val="22"/>
                <w:szCs w:val="22"/>
              </w:rPr>
            </w:pPr>
          </w:p>
        </w:tc>
        <w:tc>
          <w:tcPr>
            <w:tcW w:w="443" w:type="pct"/>
            <w:noWrap/>
            <w:vAlign w:val="center"/>
          </w:tcPr>
          <w:p w14:paraId="18E3175C">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东</w:t>
            </w:r>
          </w:p>
        </w:tc>
        <w:tc>
          <w:tcPr>
            <w:tcW w:w="443" w:type="pct"/>
            <w:noWrap/>
            <w:vAlign w:val="center"/>
          </w:tcPr>
          <w:p w14:paraId="21BC3159">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南</w:t>
            </w:r>
          </w:p>
        </w:tc>
        <w:tc>
          <w:tcPr>
            <w:tcW w:w="443" w:type="pct"/>
            <w:noWrap/>
            <w:vAlign w:val="center"/>
          </w:tcPr>
          <w:p w14:paraId="0C040AB6">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西</w:t>
            </w:r>
          </w:p>
        </w:tc>
        <w:tc>
          <w:tcPr>
            <w:tcW w:w="443" w:type="pct"/>
            <w:noWrap/>
            <w:vAlign w:val="center"/>
          </w:tcPr>
          <w:p w14:paraId="3B622B43">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北</w:t>
            </w:r>
          </w:p>
        </w:tc>
        <w:tc>
          <w:tcPr>
            <w:tcW w:w="1173" w:type="dxa"/>
            <w:noWrap/>
            <w:vAlign w:val="center"/>
          </w:tcPr>
          <w:p w14:paraId="6CFE8203">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东</w:t>
            </w:r>
          </w:p>
        </w:tc>
        <w:tc>
          <w:tcPr>
            <w:tcW w:w="1173" w:type="dxa"/>
            <w:noWrap/>
            <w:vAlign w:val="center"/>
          </w:tcPr>
          <w:p w14:paraId="07A1F2CF">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南</w:t>
            </w:r>
          </w:p>
        </w:tc>
        <w:tc>
          <w:tcPr>
            <w:tcW w:w="1173" w:type="dxa"/>
            <w:noWrap/>
            <w:vAlign w:val="center"/>
          </w:tcPr>
          <w:p w14:paraId="3E5E76C3">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西</w:t>
            </w:r>
          </w:p>
        </w:tc>
        <w:tc>
          <w:tcPr>
            <w:tcW w:w="1180" w:type="dxa"/>
            <w:noWrap/>
            <w:vAlign w:val="center"/>
          </w:tcPr>
          <w:p w14:paraId="5A33E292">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北</w:t>
            </w:r>
          </w:p>
        </w:tc>
      </w:tr>
      <w:tr w14:paraId="5474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9" w:type="pct"/>
            <w:noWrap/>
            <w:vAlign w:val="center"/>
          </w:tcPr>
          <w:p w14:paraId="78162E9C">
            <w:pPr>
              <w:jc w:val="center"/>
              <w:rPr>
                <w:rFonts w:hint="default" w:ascii="Times New Roman" w:hAnsi="Times New Roman" w:eastAsia="宋体" w:cs="Times New Roman"/>
                <w:color w:val="auto"/>
                <w:sz w:val="22"/>
                <w:szCs w:val="22"/>
                <w:lang w:val="en-US" w:eastAsia="zh-CN"/>
              </w:rPr>
            </w:pPr>
            <w:r>
              <w:rPr>
                <w:rFonts w:hint="eastAsia" w:cs="Times New Roman"/>
                <w:b w:val="0"/>
                <w:bCs w:val="0"/>
                <w:color w:val="auto"/>
                <w:sz w:val="22"/>
                <w:szCs w:val="22"/>
                <w:lang w:val="en-US" w:eastAsia="zh-CN"/>
              </w:rPr>
              <w:t>060车间（</w:t>
            </w:r>
            <w:r>
              <w:rPr>
                <w:rFonts w:hint="eastAsia" w:cs="Times New Roman"/>
                <w:color w:val="auto"/>
                <w:sz w:val="22"/>
                <w:szCs w:val="22"/>
                <w:lang w:val="en-US" w:eastAsia="zh-CN"/>
              </w:rPr>
              <w:t>东地块</w:t>
            </w:r>
            <w:r>
              <w:rPr>
                <w:rFonts w:hint="eastAsia" w:cs="Times New Roman"/>
                <w:b w:val="0"/>
                <w:bCs w:val="0"/>
                <w:color w:val="auto"/>
                <w:sz w:val="22"/>
                <w:szCs w:val="22"/>
                <w:lang w:val="en-US" w:eastAsia="zh-CN"/>
              </w:rPr>
              <w:t>）</w:t>
            </w:r>
          </w:p>
        </w:tc>
        <w:tc>
          <w:tcPr>
            <w:tcW w:w="443" w:type="pct"/>
            <w:noWrap/>
            <w:vAlign w:val="center"/>
          </w:tcPr>
          <w:p w14:paraId="7A97218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34.6 </w:t>
            </w:r>
          </w:p>
        </w:tc>
        <w:tc>
          <w:tcPr>
            <w:tcW w:w="443" w:type="pct"/>
            <w:noWrap/>
            <w:vAlign w:val="center"/>
          </w:tcPr>
          <w:p w14:paraId="2C6EE4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45.3 </w:t>
            </w:r>
          </w:p>
        </w:tc>
        <w:tc>
          <w:tcPr>
            <w:tcW w:w="443" w:type="pct"/>
            <w:noWrap/>
            <w:vAlign w:val="center"/>
          </w:tcPr>
          <w:p w14:paraId="4FABAC5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53.5 </w:t>
            </w:r>
          </w:p>
        </w:tc>
        <w:tc>
          <w:tcPr>
            <w:tcW w:w="443" w:type="pct"/>
            <w:noWrap/>
            <w:vAlign w:val="center"/>
          </w:tcPr>
          <w:p w14:paraId="710A289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27.2 </w:t>
            </w:r>
          </w:p>
        </w:tc>
        <w:tc>
          <w:tcPr>
            <w:tcW w:w="1173" w:type="dxa"/>
            <w:noWrap/>
            <w:vAlign w:val="center"/>
          </w:tcPr>
          <w:p w14:paraId="3345D03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233</w:t>
            </w:r>
          </w:p>
        </w:tc>
        <w:tc>
          <w:tcPr>
            <w:tcW w:w="1173" w:type="dxa"/>
            <w:noWrap/>
            <w:vAlign w:val="center"/>
          </w:tcPr>
          <w:p w14:paraId="3941B5A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70</w:t>
            </w:r>
          </w:p>
        </w:tc>
        <w:tc>
          <w:tcPr>
            <w:tcW w:w="1173" w:type="dxa"/>
            <w:noWrap/>
            <w:vAlign w:val="center"/>
          </w:tcPr>
          <w:p w14:paraId="48F6ACD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105</w:t>
            </w:r>
          </w:p>
        </w:tc>
        <w:tc>
          <w:tcPr>
            <w:tcW w:w="1180" w:type="dxa"/>
            <w:noWrap/>
            <w:vAlign w:val="center"/>
          </w:tcPr>
          <w:p w14:paraId="3AD9D52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68</w:t>
            </w:r>
          </w:p>
        </w:tc>
      </w:tr>
      <w:tr w14:paraId="09D8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9" w:type="pct"/>
            <w:noWrap/>
            <w:vAlign w:val="center"/>
          </w:tcPr>
          <w:p w14:paraId="4D258397">
            <w:pPr>
              <w:jc w:val="center"/>
              <w:rPr>
                <w:rFonts w:hint="default" w:ascii="Times New Roman" w:hAnsi="Times New Roman" w:eastAsia="宋体" w:cs="Times New Roman"/>
                <w:color w:val="auto"/>
                <w:sz w:val="22"/>
                <w:szCs w:val="22"/>
                <w:lang w:val="en-US" w:eastAsia="zh-CN"/>
              </w:rPr>
            </w:pPr>
            <w:r>
              <w:rPr>
                <w:rFonts w:hint="eastAsia"/>
                <w:color w:val="auto"/>
                <w:sz w:val="22"/>
                <w:szCs w:val="22"/>
                <w:lang w:val="en-US" w:eastAsia="zh-CN"/>
              </w:rPr>
              <w:t>071车间</w:t>
            </w:r>
            <w:r>
              <w:rPr>
                <w:rFonts w:hint="eastAsia" w:cs="Times New Roman"/>
                <w:b w:val="0"/>
                <w:bCs w:val="0"/>
                <w:color w:val="auto"/>
                <w:sz w:val="22"/>
                <w:szCs w:val="22"/>
                <w:lang w:val="en-US" w:eastAsia="zh-CN"/>
              </w:rPr>
              <w:t>（</w:t>
            </w:r>
            <w:r>
              <w:rPr>
                <w:rFonts w:hint="eastAsia" w:cs="Times New Roman"/>
                <w:color w:val="auto"/>
                <w:sz w:val="22"/>
                <w:szCs w:val="22"/>
                <w:lang w:val="en-US" w:eastAsia="zh-CN"/>
              </w:rPr>
              <w:t>西地块</w:t>
            </w:r>
            <w:r>
              <w:rPr>
                <w:rFonts w:hint="eastAsia" w:cs="Times New Roman"/>
                <w:b w:val="0"/>
                <w:bCs w:val="0"/>
                <w:color w:val="auto"/>
                <w:sz w:val="22"/>
                <w:szCs w:val="22"/>
                <w:lang w:val="en-US" w:eastAsia="zh-CN"/>
              </w:rPr>
              <w:t>）</w:t>
            </w:r>
          </w:p>
        </w:tc>
        <w:tc>
          <w:tcPr>
            <w:tcW w:w="443" w:type="pct"/>
            <w:noWrap/>
            <w:vAlign w:val="center"/>
          </w:tcPr>
          <w:p w14:paraId="5045815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36.7 </w:t>
            </w:r>
          </w:p>
        </w:tc>
        <w:tc>
          <w:tcPr>
            <w:tcW w:w="443" w:type="pct"/>
            <w:noWrap/>
            <w:vAlign w:val="center"/>
          </w:tcPr>
          <w:p w14:paraId="188BE66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c>
          <w:tcPr>
            <w:tcW w:w="443" w:type="pct"/>
            <w:noWrap/>
            <w:vAlign w:val="center"/>
          </w:tcPr>
          <w:p w14:paraId="06BB977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39.5 </w:t>
            </w:r>
          </w:p>
        </w:tc>
        <w:tc>
          <w:tcPr>
            <w:tcW w:w="443" w:type="pct"/>
            <w:noWrap/>
            <w:vAlign w:val="center"/>
          </w:tcPr>
          <w:p w14:paraId="12FA150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42.3 </w:t>
            </w:r>
          </w:p>
        </w:tc>
        <w:tc>
          <w:tcPr>
            <w:tcW w:w="1173" w:type="dxa"/>
            <w:noWrap/>
            <w:vAlign w:val="center"/>
          </w:tcPr>
          <w:p w14:paraId="429CB24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173" w:type="dxa"/>
            <w:noWrap/>
            <w:vAlign w:val="center"/>
          </w:tcPr>
          <w:p w14:paraId="6233410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155</w:t>
            </w:r>
          </w:p>
        </w:tc>
        <w:tc>
          <w:tcPr>
            <w:tcW w:w="1173" w:type="dxa"/>
            <w:noWrap/>
            <w:vAlign w:val="center"/>
          </w:tcPr>
          <w:p w14:paraId="24858DA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126</w:t>
            </w:r>
          </w:p>
        </w:tc>
        <w:tc>
          <w:tcPr>
            <w:tcW w:w="1180" w:type="dxa"/>
            <w:noWrap/>
            <w:vAlign w:val="center"/>
          </w:tcPr>
          <w:p w14:paraId="14CB7B6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w:t>
            </w:r>
          </w:p>
        </w:tc>
      </w:tr>
    </w:tbl>
    <w:p w14:paraId="17C5CA5F">
      <w:pPr>
        <w:pStyle w:val="3"/>
        <w:rPr>
          <w:color w:val="auto"/>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592"/>
      </w:tblGrid>
      <w:tr w14:paraId="4D5E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Pr>
          <w:p w14:paraId="2164243C">
            <w:pPr>
              <w:rPr>
                <w:rFonts w:ascii="宋体" w:cs="宋体"/>
                <w:b/>
                <w:color w:val="auto"/>
                <w:kern w:val="0"/>
                <w:sz w:val="28"/>
                <w:szCs w:val="28"/>
              </w:rPr>
            </w:pPr>
            <w:r>
              <w:rPr>
                <w:color w:val="auto"/>
              </w:rPr>
              <w:br w:type="page"/>
            </w:r>
          </w:p>
        </w:tc>
        <w:tc>
          <w:tcPr>
            <w:tcW w:w="8592" w:type="dxa"/>
          </w:tcPr>
          <w:p w14:paraId="5C07E98A">
            <w:pPr>
              <w:spacing w:line="460" w:lineRule="exact"/>
              <w:ind w:firstLine="520" w:firstLineChars="200"/>
              <w:rPr>
                <w:color w:val="auto"/>
                <w:sz w:val="26"/>
                <w:szCs w:val="26"/>
              </w:rPr>
            </w:pPr>
            <w:r>
              <w:rPr>
                <w:rFonts w:hint="eastAsia"/>
                <w:color w:val="auto"/>
                <w:sz w:val="26"/>
                <w:szCs w:val="26"/>
              </w:rPr>
              <w:t>②预测方法及模式</w:t>
            </w:r>
          </w:p>
          <w:p w14:paraId="561585FC">
            <w:pPr>
              <w:spacing w:line="460" w:lineRule="exact"/>
              <w:ind w:firstLine="520" w:firstLineChars="200"/>
              <w:rPr>
                <w:color w:val="auto"/>
                <w:sz w:val="26"/>
                <w:szCs w:val="26"/>
              </w:rPr>
            </w:pPr>
            <w:r>
              <w:rPr>
                <w:rFonts w:hint="eastAsia"/>
                <w:color w:val="auto"/>
                <w:sz w:val="26"/>
                <w:szCs w:val="26"/>
              </w:rPr>
              <w:t>根据《环境影响评价技术导则声环境》（HJ2.4-2021），工业噪声预测计算应采用下述模式：</w:t>
            </w:r>
          </w:p>
          <w:p w14:paraId="0C08B7D6">
            <w:pPr>
              <w:spacing w:line="460" w:lineRule="exact"/>
              <w:ind w:firstLine="520" w:firstLineChars="200"/>
              <w:rPr>
                <w:color w:val="auto"/>
                <w:sz w:val="26"/>
                <w:szCs w:val="26"/>
              </w:rPr>
            </w:pPr>
            <w:r>
              <w:rPr>
                <w:rFonts w:hint="eastAsia"/>
                <w:color w:val="auto"/>
                <w:sz w:val="26"/>
                <w:szCs w:val="26"/>
              </w:rPr>
              <w:t>基本公式</w:t>
            </w:r>
          </w:p>
          <w:p w14:paraId="1660601E">
            <w:pPr>
              <w:spacing w:line="460" w:lineRule="exact"/>
              <w:ind w:firstLine="520" w:firstLineChars="200"/>
              <w:rPr>
                <w:color w:val="auto"/>
                <w:sz w:val="26"/>
                <w:szCs w:val="26"/>
              </w:rPr>
            </w:pPr>
            <w:r>
              <w:rPr>
                <w:rFonts w:hint="eastAsia"/>
                <w:color w:val="auto"/>
                <w:sz w:val="26"/>
                <w:szCs w:val="26"/>
              </w:rPr>
              <w:t>A.户外声传播衰减基本公式</w:t>
            </w:r>
          </w:p>
          <w:p w14:paraId="5F462F10">
            <w:pPr>
              <w:spacing w:line="460" w:lineRule="exact"/>
              <w:ind w:firstLine="520" w:firstLineChars="200"/>
              <w:rPr>
                <w:color w:val="auto"/>
                <w:sz w:val="26"/>
                <w:szCs w:val="26"/>
              </w:rPr>
            </w:pPr>
            <w:r>
              <w:rPr>
                <w:rFonts w:hint="eastAsia"/>
                <w:color w:val="auto"/>
                <w:sz w:val="26"/>
                <w:szCs w:val="26"/>
              </w:rPr>
              <w:t>户外声传播衰减包括几何发散（Adiv）、大气吸收（Aatm）、地面效应（Agr）、屏障屏蔽（Abar）、其他多方面效应（Amisc）引起的衰减。根据声源声功率级或靠近声源某一参考位置处的已知声级（如实测得到的）、户外声传播衰减，计算距离声源较远处的预测点的声级，用下式计算。</w:t>
            </w:r>
          </w:p>
          <w:p w14:paraId="2B2A6EFE">
            <w:pPr>
              <w:spacing w:line="460" w:lineRule="exact"/>
              <w:jc w:val="center"/>
              <w:rPr>
                <w:color w:val="auto"/>
                <w:sz w:val="26"/>
                <w:szCs w:val="26"/>
                <w:lang w:val="de-DE"/>
              </w:rPr>
            </w:pPr>
            <w:r>
              <w:rPr>
                <w:rFonts w:hint="eastAsia"/>
                <w:color w:val="auto"/>
                <w:sz w:val="26"/>
                <w:szCs w:val="26"/>
                <w:lang w:val="de-DE"/>
              </w:rPr>
              <w:t>LP（r）=LP（r0）-（Adiv+Aatm+Agr+Abar+Amisc）</w:t>
            </w:r>
          </w:p>
          <w:p w14:paraId="05785F23">
            <w:pPr>
              <w:spacing w:line="460" w:lineRule="exact"/>
              <w:ind w:firstLine="520" w:firstLineChars="200"/>
              <w:rPr>
                <w:color w:val="auto"/>
                <w:sz w:val="26"/>
                <w:szCs w:val="26"/>
              </w:rPr>
            </w:pPr>
            <w:r>
              <w:rPr>
                <w:rFonts w:hint="eastAsia"/>
                <w:color w:val="auto"/>
                <w:sz w:val="26"/>
                <w:szCs w:val="26"/>
              </w:rPr>
              <w:t>B.点声源的几何发散衰减</w:t>
            </w:r>
          </w:p>
          <w:p w14:paraId="6AED07A6">
            <w:pPr>
              <w:spacing w:line="460" w:lineRule="exact"/>
              <w:ind w:firstLine="520" w:firstLineChars="200"/>
              <w:rPr>
                <w:color w:val="auto"/>
                <w:sz w:val="26"/>
                <w:szCs w:val="26"/>
              </w:rPr>
            </w:pPr>
            <w:r>
              <w:rPr>
                <w:rFonts w:hint="eastAsia"/>
                <w:color w:val="auto"/>
                <w:sz w:val="26"/>
                <w:szCs w:val="26"/>
              </w:rPr>
              <w:t>无指向性点声源几何发散衰减的基本公式是：</w:t>
            </w:r>
          </w:p>
          <w:p w14:paraId="7012F23D">
            <w:pPr>
              <w:spacing w:line="460" w:lineRule="exact"/>
              <w:jc w:val="center"/>
              <w:rPr>
                <w:color w:val="auto"/>
                <w:sz w:val="26"/>
                <w:szCs w:val="26"/>
                <w:lang w:val="sv-SE"/>
              </w:rPr>
            </w:pPr>
            <w:r>
              <w:rPr>
                <w:rFonts w:hint="eastAsia"/>
                <w:color w:val="auto"/>
                <w:sz w:val="26"/>
                <w:szCs w:val="26"/>
                <w:lang w:val="sv-SE"/>
              </w:rPr>
              <w:t>Lp（r）=Lp（r0）-20lg（r/r0）</w:t>
            </w:r>
          </w:p>
          <w:p w14:paraId="68B0CC69">
            <w:pPr>
              <w:spacing w:line="460" w:lineRule="exact"/>
              <w:ind w:firstLine="520" w:firstLineChars="200"/>
              <w:rPr>
                <w:color w:val="auto"/>
                <w:sz w:val="26"/>
                <w:szCs w:val="26"/>
              </w:rPr>
            </w:pPr>
            <w:r>
              <w:rPr>
                <w:rFonts w:hint="eastAsia"/>
                <w:color w:val="auto"/>
                <w:sz w:val="26"/>
                <w:szCs w:val="26"/>
              </w:rPr>
              <w:t>公式中第二项表示了点声源的几何发散衰减：</w:t>
            </w:r>
          </w:p>
          <w:p w14:paraId="08C626B8">
            <w:pPr>
              <w:spacing w:line="460" w:lineRule="exact"/>
              <w:jc w:val="center"/>
              <w:rPr>
                <w:color w:val="auto"/>
                <w:sz w:val="26"/>
                <w:szCs w:val="26"/>
              </w:rPr>
            </w:pPr>
            <w:r>
              <w:rPr>
                <w:rFonts w:hint="eastAsia"/>
                <w:color w:val="auto"/>
                <w:sz w:val="26"/>
                <w:szCs w:val="26"/>
              </w:rPr>
              <w:t>Adiv=20lg（r/r0）</w:t>
            </w:r>
          </w:p>
          <w:p w14:paraId="77EA0ECD">
            <w:pPr>
              <w:spacing w:line="460" w:lineRule="exact"/>
              <w:ind w:firstLine="520" w:firstLineChars="200"/>
              <w:rPr>
                <w:color w:val="auto"/>
                <w:sz w:val="26"/>
                <w:szCs w:val="26"/>
              </w:rPr>
            </w:pPr>
            <w:r>
              <w:rPr>
                <w:rFonts w:hint="eastAsia"/>
                <w:color w:val="auto"/>
                <w:sz w:val="26"/>
                <w:szCs w:val="26"/>
              </w:rPr>
              <w:t>预测模型</w:t>
            </w:r>
          </w:p>
          <w:p w14:paraId="71F379C5">
            <w:pPr>
              <w:spacing w:line="460" w:lineRule="exact"/>
              <w:ind w:firstLine="520" w:firstLineChars="200"/>
              <w:rPr>
                <w:color w:val="auto"/>
                <w:sz w:val="26"/>
                <w:szCs w:val="26"/>
              </w:rPr>
            </w:pPr>
            <w:r>
              <w:rPr>
                <w:rFonts w:hint="eastAsia"/>
                <w:color w:val="auto"/>
                <w:sz w:val="26"/>
                <w:szCs w:val="26"/>
                <w:lang w:val="en-US" w:eastAsia="zh-CN"/>
              </w:rPr>
              <w:t>C</w:t>
            </w:r>
            <w:r>
              <w:rPr>
                <w:rFonts w:hint="eastAsia"/>
                <w:color w:val="auto"/>
                <w:sz w:val="26"/>
                <w:szCs w:val="26"/>
              </w:rPr>
              <w:t>.点源几何衰减模式</w:t>
            </w:r>
          </w:p>
          <w:p w14:paraId="6CD93744">
            <w:pPr>
              <w:spacing w:line="460" w:lineRule="exact"/>
              <w:ind w:firstLine="520" w:firstLineChars="200"/>
              <w:rPr>
                <w:color w:val="auto"/>
                <w:sz w:val="26"/>
                <w:szCs w:val="26"/>
              </w:rPr>
            </w:pPr>
            <w:r>
              <w:rPr>
                <w:rFonts w:hint="eastAsia"/>
                <w:color w:val="auto"/>
                <w:sz w:val="26"/>
                <w:szCs w:val="26"/>
              </w:rPr>
              <w:t>对于工业企业稳态机械设备，当声源处于半自由空间且仅考虑声源的几何发散衰减，则距离点声源r处的声压级为：</w:t>
            </w:r>
          </w:p>
          <w:p w14:paraId="1C31956B">
            <w:pPr>
              <w:spacing w:line="460" w:lineRule="exact"/>
              <w:jc w:val="center"/>
              <w:rPr>
                <w:color w:val="auto"/>
                <w:sz w:val="26"/>
                <w:szCs w:val="26"/>
              </w:rPr>
            </w:pPr>
            <w:r>
              <w:rPr>
                <w:rFonts w:hint="eastAsia"/>
                <w:color w:val="auto"/>
                <w:sz w:val="26"/>
                <w:szCs w:val="26"/>
              </w:rPr>
              <w:drawing>
                <wp:inline distT="0" distB="0" distL="114300" distR="114300">
                  <wp:extent cx="1748155" cy="21971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1748155" cy="219710"/>
                          </a:xfrm>
                          <a:prstGeom prst="rect">
                            <a:avLst/>
                          </a:prstGeom>
                          <a:noFill/>
                          <a:ln>
                            <a:noFill/>
                          </a:ln>
                        </pic:spPr>
                      </pic:pic>
                    </a:graphicData>
                  </a:graphic>
                </wp:inline>
              </w:drawing>
            </w:r>
          </w:p>
          <w:p w14:paraId="5EF95499">
            <w:pPr>
              <w:spacing w:line="460" w:lineRule="exact"/>
              <w:ind w:firstLine="520" w:firstLineChars="200"/>
              <w:rPr>
                <w:color w:val="auto"/>
                <w:sz w:val="26"/>
                <w:szCs w:val="26"/>
              </w:rPr>
            </w:pPr>
            <w:r>
              <w:rPr>
                <w:rFonts w:hint="eastAsia"/>
                <w:color w:val="auto"/>
                <w:sz w:val="26"/>
                <w:szCs w:val="26"/>
              </w:rPr>
              <w:drawing>
                <wp:inline distT="0" distB="0" distL="114300" distR="114300">
                  <wp:extent cx="175260" cy="219710"/>
                  <wp:effectExtent l="0" t="0" r="15240" b="571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6"/>
                          <a:stretch>
                            <a:fillRect/>
                          </a:stretch>
                        </pic:blipFill>
                        <pic:spPr>
                          <a:xfrm>
                            <a:off x="0" y="0"/>
                            <a:ext cx="175260" cy="219710"/>
                          </a:xfrm>
                          <a:prstGeom prst="rect">
                            <a:avLst/>
                          </a:prstGeom>
                          <a:noFill/>
                          <a:ln>
                            <a:noFill/>
                          </a:ln>
                        </pic:spPr>
                      </pic:pic>
                    </a:graphicData>
                  </a:graphic>
                </wp:inline>
              </w:drawing>
            </w:r>
            <w:r>
              <w:rPr>
                <w:rFonts w:hint="eastAsia"/>
                <w:color w:val="auto"/>
                <w:sz w:val="26"/>
                <w:szCs w:val="26"/>
              </w:rPr>
              <w:t>——噪声受点r处的等效声级，dB；</w:t>
            </w:r>
          </w:p>
          <w:p w14:paraId="31285843">
            <w:pPr>
              <w:spacing w:line="460" w:lineRule="exact"/>
              <w:ind w:firstLine="520" w:firstLineChars="200"/>
              <w:rPr>
                <w:color w:val="auto"/>
                <w:sz w:val="26"/>
                <w:szCs w:val="26"/>
              </w:rPr>
            </w:pPr>
            <w:r>
              <w:rPr>
                <w:rFonts w:hint="eastAsia"/>
                <w:color w:val="auto"/>
                <w:sz w:val="26"/>
                <w:szCs w:val="26"/>
              </w:rPr>
              <w:drawing>
                <wp:inline distT="0" distB="0" distL="114300" distR="114300">
                  <wp:extent cx="234315" cy="219710"/>
                  <wp:effectExtent l="0" t="0" r="13335" b="698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7"/>
                          <a:stretch>
                            <a:fillRect/>
                          </a:stretch>
                        </pic:blipFill>
                        <pic:spPr>
                          <a:xfrm>
                            <a:off x="0" y="0"/>
                            <a:ext cx="234315" cy="219710"/>
                          </a:xfrm>
                          <a:prstGeom prst="rect">
                            <a:avLst/>
                          </a:prstGeom>
                          <a:noFill/>
                          <a:ln>
                            <a:noFill/>
                          </a:ln>
                        </pic:spPr>
                      </pic:pic>
                    </a:graphicData>
                  </a:graphic>
                </wp:inline>
              </w:drawing>
            </w:r>
            <w:r>
              <w:rPr>
                <w:rFonts w:hint="eastAsia"/>
                <w:color w:val="auto"/>
                <w:sz w:val="26"/>
                <w:szCs w:val="26"/>
              </w:rPr>
              <w:t>——噪声受点r0处的等效声级，dB；</w:t>
            </w:r>
          </w:p>
          <w:p w14:paraId="710015AD">
            <w:pPr>
              <w:spacing w:line="460" w:lineRule="exact"/>
              <w:ind w:firstLine="520" w:firstLineChars="200"/>
              <w:rPr>
                <w:color w:val="auto"/>
                <w:sz w:val="26"/>
                <w:szCs w:val="26"/>
              </w:rPr>
            </w:pPr>
            <w:r>
              <w:rPr>
                <w:rFonts w:hint="eastAsia"/>
                <w:color w:val="auto"/>
                <w:sz w:val="26"/>
                <w:szCs w:val="26"/>
              </w:rPr>
              <w:drawing>
                <wp:inline distT="0" distB="0" distL="114300" distR="114300">
                  <wp:extent cx="109855" cy="124460"/>
                  <wp:effectExtent l="0" t="0" r="4445" b="508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8"/>
                          <a:stretch>
                            <a:fillRect/>
                          </a:stretch>
                        </pic:blipFill>
                        <pic:spPr>
                          <a:xfrm>
                            <a:off x="0" y="0"/>
                            <a:ext cx="109855" cy="124460"/>
                          </a:xfrm>
                          <a:prstGeom prst="rect">
                            <a:avLst/>
                          </a:prstGeom>
                          <a:noFill/>
                          <a:ln>
                            <a:noFill/>
                          </a:ln>
                        </pic:spPr>
                      </pic:pic>
                    </a:graphicData>
                  </a:graphic>
                </wp:inline>
              </w:drawing>
            </w:r>
            <w:r>
              <w:rPr>
                <w:rFonts w:hint="eastAsia"/>
                <w:color w:val="auto"/>
                <w:sz w:val="26"/>
                <w:szCs w:val="26"/>
              </w:rPr>
              <w:t>——噪声受点r处与噪声源的距离，m；</w:t>
            </w:r>
          </w:p>
          <w:p w14:paraId="6FC56F6F">
            <w:pPr>
              <w:spacing w:line="460" w:lineRule="exact"/>
              <w:ind w:firstLine="520" w:firstLineChars="200"/>
              <w:rPr>
                <w:color w:val="auto"/>
                <w:sz w:val="26"/>
                <w:szCs w:val="26"/>
              </w:rPr>
            </w:pPr>
            <w:r>
              <w:rPr>
                <w:rFonts w:hint="eastAsia"/>
                <w:color w:val="auto"/>
                <w:sz w:val="26"/>
                <w:szCs w:val="26"/>
              </w:rPr>
              <w:drawing>
                <wp:inline distT="0" distB="0" distL="114300" distR="114300">
                  <wp:extent cx="146050" cy="219710"/>
                  <wp:effectExtent l="0" t="0" r="6350" b="508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9"/>
                          <a:stretch>
                            <a:fillRect/>
                          </a:stretch>
                        </pic:blipFill>
                        <pic:spPr>
                          <a:xfrm>
                            <a:off x="0" y="0"/>
                            <a:ext cx="146050" cy="219710"/>
                          </a:xfrm>
                          <a:prstGeom prst="rect">
                            <a:avLst/>
                          </a:prstGeom>
                          <a:noFill/>
                          <a:ln>
                            <a:noFill/>
                          </a:ln>
                        </pic:spPr>
                      </pic:pic>
                    </a:graphicData>
                  </a:graphic>
                </wp:inline>
              </w:drawing>
            </w:r>
            <w:r>
              <w:rPr>
                <w:rFonts w:hint="eastAsia"/>
                <w:color w:val="auto"/>
                <w:sz w:val="26"/>
                <w:szCs w:val="26"/>
              </w:rPr>
              <w:t>——噪声受点r0处与噪声源的距离，m；</w:t>
            </w:r>
          </w:p>
          <w:p w14:paraId="29AC4835">
            <w:pPr>
              <w:spacing w:line="460" w:lineRule="exact"/>
              <w:ind w:firstLine="520" w:firstLineChars="200"/>
              <w:rPr>
                <w:color w:val="auto"/>
                <w:sz w:val="26"/>
                <w:szCs w:val="26"/>
              </w:rPr>
            </w:pPr>
            <w:r>
              <w:rPr>
                <w:rFonts w:hint="eastAsia"/>
                <w:color w:val="auto"/>
                <w:sz w:val="26"/>
                <w:szCs w:val="26"/>
              </w:rPr>
              <w:t>△L——各种因素引起的衰减量，dB。</w:t>
            </w:r>
          </w:p>
          <w:p w14:paraId="4350BD18">
            <w:pPr>
              <w:spacing w:line="460" w:lineRule="exact"/>
              <w:ind w:firstLine="520" w:firstLineChars="200"/>
              <w:rPr>
                <w:color w:val="auto"/>
                <w:sz w:val="26"/>
                <w:szCs w:val="26"/>
              </w:rPr>
            </w:pPr>
            <w:r>
              <w:rPr>
                <w:rFonts w:hint="eastAsia"/>
                <w:color w:val="auto"/>
                <w:sz w:val="26"/>
                <w:szCs w:val="26"/>
                <w:lang w:val="en-US" w:eastAsia="zh-CN"/>
              </w:rPr>
              <w:t>D</w:t>
            </w:r>
            <w:r>
              <w:rPr>
                <w:rFonts w:hint="eastAsia"/>
                <w:color w:val="auto"/>
                <w:sz w:val="26"/>
                <w:szCs w:val="26"/>
              </w:rPr>
              <w:t>.室内声源等效室外声源声功率级计算方法</w:t>
            </w:r>
          </w:p>
          <w:p w14:paraId="0BF8D541">
            <w:pPr>
              <w:adjustRightInd w:val="0"/>
              <w:snapToGrid w:val="0"/>
              <w:spacing w:line="460" w:lineRule="exact"/>
              <w:ind w:firstLine="520" w:firstLineChars="200"/>
              <w:jc w:val="center"/>
              <w:rPr>
                <w:rFonts w:cs="宋体"/>
                <w:color w:val="auto"/>
                <w:sz w:val="26"/>
                <w:szCs w:val="26"/>
              </w:rPr>
            </w:pPr>
            <w:r>
              <w:rPr>
                <w:color w:val="auto"/>
                <w:kern w:val="0"/>
                <w:sz w:val="26"/>
                <w:szCs w:val="26"/>
                <w:lang w:bidi="ar"/>
              </w:rPr>
              <w:t>1</w:t>
            </w:r>
            <w:r>
              <w:rPr>
                <w:rFonts w:hint="eastAsia" w:cs="宋体"/>
                <w:color w:val="auto"/>
                <w:kern w:val="0"/>
                <w:sz w:val="26"/>
                <w:szCs w:val="26"/>
                <w:lang w:bidi="ar"/>
              </w:rPr>
              <w:t>）按下式计算出所有室内声源在围护结构处产生的</w:t>
            </w:r>
            <w:r>
              <w:rPr>
                <w:color w:val="auto"/>
                <w:kern w:val="0"/>
                <w:sz w:val="26"/>
                <w:szCs w:val="26"/>
                <w:lang w:bidi="ar"/>
              </w:rPr>
              <w:t>i</w:t>
            </w:r>
            <w:r>
              <w:rPr>
                <w:rFonts w:hint="eastAsia" w:cs="宋体"/>
                <w:color w:val="auto"/>
                <w:kern w:val="0"/>
                <w:sz w:val="26"/>
                <w:szCs w:val="26"/>
                <w:lang w:bidi="ar"/>
              </w:rPr>
              <w:t>倍频带叠加声压级：</w:t>
            </w:r>
          </w:p>
          <w:p w14:paraId="07BBDAB0">
            <w:pPr>
              <w:adjustRightInd w:val="0"/>
              <w:snapToGrid w:val="0"/>
              <w:ind w:firstLine="520" w:firstLineChars="200"/>
              <w:jc w:val="center"/>
              <w:rPr>
                <w:color w:val="auto"/>
                <w:sz w:val="26"/>
                <w:szCs w:val="26"/>
              </w:rPr>
            </w:pPr>
            <w:r>
              <w:rPr>
                <w:color w:val="auto"/>
                <w:kern w:val="0"/>
                <w:sz w:val="26"/>
                <w:szCs w:val="26"/>
                <w:lang w:bidi="ar"/>
              </w:rPr>
              <w:drawing>
                <wp:inline distT="0" distB="0" distL="114300" distR="114300">
                  <wp:extent cx="1762125" cy="561340"/>
                  <wp:effectExtent l="0" t="0" r="9525" b="1016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0"/>
                          <a:stretch>
                            <a:fillRect/>
                          </a:stretch>
                        </pic:blipFill>
                        <pic:spPr>
                          <a:xfrm>
                            <a:off x="0" y="0"/>
                            <a:ext cx="1762125" cy="561340"/>
                          </a:xfrm>
                          <a:prstGeom prst="rect">
                            <a:avLst/>
                          </a:prstGeom>
                          <a:noFill/>
                          <a:ln>
                            <a:noFill/>
                          </a:ln>
                        </pic:spPr>
                      </pic:pic>
                    </a:graphicData>
                  </a:graphic>
                </wp:inline>
              </w:drawing>
            </w:r>
            <w:r>
              <w:rPr>
                <w:rFonts w:hint="eastAsia" w:cs="宋体"/>
                <w:color w:val="auto"/>
                <w:kern w:val="0"/>
                <w:sz w:val="26"/>
                <w:szCs w:val="26"/>
                <w:lang w:bidi="ar"/>
              </w:rPr>
              <w:t></w:t>
            </w:r>
          </w:p>
          <w:p w14:paraId="7E8D63CC">
            <w:pPr>
              <w:autoSpaceDE w:val="0"/>
              <w:autoSpaceDN w:val="0"/>
              <w:adjustRightInd w:val="0"/>
              <w:snapToGrid w:val="0"/>
              <w:spacing w:line="460" w:lineRule="exact"/>
              <w:ind w:firstLine="520" w:firstLineChars="200"/>
              <w:rPr>
                <w:color w:val="auto"/>
                <w:sz w:val="26"/>
                <w:szCs w:val="26"/>
              </w:rPr>
            </w:pPr>
            <w:r>
              <w:rPr>
                <w:rFonts w:hint="eastAsia" w:cs="宋体"/>
                <w:color w:val="auto"/>
                <w:kern w:val="0"/>
                <w:sz w:val="26"/>
                <w:szCs w:val="26"/>
                <w:lang w:bidi="ar"/>
              </w:rPr>
              <w:t>式中：</w:t>
            </w:r>
            <w:r>
              <w:rPr>
                <w:color w:val="auto"/>
                <w:kern w:val="0"/>
                <w:sz w:val="26"/>
                <w:szCs w:val="26"/>
                <w:lang w:bidi="ar"/>
              </w:rPr>
              <w:t>L</w:t>
            </w:r>
            <w:r>
              <w:rPr>
                <w:color w:val="auto"/>
                <w:kern w:val="0"/>
                <w:sz w:val="26"/>
                <w:szCs w:val="26"/>
                <w:vertAlign w:val="subscript"/>
                <w:lang w:bidi="ar"/>
              </w:rPr>
              <w:t>pli</w:t>
            </w:r>
            <w:r>
              <w:rPr>
                <w:rFonts w:hint="eastAsia" w:cs="宋体"/>
                <w:color w:val="auto"/>
                <w:kern w:val="0"/>
                <w:sz w:val="26"/>
                <w:szCs w:val="26"/>
                <w:lang w:bidi="ar"/>
              </w:rPr>
              <w:t>（</w:t>
            </w:r>
            <w:r>
              <w:rPr>
                <w:color w:val="auto"/>
                <w:kern w:val="0"/>
                <w:sz w:val="26"/>
                <w:szCs w:val="26"/>
                <w:lang w:bidi="ar"/>
              </w:rPr>
              <w:t>T</w:t>
            </w:r>
            <w:r>
              <w:rPr>
                <w:rFonts w:hint="eastAsia" w:cs="宋体"/>
                <w:color w:val="auto"/>
                <w:kern w:val="0"/>
                <w:sz w:val="26"/>
                <w:szCs w:val="26"/>
                <w:lang w:bidi="ar"/>
              </w:rPr>
              <w:t>）</w:t>
            </w:r>
            <w:r>
              <w:rPr>
                <w:color w:val="auto"/>
                <w:kern w:val="0"/>
                <w:sz w:val="26"/>
                <w:szCs w:val="26"/>
                <w:lang w:bidi="ar"/>
              </w:rPr>
              <w:t>—</w:t>
            </w:r>
            <w:r>
              <w:rPr>
                <w:rFonts w:hint="eastAsia" w:cs="宋体"/>
                <w:color w:val="auto"/>
                <w:kern w:val="0"/>
                <w:sz w:val="26"/>
                <w:szCs w:val="26"/>
                <w:lang w:bidi="ar"/>
              </w:rPr>
              <w:t>靠近围护结构处室内</w:t>
            </w:r>
            <w:r>
              <w:rPr>
                <w:color w:val="auto"/>
                <w:kern w:val="0"/>
                <w:sz w:val="26"/>
                <w:szCs w:val="26"/>
                <w:lang w:bidi="ar"/>
              </w:rPr>
              <w:t>N</w:t>
            </w:r>
            <w:r>
              <w:rPr>
                <w:rFonts w:hint="eastAsia" w:cs="宋体"/>
                <w:color w:val="auto"/>
                <w:kern w:val="0"/>
                <w:sz w:val="26"/>
                <w:szCs w:val="26"/>
                <w:lang w:bidi="ar"/>
              </w:rPr>
              <w:t>个声源</w:t>
            </w:r>
            <w:r>
              <w:rPr>
                <w:color w:val="auto"/>
                <w:kern w:val="0"/>
                <w:sz w:val="26"/>
                <w:szCs w:val="26"/>
                <w:lang w:bidi="ar"/>
              </w:rPr>
              <w:t>i</w:t>
            </w:r>
            <w:r>
              <w:rPr>
                <w:rFonts w:hint="eastAsia" w:cs="宋体"/>
                <w:color w:val="auto"/>
                <w:kern w:val="0"/>
                <w:sz w:val="26"/>
                <w:szCs w:val="26"/>
                <w:lang w:bidi="ar"/>
              </w:rPr>
              <w:t>倍频带的叠加声压级</w:t>
            </w:r>
            <w:r>
              <w:rPr>
                <w:color w:val="auto"/>
                <w:kern w:val="0"/>
                <w:sz w:val="26"/>
                <w:szCs w:val="26"/>
                <w:lang w:bidi="ar"/>
              </w:rPr>
              <w:t>dB</w:t>
            </w:r>
          </w:p>
          <w:p w14:paraId="793D21D0">
            <w:pPr>
              <w:adjustRightInd w:val="0"/>
              <w:snapToGrid w:val="0"/>
              <w:spacing w:line="460" w:lineRule="exact"/>
              <w:ind w:firstLine="520" w:firstLineChars="200"/>
              <w:rPr>
                <w:color w:val="auto"/>
                <w:sz w:val="26"/>
                <w:szCs w:val="26"/>
              </w:rPr>
            </w:pPr>
            <w:r>
              <w:rPr>
                <w:color w:val="auto"/>
                <w:kern w:val="0"/>
                <w:sz w:val="26"/>
                <w:szCs w:val="26"/>
                <w:lang w:bidi="ar"/>
              </w:rPr>
              <w:t>L</w:t>
            </w:r>
            <w:r>
              <w:rPr>
                <w:color w:val="auto"/>
                <w:kern w:val="0"/>
                <w:sz w:val="26"/>
                <w:szCs w:val="26"/>
                <w:vertAlign w:val="subscript"/>
                <w:lang w:bidi="ar"/>
              </w:rPr>
              <w:t>plij</w:t>
            </w:r>
            <w:r>
              <w:rPr>
                <w:color w:val="auto"/>
                <w:kern w:val="0"/>
                <w:sz w:val="26"/>
                <w:szCs w:val="26"/>
                <w:lang w:bidi="ar"/>
              </w:rPr>
              <w:t>—</w:t>
            </w:r>
            <w:r>
              <w:rPr>
                <w:rFonts w:hint="eastAsia" w:cs="宋体"/>
                <w:color w:val="auto"/>
                <w:kern w:val="0"/>
                <w:sz w:val="26"/>
                <w:szCs w:val="26"/>
                <w:lang w:bidi="ar"/>
              </w:rPr>
              <w:t>室内</w:t>
            </w:r>
            <w:r>
              <w:rPr>
                <w:color w:val="auto"/>
                <w:kern w:val="0"/>
                <w:sz w:val="26"/>
                <w:szCs w:val="26"/>
                <w:lang w:bidi="ar"/>
              </w:rPr>
              <w:t>j</w:t>
            </w:r>
            <w:r>
              <w:rPr>
                <w:rFonts w:hint="eastAsia" w:cs="宋体"/>
                <w:color w:val="auto"/>
                <w:kern w:val="0"/>
                <w:sz w:val="26"/>
                <w:szCs w:val="26"/>
                <w:lang w:bidi="ar"/>
              </w:rPr>
              <w:t>声源</w:t>
            </w:r>
            <w:r>
              <w:rPr>
                <w:color w:val="auto"/>
                <w:kern w:val="0"/>
                <w:sz w:val="26"/>
                <w:szCs w:val="26"/>
                <w:lang w:bidi="ar"/>
              </w:rPr>
              <w:t>i</w:t>
            </w:r>
            <w:r>
              <w:rPr>
                <w:rFonts w:hint="eastAsia" w:cs="宋体"/>
                <w:color w:val="auto"/>
                <w:kern w:val="0"/>
                <w:sz w:val="26"/>
                <w:szCs w:val="26"/>
                <w:lang w:bidi="ar"/>
              </w:rPr>
              <w:t>倍频带的声压级，</w:t>
            </w:r>
            <w:r>
              <w:rPr>
                <w:color w:val="auto"/>
                <w:kern w:val="0"/>
                <w:sz w:val="26"/>
                <w:szCs w:val="26"/>
                <w:lang w:bidi="ar"/>
              </w:rPr>
              <w:t>dB</w:t>
            </w:r>
          </w:p>
          <w:p w14:paraId="51323802">
            <w:pPr>
              <w:adjustRightInd w:val="0"/>
              <w:snapToGrid w:val="0"/>
              <w:spacing w:line="460" w:lineRule="exact"/>
              <w:ind w:firstLine="520" w:firstLineChars="200"/>
              <w:rPr>
                <w:color w:val="auto"/>
                <w:sz w:val="26"/>
                <w:szCs w:val="26"/>
              </w:rPr>
            </w:pPr>
            <w:r>
              <w:rPr>
                <w:color w:val="auto"/>
                <w:kern w:val="0"/>
                <w:sz w:val="26"/>
                <w:szCs w:val="26"/>
                <w:lang w:bidi="ar"/>
              </w:rPr>
              <w:t>N—</w:t>
            </w:r>
            <w:r>
              <w:rPr>
                <w:rFonts w:hint="eastAsia" w:cs="宋体"/>
                <w:color w:val="auto"/>
                <w:kern w:val="0"/>
                <w:sz w:val="26"/>
                <w:szCs w:val="26"/>
                <w:lang w:bidi="ar"/>
              </w:rPr>
              <w:t>室内声源总数。</w:t>
            </w:r>
          </w:p>
          <w:p w14:paraId="73D3D85C">
            <w:pPr>
              <w:adjustRightInd w:val="0"/>
              <w:snapToGrid w:val="0"/>
              <w:spacing w:line="460" w:lineRule="exact"/>
              <w:ind w:firstLine="520" w:firstLineChars="200"/>
              <w:rPr>
                <w:color w:val="auto"/>
                <w:sz w:val="26"/>
                <w:szCs w:val="26"/>
              </w:rPr>
            </w:pPr>
            <w:r>
              <w:rPr>
                <w:color w:val="auto"/>
                <w:kern w:val="0"/>
                <w:sz w:val="26"/>
                <w:szCs w:val="26"/>
                <w:lang w:bidi="ar"/>
              </w:rPr>
              <w:t>2</w:t>
            </w:r>
            <w:r>
              <w:rPr>
                <w:rFonts w:hint="eastAsia" w:cs="宋体"/>
                <w:color w:val="auto"/>
                <w:kern w:val="0"/>
                <w:sz w:val="26"/>
                <w:szCs w:val="26"/>
                <w:lang w:bidi="ar"/>
              </w:rPr>
              <w:t>）声源所在室内声场为近似扩散声场，则室外的倍频带声压级可按下式近似求出：</w:t>
            </w:r>
          </w:p>
          <w:p w14:paraId="0C02EBB4">
            <w:pPr>
              <w:adjustRightInd w:val="0"/>
              <w:snapToGrid w:val="0"/>
              <w:spacing w:line="460" w:lineRule="exact"/>
              <w:ind w:firstLine="520" w:firstLineChars="200"/>
              <w:jc w:val="left"/>
              <w:rPr>
                <w:color w:val="auto"/>
                <w:sz w:val="26"/>
                <w:szCs w:val="26"/>
              </w:rPr>
            </w:pPr>
            <w:r>
              <w:rPr>
                <w:rFonts w:hint="eastAsia" w:cs="宋体"/>
                <w:color w:val="auto"/>
                <w:kern w:val="0"/>
                <w:sz w:val="26"/>
                <w:szCs w:val="26"/>
                <w:lang w:bidi="ar"/>
              </w:rPr>
              <w:t></w:t>
            </w:r>
            <w:r>
              <w:rPr>
                <w:color w:val="auto"/>
                <w:kern w:val="0"/>
                <w:sz w:val="26"/>
                <w:szCs w:val="26"/>
                <w:lang w:bidi="ar"/>
              </w:rPr>
              <w:t>Lp2i</w:t>
            </w:r>
            <w:r>
              <w:rPr>
                <w:rFonts w:hint="eastAsia" w:cs="宋体"/>
                <w:color w:val="auto"/>
                <w:kern w:val="0"/>
                <w:sz w:val="26"/>
                <w:szCs w:val="26"/>
                <w:lang w:bidi="ar"/>
              </w:rPr>
              <w:t>（</w:t>
            </w:r>
            <w:r>
              <w:rPr>
                <w:color w:val="auto"/>
                <w:kern w:val="0"/>
                <w:sz w:val="26"/>
                <w:szCs w:val="26"/>
                <w:lang w:bidi="ar"/>
              </w:rPr>
              <w:t>T</w:t>
            </w:r>
            <w:r>
              <w:rPr>
                <w:rFonts w:hint="eastAsia" w:cs="宋体"/>
                <w:color w:val="auto"/>
                <w:kern w:val="0"/>
                <w:sz w:val="26"/>
                <w:szCs w:val="26"/>
                <w:lang w:bidi="ar"/>
              </w:rPr>
              <w:t>）</w:t>
            </w:r>
            <w:r>
              <w:rPr>
                <w:color w:val="auto"/>
                <w:kern w:val="0"/>
                <w:sz w:val="26"/>
                <w:szCs w:val="26"/>
                <w:lang w:bidi="ar"/>
              </w:rPr>
              <w:t>=Lp1i</w:t>
            </w:r>
            <w:r>
              <w:rPr>
                <w:rFonts w:hint="eastAsia" w:cs="宋体"/>
                <w:color w:val="auto"/>
                <w:kern w:val="0"/>
                <w:sz w:val="26"/>
                <w:szCs w:val="26"/>
                <w:lang w:bidi="ar"/>
              </w:rPr>
              <w:t>（</w:t>
            </w:r>
            <w:r>
              <w:rPr>
                <w:color w:val="auto"/>
                <w:kern w:val="0"/>
                <w:sz w:val="26"/>
                <w:szCs w:val="26"/>
                <w:lang w:bidi="ar"/>
              </w:rPr>
              <w:t>T</w:t>
            </w:r>
            <w:r>
              <w:rPr>
                <w:rFonts w:hint="eastAsia" w:cs="宋体"/>
                <w:color w:val="auto"/>
                <w:kern w:val="0"/>
                <w:sz w:val="26"/>
                <w:szCs w:val="26"/>
                <w:lang w:bidi="ar"/>
              </w:rPr>
              <w:t>）</w:t>
            </w:r>
            <w:r>
              <w:rPr>
                <w:color w:val="auto"/>
                <w:kern w:val="0"/>
                <w:sz w:val="26"/>
                <w:szCs w:val="26"/>
                <w:lang w:bidi="ar"/>
              </w:rPr>
              <w:t>-</w:t>
            </w:r>
            <w:r>
              <w:rPr>
                <w:rFonts w:hint="eastAsia" w:cs="宋体"/>
                <w:color w:val="auto"/>
                <w:kern w:val="0"/>
                <w:sz w:val="26"/>
                <w:szCs w:val="26"/>
                <w:lang w:bidi="ar"/>
              </w:rPr>
              <w:t>（</w:t>
            </w:r>
            <w:r>
              <w:rPr>
                <w:color w:val="auto"/>
                <w:kern w:val="0"/>
                <w:sz w:val="26"/>
                <w:szCs w:val="26"/>
                <w:lang w:bidi="ar"/>
              </w:rPr>
              <w:t>TLi+6</w:t>
            </w:r>
            <w:r>
              <w:rPr>
                <w:rFonts w:hint="eastAsia" w:cs="宋体"/>
                <w:color w:val="auto"/>
                <w:kern w:val="0"/>
                <w:sz w:val="26"/>
                <w:szCs w:val="26"/>
                <w:lang w:bidi="ar"/>
              </w:rPr>
              <w:t>）</w:t>
            </w:r>
          </w:p>
          <w:p w14:paraId="06D4AE98">
            <w:pPr>
              <w:adjustRightInd w:val="0"/>
              <w:snapToGrid w:val="0"/>
              <w:spacing w:line="460" w:lineRule="exact"/>
              <w:ind w:firstLine="520" w:firstLineChars="200"/>
              <w:rPr>
                <w:color w:val="auto"/>
                <w:sz w:val="26"/>
                <w:szCs w:val="26"/>
              </w:rPr>
            </w:pPr>
            <w:r>
              <w:rPr>
                <w:rFonts w:hint="eastAsia" w:cs="宋体"/>
                <w:color w:val="auto"/>
                <w:kern w:val="0"/>
                <w:sz w:val="26"/>
                <w:szCs w:val="26"/>
                <w:lang w:bidi="ar"/>
              </w:rPr>
              <w:t>式中：</w:t>
            </w:r>
            <w:r>
              <w:rPr>
                <w:color w:val="auto"/>
                <w:kern w:val="0"/>
                <w:sz w:val="26"/>
                <w:szCs w:val="26"/>
                <w:lang w:bidi="ar"/>
              </w:rPr>
              <w:t>L</w:t>
            </w:r>
            <w:r>
              <w:rPr>
                <w:color w:val="auto"/>
                <w:kern w:val="0"/>
                <w:sz w:val="26"/>
                <w:szCs w:val="26"/>
                <w:vertAlign w:val="subscript"/>
                <w:lang w:bidi="ar"/>
              </w:rPr>
              <w:t>p2i</w:t>
            </w:r>
            <w:r>
              <w:rPr>
                <w:rFonts w:hint="eastAsia" w:cs="宋体"/>
                <w:color w:val="auto"/>
                <w:kern w:val="0"/>
                <w:sz w:val="26"/>
                <w:szCs w:val="26"/>
                <w:lang w:bidi="ar"/>
              </w:rPr>
              <w:t>（</w:t>
            </w:r>
            <w:r>
              <w:rPr>
                <w:color w:val="auto"/>
                <w:kern w:val="0"/>
                <w:sz w:val="26"/>
                <w:szCs w:val="26"/>
                <w:lang w:bidi="ar"/>
              </w:rPr>
              <w:t>T</w:t>
            </w:r>
            <w:r>
              <w:rPr>
                <w:rFonts w:hint="eastAsia" w:cs="宋体"/>
                <w:color w:val="auto"/>
                <w:kern w:val="0"/>
                <w:sz w:val="26"/>
                <w:szCs w:val="26"/>
                <w:lang w:bidi="ar"/>
              </w:rPr>
              <w:t>）</w:t>
            </w:r>
            <w:r>
              <w:rPr>
                <w:color w:val="auto"/>
                <w:kern w:val="0"/>
                <w:sz w:val="26"/>
                <w:szCs w:val="26"/>
                <w:lang w:bidi="ar"/>
              </w:rPr>
              <w:t>——</w:t>
            </w:r>
            <w:r>
              <w:rPr>
                <w:rFonts w:hint="eastAsia" w:cs="宋体"/>
                <w:color w:val="auto"/>
                <w:kern w:val="0"/>
                <w:sz w:val="26"/>
                <w:szCs w:val="26"/>
                <w:lang w:bidi="ar"/>
              </w:rPr>
              <w:t>靠近围护结构处室内</w:t>
            </w:r>
            <w:r>
              <w:rPr>
                <w:color w:val="auto"/>
                <w:kern w:val="0"/>
                <w:sz w:val="26"/>
                <w:szCs w:val="26"/>
                <w:lang w:bidi="ar"/>
              </w:rPr>
              <w:t>N</w:t>
            </w:r>
            <w:r>
              <w:rPr>
                <w:rFonts w:hint="eastAsia" w:cs="宋体"/>
                <w:color w:val="auto"/>
                <w:kern w:val="0"/>
                <w:sz w:val="26"/>
                <w:szCs w:val="26"/>
                <w:lang w:bidi="ar"/>
              </w:rPr>
              <w:t>个声源倍频带的叠加声压级，</w:t>
            </w:r>
            <w:r>
              <w:rPr>
                <w:color w:val="auto"/>
                <w:kern w:val="0"/>
                <w:sz w:val="26"/>
                <w:szCs w:val="26"/>
                <w:lang w:bidi="ar"/>
              </w:rPr>
              <w:t>dB</w:t>
            </w:r>
            <w:r>
              <w:rPr>
                <w:rFonts w:hint="eastAsia" w:cs="宋体"/>
                <w:color w:val="auto"/>
                <w:kern w:val="0"/>
                <w:sz w:val="26"/>
                <w:szCs w:val="26"/>
                <w:lang w:bidi="ar"/>
              </w:rPr>
              <w:t>；</w:t>
            </w:r>
          </w:p>
          <w:p w14:paraId="20AF7B30">
            <w:pPr>
              <w:adjustRightInd w:val="0"/>
              <w:snapToGrid w:val="0"/>
              <w:spacing w:line="460" w:lineRule="exact"/>
              <w:ind w:firstLine="520" w:firstLineChars="200"/>
              <w:rPr>
                <w:color w:val="auto"/>
                <w:sz w:val="26"/>
                <w:szCs w:val="26"/>
              </w:rPr>
            </w:pPr>
            <w:r>
              <w:rPr>
                <w:color w:val="auto"/>
                <w:kern w:val="0"/>
                <w:sz w:val="26"/>
                <w:szCs w:val="26"/>
                <w:lang w:bidi="ar"/>
              </w:rPr>
              <w:t>L</w:t>
            </w:r>
            <w:r>
              <w:rPr>
                <w:color w:val="auto"/>
                <w:kern w:val="0"/>
                <w:sz w:val="26"/>
                <w:szCs w:val="26"/>
                <w:vertAlign w:val="subscript"/>
                <w:lang w:bidi="ar"/>
              </w:rPr>
              <w:t>p2</w:t>
            </w:r>
            <w:r>
              <w:rPr>
                <w:color w:val="auto"/>
                <w:kern w:val="0"/>
                <w:sz w:val="26"/>
                <w:szCs w:val="26"/>
                <w:lang w:bidi="ar"/>
              </w:rPr>
              <w:t>——</w:t>
            </w:r>
            <w:r>
              <w:rPr>
                <w:rFonts w:hint="eastAsia" w:cs="宋体"/>
                <w:color w:val="auto"/>
                <w:kern w:val="0"/>
                <w:sz w:val="26"/>
                <w:szCs w:val="26"/>
                <w:lang w:bidi="ar"/>
              </w:rPr>
              <w:t>靠近围护结构处室外</w:t>
            </w:r>
            <w:r>
              <w:rPr>
                <w:color w:val="auto"/>
                <w:kern w:val="0"/>
                <w:sz w:val="26"/>
                <w:szCs w:val="26"/>
                <w:lang w:bidi="ar"/>
              </w:rPr>
              <w:t>N</w:t>
            </w:r>
            <w:r>
              <w:rPr>
                <w:rFonts w:hint="eastAsia" w:cs="宋体"/>
                <w:color w:val="auto"/>
                <w:kern w:val="0"/>
                <w:sz w:val="26"/>
                <w:szCs w:val="26"/>
                <w:lang w:bidi="ar"/>
              </w:rPr>
              <w:t>个声源倍频带的叠加声压级，</w:t>
            </w:r>
            <w:r>
              <w:rPr>
                <w:color w:val="auto"/>
                <w:kern w:val="0"/>
                <w:sz w:val="26"/>
                <w:szCs w:val="26"/>
                <w:lang w:bidi="ar"/>
              </w:rPr>
              <w:t>dB</w:t>
            </w:r>
            <w:r>
              <w:rPr>
                <w:rFonts w:hint="eastAsia" w:cs="宋体"/>
                <w:color w:val="auto"/>
                <w:kern w:val="0"/>
                <w:sz w:val="26"/>
                <w:szCs w:val="26"/>
                <w:lang w:bidi="ar"/>
              </w:rPr>
              <w:t>；</w:t>
            </w:r>
          </w:p>
          <w:p w14:paraId="71BBE720">
            <w:pPr>
              <w:adjustRightInd w:val="0"/>
              <w:snapToGrid w:val="0"/>
              <w:spacing w:line="460" w:lineRule="exact"/>
              <w:ind w:firstLine="520" w:firstLineChars="200"/>
              <w:rPr>
                <w:rFonts w:hint="eastAsia" w:cs="宋体"/>
                <w:color w:val="auto"/>
                <w:kern w:val="0"/>
                <w:sz w:val="26"/>
                <w:szCs w:val="26"/>
                <w:lang w:bidi="ar"/>
              </w:rPr>
            </w:pPr>
            <w:r>
              <w:rPr>
                <w:color w:val="auto"/>
                <w:kern w:val="0"/>
                <w:sz w:val="26"/>
                <w:szCs w:val="26"/>
                <w:lang w:bidi="ar"/>
              </w:rPr>
              <w:t>TL</w:t>
            </w:r>
            <w:r>
              <w:rPr>
                <w:color w:val="auto"/>
                <w:kern w:val="0"/>
                <w:sz w:val="26"/>
                <w:szCs w:val="26"/>
                <w:vertAlign w:val="subscript"/>
                <w:lang w:bidi="ar"/>
              </w:rPr>
              <w:t>i</w:t>
            </w:r>
            <w:r>
              <w:rPr>
                <w:color w:val="auto"/>
                <w:kern w:val="0"/>
                <w:sz w:val="26"/>
                <w:szCs w:val="26"/>
                <w:lang w:bidi="ar"/>
              </w:rPr>
              <w:t>——</w:t>
            </w:r>
            <w:r>
              <w:rPr>
                <w:rFonts w:hint="eastAsia" w:cs="宋体"/>
                <w:color w:val="auto"/>
                <w:kern w:val="0"/>
                <w:sz w:val="26"/>
                <w:szCs w:val="26"/>
                <w:lang w:bidi="ar"/>
              </w:rPr>
              <w:t>围护结构</w:t>
            </w:r>
            <w:r>
              <w:rPr>
                <w:color w:val="auto"/>
                <w:kern w:val="0"/>
                <w:sz w:val="26"/>
                <w:szCs w:val="26"/>
                <w:lang w:bidi="ar"/>
              </w:rPr>
              <w:t>i</w:t>
            </w:r>
            <w:r>
              <w:rPr>
                <w:rFonts w:hint="eastAsia" w:cs="宋体"/>
                <w:color w:val="auto"/>
                <w:kern w:val="0"/>
                <w:sz w:val="26"/>
                <w:szCs w:val="26"/>
                <w:lang w:bidi="ar"/>
              </w:rPr>
              <w:t>倍频带隔声量，取</w:t>
            </w:r>
            <w:r>
              <w:rPr>
                <w:rFonts w:hint="eastAsia"/>
                <w:color w:val="auto"/>
                <w:kern w:val="0"/>
                <w:sz w:val="26"/>
                <w:szCs w:val="26"/>
                <w:lang w:val="en-US" w:eastAsia="zh-CN" w:bidi="ar"/>
              </w:rPr>
              <w:t>15</w:t>
            </w:r>
            <w:r>
              <w:rPr>
                <w:color w:val="auto"/>
                <w:kern w:val="0"/>
                <w:sz w:val="26"/>
                <w:szCs w:val="26"/>
                <w:lang w:bidi="ar"/>
              </w:rPr>
              <w:t>dB</w:t>
            </w:r>
            <w:r>
              <w:rPr>
                <w:rFonts w:hint="eastAsia" w:cs="宋体"/>
                <w:color w:val="auto"/>
                <w:kern w:val="0"/>
                <w:sz w:val="26"/>
                <w:szCs w:val="26"/>
                <w:lang w:bidi="ar"/>
              </w:rPr>
              <w:t>。</w:t>
            </w:r>
          </w:p>
          <w:p w14:paraId="0CE75CC0">
            <w:pPr>
              <w:spacing w:line="460" w:lineRule="exact"/>
              <w:ind w:firstLine="520" w:firstLineChars="200"/>
              <w:rPr>
                <w:color w:val="auto"/>
                <w:sz w:val="26"/>
                <w:szCs w:val="26"/>
              </w:rPr>
            </w:pPr>
            <w:r>
              <w:rPr>
                <w:rFonts w:hint="eastAsia"/>
                <w:color w:val="auto"/>
                <w:sz w:val="26"/>
                <w:szCs w:val="26"/>
                <w:lang w:val="en-US" w:eastAsia="zh-CN"/>
              </w:rPr>
              <w:t>E</w:t>
            </w:r>
            <w:r>
              <w:rPr>
                <w:rFonts w:hint="eastAsia"/>
                <w:color w:val="auto"/>
                <w:sz w:val="26"/>
                <w:szCs w:val="26"/>
              </w:rPr>
              <w:t>.</w:t>
            </w:r>
            <w:r>
              <w:rPr>
                <w:rFonts w:hint="eastAsia"/>
                <w:color w:val="auto"/>
                <w:sz w:val="26"/>
                <w:szCs w:val="26"/>
                <w:lang w:val="en-US" w:eastAsia="zh-CN"/>
              </w:rPr>
              <w:t>面声源的几何发散衰减</w:t>
            </w:r>
          </w:p>
          <w:p w14:paraId="3CBCFF97">
            <w:pPr>
              <w:spacing w:line="460" w:lineRule="exact"/>
              <w:ind w:firstLine="520" w:firstLineChars="200"/>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rPr>
              <w:t>根据《环境影响评价技术导则 声环境》（HJ 2.4-2021）中附录A.3.1.3，当预测点和面声源中心距离r处于以下条件时，可按下述方法近似计算：</w:t>
            </w:r>
          </w:p>
          <w:p w14:paraId="5FCDF07F">
            <w:pPr>
              <w:spacing w:line="460" w:lineRule="exact"/>
              <w:ind w:firstLine="520" w:firstLineChars="200"/>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rPr>
              <w:t>r&lt;a/π时，几乎不衰减（Adiv≈0）；</w:t>
            </w:r>
          </w:p>
          <w:p w14:paraId="6471508A">
            <w:pPr>
              <w:spacing w:line="460" w:lineRule="exact"/>
              <w:ind w:firstLine="520" w:firstLineChars="200"/>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rPr>
              <w:t>当a/π&lt;r&lt;b/π，距离加倍衰减3dB左右，类似线声源衰减特性（Adiv≈10 lg（r/r0））；</w:t>
            </w:r>
          </w:p>
          <w:p w14:paraId="516ADEEA">
            <w:pPr>
              <w:spacing w:line="460" w:lineRule="exact"/>
              <w:ind w:firstLine="520" w:firstLineChars="200"/>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rPr>
              <w:t>当r&gt;b/π时，距离加倍衰减趋近于6dB，类似点声源衰减特性（Adiv≈20 lg（r/r0））。其中面声源的b&gt;a。</w:t>
            </w:r>
          </w:p>
          <w:p w14:paraId="40F714D9">
            <w:pPr>
              <w:adjustRightInd w:val="0"/>
              <w:snapToGrid w:val="0"/>
              <w:spacing w:line="460" w:lineRule="exact"/>
              <w:ind w:firstLine="520" w:firstLineChars="200"/>
              <w:jc w:val="left"/>
              <w:rPr>
                <w:color w:val="auto"/>
                <w:sz w:val="26"/>
                <w:szCs w:val="26"/>
              </w:rPr>
            </w:pPr>
            <w:r>
              <w:rPr>
                <w:rFonts w:hint="eastAsia" w:cs="宋体"/>
                <w:color w:val="auto"/>
                <w:kern w:val="0"/>
                <w:sz w:val="26"/>
                <w:szCs w:val="26"/>
                <w:lang w:bidi="ar"/>
              </w:rPr>
              <w:t>（</w:t>
            </w:r>
            <w:r>
              <w:rPr>
                <w:color w:val="auto"/>
                <w:kern w:val="0"/>
                <w:sz w:val="26"/>
                <w:szCs w:val="26"/>
                <w:lang w:bidi="ar"/>
              </w:rPr>
              <w:t>2</w:t>
            </w:r>
            <w:r>
              <w:rPr>
                <w:rFonts w:hint="eastAsia" w:cs="宋体"/>
                <w:color w:val="auto"/>
                <w:kern w:val="0"/>
                <w:sz w:val="26"/>
                <w:szCs w:val="26"/>
                <w:lang w:bidi="ar"/>
              </w:rPr>
              <w:t>）噪声衰减计算</w:t>
            </w:r>
          </w:p>
          <w:p w14:paraId="3941C608">
            <w:pPr>
              <w:adjustRightInd w:val="0"/>
              <w:snapToGrid w:val="0"/>
              <w:spacing w:line="460" w:lineRule="exact"/>
              <w:ind w:firstLine="520" w:firstLineChars="200"/>
              <w:rPr>
                <w:color w:val="auto"/>
                <w:sz w:val="26"/>
                <w:szCs w:val="26"/>
              </w:rPr>
            </w:pPr>
            <w:r>
              <w:rPr>
                <w:rFonts w:hint="eastAsia" w:cs="宋体"/>
                <w:color w:val="auto"/>
                <w:kern w:val="0"/>
                <w:sz w:val="26"/>
                <w:szCs w:val="26"/>
                <w:lang w:bidi="ar"/>
              </w:rPr>
              <w:t>无指向性点声源几何发散衰减的基本公式是：</w:t>
            </w:r>
          </w:p>
          <w:p w14:paraId="6A5F602E">
            <w:pPr>
              <w:adjustRightInd w:val="0"/>
              <w:snapToGrid w:val="0"/>
              <w:spacing w:line="460" w:lineRule="exact"/>
              <w:ind w:firstLine="1300" w:firstLineChars="500"/>
              <w:jc w:val="left"/>
              <w:rPr>
                <w:color w:val="auto"/>
                <w:sz w:val="26"/>
                <w:szCs w:val="26"/>
              </w:rPr>
            </w:pPr>
            <w:r>
              <w:rPr>
                <w:color w:val="auto"/>
                <w:kern w:val="0"/>
                <w:sz w:val="26"/>
                <w:szCs w:val="26"/>
                <w:lang w:bidi="ar"/>
              </w:rPr>
              <w:t>Lp</w:t>
            </w:r>
            <w:r>
              <w:rPr>
                <w:rFonts w:hint="eastAsia" w:cs="宋体"/>
                <w:color w:val="auto"/>
                <w:kern w:val="0"/>
                <w:sz w:val="26"/>
                <w:szCs w:val="26"/>
                <w:lang w:bidi="ar"/>
              </w:rPr>
              <w:t>（</w:t>
            </w:r>
            <w:r>
              <w:rPr>
                <w:color w:val="auto"/>
                <w:kern w:val="0"/>
                <w:sz w:val="26"/>
                <w:szCs w:val="26"/>
                <w:lang w:bidi="ar"/>
              </w:rPr>
              <w:t>r</w:t>
            </w:r>
            <w:r>
              <w:rPr>
                <w:rFonts w:hint="eastAsia" w:cs="宋体"/>
                <w:color w:val="auto"/>
                <w:kern w:val="0"/>
                <w:sz w:val="26"/>
                <w:szCs w:val="26"/>
                <w:lang w:bidi="ar"/>
              </w:rPr>
              <w:t>）</w:t>
            </w:r>
            <w:r>
              <w:rPr>
                <w:color w:val="auto"/>
                <w:kern w:val="0"/>
                <w:sz w:val="26"/>
                <w:szCs w:val="26"/>
                <w:lang w:bidi="ar"/>
              </w:rPr>
              <w:t>=Lp</w:t>
            </w:r>
            <w:r>
              <w:rPr>
                <w:rFonts w:hint="eastAsia" w:cs="宋体"/>
                <w:color w:val="auto"/>
                <w:kern w:val="0"/>
                <w:sz w:val="26"/>
                <w:szCs w:val="26"/>
                <w:lang w:bidi="ar"/>
              </w:rPr>
              <w:t>（</w:t>
            </w:r>
            <w:r>
              <w:rPr>
                <w:color w:val="auto"/>
                <w:kern w:val="0"/>
                <w:sz w:val="26"/>
                <w:szCs w:val="26"/>
                <w:lang w:bidi="ar"/>
              </w:rPr>
              <w:t>r0</w:t>
            </w:r>
            <w:r>
              <w:rPr>
                <w:rFonts w:hint="eastAsia" w:cs="宋体"/>
                <w:color w:val="auto"/>
                <w:kern w:val="0"/>
                <w:sz w:val="26"/>
                <w:szCs w:val="26"/>
                <w:lang w:bidi="ar"/>
              </w:rPr>
              <w:t>）</w:t>
            </w:r>
            <w:r>
              <w:rPr>
                <w:color w:val="auto"/>
                <w:kern w:val="0"/>
                <w:sz w:val="26"/>
                <w:szCs w:val="26"/>
                <w:lang w:bidi="ar"/>
              </w:rPr>
              <w:t>-20lg</w:t>
            </w:r>
            <w:r>
              <w:rPr>
                <w:rFonts w:hint="eastAsia" w:cs="宋体"/>
                <w:color w:val="auto"/>
                <w:kern w:val="0"/>
                <w:sz w:val="26"/>
                <w:szCs w:val="26"/>
                <w:lang w:bidi="ar"/>
              </w:rPr>
              <w:t>（</w:t>
            </w:r>
            <w:r>
              <w:rPr>
                <w:color w:val="auto"/>
                <w:kern w:val="0"/>
                <w:sz w:val="26"/>
                <w:szCs w:val="26"/>
                <w:lang w:bidi="ar"/>
              </w:rPr>
              <w:t>r/r0</w:t>
            </w:r>
            <w:r>
              <w:rPr>
                <w:rFonts w:hint="eastAsia" w:cs="宋体"/>
                <w:color w:val="auto"/>
                <w:kern w:val="0"/>
                <w:sz w:val="26"/>
                <w:szCs w:val="26"/>
                <w:lang w:bidi="ar"/>
              </w:rPr>
              <w:t>）</w:t>
            </w:r>
          </w:p>
          <w:p w14:paraId="151FE2C5">
            <w:pPr>
              <w:adjustRightInd w:val="0"/>
              <w:snapToGrid w:val="0"/>
              <w:spacing w:line="460" w:lineRule="exact"/>
              <w:ind w:firstLine="520" w:firstLineChars="200"/>
              <w:rPr>
                <w:color w:val="auto"/>
                <w:sz w:val="26"/>
                <w:szCs w:val="26"/>
              </w:rPr>
            </w:pPr>
            <w:r>
              <w:rPr>
                <w:rFonts w:hint="eastAsia" w:cs="宋体"/>
                <w:color w:val="auto"/>
                <w:kern w:val="0"/>
                <w:sz w:val="26"/>
                <w:szCs w:val="26"/>
                <w:lang w:bidi="ar"/>
              </w:rPr>
              <w:t>式中：</w:t>
            </w:r>
            <w:r>
              <w:rPr>
                <w:color w:val="auto"/>
                <w:kern w:val="0"/>
                <w:sz w:val="26"/>
                <w:szCs w:val="26"/>
                <w:lang w:bidi="ar"/>
              </w:rPr>
              <w:t>L</w:t>
            </w:r>
            <w:r>
              <w:rPr>
                <w:color w:val="auto"/>
                <w:kern w:val="0"/>
                <w:sz w:val="26"/>
                <w:szCs w:val="26"/>
                <w:vertAlign w:val="subscript"/>
                <w:lang w:bidi="ar"/>
              </w:rPr>
              <w:t>p</w:t>
            </w:r>
            <w:r>
              <w:rPr>
                <w:rFonts w:hint="eastAsia" w:cs="宋体"/>
                <w:color w:val="auto"/>
                <w:kern w:val="0"/>
                <w:sz w:val="26"/>
                <w:szCs w:val="26"/>
                <w:lang w:bidi="ar"/>
              </w:rPr>
              <w:t>（</w:t>
            </w:r>
            <w:r>
              <w:rPr>
                <w:color w:val="auto"/>
                <w:kern w:val="0"/>
                <w:sz w:val="26"/>
                <w:szCs w:val="26"/>
                <w:lang w:bidi="ar"/>
              </w:rPr>
              <w:t>r</w:t>
            </w:r>
            <w:r>
              <w:rPr>
                <w:rFonts w:hint="eastAsia" w:cs="宋体"/>
                <w:color w:val="auto"/>
                <w:kern w:val="0"/>
                <w:sz w:val="26"/>
                <w:szCs w:val="26"/>
                <w:lang w:bidi="ar"/>
              </w:rPr>
              <w:t>）—预测点处声压级，</w:t>
            </w:r>
            <w:r>
              <w:rPr>
                <w:color w:val="auto"/>
                <w:kern w:val="0"/>
                <w:sz w:val="26"/>
                <w:szCs w:val="26"/>
                <w:lang w:bidi="ar"/>
              </w:rPr>
              <w:t>dB</w:t>
            </w:r>
            <w:r>
              <w:rPr>
                <w:rFonts w:hint="eastAsia" w:cs="宋体"/>
                <w:color w:val="auto"/>
                <w:kern w:val="0"/>
                <w:sz w:val="26"/>
                <w:szCs w:val="26"/>
                <w:lang w:bidi="ar"/>
              </w:rPr>
              <w:t>；</w:t>
            </w:r>
          </w:p>
          <w:p w14:paraId="71CCD088">
            <w:pPr>
              <w:adjustRightInd w:val="0"/>
              <w:snapToGrid w:val="0"/>
              <w:spacing w:line="460" w:lineRule="exact"/>
              <w:ind w:firstLine="1300" w:firstLineChars="500"/>
              <w:rPr>
                <w:color w:val="auto"/>
                <w:sz w:val="26"/>
                <w:szCs w:val="26"/>
              </w:rPr>
            </w:pPr>
            <w:r>
              <w:rPr>
                <w:color w:val="auto"/>
                <w:kern w:val="0"/>
                <w:sz w:val="26"/>
                <w:szCs w:val="26"/>
                <w:lang w:bidi="ar"/>
              </w:rPr>
              <w:t>L</w:t>
            </w:r>
            <w:r>
              <w:rPr>
                <w:color w:val="auto"/>
                <w:kern w:val="0"/>
                <w:sz w:val="26"/>
                <w:szCs w:val="26"/>
                <w:vertAlign w:val="subscript"/>
                <w:lang w:bidi="ar"/>
              </w:rPr>
              <w:t>p</w:t>
            </w:r>
            <w:r>
              <w:rPr>
                <w:rFonts w:hint="eastAsia" w:cs="宋体"/>
                <w:color w:val="auto"/>
                <w:kern w:val="0"/>
                <w:sz w:val="26"/>
                <w:szCs w:val="26"/>
                <w:lang w:bidi="ar"/>
              </w:rPr>
              <w:t>（</w:t>
            </w:r>
            <w:r>
              <w:rPr>
                <w:color w:val="auto"/>
                <w:kern w:val="0"/>
                <w:sz w:val="26"/>
                <w:szCs w:val="26"/>
                <w:lang w:bidi="ar"/>
              </w:rPr>
              <w:t>r</w:t>
            </w:r>
            <w:r>
              <w:rPr>
                <w:color w:val="auto"/>
                <w:kern w:val="0"/>
                <w:sz w:val="26"/>
                <w:szCs w:val="26"/>
                <w:vertAlign w:val="subscript"/>
                <w:lang w:bidi="ar"/>
              </w:rPr>
              <w:t>0</w:t>
            </w:r>
            <w:r>
              <w:rPr>
                <w:rFonts w:hint="eastAsia" w:cs="宋体"/>
                <w:color w:val="auto"/>
                <w:kern w:val="0"/>
                <w:sz w:val="26"/>
                <w:szCs w:val="26"/>
                <w:lang w:bidi="ar"/>
              </w:rPr>
              <w:t>）—参考位置</w:t>
            </w:r>
            <w:r>
              <w:rPr>
                <w:color w:val="auto"/>
                <w:kern w:val="0"/>
                <w:sz w:val="26"/>
                <w:szCs w:val="26"/>
                <w:lang w:bidi="ar"/>
              </w:rPr>
              <w:t>r</w:t>
            </w:r>
            <w:r>
              <w:rPr>
                <w:color w:val="auto"/>
                <w:kern w:val="0"/>
                <w:sz w:val="26"/>
                <w:szCs w:val="26"/>
                <w:vertAlign w:val="subscript"/>
                <w:lang w:bidi="ar"/>
              </w:rPr>
              <w:t>0</w:t>
            </w:r>
            <w:r>
              <w:rPr>
                <w:rFonts w:hint="eastAsia" w:cs="宋体"/>
                <w:color w:val="auto"/>
                <w:kern w:val="0"/>
                <w:sz w:val="26"/>
                <w:szCs w:val="26"/>
                <w:lang w:bidi="ar"/>
              </w:rPr>
              <w:t>处的声压级，</w:t>
            </w:r>
            <w:r>
              <w:rPr>
                <w:color w:val="auto"/>
                <w:kern w:val="0"/>
                <w:sz w:val="26"/>
                <w:szCs w:val="26"/>
                <w:lang w:bidi="ar"/>
              </w:rPr>
              <w:t>dB</w:t>
            </w:r>
            <w:r>
              <w:rPr>
                <w:rFonts w:hint="eastAsia" w:cs="宋体"/>
                <w:color w:val="auto"/>
                <w:kern w:val="0"/>
                <w:sz w:val="26"/>
                <w:szCs w:val="26"/>
                <w:lang w:bidi="ar"/>
              </w:rPr>
              <w:t>；</w:t>
            </w:r>
          </w:p>
          <w:p w14:paraId="549C3187">
            <w:pPr>
              <w:adjustRightInd w:val="0"/>
              <w:snapToGrid w:val="0"/>
              <w:spacing w:line="460" w:lineRule="exact"/>
              <w:ind w:firstLine="1300" w:firstLineChars="500"/>
              <w:rPr>
                <w:color w:val="auto"/>
                <w:sz w:val="26"/>
                <w:szCs w:val="26"/>
              </w:rPr>
            </w:pPr>
            <w:r>
              <w:rPr>
                <w:color w:val="auto"/>
                <w:kern w:val="0"/>
                <w:sz w:val="26"/>
                <w:szCs w:val="26"/>
                <w:lang w:bidi="ar"/>
              </w:rPr>
              <w:t>r</w:t>
            </w:r>
            <w:r>
              <w:rPr>
                <w:rFonts w:hint="eastAsia" w:cs="宋体"/>
                <w:color w:val="auto"/>
                <w:kern w:val="0"/>
                <w:sz w:val="26"/>
                <w:szCs w:val="26"/>
                <w:lang w:bidi="ar"/>
              </w:rPr>
              <w:t>—预测点距声源的距离，</w:t>
            </w:r>
            <w:r>
              <w:rPr>
                <w:color w:val="auto"/>
                <w:kern w:val="0"/>
                <w:sz w:val="26"/>
                <w:szCs w:val="26"/>
                <w:lang w:bidi="ar"/>
              </w:rPr>
              <w:t>m</w:t>
            </w:r>
            <w:r>
              <w:rPr>
                <w:rFonts w:hint="eastAsia" w:cs="宋体"/>
                <w:color w:val="auto"/>
                <w:kern w:val="0"/>
                <w:sz w:val="26"/>
                <w:szCs w:val="26"/>
                <w:lang w:bidi="ar"/>
              </w:rPr>
              <w:t>；</w:t>
            </w:r>
          </w:p>
          <w:p w14:paraId="46BAB050">
            <w:pPr>
              <w:adjustRightInd w:val="0"/>
              <w:snapToGrid w:val="0"/>
              <w:spacing w:line="460" w:lineRule="exact"/>
              <w:ind w:firstLine="1300" w:firstLineChars="500"/>
              <w:rPr>
                <w:rFonts w:hint="eastAsia" w:eastAsia="宋体" w:cs="宋体"/>
                <w:color w:val="auto"/>
                <w:kern w:val="0"/>
                <w:sz w:val="26"/>
                <w:szCs w:val="26"/>
                <w:lang w:val="en-US" w:eastAsia="zh-CN" w:bidi="ar"/>
              </w:rPr>
            </w:pPr>
            <w:r>
              <w:rPr>
                <w:color w:val="auto"/>
                <w:kern w:val="0"/>
                <w:sz w:val="26"/>
                <w:szCs w:val="26"/>
                <w:lang w:bidi="ar"/>
              </w:rPr>
              <w:t>r</w:t>
            </w:r>
            <w:r>
              <w:rPr>
                <w:color w:val="auto"/>
                <w:kern w:val="0"/>
                <w:sz w:val="26"/>
                <w:szCs w:val="26"/>
                <w:vertAlign w:val="subscript"/>
                <w:lang w:bidi="ar"/>
              </w:rPr>
              <w:t>0</w:t>
            </w:r>
            <w:r>
              <w:rPr>
                <w:rFonts w:hint="eastAsia" w:cs="宋体"/>
                <w:color w:val="auto"/>
                <w:kern w:val="0"/>
                <w:sz w:val="26"/>
                <w:szCs w:val="26"/>
                <w:lang w:bidi="ar"/>
              </w:rPr>
              <w:t>—参考位置距声源的距离，</w:t>
            </w:r>
            <w:r>
              <w:rPr>
                <w:color w:val="auto"/>
                <w:kern w:val="0"/>
                <w:sz w:val="26"/>
                <w:szCs w:val="26"/>
                <w:lang w:bidi="ar"/>
              </w:rPr>
              <w:t>m</w:t>
            </w:r>
            <w:r>
              <w:rPr>
                <w:rFonts w:hint="eastAsia"/>
                <w:color w:val="auto"/>
                <w:kern w:val="0"/>
                <w:sz w:val="26"/>
                <w:szCs w:val="26"/>
                <w:lang w:eastAsia="zh-CN" w:bidi="ar"/>
              </w:rPr>
              <w:t>。</w:t>
            </w:r>
          </w:p>
          <w:p w14:paraId="7C92211D">
            <w:pPr>
              <w:spacing w:line="460" w:lineRule="exact"/>
              <w:ind w:firstLine="520" w:firstLineChars="200"/>
              <w:rPr>
                <w:color w:val="auto"/>
                <w:sz w:val="26"/>
                <w:szCs w:val="26"/>
              </w:rPr>
            </w:pPr>
            <w:r>
              <w:rPr>
                <w:rFonts w:hint="eastAsia"/>
                <w:color w:val="auto"/>
                <w:sz w:val="26"/>
                <w:szCs w:val="26"/>
                <w:lang w:val="en-US" w:eastAsia="zh-CN"/>
              </w:rPr>
              <w:t>（3）</w:t>
            </w:r>
            <w:r>
              <w:rPr>
                <w:rFonts w:hint="eastAsia"/>
                <w:color w:val="auto"/>
                <w:sz w:val="26"/>
                <w:szCs w:val="26"/>
              </w:rPr>
              <w:t>预测结果及评价</w:t>
            </w:r>
          </w:p>
          <w:p w14:paraId="2EF104F3">
            <w:pPr>
              <w:spacing w:line="460" w:lineRule="exact"/>
              <w:ind w:firstLine="520" w:firstLineChars="200"/>
              <w:rPr>
                <w:rFonts w:hint="eastAsia"/>
                <w:color w:val="auto"/>
                <w:sz w:val="26"/>
                <w:szCs w:val="26"/>
              </w:rPr>
            </w:pPr>
            <w:r>
              <w:rPr>
                <w:rFonts w:hint="eastAsia"/>
                <w:color w:val="auto"/>
                <w:sz w:val="26"/>
                <w:szCs w:val="26"/>
              </w:rPr>
              <w:t>选用《环境影响评价技术导则声环境》（HJ2.4-2021）工业企业噪声计算模式预测各厂界处噪声值。叠加</w:t>
            </w:r>
            <w:r>
              <w:rPr>
                <w:bCs/>
                <w:color w:val="auto"/>
                <w:sz w:val="26"/>
                <w:szCs w:val="26"/>
              </w:rPr>
              <w:t>202</w:t>
            </w:r>
            <w:r>
              <w:rPr>
                <w:rFonts w:hint="eastAsia"/>
                <w:bCs/>
                <w:color w:val="auto"/>
                <w:sz w:val="26"/>
                <w:szCs w:val="26"/>
              </w:rPr>
              <w:t>4</w:t>
            </w:r>
            <w:r>
              <w:rPr>
                <w:bCs/>
                <w:color w:val="auto"/>
                <w:sz w:val="26"/>
                <w:szCs w:val="26"/>
              </w:rPr>
              <w:t>年</w:t>
            </w:r>
            <w:r>
              <w:rPr>
                <w:rFonts w:hint="eastAsia"/>
                <w:bCs/>
                <w:color w:val="auto"/>
                <w:sz w:val="26"/>
                <w:szCs w:val="26"/>
                <w:lang w:val="en-US" w:eastAsia="zh-CN"/>
              </w:rPr>
              <w:t>12</w:t>
            </w:r>
            <w:r>
              <w:rPr>
                <w:bCs/>
                <w:color w:val="auto"/>
                <w:sz w:val="26"/>
                <w:szCs w:val="26"/>
              </w:rPr>
              <w:t>月</w:t>
            </w:r>
            <w:r>
              <w:rPr>
                <w:rFonts w:hint="eastAsia"/>
                <w:bCs/>
                <w:color w:val="auto"/>
                <w:sz w:val="26"/>
                <w:szCs w:val="26"/>
              </w:rPr>
              <w:t>企业自行监测</w:t>
            </w:r>
            <w:r>
              <w:rPr>
                <w:bCs/>
                <w:color w:val="auto"/>
                <w:sz w:val="26"/>
                <w:szCs w:val="26"/>
              </w:rPr>
              <w:t>报告的数据（监测报告编号：渝久</w:t>
            </w:r>
            <w:r>
              <w:rPr>
                <w:rFonts w:hint="eastAsia"/>
                <w:bCs/>
                <w:color w:val="auto"/>
                <w:sz w:val="26"/>
                <w:szCs w:val="26"/>
                <w:lang w:eastAsia="zh-CN"/>
              </w:rPr>
              <w:t>（</w:t>
            </w:r>
            <w:r>
              <w:rPr>
                <w:bCs/>
                <w:color w:val="auto"/>
                <w:sz w:val="26"/>
                <w:szCs w:val="26"/>
              </w:rPr>
              <w:t>监</w:t>
            </w:r>
            <w:r>
              <w:rPr>
                <w:rFonts w:hint="eastAsia"/>
                <w:bCs/>
                <w:color w:val="auto"/>
                <w:sz w:val="26"/>
                <w:szCs w:val="26"/>
                <w:lang w:eastAsia="zh-CN"/>
              </w:rPr>
              <w:t>）</w:t>
            </w:r>
            <w:r>
              <w:rPr>
                <w:bCs/>
                <w:color w:val="auto"/>
                <w:sz w:val="26"/>
                <w:szCs w:val="26"/>
              </w:rPr>
              <w:t>字【2024】第WT51</w:t>
            </w:r>
            <w:r>
              <w:rPr>
                <w:rFonts w:hint="eastAsia"/>
                <w:bCs/>
                <w:color w:val="auto"/>
                <w:sz w:val="26"/>
                <w:szCs w:val="26"/>
                <w:lang w:val="en-US" w:eastAsia="zh-CN"/>
              </w:rPr>
              <w:t>5</w:t>
            </w:r>
            <w:r>
              <w:rPr>
                <w:bCs/>
                <w:color w:val="auto"/>
                <w:sz w:val="26"/>
                <w:szCs w:val="26"/>
              </w:rPr>
              <w:t>号）</w:t>
            </w:r>
            <w:r>
              <w:rPr>
                <w:rFonts w:hint="eastAsia"/>
                <w:bCs/>
                <w:color w:val="auto"/>
                <w:sz w:val="26"/>
                <w:szCs w:val="26"/>
              </w:rPr>
              <w:t>中噪声监测值（</w:t>
            </w:r>
            <w:r>
              <w:rPr>
                <w:rFonts w:hint="eastAsia"/>
                <w:bCs/>
                <w:color w:val="auto"/>
                <w:sz w:val="26"/>
                <w:szCs w:val="26"/>
                <w:lang w:val="en-US" w:eastAsia="zh-CN"/>
              </w:rPr>
              <w:t>由于监测报告对未对东西地块四周厂界分别监测，东地块西、</w:t>
            </w:r>
            <w:r>
              <w:rPr>
                <w:rFonts w:hint="eastAsia"/>
                <w:bCs/>
                <w:color w:val="auto"/>
                <w:sz w:val="26"/>
                <w:szCs w:val="26"/>
              </w:rPr>
              <w:t>南厂界参照</w:t>
            </w:r>
            <w:r>
              <w:rPr>
                <w:rFonts w:hint="eastAsia"/>
                <w:bCs/>
                <w:color w:val="auto"/>
                <w:sz w:val="26"/>
                <w:szCs w:val="26"/>
                <w:lang w:val="en-US" w:eastAsia="zh-CN"/>
              </w:rPr>
              <w:t>监测报告中北、东</w:t>
            </w:r>
            <w:r>
              <w:rPr>
                <w:rFonts w:hint="eastAsia"/>
                <w:bCs/>
                <w:color w:val="auto"/>
                <w:sz w:val="26"/>
                <w:szCs w:val="26"/>
              </w:rPr>
              <w:t>厂界噪声值</w:t>
            </w:r>
            <w:r>
              <w:rPr>
                <w:rFonts w:hint="eastAsia"/>
                <w:bCs/>
                <w:color w:val="auto"/>
                <w:sz w:val="26"/>
                <w:szCs w:val="26"/>
                <w:lang w:eastAsia="zh-CN"/>
              </w:rPr>
              <w:t>；</w:t>
            </w:r>
            <w:r>
              <w:rPr>
                <w:rFonts w:hint="eastAsia"/>
                <w:bCs/>
                <w:color w:val="auto"/>
                <w:sz w:val="26"/>
                <w:szCs w:val="26"/>
                <w:lang w:val="en-US" w:eastAsia="zh-CN"/>
              </w:rPr>
              <w:t>西地块东、北厂界参照监测报告中西南、西厂界噪声值</w:t>
            </w:r>
            <w:r>
              <w:rPr>
                <w:rFonts w:hint="eastAsia"/>
                <w:bCs/>
                <w:color w:val="auto"/>
                <w:sz w:val="26"/>
                <w:szCs w:val="26"/>
              </w:rPr>
              <w:t>）</w:t>
            </w:r>
            <w:r>
              <w:rPr>
                <w:rFonts w:hint="eastAsia"/>
                <w:color w:val="auto"/>
                <w:sz w:val="26"/>
                <w:szCs w:val="26"/>
              </w:rPr>
              <w:t>，根据《工业企业厂界环境噪声排放标准》（GB12348-2008），参照评价标准对预测结果进行评价，拟建项目厂界噪声预测结果见表4.2-1</w:t>
            </w:r>
            <w:r>
              <w:rPr>
                <w:rFonts w:hint="eastAsia"/>
                <w:color w:val="auto"/>
                <w:sz w:val="26"/>
                <w:szCs w:val="26"/>
                <w:lang w:val="en-US" w:eastAsia="zh-CN"/>
              </w:rPr>
              <w:t>5</w:t>
            </w:r>
            <w:r>
              <w:rPr>
                <w:rFonts w:hint="eastAsia"/>
                <w:color w:val="auto"/>
                <w:sz w:val="26"/>
                <w:szCs w:val="26"/>
              </w:rPr>
              <w:t>。</w:t>
            </w:r>
          </w:p>
          <w:p w14:paraId="18209C7D">
            <w:pPr>
              <w:pStyle w:val="147"/>
              <w:ind w:firstLine="520"/>
              <w:rPr>
                <w:color w:val="auto"/>
                <w:sz w:val="26"/>
                <w:szCs w:val="26"/>
              </w:rPr>
            </w:pPr>
            <w:r>
              <w:rPr>
                <w:rFonts w:hint="eastAsia" w:ascii="Times New Roman" w:hAnsi="Times New Roman" w:eastAsia="宋体" w:cs="Times New Roman"/>
                <w:b w:val="0"/>
                <w:bCs/>
                <w:color w:val="auto"/>
                <w:kern w:val="2"/>
                <w:sz w:val="26"/>
                <w:szCs w:val="26"/>
                <w:lang w:val="en-US" w:eastAsia="zh-CN" w:bidi="ar-SA"/>
              </w:rPr>
              <w:t>表</w:t>
            </w:r>
            <w:r>
              <w:rPr>
                <w:rFonts w:hint="eastAsia" w:eastAsia="宋体" w:cs="Times New Roman"/>
                <w:b w:val="0"/>
                <w:bCs/>
                <w:color w:val="auto"/>
                <w:kern w:val="2"/>
                <w:sz w:val="26"/>
                <w:szCs w:val="26"/>
                <w:lang w:val="en-US" w:eastAsia="zh-CN" w:bidi="ar-SA"/>
              </w:rPr>
              <w:t>4.2-1</w:t>
            </w:r>
            <w:r>
              <w:rPr>
                <w:rFonts w:hint="eastAsia" w:cs="Times New Roman"/>
                <w:b w:val="0"/>
                <w:bCs/>
                <w:color w:val="auto"/>
                <w:kern w:val="2"/>
                <w:sz w:val="26"/>
                <w:szCs w:val="26"/>
                <w:lang w:val="en-US" w:eastAsia="zh-CN" w:bidi="ar-SA"/>
              </w:rPr>
              <w:t xml:space="preserve">4  </w:t>
            </w:r>
            <w:r>
              <w:rPr>
                <w:rFonts w:hint="eastAsia" w:ascii="Times New Roman" w:hAnsi="Times New Roman" w:eastAsia="宋体" w:cs="Times New Roman"/>
                <w:b w:val="0"/>
                <w:bCs/>
                <w:color w:val="auto"/>
                <w:kern w:val="2"/>
                <w:sz w:val="26"/>
                <w:szCs w:val="26"/>
                <w:lang w:val="en-US" w:eastAsia="zh-Hans" w:bidi="ar-SA"/>
              </w:rPr>
              <w:t>现有工程</w:t>
            </w:r>
            <w:r>
              <w:rPr>
                <w:rFonts w:ascii="Times New Roman" w:hAnsi="Times New Roman" w:eastAsia="宋体" w:cs="Times New Roman"/>
                <w:b w:val="0"/>
                <w:bCs/>
                <w:color w:val="auto"/>
                <w:kern w:val="2"/>
                <w:sz w:val="26"/>
                <w:szCs w:val="26"/>
                <w:lang w:val="en-US" w:eastAsia="zh-CN" w:bidi="ar-SA"/>
              </w:rPr>
              <w:t>厂界</w:t>
            </w:r>
            <w:r>
              <w:rPr>
                <w:b w:val="0"/>
                <w:bCs/>
                <w:color w:val="auto"/>
                <w:sz w:val="26"/>
                <w:szCs w:val="26"/>
              </w:rPr>
              <w:t>噪声</w:t>
            </w:r>
            <w:r>
              <w:rPr>
                <w:rFonts w:hint="eastAsia"/>
                <w:b w:val="0"/>
                <w:bCs/>
                <w:color w:val="auto"/>
                <w:sz w:val="26"/>
                <w:szCs w:val="26"/>
                <w:lang w:val="en-US" w:eastAsia="zh-CN"/>
              </w:rPr>
              <w:t>监测</w:t>
            </w:r>
            <w:r>
              <w:rPr>
                <w:b w:val="0"/>
                <w:bCs/>
                <w:color w:val="auto"/>
                <w:sz w:val="26"/>
                <w:szCs w:val="26"/>
              </w:rPr>
              <w:t>结果</w:t>
            </w:r>
            <w:r>
              <w:rPr>
                <w:rFonts w:hint="eastAsia"/>
                <w:b w:val="0"/>
                <w:bCs/>
                <w:color w:val="auto"/>
                <w:sz w:val="26"/>
                <w:szCs w:val="26"/>
                <w:lang w:val="en-US" w:eastAsia="zh-CN"/>
              </w:rPr>
              <w:t xml:space="preserve">  </w:t>
            </w:r>
            <w:r>
              <w:rPr>
                <w:b w:val="0"/>
                <w:bCs/>
                <w:color w:val="auto"/>
                <w:sz w:val="26"/>
                <w:szCs w:val="26"/>
              </w:rPr>
              <w:t>单位：dB(A)</w:t>
            </w:r>
          </w:p>
          <w:tbl>
            <w:tblPr>
              <w:tblStyle w:val="30"/>
              <w:tblW w:w="8376" w:type="dxa"/>
              <w:jc w:val="center"/>
              <w:tblLayout w:type="fixed"/>
              <w:tblCellMar>
                <w:top w:w="0" w:type="dxa"/>
                <w:left w:w="108" w:type="dxa"/>
                <w:bottom w:w="0" w:type="dxa"/>
                <w:right w:w="108" w:type="dxa"/>
              </w:tblCellMar>
            </w:tblPr>
            <w:tblGrid>
              <w:gridCol w:w="1313"/>
              <w:gridCol w:w="1880"/>
              <w:gridCol w:w="2585"/>
              <w:gridCol w:w="2598"/>
            </w:tblGrid>
            <w:tr w14:paraId="168414EB">
              <w:tblPrEx>
                <w:tblCellMar>
                  <w:top w:w="0" w:type="dxa"/>
                  <w:left w:w="108" w:type="dxa"/>
                  <w:bottom w:w="0" w:type="dxa"/>
                  <w:right w:w="108" w:type="dxa"/>
                </w:tblCellMar>
              </w:tblPrEx>
              <w:trPr>
                <w:trHeight w:val="300" w:hRule="atLeast"/>
                <w:jc w:val="center"/>
              </w:trPr>
              <w:tc>
                <w:tcPr>
                  <w:tcW w:w="1313" w:type="dxa"/>
                  <w:vMerge w:val="restart"/>
                  <w:tcBorders>
                    <w:top w:val="single" w:color="000000" w:sz="4" w:space="0"/>
                    <w:left w:val="single" w:color="000000" w:sz="4" w:space="0"/>
                    <w:right w:val="single" w:color="000000" w:sz="4" w:space="0"/>
                  </w:tcBorders>
                  <w:shd w:val="clear" w:color="auto" w:fill="auto"/>
                  <w:vAlign w:val="center"/>
                </w:tcPr>
                <w:p w14:paraId="50CBF4FF">
                  <w:pPr>
                    <w:widowControl/>
                    <w:spacing w:line="240" w:lineRule="auto"/>
                    <w:ind w:firstLine="0" w:firstLineChars="0"/>
                    <w:jc w:val="center"/>
                    <w:textAlignment w:val="center"/>
                    <w:rPr>
                      <w:rFonts w:hint="eastAsia" w:eastAsia="宋体"/>
                      <w:color w:val="auto"/>
                      <w:kern w:val="0"/>
                      <w:sz w:val="22"/>
                      <w:szCs w:val="22"/>
                      <w:lang w:val="en-US" w:eastAsia="zh-CN" w:bidi="ar"/>
                    </w:rPr>
                  </w:pPr>
                  <w:r>
                    <w:rPr>
                      <w:rFonts w:hint="eastAsia"/>
                      <w:color w:val="auto"/>
                      <w:kern w:val="0"/>
                      <w:sz w:val="22"/>
                      <w:szCs w:val="22"/>
                      <w:lang w:val="en-US" w:eastAsia="zh-CN" w:bidi="ar"/>
                    </w:rPr>
                    <w:t>地块</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14:paraId="3AFABBB0">
                  <w:pPr>
                    <w:widowControl/>
                    <w:spacing w:line="240" w:lineRule="auto"/>
                    <w:ind w:firstLine="0" w:firstLineChars="0"/>
                    <w:jc w:val="center"/>
                    <w:textAlignment w:val="center"/>
                    <w:rPr>
                      <w:rFonts w:hint="eastAsia"/>
                      <w:color w:val="auto"/>
                      <w:kern w:val="0"/>
                      <w:sz w:val="22"/>
                      <w:szCs w:val="22"/>
                      <w:lang w:bidi="ar"/>
                    </w:rPr>
                  </w:pPr>
                  <w:r>
                    <w:rPr>
                      <w:rFonts w:hint="eastAsia"/>
                      <w:color w:val="auto"/>
                      <w:kern w:val="0"/>
                      <w:sz w:val="22"/>
                      <w:szCs w:val="22"/>
                      <w:lang w:bidi="ar"/>
                    </w:rPr>
                    <w:t>名称</w:t>
                  </w:r>
                </w:p>
              </w:tc>
              <w:tc>
                <w:tcPr>
                  <w:tcW w:w="5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76C54">
                  <w:pPr>
                    <w:widowControl/>
                    <w:spacing w:line="240" w:lineRule="auto"/>
                    <w:ind w:firstLine="0" w:firstLineChars="0"/>
                    <w:jc w:val="center"/>
                    <w:textAlignment w:val="center"/>
                    <w:rPr>
                      <w:rFonts w:hint="eastAsia" w:eastAsia="宋体"/>
                      <w:color w:val="auto"/>
                      <w:kern w:val="0"/>
                      <w:sz w:val="22"/>
                      <w:szCs w:val="22"/>
                      <w:lang w:val="en-US" w:eastAsia="zh-CN" w:bidi="ar"/>
                    </w:rPr>
                  </w:pPr>
                  <w:r>
                    <w:rPr>
                      <w:rFonts w:hint="eastAsia"/>
                      <w:color w:val="auto"/>
                      <w:kern w:val="0"/>
                      <w:sz w:val="22"/>
                      <w:szCs w:val="22"/>
                      <w:lang w:val="en-US" w:eastAsia="zh-CN" w:bidi="ar"/>
                    </w:rPr>
                    <w:t>监测值</w:t>
                  </w:r>
                </w:p>
              </w:tc>
            </w:tr>
            <w:tr w14:paraId="616CE7A7">
              <w:tblPrEx>
                <w:tblCellMar>
                  <w:top w:w="0" w:type="dxa"/>
                  <w:left w:w="108" w:type="dxa"/>
                  <w:bottom w:w="0" w:type="dxa"/>
                  <w:right w:w="108" w:type="dxa"/>
                </w:tblCellMar>
              </w:tblPrEx>
              <w:trPr>
                <w:trHeight w:val="300" w:hRule="atLeast"/>
                <w:jc w:val="center"/>
              </w:trPr>
              <w:tc>
                <w:tcPr>
                  <w:tcW w:w="1313" w:type="dxa"/>
                  <w:vMerge w:val="continue"/>
                  <w:tcBorders>
                    <w:left w:val="single" w:color="000000" w:sz="4" w:space="0"/>
                    <w:bottom w:val="single" w:color="000000" w:sz="4" w:space="0"/>
                    <w:right w:val="single" w:color="000000" w:sz="4" w:space="0"/>
                  </w:tcBorders>
                  <w:shd w:val="clear" w:color="auto" w:fill="auto"/>
                  <w:vAlign w:val="center"/>
                </w:tcPr>
                <w:p w14:paraId="2A78FEE5">
                  <w:pPr>
                    <w:widowControl/>
                    <w:spacing w:line="240" w:lineRule="auto"/>
                    <w:ind w:firstLine="0" w:firstLineChars="0"/>
                    <w:jc w:val="center"/>
                    <w:textAlignment w:val="center"/>
                    <w:rPr>
                      <w:rFonts w:hint="eastAsia"/>
                      <w:color w:val="auto"/>
                      <w:kern w:val="0"/>
                      <w:sz w:val="22"/>
                      <w:szCs w:val="22"/>
                      <w:lang w:bidi="ar"/>
                    </w:rPr>
                  </w:pP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14:paraId="22B5D70C">
                  <w:pPr>
                    <w:widowControl/>
                    <w:spacing w:line="240" w:lineRule="auto"/>
                    <w:ind w:firstLine="0" w:firstLineChars="0"/>
                    <w:jc w:val="center"/>
                    <w:textAlignment w:val="center"/>
                    <w:rPr>
                      <w:rFonts w:hint="eastAsia"/>
                      <w:color w:val="auto"/>
                      <w:kern w:val="0"/>
                      <w:sz w:val="22"/>
                      <w:szCs w:val="22"/>
                      <w:lang w:bidi="ar"/>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FD4E">
                  <w:pPr>
                    <w:widowControl/>
                    <w:spacing w:line="240" w:lineRule="auto"/>
                    <w:ind w:firstLine="0" w:firstLineChars="0"/>
                    <w:jc w:val="center"/>
                    <w:textAlignment w:val="center"/>
                    <w:rPr>
                      <w:rFonts w:hint="eastAsia"/>
                      <w:color w:val="auto"/>
                      <w:kern w:val="0"/>
                      <w:sz w:val="22"/>
                      <w:szCs w:val="22"/>
                      <w:lang w:bidi="ar"/>
                    </w:rPr>
                  </w:pPr>
                  <w:r>
                    <w:rPr>
                      <w:rFonts w:hint="eastAsia"/>
                      <w:color w:val="auto"/>
                      <w:kern w:val="0"/>
                      <w:sz w:val="22"/>
                      <w:szCs w:val="22"/>
                      <w:lang w:bidi="ar"/>
                    </w:rPr>
                    <w:t>昼间</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8A50">
                  <w:pPr>
                    <w:widowControl/>
                    <w:spacing w:line="240" w:lineRule="auto"/>
                    <w:ind w:firstLine="0" w:firstLineChars="0"/>
                    <w:jc w:val="center"/>
                    <w:textAlignment w:val="center"/>
                    <w:rPr>
                      <w:rFonts w:hint="eastAsia"/>
                      <w:color w:val="auto"/>
                      <w:kern w:val="0"/>
                      <w:sz w:val="22"/>
                      <w:szCs w:val="22"/>
                      <w:lang w:bidi="ar"/>
                    </w:rPr>
                  </w:pPr>
                  <w:r>
                    <w:rPr>
                      <w:rFonts w:hint="eastAsia"/>
                      <w:color w:val="auto"/>
                      <w:kern w:val="0"/>
                      <w:sz w:val="22"/>
                      <w:szCs w:val="22"/>
                      <w:lang w:bidi="ar"/>
                    </w:rPr>
                    <w:t>夜间</w:t>
                  </w:r>
                </w:p>
              </w:tc>
            </w:tr>
            <w:tr w14:paraId="68BAA74D">
              <w:tblPrEx>
                <w:tblCellMar>
                  <w:top w:w="0" w:type="dxa"/>
                  <w:left w:w="108" w:type="dxa"/>
                  <w:bottom w:w="0" w:type="dxa"/>
                  <w:right w:w="108" w:type="dxa"/>
                </w:tblCellMar>
              </w:tblPrEx>
              <w:trPr>
                <w:trHeight w:val="300" w:hRule="atLeast"/>
                <w:jc w:val="center"/>
              </w:trPr>
              <w:tc>
                <w:tcPr>
                  <w:tcW w:w="1313" w:type="dxa"/>
                  <w:vMerge w:val="restart"/>
                  <w:tcBorders>
                    <w:top w:val="single" w:color="000000" w:sz="4" w:space="0"/>
                    <w:left w:val="single" w:color="000000" w:sz="4" w:space="0"/>
                    <w:right w:val="single" w:color="000000" w:sz="4" w:space="0"/>
                  </w:tcBorders>
                  <w:shd w:val="clear" w:color="auto" w:fill="auto"/>
                  <w:vAlign w:val="center"/>
                </w:tcPr>
                <w:p w14:paraId="0555A7E9">
                  <w:pPr>
                    <w:widowControl/>
                    <w:spacing w:line="240" w:lineRule="auto"/>
                    <w:ind w:firstLine="0" w:firstLineChars="0"/>
                    <w:jc w:val="center"/>
                    <w:textAlignment w:val="center"/>
                    <w:rPr>
                      <w:rFonts w:hint="eastAsia" w:eastAsia="宋体"/>
                      <w:color w:val="auto"/>
                      <w:kern w:val="0"/>
                      <w:sz w:val="22"/>
                      <w:szCs w:val="22"/>
                      <w:lang w:val="en-US" w:eastAsia="zh-CN" w:bidi="ar"/>
                    </w:rPr>
                  </w:pPr>
                  <w:r>
                    <w:rPr>
                      <w:rFonts w:hint="eastAsia"/>
                      <w:color w:val="auto"/>
                      <w:kern w:val="0"/>
                      <w:sz w:val="22"/>
                      <w:szCs w:val="22"/>
                      <w:lang w:val="en-US" w:eastAsia="zh-CN" w:bidi="ar"/>
                    </w:rPr>
                    <w:t>东地块</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90AA">
                  <w:pPr>
                    <w:widowControl/>
                    <w:spacing w:line="240" w:lineRule="auto"/>
                    <w:ind w:firstLine="0" w:firstLineChars="0"/>
                    <w:jc w:val="center"/>
                    <w:textAlignment w:val="center"/>
                    <w:rPr>
                      <w:rFonts w:hint="eastAsia"/>
                      <w:color w:val="auto"/>
                      <w:kern w:val="0"/>
                      <w:sz w:val="22"/>
                      <w:szCs w:val="22"/>
                      <w:lang w:bidi="ar"/>
                    </w:rPr>
                  </w:pPr>
                  <w:r>
                    <w:rPr>
                      <w:rFonts w:hint="eastAsia"/>
                      <w:color w:val="auto"/>
                      <w:kern w:val="0"/>
                      <w:sz w:val="22"/>
                      <w:szCs w:val="22"/>
                      <w:lang w:bidi="ar"/>
                    </w:rPr>
                    <w:t>东厂界</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77ED">
                  <w:pPr>
                    <w:widowControl/>
                    <w:spacing w:line="240" w:lineRule="auto"/>
                    <w:ind w:firstLine="0" w:firstLineChars="0"/>
                    <w:jc w:val="center"/>
                    <w:textAlignment w:val="center"/>
                    <w:rPr>
                      <w:rFonts w:hint="default" w:ascii="Times New Roman" w:hAnsi="Times New Roman" w:eastAsia="宋体" w:cs="Times New Roman"/>
                      <w:color w:val="auto"/>
                      <w:kern w:val="0"/>
                      <w:sz w:val="22"/>
                      <w:szCs w:val="22"/>
                      <w:lang w:val="en-US" w:eastAsia="zh-CN" w:bidi="ar"/>
                    </w:rPr>
                  </w:pPr>
                  <w:r>
                    <w:rPr>
                      <w:rFonts w:hint="eastAsia"/>
                      <w:color w:val="auto"/>
                      <w:kern w:val="0"/>
                      <w:sz w:val="22"/>
                      <w:szCs w:val="22"/>
                      <w:lang w:val="en-US" w:eastAsia="zh-CN" w:bidi="ar"/>
                    </w:rPr>
                    <w:t>56</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59A5">
                  <w:pPr>
                    <w:widowControl/>
                    <w:spacing w:line="240" w:lineRule="auto"/>
                    <w:ind w:firstLine="0" w:firstLineChars="0"/>
                    <w:jc w:val="center"/>
                    <w:textAlignment w:val="center"/>
                    <w:rPr>
                      <w:rFonts w:hint="default" w:ascii="Times New Roman" w:hAnsi="Times New Roman" w:eastAsia="宋体" w:cs="Times New Roman"/>
                      <w:color w:val="auto"/>
                      <w:kern w:val="0"/>
                      <w:sz w:val="22"/>
                      <w:szCs w:val="22"/>
                      <w:lang w:val="en-US" w:eastAsia="zh-CN" w:bidi="ar"/>
                    </w:rPr>
                  </w:pPr>
                  <w:r>
                    <w:rPr>
                      <w:rFonts w:hint="eastAsia"/>
                      <w:color w:val="auto"/>
                      <w:kern w:val="0"/>
                      <w:sz w:val="22"/>
                      <w:szCs w:val="22"/>
                      <w:lang w:val="en-US" w:eastAsia="zh-CN" w:bidi="ar"/>
                    </w:rPr>
                    <w:t>47</w:t>
                  </w:r>
                </w:p>
              </w:tc>
            </w:tr>
            <w:tr w14:paraId="4F2DBDB4">
              <w:tblPrEx>
                <w:tblCellMar>
                  <w:top w:w="0" w:type="dxa"/>
                  <w:left w:w="108" w:type="dxa"/>
                  <w:bottom w:w="0" w:type="dxa"/>
                  <w:right w:w="108" w:type="dxa"/>
                </w:tblCellMar>
              </w:tblPrEx>
              <w:trPr>
                <w:trHeight w:val="300" w:hRule="atLeast"/>
                <w:jc w:val="center"/>
              </w:trPr>
              <w:tc>
                <w:tcPr>
                  <w:tcW w:w="1313" w:type="dxa"/>
                  <w:vMerge w:val="continue"/>
                  <w:tcBorders>
                    <w:left w:val="single" w:color="000000" w:sz="4" w:space="0"/>
                    <w:right w:val="single" w:color="000000" w:sz="4" w:space="0"/>
                  </w:tcBorders>
                  <w:shd w:val="clear" w:color="auto" w:fill="auto"/>
                  <w:vAlign w:val="center"/>
                </w:tcPr>
                <w:p w14:paraId="489E3F11">
                  <w:pPr>
                    <w:widowControl/>
                    <w:spacing w:line="240" w:lineRule="auto"/>
                    <w:ind w:firstLine="0" w:firstLineChars="0"/>
                    <w:jc w:val="center"/>
                    <w:textAlignment w:val="center"/>
                    <w:rPr>
                      <w:rFonts w:hint="eastAsia"/>
                      <w:color w:val="auto"/>
                      <w:kern w:val="0"/>
                      <w:sz w:val="22"/>
                      <w:szCs w:val="22"/>
                      <w:lang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6A63">
                  <w:pPr>
                    <w:widowControl/>
                    <w:spacing w:line="240" w:lineRule="auto"/>
                    <w:ind w:firstLine="0" w:firstLineChars="0"/>
                    <w:jc w:val="center"/>
                    <w:textAlignment w:val="center"/>
                    <w:rPr>
                      <w:color w:val="auto"/>
                      <w:kern w:val="0"/>
                      <w:sz w:val="22"/>
                      <w:szCs w:val="22"/>
                      <w:lang w:bidi="ar"/>
                    </w:rPr>
                  </w:pPr>
                  <w:r>
                    <w:rPr>
                      <w:rFonts w:hint="eastAsia"/>
                      <w:color w:val="auto"/>
                      <w:kern w:val="0"/>
                      <w:sz w:val="22"/>
                      <w:szCs w:val="22"/>
                      <w:lang w:bidi="ar"/>
                    </w:rPr>
                    <w:t>南厂界</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1ECE">
                  <w:pPr>
                    <w:widowControl/>
                    <w:spacing w:line="240" w:lineRule="auto"/>
                    <w:ind w:firstLine="0" w:firstLineChars="0"/>
                    <w:jc w:val="center"/>
                    <w:textAlignment w:val="center"/>
                    <w:rPr>
                      <w:rFonts w:hint="default"/>
                      <w:color w:val="auto"/>
                      <w:kern w:val="0"/>
                      <w:sz w:val="22"/>
                      <w:szCs w:val="22"/>
                      <w:lang w:val="en-US" w:bidi="ar"/>
                    </w:rPr>
                  </w:pPr>
                  <w:r>
                    <w:rPr>
                      <w:rFonts w:hint="eastAsia"/>
                      <w:color w:val="auto"/>
                      <w:kern w:val="0"/>
                      <w:sz w:val="22"/>
                      <w:szCs w:val="22"/>
                      <w:lang w:val="en-US" w:eastAsia="zh-CN" w:bidi="ar"/>
                    </w:rPr>
                    <w:t>56</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0ED2">
                  <w:pPr>
                    <w:widowControl/>
                    <w:spacing w:line="240" w:lineRule="auto"/>
                    <w:ind w:firstLine="0" w:firstLineChars="0"/>
                    <w:jc w:val="center"/>
                    <w:textAlignment w:val="center"/>
                    <w:rPr>
                      <w:rFonts w:hint="default"/>
                      <w:color w:val="auto"/>
                      <w:kern w:val="0"/>
                      <w:sz w:val="22"/>
                      <w:szCs w:val="22"/>
                      <w:lang w:val="en-US" w:bidi="ar"/>
                    </w:rPr>
                  </w:pPr>
                  <w:r>
                    <w:rPr>
                      <w:rFonts w:hint="eastAsia"/>
                      <w:color w:val="auto"/>
                      <w:kern w:val="0"/>
                      <w:sz w:val="22"/>
                      <w:szCs w:val="22"/>
                      <w:lang w:val="en-US" w:eastAsia="zh-CN" w:bidi="ar"/>
                    </w:rPr>
                    <w:t>47</w:t>
                  </w:r>
                </w:p>
              </w:tc>
            </w:tr>
            <w:tr w14:paraId="6FC753D6">
              <w:tblPrEx>
                <w:tblCellMar>
                  <w:top w:w="0" w:type="dxa"/>
                  <w:left w:w="108" w:type="dxa"/>
                  <w:bottom w:w="0" w:type="dxa"/>
                  <w:right w:w="108" w:type="dxa"/>
                </w:tblCellMar>
              </w:tblPrEx>
              <w:trPr>
                <w:trHeight w:val="300" w:hRule="atLeast"/>
                <w:jc w:val="center"/>
              </w:trPr>
              <w:tc>
                <w:tcPr>
                  <w:tcW w:w="1313" w:type="dxa"/>
                  <w:vMerge w:val="continue"/>
                  <w:tcBorders>
                    <w:left w:val="single" w:color="000000" w:sz="4" w:space="0"/>
                    <w:right w:val="single" w:color="000000" w:sz="4" w:space="0"/>
                  </w:tcBorders>
                  <w:shd w:val="clear" w:color="auto" w:fill="auto"/>
                  <w:vAlign w:val="center"/>
                </w:tcPr>
                <w:p w14:paraId="6FFDB65F">
                  <w:pPr>
                    <w:widowControl/>
                    <w:spacing w:line="240" w:lineRule="auto"/>
                    <w:ind w:firstLine="0" w:firstLineChars="0"/>
                    <w:jc w:val="center"/>
                    <w:textAlignment w:val="center"/>
                    <w:rPr>
                      <w:rFonts w:hint="eastAsia"/>
                      <w:color w:val="auto"/>
                      <w:kern w:val="0"/>
                      <w:sz w:val="22"/>
                      <w:szCs w:val="22"/>
                      <w:lang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E01">
                  <w:pPr>
                    <w:widowControl/>
                    <w:spacing w:line="240" w:lineRule="auto"/>
                    <w:ind w:firstLine="0" w:firstLineChars="0"/>
                    <w:jc w:val="center"/>
                    <w:textAlignment w:val="center"/>
                    <w:rPr>
                      <w:color w:val="auto"/>
                      <w:kern w:val="0"/>
                      <w:sz w:val="22"/>
                      <w:szCs w:val="22"/>
                      <w:lang w:bidi="ar"/>
                    </w:rPr>
                  </w:pPr>
                  <w:r>
                    <w:rPr>
                      <w:rFonts w:hint="eastAsia"/>
                      <w:color w:val="auto"/>
                      <w:kern w:val="0"/>
                      <w:sz w:val="22"/>
                      <w:szCs w:val="22"/>
                      <w:lang w:bidi="ar"/>
                    </w:rPr>
                    <w:t>西厂界</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0754">
                  <w:pPr>
                    <w:widowControl/>
                    <w:spacing w:line="240" w:lineRule="auto"/>
                    <w:ind w:firstLine="0" w:firstLineChars="0"/>
                    <w:jc w:val="center"/>
                    <w:textAlignment w:val="center"/>
                    <w:rPr>
                      <w:rFonts w:hint="default" w:eastAsia="宋体"/>
                      <w:color w:val="auto"/>
                      <w:kern w:val="0"/>
                      <w:sz w:val="22"/>
                      <w:szCs w:val="22"/>
                      <w:lang w:val="en-US" w:eastAsia="zh-CN" w:bidi="ar"/>
                    </w:rPr>
                  </w:pPr>
                  <w:r>
                    <w:rPr>
                      <w:rFonts w:hint="eastAsia"/>
                      <w:color w:val="auto"/>
                      <w:kern w:val="0"/>
                      <w:sz w:val="22"/>
                      <w:szCs w:val="22"/>
                      <w:lang w:val="en-US" w:eastAsia="zh-CN" w:bidi="ar"/>
                    </w:rPr>
                    <w:t>55</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8A75">
                  <w:pPr>
                    <w:widowControl/>
                    <w:spacing w:line="240" w:lineRule="auto"/>
                    <w:ind w:firstLine="0" w:firstLineChars="0"/>
                    <w:jc w:val="center"/>
                    <w:textAlignment w:val="center"/>
                    <w:rPr>
                      <w:rFonts w:hint="default" w:eastAsia="宋体"/>
                      <w:color w:val="auto"/>
                      <w:kern w:val="0"/>
                      <w:sz w:val="22"/>
                      <w:szCs w:val="22"/>
                      <w:lang w:val="en-US" w:eastAsia="zh-CN" w:bidi="ar"/>
                    </w:rPr>
                  </w:pPr>
                  <w:r>
                    <w:rPr>
                      <w:rFonts w:hint="eastAsia"/>
                      <w:color w:val="auto"/>
                      <w:kern w:val="0"/>
                      <w:sz w:val="22"/>
                      <w:szCs w:val="22"/>
                      <w:lang w:val="en-US" w:eastAsia="zh-CN" w:bidi="ar"/>
                    </w:rPr>
                    <w:t>46</w:t>
                  </w:r>
                </w:p>
              </w:tc>
            </w:tr>
            <w:tr w14:paraId="1F9B46B4">
              <w:tblPrEx>
                <w:tblCellMar>
                  <w:top w:w="0" w:type="dxa"/>
                  <w:left w:w="108" w:type="dxa"/>
                  <w:bottom w:w="0" w:type="dxa"/>
                  <w:right w:w="108" w:type="dxa"/>
                </w:tblCellMar>
              </w:tblPrEx>
              <w:trPr>
                <w:trHeight w:val="300" w:hRule="atLeast"/>
                <w:jc w:val="center"/>
              </w:trPr>
              <w:tc>
                <w:tcPr>
                  <w:tcW w:w="1313" w:type="dxa"/>
                  <w:vMerge w:val="continue"/>
                  <w:tcBorders>
                    <w:left w:val="single" w:color="000000" w:sz="4" w:space="0"/>
                    <w:right w:val="single" w:color="000000" w:sz="4" w:space="0"/>
                  </w:tcBorders>
                  <w:shd w:val="clear" w:color="auto" w:fill="auto"/>
                  <w:vAlign w:val="center"/>
                </w:tcPr>
                <w:p w14:paraId="0BB86A8A">
                  <w:pPr>
                    <w:widowControl/>
                    <w:spacing w:line="240" w:lineRule="auto"/>
                    <w:ind w:firstLine="0" w:firstLineChars="0"/>
                    <w:jc w:val="center"/>
                    <w:textAlignment w:val="center"/>
                    <w:rPr>
                      <w:rFonts w:hint="eastAsia"/>
                      <w:color w:val="auto"/>
                      <w:kern w:val="0"/>
                      <w:sz w:val="22"/>
                      <w:szCs w:val="22"/>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D93A">
                  <w:pPr>
                    <w:widowControl/>
                    <w:spacing w:line="240" w:lineRule="auto"/>
                    <w:ind w:firstLine="0" w:firstLineChars="0"/>
                    <w:jc w:val="center"/>
                    <w:textAlignment w:val="center"/>
                    <w:rPr>
                      <w:rFonts w:hint="eastAsia"/>
                      <w:color w:val="auto"/>
                      <w:kern w:val="0"/>
                      <w:sz w:val="22"/>
                      <w:szCs w:val="22"/>
                      <w:lang w:bidi="ar"/>
                    </w:rPr>
                  </w:pPr>
                  <w:r>
                    <w:rPr>
                      <w:rFonts w:hint="eastAsia"/>
                      <w:color w:val="auto"/>
                      <w:kern w:val="0"/>
                      <w:sz w:val="22"/>
                      <w:szCs w:val="22"/>
                      <w:lang w:val="en-US" w:eastAsia="zh-CN" w:bidi="ar"/>
                    </w:rPr>
                    <w:t>北厂</w:t>
                  </w:r>
                  <w:r>
                    <w:rPr>
                      <w:rFonts w:hint="eastAsia"/>
                      <w:color w:val="auto"/>
                      <w:kern w:val="0"/>
                      <w:sz w:val="22"/>
                      <w:szCs w:val="22"/>
                      <w:lang w:bidi="ar"/>
                    </w:rPr>
                    <w:t>界</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3321">
                  <w:pPr>
                    <w:widowControl/>
                    <w:spacing w:line="240" w:lineRule="auto"/>
                    <w:ind w:firstLine="0" w:firstLineChars="0"/>
                    <w:jc w:val="center"/>
                    <w:textAlignment w:val="center"/>
                    <w:rPr>
                      <w:rFonts w:hint="default" w:eastAsia="宋体"/>
                      <w:color w:val="auto"/>
                      <w:kern w:val="0"/>
                      <w:sz w:val="22"/>
                      <w:szCs w:val="22"/>
                      <w:lang w:val="en-US" w:eastAsia="zh-CN" w:bidi="ar"/>
                    </w:rPr>
                  </w:pPr>
                  <w:r>
                    <w:rPr>
                      <w:rFonts w:hint="eastAsia"/>
                      <w:color w:val="auto"/>
                      <w:kern w:val="0"/>
                      <w:sz w:val="22"/>
                      <w:szCs w:val="22"/>
                      <w:lang w:val="en-US" w:eastAsia="zh-CN" w:bidi="ar"/>
                    </w:rPr>
                    <w:t>55</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B1B0">
                  <w:pPr>
                    <w:widowControl/>
                    <w:spacing w:line="240" w:lineRule="auto"/>
                    <w:ind w:firstLine="0" w:firstLineChars="0"/>
                    <w:jc w:val="center"/>
                    <w:textAlignment w:val="center"/>
                    <w:rPr>
                      <w:rFonts w:hint="default" w:eastAsia="宋体"/>
                      <w:color w:val="auto"/>
                      <w:kern w:val="0"/>
                      <w:sz w:val="22"/>
                      <w:szCs w:val="22"/>
                      <w:lang w:val="en-US" w:eastAsia="zh-CN" w:bidi="ar"/>
                    </w:rPr>
                  </w:pPr>
                  <w:r>
                    <w:rPr>
                      <w:rFonts w:hint="eastAsia"/>
                      <w:color w:val="auto"/>
                      <w:kern w:val="0"/>
                      <w:sz w:val="22"/>
                      <w:szCs w:val="22"/>
                      <w:lang w:val="en-US" w:eastAsia="zh-CN" w:bidi="ar"/>
                    </w:rPr>
                    <w:t>46</w:t>
                  </w:r>
                </w:p>
              </w:tc>
            </w:tr>
            <w:tr w14:paraId="465C0FB8">
              <w:tblPrEx>
                <w:tblCellMar>
                  <w:top w:w="0" w:type="dxa"/>
                  <w:left w:w="108" w:type="dxa"/>
                  <w:bottom w:w="0" w:type="dxa"/>
                  <w:right w:w="108" w:type="dxa"/>
                </w:tblCellMar>
              </w:tblPrEx>
              <w:trPr>
                <w:trHeight w:val="300" w:hRule="atLeast"/>
                <w:jc w:val="center"/>
              </w:trPr>
              <w:tc>
                <w:tcPr>
                  <w:tcW w:w="1313" w:type="dxa"/>
                  <w:vMerge w:val="restart"/>
                  <w:tcBorders>
                    <w:left w:val="single" w:color="000000" w:sz="4" w:space="0"/>
                    <w:right w:val="single" w:color="000000" w:sz="4" w:space="0"/>
                  </w:tcBorders>
                  <w:shd w:val="clear" w:color="auto" w:fill="auto"/>
                  <w:vAlign w:val="center"/>
                </w:tcPr>
                <w:p w14:paraId="08A0AA7A">
                  <w:pPr>
                    <w:widowControl/>
                    <w:spacing w:line="240" w:lineRule="auto"/>
                    <w:ind w:firstLine="0" w:firstLineChars="0"/>
                    <w:jc w:val="center"/>
                    <w:textAlignment w:val="center"/>
                    <w:rPr>
                      <w:rFonts w:hint="default"/>
                      <w:color w:val="auto"/>
                      <w:kern w:val="0"/>
                      <w:sz w:val="22"/>
                      <w:szCs w:val="22"/>
                      <w:lang w:val="en-US" w:eastAsia="zh-CN" w:bidi="ar"/>
                    </w:rPr>
                  </w:pPr>
                  <w:r>
                    <w:rPr>
                      <w:rFonts w:hint="eastAsia"/>
                      <w:color w:val="auto"/>
                      <w:kern w:val="0"/>
                      <w:sz w:val="22"/>
                      <w:szCs w:val="22"/>
                      <w:lang w:val="en-US" w:eastAsia="zh-CN" w:bidi="ar"/>
                    </w:rPr>
                    <w:t>西地块</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4321">
                  <w:pPr>
                    <w:widowControl/>
                    <w:spacing w:line="240" w:lineRule="auto"/>
                    <w:ind w:firstLine="0" w:firstLineChars="0"/>
                    <w:jc w:val="center"/>
                    <w:textAlignment w:val="center"/>
                    <w:rPr>
                      <w:rFonts w:hint="eastAsia"/>
                      <w:color w:val="auto"/>
                      <w:kern w:val="0"/>
                      <w:sz w:val="22"/>
                      <w:szCs w:val="22"/>
                      <w:lang w:val="en-US" w:eastAsia="zh-CN" w:bidi="ar"/>
                    </w:rPr>
                  </w:pPr>
                  <w:r>
                    <w:rPr>
                      <w:rFonts w:hint="eastAsia"/>
                      <w:color w:val="auto"/>
                      <w:kern w:val="0"/>
                      <w:sz w:val="22"/>
                      <w:szCs w:val="22"/>
                      <w:lang w:bidi="ar"/>
                    </w:rPr>
                    <w:t>东厂界</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98D2">
                  <w:pPr>
                    <w:widowControl/>
                    <w:spacing w:line="240" w:lineRule="auto"/>
                    <w:ind w:firstLine="0" w:firstLineChars="0"/>
                    <w:jc w:val="center"/>
                    <w:textAlignment w:val="center"/>
                    <w:rPr>
                      <w:rFonts w:hint="eastAsia"/>
                      <w:color w:val="auto"/>
                      <w:kern w:val="0"/>
                      <w:sz w:val="22"/>
                      <w:szCs w:val="22"/>
                      <w:lang w:val="en-US" w:eastAsia="zh-CN" w:bidi="ar"/>
                    </w:rPr>
                  </w:pPr>
                  <w:r>
                    <w:rPr>
                      <w:rFonts w:hint="eastAsia"/>
                      <w:color w:val="auto"/>
                      <w:kern w:val="0"/>
                      <w:sz w:val="22"/>
                      <w:szCs w:val="22"/>
                      <w:lang w:val="en-US" w:eastAsia="zh-CN" w:bidi="ar"/>
                    </w:rPr>
                    <w:t>56</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EC01">
                  <w:pPr>
                    <w:widowControl/>
                    <w:spacing w:line="240" w:lineRule="auto"/>
                    <w:ind w:firstLine="0" w:firstLineChars="0"/>
                    <w:jc w:val="center"/>
                    <w:textAlignment w:val="center"/>
                    <w:rPr>
                      <w:rFonts w:hint="eastAsia"/>
                      <w:color w:val="auto"/>
                      <w:kern w:val="0"/>
                      <w:sz w:val="22"/>
                      <w:szCs w:val="22"/>
                      <w:lang w:val="en-US" w:eastAsia="zh-CN" w:bidi="ar"/>
                    </w:rPr>
                  </w:pPr>
                  <w:r>
                    <w:rPr>
                      <w:rFonts w:hint="eastAsia"/>
                      <w:color w:val="auto"/>
                      <w:kern w:val="0"/>
                      <w:sz w:val="22"/>
                      <w:szCs w:val="22"/>
                      <w:lang w:val="en-US" w:eastAsia="zh-CN" w:bidi="ar"/>
                    </w:rPr>
                    <w:t>47</w:t>
                  </w:r>
                </w:p>
              </w:tc>
            </w:tr>
            <w:tr w14:paraId="1156D103">
              <w:tblPrEx>
                <w:tblCellMar>
                  <w:top w:w="0" w:type="dxa"/>
                  <w:left w:w="108" w:type="dxa"/>
                  <w:bottom w:w="0" w:type="dxa"/>
                  <w:right w:w="108" w:type="dxa"/>
                </w:tblCellMar>
              </w:tblPrEx>
              <w:trPr>
                <w:trHeight w:val="300" w:hRule="atLeast"/>
                <w:jc w:val="center"/>
              </w:trPr>
              <w:tc>
                <w:tcPr>
                  <w:tcW w:w="1313" w:type="dxa"/>
                  <w:vMerge w:val="continue"/>
                  <w:tcBorders>
                    <w:left w:val="single" w:color="000000" w:sz="4" w:space="0"/>
                    <w:right w:val="single" w:color="000000" w:sz="4" w:space="0"/>
                  </w:tcBorders>
                  <w:shd w:val="clear" w:color="auto" w:fill="auto"/>
                  <w:vAlign w:val="center"/>
                </w:tcPr>
                <w:p w14:paraId="68987DE8">
                  <w:pPr>
                    <w:widowControl/>
                    <w:spacing w:line="240" w:lineRule="auto"/>
                    <w:ind w:firstLine="0" w:firstLineChars="0"/>
                    <w:jc w:val="center"/>
                    <w:textAlignment w:val="center"/>
                    <w:rPr>
                      <w:rFonts w:hint="eastAsia"/>
                      <w:color w:val="auto"/>
                      <w:kern w:val="0"/>
                      <w:sz w:val="22"/>
                      <w:szCs w:val="22"/>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12C2">
                  <w:pPr>
                    <w:widowControl/>
                    <w:spacing w:line="240" w:lineRule="auto"/>
                    <w:ind w:firstLine="0" w:firstLineChars="0"/>
                    <w:jc w:val="center"/>
                    <w:textAlignment w:val="center"/>
                    <w:rPr>
                      <w:rFonts w:hint="eastAsia"/>
                      <w:color w:val="auto"/>
                      <w:kern w:val="0"/>
                      <w:sz w:val="22"/>
                      <w:szCs w:val="22"/>
                      <w:lang w:val="en-US" w:eastAsia="zh-CN" w:bidi="ar"/>
                    </w:rPr>
                  </w:pPr>
                  <w:r>
                    <w:rPr>
                      <w:rFonts w:hint="eastAsia"/>
                      <w:color w:val="auto"/>
                      <w:kern w:val="0"/>
                      <w:sz w:val="22"/>
                      <w:szCs w:val="22"/>
                      <w:lang w:bidi="ar"/>
                    </w:rPr>
                    <w:t>南厂界</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782A">
                  <w:pPr>
                    <w:widowControl/>
                    <w:spacing w:line="240" w:lineRule="auto"/>
                    <w:ind w:firstLine="0" w:firstLineChars="0"/>
                    <w:jc w:val="center"/>
                    <w:textAlignment w:val="center"/>
                    <w:rPr>
                      <w:rFonts w:hint="default"/>
                      <w:color w:val="auto"/>
                      <w:kern w:val="0"/>
                      <w:sz w:val="22"/>
                      <w:szCs w:val="22"/>
                      <w:lang w:val="en-US" w:eastAsia="zh-CN" w:bidi="ar"/>
                    </w:rPr>
                  </w:pPr>
                  <w:r>
                    <w:rPr>
                      <w:rFonts w:hint="eastAsia"/>
                      <w:color w:val="auto"/>
                      <w:kern w:val="0"/>
                      <w:sz w:val="22"/>
                      <w:szCs w:val="22"/>
                      <w:lang w:val="en-US" w:eastAsia="zh-CN" w:bidi="ar"/>
                    </w:rPr>
                    <w:t>56</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67C3">
                  <w:pPr>
                    <w:widowControl/>
                    <w:spacing w:line="240" w:lineRule="auto"/>
                    <w:ind w:firstLine="0" w:firstLineChars="0"/>
                    <w:jc w:val="center"/>
                    <w:textAlignment w:val="center"/>
                    <w:rPr>
                      <w:rFonts w:hint="default"/>
                      <w:color w:val="auto"/>
                      <w:kern w:val="0"/>
                      <w:sz w:val="22"/>
                      <w:szCs w:val="22"/>
                      <w:lang w:val="en-US" w:eastAsia="zh-CN" w:bidi="ar"/>
                    </w:rPr>
                  </w:pPr>
                  <w:r>
                    <w:rPr>
                      <w:rFonts w:hint="eastAsia"/>
                      <w:color w:val="auto"/>
                      <w:kern w:val="0"/>
                      <w:sz w:val="22"/>
                      <w:szCs w:val="22"/>
                      <w:lang w:val="en-US" w:eastAsia="zh-CN" w:bidi="ar"/>
                    </w:rPr>
                    <w:t>47</w:t>
                  </w:r>
                </w:p>
              </w:tc>
            </w:tr>
            <w:tr w14:paraId="2299D225">
              <w:tblPrEx>
                <w:tblCellMar>
                  <w:top w:w="0" w:type="dxa"/>
                  <w:left w:w="108" w:type="dxa"/>
                  <w:bottom w:w="0" w:type="dxa"/>
                  <w:right w:w="108" w:type="dxa"/>
                </w:tblCellMar>
              </w:tblPrEx>
              <w:trPr>
                <w:trHeight w:val="300" w:hRule="atLeast"/>
                <w:jc w:val="center"/>
              </w:trPr>
              <w:tc>
                <w:tcPr>
                  <w:tcW w:w="1313" w:type="dxa"/>
                  <w:vMerge w:val="continue"/>
                  <w:tcBorders>
                    <w:left w:val="single" w:color="000000" w:sz="4" w:space="0"/>
                    <w:right w:val="single" w:color="000000" w:sz="4" w:space="0"/>
                  </w:tcBorders>
                  <w:shd w:val="clear" w:color="auto" w:fill="auto"/>
                  <w:vAlign w:val="center"/>
                </w:tcPr>
                <w:p w14:paraId="433B62DF">
                  <w:pPr>
                    <w:widowControl/>
                    <w:spacing w:line="240" w:lineRule="auto"/>
                    <w:ind w:firstLine="0" w:firstLineChars="0"/>
                    <w:jc w:val="center"/>
                    <w:textAlignment w:val="center"/>
                    <w:rPr>
                      <w:rFonts w:hint="eastAsia"/>
                      <w:color w:val="auto"/>
                      <w:kern w:val="0"/>
                      <w:sz w:val="22"/>
                      <w:szCs w:val="22"/>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95C">
                  <w:pPr>
                    <w:widowControl/>
                    <w:spacing w:line="240" w:lineRule="auto"/>
                    <w:ind w:firstLine="0" w:firstLineChars="0"/>
                    <w:jc w:val="center"/>
                    <w:textAlignment w:val="center"/>
                    <w:rPr>
                      <w:rFonts w:hint="eastAsia"/>
                      <w:color w:val="auto"/>
                      <w:kern w:val="0"/>
                      <w:sz w:val="22"/>
                      <w:szCs w:val="22"/>
                      <w:lang w:val="en-US" w:eastAsia="zh-CN" w:bidi="ar"/>
                    </w:rPr>
                  </w:pPr>
                  <w:r>
                    <w:rPr>
                      <w:rFonts w:hint="eastAsia"/>
                      <w:color w:val="auto"/>
                      <w:kern w:val="0"/>
                      <w:sz w:val="22"/>
                      <w:szCs w:val="22"/>
                      <w:lang w:bidi="ar"/>
                    </w:rPr>
                    <w:t>西厂界</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CDAF">
                  <w:pPr>
                    <w:widowControl/>
                    <w:spacing w:line="240" w:lineRule="auto"/>
                    <w:ind w:firstLine="0" w:firstLineChars="0"/>
                    <w:jc w:val="center"/>
                    <w:textAlignment w:val="center"/>
                    <w:rPr>
                      <w:rFonts w:hint="default"/>
                      <w:color w:val="auto"/>
                      <w:kern w:val="0"/>
                      <w:sz w:val="22"/>
                      <w:szCs w:val="22"/>
                      <w:lang w:val="en-US" w:eastAsia="zh-CN" w:bidi="ar"/>
                    </w:rPr>
                  </w:pPr>
                  <w:r>
                    <w:rPr>
                      <w:rFonts w:hint="eastAsia"/>
                      <w:color w:val="auto"/>
                      <w:kern w:val="0"/>
                      <w:sz w:val="22"/>
                      <w:szCs w:val="22"/>
                      <w:lang w:val="en-US" w:eastAsia="zh-CN" w:bidi="ar"/>
                    </w:rPr>
                    <w:t>54</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2427">
                  <w:pPr>
                    <w:widowControl/>
                    <w:spacing w:line="240" w:lineRule="auto"/>
                    <w:ind w:firstLine="0" w:firstLineChars="0"/>
                    <w:jc w:val="center"/>
                    <w:textAlignment w:val="center"/>
                    <w:rPr>
                      <w:rFonts w:hint="default"/>
                      <w:color w:val="auto"/>
                      <w:kern w:val="0"/>
                      <w:sz w:val="22"/>
                      <w:szCs w:val="22"/>
                      <w:lang w:val="en-US" w:eastAsia="zh-CN" w:bidi="ar"/>
                    </w:rPr>
                  </w:pPr>
                  <w:r>
                    <w:rPr>
                      <w:rFonts w:hint="eastAsia"/>
                      <w:color w:val="auto"/>
                      <w:kern w:val="0"/>
                      <w:sz w:val="22"/>
                      <w:szCs w:val="22"/>
                      <w:lang w:val="en-US" w:eastAsia="zh-CN" w:bidi="ar"/>
                    </w:rPr>
                    <w:t>48</w:t>
                  </w:r>
                </w:p>
              </w:tc>
            </w:tr>
            <w:tr w14:paraId="3AAF278C">
              <w:tblPrEx>
                <w:tblCellMar>
                  <w:top w:w="0" w:type="dxa"/>
                  <w:left w:w="108" w:type="dxa"/>
                  <w:bottom w:w="0" w:type="dxa"/>
                  <w:right w:w="108" w:type="dxa"/>
                </w:tblCellMar>
              </w:tblPrEx>
              <w:trPr>
                <w:trHeight w:val="300" w:hRule="atLeast"/>
                <w:jc w:val="center"/>
              </w:trPr>
              <w:tc>
                <w:tcPr>
                  <w:tcW w:w="1313" w:type="dxa"/>
                  <w:vMerge w:val="continue"/>
                  <w:tcBorders>
                    <w:left w:val="single" w:color="000000" w:sz="4" w:space="0"/>
                    <w:bottom w:val="single" w:color="000000" w:sz="4" w:space="0"/>
                    <w:right w:val="single" w:color="000000" w:sz="4" w:space="0"/>
                  </w:tcBorders>
                  <w:shd w:val="clear" w:color="auto" w:fill="auto"/>
                  <w:vAlign w:val="center"/>
                </w:tcPr>
                <w:p w14:paraId="66254B31">
                  <w:pPr>
                    <w:widowControl/>
                    <w:spacing w:line="240" w:lineRule="auto"/>
                    <w:ind w:firstLine="0" w:firstLineChars="0"/>
                    <w:jc w:val="center"/>
                    <w:textAlignment w:val="center"/>
                    <w:rPr>
                      <w:rFonts w:hint="eastAsia"/>
                      <w:color w:val="auto"/>
                      <w:kern w:val="0"/>
                      <w:sz w:val="22"/>
                      <w:szCs w:val="22"/>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0E49">
                  <w:pPr>
                    <w:widowControl/>
                    <w:spacing w:line="240" w:lineRule="auto"/>
                    <w:ind w:firstLine="0" w:firstLineChars="0"/>
                    <w:jc w:val="center"/>
                    <w:textAlignment w:val="center"/>
                    <w:rPr>
                      <w:rFonts w:hint="eastAsia"/>
                      <w:color w:val="auto"/>
                      <w:kern w:val="0"/>
                      <w:sz w:val="22"/>
                      <w:szCs w:val="22"/>
                      <w:lang w:val="en-US" w:eastAsia="zh-CN" w:bidi="ar"/>
                    </w:rPr>
                  </w:pPr>
                  <w:r>
                    <w:rPr>
                      <w:rFonts w:hint="eastAsia"/>
                      <w:color w:val="auto"/>
                      <w:kern w:val="0"/>
                      <w:sz w:val="22"/>
                      <w:szCs w:val="22"/>
                      <w:lang w:val="en-US" w:eastAsia="zh-CN" w:bidi="ar"/>
                    </w:rPr>
                    <w:t>北厂</w:t>
                  </w:r>
                  <w:r>
                    <w:rPr>
                      <w:rFonts w:hint="eastAsia"/>
                      <w:color w:val="auto"/>
                      <w:kern w:val="0"/>
                      <w:sz w:val="22"/>
                      <w:szCs w:val="22"/>
                      <w:lang w:bidi="ar"/>
                    </w:rPr>
                    <w:t>界</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D7E7">
                  <w:pPr>
                    <w:widowControl/>
                    <w:spacing w:line="240" w:lineRule="auto"/>
                    <w:ind w:firstLine="0" w:firstLineChars="0"/>
                    <w:jc w:val="center"/>
                    <w:textAlignment w:val="center"/>
                    <w:rPr>
                      <w:rFonts w:hint="eastAsia"/>
                      <w:color w:val="auto"/>
                      <w:kern w:val="0"/>
                      <w:sz w:val="22"/>
                      <w:szCs w:val="22"/>
                      <w:lang w:val="en-US" w:eastAsia="zh-CN" w:bidi="ar"/>
                    </w:rPr>
                  </w:pPr>
                  <w:r>
                    <w:rPr>
                      <w:rFonts w:hint="eastAsia"/>
                      <w:color w:val="auto"/>
                      <w:kern w:val="0"/>
                      <w:sz w:val="22"/>
                      <w:szCs w:val="22"/>
                      <w:lang w:val="en-US" w:eastAsia="zh-CN" w:bidi="ar"/>
                    </w:rPr>
                    <w:t>54</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2D64">
                  <w:pPr>
                    <w:widowControl/>
                    <w:spacing w:line="240" w:lineRule="auto"/>
                    <w:ind w:firstLine="0" w:firstLineChars="0"/>
                    <w:jc w:val="center"/>
                    <w:textAlignment w:val="center"/>
                    <w:rPr>
                      <w:rFonts w:hint="eastAsia"/>
                      <w:color w:val="auto"/>
                      <w:kern w:val="0"/>
                      <w:sz w:val="22"/>
                      <w:szCs w:val="22"/>
                      <w:lang w:val="en-US" w:eastAsia="zh-CN" w:bidi="ar"/>
                    </w:rPr>
                  </w:pPr>
                  <w:r>
                    <w:rPr>
                      <w:rFonts w:hint="eastAsia"/>
                      <w:color w:val="auto"/>
                      <w:kern w:val="0"/>
                      <w:sz w:val="22"/>
                      <w:szCs w:val="22"/>
                      <w:lang w:val="en-US" w:eastAsia="zh-CN" w:bidi="ar"/>
                    </w:rPr>
                    <w:t>48</w:t>
                  </w:r>
                </w:p>
              </w:tc>
            </w:tr>
          </w:tbl>
          <w:p w14:paraId="0B61F5B9">
            <w:pPr>
              <w:spacing w:line="460" w:lineRule="exact"/>
              <w:jc w:val="center"/>
              <w:rPr>
                <w:color w:val="auto"/>
                <w:sz w:val="26"/>
                <w:szCs w:val="26"/>
              </w:rPr>
            </w:pPr>
            <w:r>
              <w:rPr>
                <w:color w:val="auto"/>
                <w:sz w:val="26"/>
                <w:szCs w:val="26"/>
              </w:rPr>
              <w:t>表4.2-1</w:t>
            </w:r>
            <w:r>
              <w:rPr>
                <w:rFonts w:hint="eastAsia"/>
                <w:color w:val="auto"/>
                <w:sz w:val="26"/>
                <w:szCs w:val="26"/>
                <w:lang w:val="en-US" w:eastAsia="zh-CN"/>
              </w:rPr>
              <w:t xml:space="preserve">  </w:t>
            </w:r>
            <w:r>
              <w:rPr>
                <w:color w:val="auto"/>
                <w:sz w:val="26"/>
                <w:szCs w:val="26"/>
              </w:rPr>
              <w:t>本项目厂界噪声预测结果</w:t>
            </w:r>
            <w:r>
              <w:rPr>
                <w:rFonts w:hint="eastAsia"/>
                <w:color w:val="auto"/>
                <w:sz w:val="26"/>
                <w:szCs w:val="26"/>
                <w:lang w:val="en-US" w:eastAsia="zh-CN"/>
              </w:rPr>
              <w:t xml:space="preserve">  </w:t>
            </w:r>
            <w:r>
              <w:rPr>
                <w:color w:val="auto"/>
                <w:sz w:val="26"/>
                <w:szCs w:val="26"/>
              </w:rPr>
              <w:t>单位：dB(A)</w:t>
            </w:r>
          </w:p>
          <w:tbl>
            <w:tblPr>
              <w:tblStyle w:val="30"/>
              <w:tblW w:w="497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1"/>
              <w:gridCol w:w="921"/>
              <w:gridCol w:w="922"/>
              <w:gridCol w:w="922"/>
              <w:gridCol w:w="923"/>
              <w:gridCol w:w="923"/>
              <w:gridCol w:w="923"/>
              <w:gridCol w:w="923"/>
              <w:gridCol w:w="924"/>
            </w:tblGrid>
            <w:tr w14:paraId="37040F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2" w:type="dxa"/>
                  <w:vMerge w:val="restart"/>
                  <w:tcBorders>
                    <w:top w:val="single" w:color="auto" w:sz="8" w:space="0"/>
                    <w:right w:val="single" w:color="auto" w:sz="4" w:space="0"/>
                  </w:tcBorders>
                  <w:vAlign w:val="center"/>
                </w:tcPr>
                <w:p w14:paraId="3C42B2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宋体"/>
                      <w:bCs/>
                      <w:color w:val="auto"/>
                      <w:kern w:val="0"/>
                      <w:sz w:val="22"/>
                      <w:lang w:val="en-US" w:eastAsia="zh-CN"/>
                    </w:rPr>
                  </w:pPr>
                  <w:r>
                    <w:rPr>
                      <w:rFonts w:hint="eastAsia"/>
                      <w:bCs/>
                      <w:color w:val="auto"/>
                      <w:kern w:val="0"/>
                      <w:sz w:val="22"/>
                      <w:lang w:val="en-US" w:eastAsia="zh-CN"/>
                    </w:rPr>
                    <w:t>地块</w:t>
                  </w:r>
                </w:p>
              </w:tc>
              <w:tc>
                <w:tcPr>
                  <w:tcW w:w="922" w:type="dxa"/>
                  <w:vMerge w:val="restart"/>
                  <w:tcBorders>
                    <w:top w:val="single" w:color="auto" w:sz="8" w:space="0"/>
                    <w:bottom w:val="single" w:color="auto" w:sz="6" w:space="0"/>
                    <w:right w:val="single" w:color="auto" w:sz="4" w:space="0"/>
                  </w:tcBorders>
                  <w:vAlign w:val="center"/>
                </w:tcPr>
                <w:p w14:paraId="522AB4C4">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名称</w:t>
                  </w:r>
                </w:p>
              </w:tc>
              <w:tc>
                <w:tcPr>
                  <w:tcW w:w="923" w:type="dxa"/>
                  <w:vMerge w:val="restart"/>
                  <w:tcBorders>
                    <w:top w:val="single" w:color="auto" w:sz="8" w:space="0"/>
                    <w:bottom w:val="single" w:color="auto" w:sz="6" w:space="0"/>
                    <w:right w:val="single" w:color="auto" w:sz="4" w:space="0"/>
                  </w:tcBorders>
                  <w:vAlign w:val="center"/>
                </w:tcPr>
                <w:p w14:paraId="4A380452">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贡献值</w:t>
                  </w:r>
                </w:p>
              </w:tc>
              <w:tc>
                <w:tcPr>
                  <w:tcW w:w="1847" w:type="dxa"/>
                  <w:gridSpan w:val="2"/>
                  <w:tcBorders>
                    <w:top w:val="single" w:color="auto" w:sz="8" w:space="0"/>
                    <w:left w:val="single" w:color="auto" w:sz="4" w:space="0"/>
                    <w:bottom w:val="single" w:color="auto" w:sz="6" w:space="0"/>
                  </w:tcBorders>
                  <w:vAlign w:val="center"/>
                </w:tcPr>
                <w:p w14:paraId="4598A484">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lang w:val="en-US" w:eastAsia="zh-CN"/>
                    </w:rPr>
                    <w:t>预测</w:t>
                  </w:r>
                  <w:r>
                    <w:rPr>
                      <w:bCs/>
                      <w:color w:val="auto"/>
                      <w:kern w:val="0"/>
                      <w:sz w:val="22"/>
                    </w:rPr>
                    <w:t>值</w:t>
                  </w:r>
                </w:p>
              </w:tc>
              <w:tc>
                <w:tcPr>
                  <w:tcW w:w="1848" w:type="dxa"/>
                  <w:gridSpan w:val="2"/>
                  <w:tcBorders>
                    <w:top w:val="single" w:color="auto" w:sz="8" w:space="0"/>
                    <w:bottom w:val="single" w:color="auto" w:sz="6" w:space="0"/>
                    <w:right w:val="single" w:color="auto" w:sz="4" w:space="0"/>
                  </w:tcBorders>
                  <w:vAlign w:val="center"/>
                </w:tcPr>
                <w:p w14:paraId="69C6AE55">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标</w:t>
                  </w:r>
                  <w:r>
                    <w:rPr>
                      <w:rFonts w:hint="eastAsia"/>
                      <w:bCs/>
                      <w:color w:val="auto"/>
                      <w:kern w:val="0"/>
                      <w:sz w:val="22"/>
                    </w:rPr>
                    <w:t>准</w:t>
                  </w:r>
                  <w:r>
                    <w:rPr>
                      <w:bCs/>
                      <w:color w:val="auto"/>
                      <w:kern w:val="0"/>
                      <w:sz w:val="22"/>
                    </w:rPr>
                    <w:t>值</w:t>
                  </w:r>
                </w:p>
              </w:tc>
              <w:tc>
                <w:tcPr>
                  <w:tcW w:w="1849" w:type="dxa"/>
                  <w:gridSpan w:val="2"/>
                  <w:tcBorders>
                    <w:top w:val="single" w:color="auto" w:sz="8" w:space="0"/>
                    <w:left w:val="single" w:color="auto" w:sz="4" w:space="0"/>
                    <w:bottom w:val="single" w:color="auto" w:sz="6" w:space="0"/>
                    <w:right w:val="single" w:color="auto" w:sz="4" w:space="0"/>
                  </w:tcBorders>
                  <w:vAlign w:val="center"/>
                </w:tcPr>
                <w:p w14:paraId="3E65703E">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达标情况</w:t>
                  </w:r>
                </w:p>
              </w:tc>
            </w:tr>
            <w:tr w14:paraId="459679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2" w:type="dxa"/>
                  <w:vMerge w:val="continue"/>
                  <w:tcBorders>
                    <w:bottom w:val="single" w:color="auto" w:sz="6" w:space="0"/>
                    <w:right w:val="single" w:color="auto" w:sz="4" w:space="0"/>
                  </w:tcBorders>
                  <w:vAlign w:val="center"/>
                </w:tcPr>
                <w:p w14:paraId="75047C15">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p>
              </w:tc>
              <w:tc>
                <w:tcPr>
                  <w:tcW w:w="922" w:type="dxa"/>
                  <w:vMerge w:val="continue"/>
                  <w:tcBorders>
                    <w:top w:val="single" w:color="auto" w:sz="6" w:space="0"/>
                    <w:bottom w:val="single" w:color="auto" w:sz="6" w:space="0"/>
                    <w:right w:val="single" w:color="auto" w:sz="4" w:space="0"/>
                  </w:tcBorders>
                  <w:vAlign w:val="center"/>
                </w:tcPr>
                <w:p w14:paraId="6B6A16CC">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p>
              </w:tc>
              <w:tc>
                <w:tcPr>
                  <w:tcW w:w="923" w:type="dxa"/>
                  <w:vMerge w:val="continue"/>
                  <w:tcBorders>
                    <w:top w:val="single" w:color="auto" w:sz="6" w:space="0"/>
                    <w:bottom w:val="single" w:color="auto" w:sz="6" w:space="0"/>
                    <w:right w:val="single" w:color="auto" w:sz="4" w:space="0"/>
                  </w:tcBorders>
                  <w:vAlign w:val="center"/>
                </w:tcPr>
                <w:p w14:paraId="4D0A5BA0">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p>
              </w:tc>
              <w:tc>
                <w:tcPr>
                  <w:tcW w:w="923" w:type="dxa"/>
                  <w:tcBorders>
                    <w:top w:val="single" w:color="auto" w:sz="6" w:space="0"/>
                    <w:left w:val="single" w:color="auto" w:sz="4" w:space="0"/>
                    <w:bottom w:val="single" w:color="auto" w:sz="6" w:space="0"/>
                    <w:right w:val="single" w:color="auto" w:sz="4" w:space="0"/>
                  </w:tcBorders>
                  <w:vAlign w:val="center"/>
                </w:tcPr>
                <w:p w14:paraId="525E9C0E">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昼间</w:t>
                  </w:r>
                </w:p>
              </w:tc>
              <w:tc>
                <w:tcPr>
                  <w:tcW w:w="924" w:type="dxa"/>
                  <w:tcBorders>
                    <w:top w:val="single" w:color="auto" w:sz="6" w:space="0"/>
                    <w:left w:val="single" w:color="auto" w:sz="4" w:space="0"/>
                    <w:bottom w:val="single" w:color="auto" w:sz="6" w:space="0"/>
                  </w:tcBorders>
                  <w:vAlign w:val="center"/>
                </w:tcPr>
                <w:p w14:paraId="3F65E700">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夜间</w:t>
                  </w:r>
                </w:p>
              </w:tc>
              <w:tc>
                <w:tcPr>
                  <w:tcW w:w="924" w:type="dxa"/>
                  <w:tcBorders>
                    <w:top w:val="single" w:color="auto" w:sz="6" w:space="0"/>
                    <w:bottom w:val="single" w:color="auto" w:sz="6" w:space="0"/>
                  </w:tcBorders>
                  <w:vAlign w:val="center"/>
                </w:tcPr>
                <w:p w14:paraId="42D4795C">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昼间</w:t>
                  </w:r>
                </w:p>
              </w:tc>
              <w:tc>
                <w:tcPr>
                  <w:tcW w:w="924" w:type="dxa"/>
                  <w:tcBorders>
                    <w:top w:val="single" w:color="auto" w:sz="6" w:space="0"/>
                    <w:bottom w:val="single" w:color="auto" w:sz="6" w:space="0"/>
                    <w:right w:val="single" w:color="auto" w:sz="4" w:space="0"/>
                  </w:tcBorders>
                  <w:vAlign w:val="center"/>
                </w:tcPr>
                <w:p w14:paraId="70604FCF">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夜间</w:t>
                  </w:r>
                </w:p>
              </w:tc>
              <w:tc>
                <w:tcPr>
                  <w:tcW w:w="924" w:type="dxa"/>
                  <w:tcBorders>
                    <w:top w:val="single" w:color="auto" w:sz="6" w:space="0"/>
                    <w:left w:val="single" w:color="auto" w:sz="4" w:space="0"/>
                    <w:bottom w:val="single" w:color="auto" w:sz="6" w:space="0"/>
                    <w:right w:val="single" w:color="auto" w:sz="4" w:space="0"/>
                  </w:tcBorders>
                  <w:vAlign w:val="center"/>
                </w:tcPr>
                <w:p w14:paraId="7D903188">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昼间</w:t>
                  </w:r>
                </w:p>
              </w:tc>
              <w:tc>
                <w:tcPr>
                  <w:tcW w:w="925" w:type="dxa"/>
                  <w:tcBorders>
                    <w:top w:val="single" w:color="auto" w:sz="6" w:space="0"/>
                    <w:left w:val="single" w:color="auto" w:sz="4" w:space="0"/>
                    <w:bottom w:val="single" w:color="auto" w:sz="6" w:space="0"/>
                    <w:right w:val="single" w:color="auto" w:sz="4" w:space="0"/>
                  </w:tcBorders>
                  <w:vAlign w:val="center"/>
                </w:tcPr>
                <w:p w14:paraId="102C189F">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夜间</w:t>
                  </w:r>
                </w:p>
              </w:tc>
            </w:tr>
            <w:tr w14:paraId="352885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2" w:type="dxa"/>
                  <w:vMerge w:val="restart"/>
                  <w:tcBorders>
                    <w:right w:val="single" w:color="auto" w:sz="4" w:space="0"/>
                  </w:tcBorders>
                  <w:vAlign w:val="center"/>
                </w:tcPr>
                <w:p w14:paraId="79A2BC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r>
                    <w:rPr>
                      <w:rFonts w:hint="eastAsia"/>
                      <w:bCs/>
                      <w:color w:val="auto"/>
                      <w:kern w:val="0"/>
                      <w:sz w:val="22"/>
                      <w:lang w:val="en-US" w:eastAsia="zh-CN"/>
                    </w:rPr>
                    <w:t>东地块</w:t>
                  </w:r>
                </w:p>
              </w:tc>
              <w:tc>
                <w:tcPr>
                  <w:tcW w:w="922" w:type="dxa"/>
                  <w:tcBorders>
                    <w:top w:val="single" w:color="auto" w:sz="6" w:space="0"/>
                    <w:bottom w:val="single" w:color="auto" w:sz="6" w:space="0"/>
                    <w:right w:val="single" w:color="auto" w:sz="4" w:space="0"/>
                  </w:tcBorders>
                  <w:vAlign w:val="center"/>
                </w:tcPr>
                <w:p w14:paraId="0699B99F">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南</w:t>
                  </w:r>
                  <w:r>
                    <w:rPr>
                      <w:bCs/>
                      <w:color w:val="auto"/>
                      <w:kern w:val="0"/>
                      <w:sz w:val="22"/>
                    </w:rPr>
                    <w:t>厂界</w:t>
                  </w:r>
                </w:p>
              </w:tc>
              <w:tc>
                <w:tcPr>
                  <w:tcW w:w="923" w:type="dxa"/>
                  <w:tcBorders>
                    <w:top w:val="single" w:color="auto" w:sz="6" w:space="0"/>
                    <w:bottom w:val="single" w:color="auto" w:sz="6" w:space="0"/>
                    <w:right w:val="single" w:color="auto" w:sz="4" w:space="0"/>
                  </w:tcBorders>
                  <w:vAlign w:val="center"/>
                </w:tcPr>
                <w:p w14:paraId="580704A3">
                  <w:pPr>
                    <w:keepNext w:val="0"/>
                    <w:keepLines w:val="0"/>
                    <w:widowControl/>
                    <w:suppressLineNumbers w:val="0"/>
                    <w:jc w:val="center"/>
                    <w:textAlignment w:val="center"/>
                    <w:rPr>
                      <w:bCs/>
                      <w:color w:val="auto"/>
                      <w:kern w:val="0"/>
                      <w:sz w:val="22"/>
                    </w:rPr>
                  </w:pPr>
                  <w:r>
                    <w:rPr>
                      <w:rFonts w:hint="eastAsia" w:cs="Times New Roman"/>
                      <w:i w:val="0"/>
                      <w:iCs w:val="0"/>
                      <w:color w:val="auto"/>
                      <w:kern w:val="0"/>
                      <w:sz w:val="22"/>
                      <w:szCs w:val="22"/>
                      <w:u w:val="none"/>
                      <w:lang w:val="en-US" w:eastAsia="zh-CN" w:bidi="ar"/>
                    </w:rPr>
                    <w:t>8</w:t>
                  </w:r>
                  <w:r>
                    <w:rPr>
                      <w:rFonts w:hint="default" w:ascii="Times New Roman" w:hAnsi="Times New Roman" w:eastAsia="宋体" w:cs="Times New Roman"/>
                      <w:i w:val="0"/>
                      <w:iCs w:val="0"/>
                      <w:color w:val="auto"/>
                      <w:kern w:val="0"/>
                      <w:sz w:val="22"/>
                      <w:szCs w:val="22"/>
                      <w:u w:val="none"/>
                      <w:lang w:val="en-US" w:eastAsia="zh-CN" w:bidi="ar"/>
                    </w:rPr>
                    <w:t xml:space="preserve"> </w:t>
                  </w:r>
                </w:p>
              </w:tc>
              <w:tc>
                <w:tcPr>
                  <w:tcW w:w="923" w:type="dxa"/>
                  <w:tcBorders>
                    <w:top w:val="single" w:color="auto" w:sz="6" w:space="0"/>
                    <w:bottom w:val="single" w:color="auto" w:sz="6" w:space="0"/>
                    <w:right w:val="single" w:color="auto" w:sz="4" w:space="0"/>
                  </w:tcBorders>
                  <w:vAlign w:val="center"/>
                </w:tcPr>
                <w:p w14:paraId="50F08D2A">
                  <w:pPr>
                    <w:widowControl/>
                    <w:spacing w:line="240" w:lineRule="auto"/>
                    <w:ind w:firstLine="0" w:firstLineChars="0"/>
                    <w:jc w:val="center"/>
                    <w:textAlignment w:val="center"/>
                    <w:rPr>
                      <w:bCs/>
                      <w:color w:val="auto"/>
                      <w:kern w:val="0"/>
                      <w:sz w:val="22"/>
                    </w:rPr>
                  </w:pPr>
                  <w:r>
                    <w:rPr>
                      <w:rFonts w:hint="eastAsia"/>
                      <w:color w:val="auto"/>
                      <w:kern w:val="0"/>
                      <w:sz w:val="22"/>
                      <w:szCs w:val="22"/>
                      <w:lang w:val="en-US" w:eastAsia="zh-CN" w:bidi="ar"/>
                    </w:rPr>
                    <w:t>55</w:t>
                  </w:r>
                </w:p>
              </w:tc>
              <w:tc>
                <w:tcPr>
                  <w:tcW w:w="924" w:type="dxa"/>
                  <w:tcBorders>
                    <w:top w:val="single" w:color="auto" w:sz="6" w:space="0"/>
                    <w:left w:val="single" w:color="auto" w:sz="4" w:space="0"/>
                    <w:bottom w:val="single" w:color="auto" w:sz="6" w:space="0"/>
                  </w:tcBorders>
                  <w:vAlign w:val="center"/>
                </w:tcPr>
                <w:p w14:paraId="07406F78">
                  <w:pPr>
                    <w:widowControl/>
                    <w:spacing w:line="240" w:lineRule="auto"/>
                    <w:ind w:firstLine="0" w:firstLineChars="0"/>
                    <w:jc w:val="center"/>
                    <w:textAlignment w:val="center"/>
                    <w:rPr>
                      <w:bCs/>
                      <w:color w:val="auto"/>
                      <w:kern w:val="0"/>
                      <w:sz w:val="22"/>
                    </w:rPr>
                  </w:pPr>
                  <w:r>
                    <w:rPr>
                      <w:rFonts w:hint="eastAsia"/>
                      <w:color w:val="auto"/>
                      <w:kern w:val="0"/>
                      <w:sz w:val="22"/>
                      <w:szCs w:val="22"/>
                      <w:lang w:val="en-US" w:eastAsia="zh-CN" w:bidi="ar"/>
                    </w:rPr>
                    <w:t>46</w:t>
                  </w:r>
                </w:p>
              </w:tc>
              <w:tc>
                <w:tcPr>
                  <w:tcW w:w="924" w:type="dxa"/>
                  <w:tcBorders>
                    <w:top w:val="single" w:color="auto" w:sz="6" w:space="0"/>
                    <w:bottom w:val="single" w:color="auto" w:sz="6" w:space="0"/>
                  </w:tcBorders>
                  <w:vAlign w:val="center"/>
                </w:tcPr>
                <w:p w14:paraId="79E1BF9B">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65</w:t>
                  </w:r>
                </w:p>
              </w:tc>
              <w:tc>
                <w:tcPr>
                  <w:tcW w:w="924" w:type="dxa"/>
                  <w:tcBorders>
                    <w:top w:val="single" w:color="auto" w:sz="6" w:space="0"/>
                    <w:bottom w:val="single" w:color="auto" w:sz="6" w:space="0"/>
                    <w:right w:val="single" w:color="auto" w:sz="4" w:space="0"/>
                  </w:tcBorders>
                  <w:vAlign w:val="center"/>
                </w:tcPr>
                <w:p w14:paraId="01118376">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55</w:t>
                  </w:r>
                </w:p>
              </w:tc>
              <w:tc>
                <w:tcPr>
                  <w:tcW w:w="924" w:type="dxa"/>
                  <w:tcBorders>
                    <w:top w:val="single" w:color="auto" w:sz="6" w:space="0"/>
                    <w:left w:val="single" w:color="auto" w:sz="4" w:space="0"/>
                    <w:bottom w:val="single" w:color="auto" w:sz="6" w:space="0"/>
                    <w:right w:val="single" w:color="auto" w:sz="4" w:space="0"/>
                  </w:tcBorders>
                  <w:vAlign w:val="center"/>
                </w:tcPr>
                <w:p w14:paraId="58D8305B">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达标</w:t>
                  </w:r>
                </w:p>
              </w:tc>
              <w:tc>
                <w:tcPr>
                  <w:tcW w:w="925" w:type="dxa"/>
                  <w:tcBorders>
                    <w:top w:val="single" w:color="auto" w:sz="6" w:space="0"/>
                    <w:left w:val="single" w:color="auto" w:sz="4" w:space="0"/>
                    <w:bottom w:val="single" w:color="auto" w:sz="6" w:space="0"/>
                    <w:right w:val="single" w:color="auto" w:sz="4" w:space="0"/>
                  </w:tcBorders>
                </w:tcPr>
                <w:p w14:paraId="7063385E">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达标</w:t>
                  </w:r>
                </w:p>
              </w:tc>
            </w:tr>
            <w:tr w14:paraId="641600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2" w:type="dxa"/>
                  <w:vMerge w:val="continue"/>
                  <w:tcBorders>
                    <w:right w:val="single" w:color="auto" w:sz="4" w:space="0"/>
                  </w:tcBorders>
                  <w:vAlign w:val="center"/>
                </w:tcPr>
                <w:p w14:paraId="16D16A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p>
              </w:tc>
              <w:tc>
                <w:tcPr>
                  <w:tcW w:w="922" w:type="dxa"/>
                  <w:tcBorders>
                    <w:top w:val="single" w:color="auto" w:sz="6" w:space="0"/>
                    <w:bottom w:val="single" w:color="auto" w:sz="6" w:space="0"/>
                    <w:right w:val="single" w:color="auto" w:sz="4" w:space="0"/>
                  </w:tcBorders>
                  <w:vAlign w:val="center"/>
                </w:tcPr>
                <w:p w14:paraId="2E62E26C">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西</w:t>
                  </w:r>
                  <w:r>
                    <w:rPr>
                      <w:bCs/>
                      <w:color w:val="auto"/>
                      <w:kern w:val="0"/>
                      <w:sz w:val="22"/>
                    </w:rPr>
                    <w:t>厂界</w:t>
                  </w:r>
                </w:p>
              </w:tc>
              <w:tc>
                <w:tcPr>
                  <w:tcW w:w="923" w:type="dxa"/>
                  <w:tcBorders>
                    <w:top w:val="single" w:color="auto" w:sz="6" w:space="0"/>
                    <w:bottom w:val="single" w:color="auto" w:sz="6" w:space="0"/>
                    <w:right w:val="single" w:color="auto" w:sz="4" w:space="0"/>
                  </w:tcBorders>
                  <w:vAlign w:val="center"/>
                </w:tcPr>
                <w:p w14:paraId="160C2B6F">
                  <w:pPr>
                    <w:keepNext w:val="0"/>
                    <w:keepLines w:val="0"/>
                    <w:widowControl/>
                    <w:suppressLineNumbers w:val="0"/>
                    <w:jc w:val="center"/>
                    <w:textAlignment w:val="center"/>
                    <w:rPr>
                      <w:bCs/>
                      <w:color w:val="auto"/>
                      <w:kern w:val="0"/>
                      <w:sz w:val="22"/>
                    </w:rPr>
                  </w:pPr>
                  <w:r>
                    <w:rPr>
                      <w:rFonts w:hint="eastAsia" w:cs="Times New Roman"/>
                      <w:i w:val="0"/>
                      <w:iCs w:val="0"/>
                      <w:color w:val="auto"/>
                      <w:kern w:val="0"/>
                      <w:sz w:val="22"/>
                      <w:szCs w:val="22"/>
                      <w:u w:val="none"/>
                      <w:lang w:val="en-US" w:eastAsia="zh-CN" w:bidi="ar"/>
                    </w:rPr>
                    <w:t>13</w:t>
                  </w:r>
                  <w:r>
                    <w:rPr>
                      <w:rFonts w:hint="default" w:ascii="Times New Roman" w:hAnsi="Times New Roman" w:eastAsia="宋体" w:cs="Times New Roman"/>
                      <w:i w:val="0"/>
                      <w:iCs w:val="0"/>
                      <w:color w:val="auto"/>
                      <w:kern w:val="0"/>
                      <w:sz w:val="22"/>
                      <w:szCs w:val="22"/>
                      <w:u w:val="none"/>
                      <w:lang w:val="en-US" w:eastAsia="zh-CN" w:bidi="ar"/>
                    </w:rPr>
                    <w:t xml:space="preserve"> </w:t>
                  </w:r>
                </w:p>
              </w:tc>
              <w:tc>
                <w:tcPr>
                  <w:tcW w:w="923" w:type="dxa"/>
                  <w:tcBorders>
                    <w:top w:val="single" w:color="auto" w:sz="6" w:space="0"/>
                    <w:bottom w:val="single" w:color="auto" w:sz="6" w:space="0"/>
                    <w:right w:val="single" w:color="auto" w:sz="4" w:space="0"/>
                  </w:tcBorders>
                  <w:vAlign w:val="center"/>
                </w:tcPr>
                <w:p w14:paraId="2FC0A7DD">
                  <w:pPr>
                    <w:widowControl/>
                    <w:spacing w:line="240" w:lineRule="auto"/>
                    <w:ind w:firstLine="0" w:firstLineChars="0"/>
                    <w:jc w:val="center"/>
                    <w:textAlignment w:val="center"/>
                    <w:rPr>
                      <w:bCs/>
                      <w:color w:val="auto"/>
                      <w:kern w:val="0"/>
                      <w:sz w:val="22"/>
                    </w:rPr>
                  </w:pPr>
                  <w:r>
                    <w:rPr>
                      <w:rFonts w:hint="eastAsia"/>
                      <w:color w:val="auto"/>
                      <w:kern w:val="0"/>
                      <w:sz w:val="22"/>
                      <w:szCs w:val="22"/>
                      <w:lang w:val="en-US" w:eastAsia="zh-CN" w:bidi="ar"/>
                    </w:rPr>
                    <w:t>56</w:t>
                  </w:r>
                </w:p>
              </w:tc>
              <w:tc>
                <w:tcPr>
                  <w:tcW w:w="924" w:type="dxa"/>
                  <w:tcBorders>
                    <w:top w:val="single" w:color="auto" w:sz="6" w:space="0"/>
                    <w:left w:val="single" w:color="auto" w:sz="4" w:space="0"/>
                    <w:bottom w:val="single" w:color="auto" w:sz="6" w:space="0"/>
                  </w:tcBorders>
                  <w:vAlign w:val="center"/>
                </w:tcPr>
                <w:p w14:paraId="39152C8A">
                  <w:pPr>
                    <w:widowControl/>
                    <w:spacing w:line="240" w:lineRule="auto"/>
                    <w:ind w:firstLine="0" w:firstLineChars="0"/>
                    <w:jc w:val="center"/>
                    <w:textAlignment w:val="center"/>
                    <w:rPr>
                      <w:bCs/>
                      <w:color w:val="auto"/>
                      <w:kern w:val="0"/>
                      <w:sz w:val="22"/>
                    </w:rPr>
                  </w:pPr>
                  <w:r>
                    <w:rPr>
                      <w:rFonts w:hint="eastAsia"/>
                      <w:color w:val="auto"/>
                      <w:kern w:val="0"/>
                      <w:sz w:val="22"/>
                      <w:szCs w:val="22"/>
                      <w:lang w:val="en-US" w:eastAsia="zh-CN" w:bidi="ar"/>
                    </w:rPr>
                    <w:t>47</w:t>
                  </w:r>
                </w:p>
              </w:tc>
              <w:tc>
                <w:tcPr>
                  <w:tcW w:w="924" w:type="dxa"/>
                  <w:tcBorders>
                    <w:top w:val="single" w:color="auto" w:sz="6" w:space="0"/>
                    <w:bottom w:val="single" w:color="auto" w:sz="6" w:space="0"/>
                  </w:tcBorders>
                  <w:vAlign w:val="center"/>
                </w:tcPr>
                <w:p w14:paraId="6AC0066E">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65</w:t>
                  </w:r>
                </w:p>
              </w:tc>
              <w:tc>
                <w:tcPr>
                  <w:tcW w:w="924" w:type="dxa"/>
                  <w:tcBorders>
                    <w:top w:val="single" w:color="auto" w:sz="6" w:space="0"/>
                    <w:bottom w:val="single" w:color="auto" w:sz="6" w:space="0"/>
                    <w:right w:val="single" w:color="auto" w:sz="4" w:space="0"/>
                  </w:tcBorders>
                  <w:vAlign w:val="center"/>
                </w:tcPr>
                <w:p w14:paraId="65700620">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55</w:t>
                  </w:r>
                </w:p>
              </w:tc>
              <w:tc>
                <w:tcPr>
                  <w:tcW w:w="924" w:type="dxa"/>
                  <w:tcBorders>
                    <w:top w:val="single" w:color="auto" w:sz="6" w:space="0"/>
                    <w:left w:val="single" w:color="auto" w:sz="4" w:space="0"/>
                    <w:bottom w:val="single" w:color="auto" w:sz="6" w:space="0"/>
                    <w:right w:val="single" w:color="auto" w:sz="4" w:space="0"/>
                  </w:tcBorders>
                  <w:vAlign w:val="center"/>
                </w:tcPr>
                <w:p w14:paraId="6C795D51">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达标</w:t>
                  </w:r>
                </w:p>
              </w:tc>
              <w:tc>
                <w:tcPr>
                  <w:tcW w:w="925" w:type="dxa"/>
                  <w:tcBorders>
                    <w:top w:val="single" w:color="auto" w:sz="6" w:space="0"/>
                    <w:left w:val="single" w:color="auto" w:sz="4" w:space="0"/>
                    <w:bottom w:val="single" w:color="auto" w:sz="6" w:space="0"/>
                    <w:right w:val="single" w:color="auto" w:sz="4" w:space="0"/>
                  </w:tcBorders>
                </w:tcPr>
                <w:p w14:paraId="3A93DC44">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rFonts w:hint="eastAsia"/>
                      <w:bCs/>
                      <w:color w:val="auto"/>
                      <w:kern w:val="0"/>
                      <w:sz w:val="22"/>
                    </w:rPr>
                    <w:t>达标</w:t>
                  </w:r>
                </w:p>
              </w:tc>
            </w:tr>
            <w:tr w14:paraId="4318D4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922" w:type="dxa"/>
                  <w:vMerge w:val="restart"/>
                  <w:tcBorders>
                    <w:right w:val="single" w:color="auto" w:sz="4" w:space="0"/>
                  </w:tcBorders>
                  <w:vAlign w:val="center"/>
                </w:tcPr>
                <w:p w14:paraId="7715B8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宋体"/>
                      <w:bCs/>
                      <w:color w:val="auto"/>
                      <w:kern w:val="0"/>
                      <w:sz w:val="22"/>
                      <w:lang w:val="en-US" w:eastAsia="zh-CN"/>
                    </w:rPr>
                  </w:pPr>
                  <w:r>
                    <w:rPr>
                      <w:rFonts w:hint="eastAsia"/>
                      <w:bCs/>
                      <w:color w:val="auto"/>
                      <w:kern w:val="0"/>
                      <w:sz w:val="22"/>
                      <w:lang w:val="en-US" w:eastAsia="zh-CN"/>
                    </w:rPr>
                    <w:t>西地块</w:t>
                  </w:r>
                </w:p>
              </w:tc>
              <w:tc>
                <w:tcPr>
                  <w:tcW w:w="922" w:type="dxa"/>
                  <w:tcBorders>
                    <w:top w:val="single" w:color="auto" w:sz="6" w:space="0"/>
                    <w:bottom w:val="single" w:color="auto" w:sz="6" w:space="0"/>
                    <w:right w:val="single" w:color="auto" w:sz="4" w:space="0"/>
                  </w:tcBorders>
                  <w:vAlign w:val="center"/>
                </w:tcPr>
                <w:p w14:paraId="548AB8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r>
                    <w:rPr>
                      <w:rFonts w:hint="eastAsia"/>
                      <w:bCs/>
                      <w:color w:val="auto"/>
                      <w:kern w:val="0"/>
                      <w:sz w:val="22"/>
                    </w:rPr>
                    <w:t>东</w:t>
                  </w:r>
                  <w:r>
                    <w:rPr>
                      <w:bCs/>
                      <w:color w:val="auto"/>
                      <w:kern w:val="0"/>
                      <w:sz w:val="22"/>
                    </w:rPr>
                    <w:t>厂界</w:t>
                  </w:r>
                </w:p>
              </w:tc>
              <w:tc>
                <w:tcPr>
                  <w:tcW w:w="923" w:type="dxa"/>
                  <w:tcBorders>
                    <w:top w:val="single" w:color="auto" w:sz="6" w:space="0"/>
                    <w:bottom w:val="single" w:color="auto" w:sz="6" w:space="0"/>
                    <w:right w:val="single" w:color="auto" w:sz="4" w:space="0"/>
                  </w:tcBorders>
                  <w:vAlign w:val="center"/>
                </w:tcPr>
                <w:p w14:paraId="3B4E5FE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22</w:t>
                  </w:r>
                </w:p>
              </w:tc>
              <w:tc>
                <w:tcPr>
                  <w:tcW w:w="923" w:type="dxa"/>
                  <w:tcBorders>
                    <w:top w:val="single" w:color="auto" w:sz="6" w:space="0"/>
                    <w:bottom w:val="single" w:color="auto" w:sz="6" w:space="0"/>
                    <w:right w:val="single" w:color="auto" w:sz="4" w:space="0"/>
                  </w:tcBorders>
                  <w:vAlign w:val="center"/>
                </w:tcPr>
                <w:p w14:paraId="33868BAF">
                  <w:pPr>
                    <w:widowControl/>
                    <w:spacing w:line="240" w:lineRule="auto"/>
                    <w:ind w:firstLine="0" w:firstLineChars="0"/>
                    <w:jc w:val="center"/>
                    <w:textAlignment w:val="center"/>
                    <w:rPr>
                      <w:rFonts w:hint="default"/>
                      <w:color w:val="auto"/>
                      <w:kern w:val="0"/>
                      <w:sz w:val="22"/>
                      <w:szCs w:val="22"/>
                      <w:lang w:val="en-US" w:eastAsia="zh-CN" w:bidi="ar"/>
                    </w:rPr>
                  </w:pPr>
                  <w:r>
                    <w:rPr>
                      <w:rFonts w:hint="eastAsia"/>
                      <w:color w:val="auto"/>
                      <w:kern w:val="0"/>
                      <w:sz w:val="22"/>
                      <w:szCs w:val="22"/>
                      <w:lang w:val="en-US" w:eastAsia="zh-CN" w:bidi="ar"/>
                    </w:rPr>
                    <w:t>54</w:t>
                  </w:r>
                </w:p>
              </w:tc>
              <w:tc>
                <w:tcPr>
                  <w:tcW w:w="924" w:type="dxa"/>
                  <w:tcBorders>
                    <w:top w:val="single" w:color="auto" w:sz="6" w:space="0"/>
                    <w:left w:val="single" w:color="auto" w:sz="4" w:space="0"/>
                    <w:bottom w:val="single" w:color="auto" w:sz="6" w:space="0"/>
                  </w:tcBorders>
                  <w:vAlign w:val="center"/>
                </w:tcPr>
                <w:p w14:paraId="04EE6ED6">
                  <w:pPr>
                    <w:widowControl/>
                    <w:spacing w:line="240" w:lineRule="auto"/>
                    <w:ind w:firstLine="0" w:firstLineChars="0"/>
                    <w:jc w:val="center"/>
                    <w:textAlignment w:val="center"/>
                    <w:rPr>
                      <w:rFonts w:hint="default"/>
                      <w:color w:val="auto"/>
                      <w:kern w:val="0"/>
                      <w:sz w:val="22"/>
                      <w:szCs w:val="22"/>
                      <w:lang w:val="en-US" w:eastAsia="zh-CN" w:bidi="ar"/>
                    </w:rPr>
                  </w:pPr>
                  <w:r>
                    <w:rPr>
                      <w:rFonts w:hint="eastAsia"/>
                      <w:color w:val="auto"/>
                      <w:kern w:val="0"/>
                      <w:sz w:val="22"/>
                      <w:szCs w:val="22"/>
                      <w:lang w:val="en-US" w:eastAsia="zh-CN" w:bidi="ar"/>
                    </w:rPr>
                    <w:t>48</w:t>
                  </w:r>
                </w:p>
              </w:tc>
              <w:tc>
                <w:tcPr>
                  <w:tcW w:w="924" w:type="dxa"/>
                  <w:tcBorders>
                    <w:top w:val="single" w:color="auto" w:sz="6" w:space="0"/>
                    <w:bottom w:val="single" w:color="auto" w:sz="6" w:space="0"/>
                  </w:tcBorders>
                  <w:vAlign w:val="center"/>
                </w:tcPr>
                <w:p w14:paraId="11BB635C">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65</w:t>
                  </w:r>
                </w:p>
              </w:tc>
              <w:tc>
                <w:tcPr>
                  <w:tcW w:w="924" w:type="dxa"/>
                  <w:tcBorders>
                    <w:top w:val="single" w:color="auto" w:sz="6" w:space="0"/>
                    <w:bottom w:val="single" w:color="auto" w:sz="6" w:space="0"/>
                    <w:right w:val="single" w:color="auto" w:sz="4" w:space="0"/>
                  </w:tcBorders>
                  <w:vAlign w:val="center"/>
                </w:tcPr>
                <w:p w14:paraId="5C09A222">
                  <w:pPr>
                    <w:keepNext w:val="0"/>
                    <w:keepLines w:val="0"/>
                    <w:pageBreakBefore w:val="0"/>
                    <w:widowControl/>
                    <w:kinsoku/>
                    <w:wordWrap/>
                    <w:overflowPunct/>
                    <w:topLinePunct w:val="0"/>
                    <w:autoSpaceDE/>
                    <w:autoSpaceDN/>
                    <w:bidi w:val="0"/>
                    <w:adjustRightInd/>
                    <w:snapToGrid/>
                    <w:spacing w:line="320" w:lineRule="exact"/>
                    <w:jc w:val="center"/>
                    <w:textAlignment w:val="auto"/>
                    <w:rPr>
                      <w:bCs/>
                      <w:color w:val="auto"/>
                      <w:kern w:val="0"/>
                      <w:sz w:val="22"/>
                    </w:rPr>
                  </w:pPr>
                  <w:r>
                    <w:rPr>
                      <w:bCs/>
                      <w:color w:val="auto"/>
                      <w:kern w:val="0"/>
                      <w:sz w:val="22"/>
                    </w:rPr>
                    <w:t>55</w:t>
                  </w:r>
                </w:p>
              </w:tc>
              <w:tc>
                <w:tcPr>
                  <w:tcW w:w="924" w:type="dxa"/>
                  <w:tcBorders>
                    <w:top w:val="single" w:color="auto" w:sz="6" w:space="0"/>
                    <w:left w:val="single" w:color="auto" w:sz="4" w:space="0"/>
                    <w:bottom w:val="single" w:color="auto" w:sz="6" w:space="0"/>
                    <w:right w:val="single" w:color="auto" w:sz="4" w:space="0"/>
                  </w:tcBorders>
                  <w:vAlign w:val="center"/>
                </w:tcPr>
                <w:p w14:paraId="77CA3A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r>
                    <w:rPr>
                      <w:rFonts w:hint="eastAsia"/>
                      <w:bCs/>
                      <w:color w:val="auto"/>
                      <w:kern w:val="0"/>
                      <w:sz w:val="22"/>
                    </w:rPr>
                    <w:t>达标</w:t>
                  </w:r>
                </w:p>
              </w:tc>
              <w:tc>
                <w:tcPr>
                  <w:tcW w:w="925" w:type="dxa"/>
                  <w:tcBorders>
                    <w:top w:val="single" w:color="auto" w:sz="6" w:space="0"/>
                    <w:left w:val="single" w:color="auto" w:sz="4" w:space="0"/>
                    <w:bottom w:val="single" w:color="auto" w:sz="6" w:space="0"/>
                    <w:right w:val="single" w:color="auto" w:sz="4" w:space="0"/>
                  </w:tcBorders>
                  <w:vAlign w:val="center"/>
                </w:tcPr>
                <w:p w14:paraId="0072953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r>
                    <w:rPr>
                      <w:rFonts w:hint="eastAsia"/>
                      <w:bCs/>
                      <w:color w:val="auto"/>
                      <w:kern w:val="0"/>
                      <w:sz w:val="22"/>
                    </w:rPr>
                    <w:t>达标</w:t>
                  </w:r>
                </w:p>
              </w:tc>
            </w:tr>
            <w:tr w14:paraId="65EA79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922" w:type="dxa"/>
                  <w:vMerge w:val="continue"/>
                  <w:tcBorders>
                    <w:bottom w:val="single" w:color="auto" w:sz="6" w:space="0"/>
                    <w:right w:val="single" w:color="auto" w:sz="4" w:space="0"/>
                  </w:tcBorders>
                  <w:vAlign w:val="center"/>
                </w:tcPr>
                <w:p w14:paraId="2DD692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p>
              </w:tc>
              <w:tc>
                <w:tcPr>
                  <w:tcW w:w="922" w:type="dxa"/>
                  <w:tcBorders>
                    <w:top w:val="single" w:color="auto" w:sz="6" w:space="0"/>
                    <w:bottom w:val="single" w:color="auto" w:sz="6" w:space="0"/>
                    <w:right w:val="single" w:color="auto" w:sz="4" w:space="0"/>
                  </w:tcBorders>
                  <w:vAlign w:val="center"/>
                </w:tcPr>
                <w:p w14:paraId="0308E5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r>
                    <w:rPr>
                      <w:rFonts w:hint="eastAsia"/>
                      <w:bCs/>
                      <w:color w:val="auto"/>
                      <w:kern w:val="0"/>
                      <w:sz w:val="22"/>
                    </w:rPr>
                    <w:t>北</w:t>
                  </w:r>
                  <w:r>
                    <w:rPr>
                      <w:bCs/>
                      <w:color w:val="auto"/>
                      <w:kern w:val="0"/>
                      <w:sz w:val="22"/>
                    </w:rPr>
                    <w:t>厂界</w:t>
                  </w:r>
                </w:p>
              </w:tc>
              <w:tc>
                <w:tcPr>
                  <w:tcW w:w="923" w:type="dxa"/>
                  <w:tcBorders>
                    <w:top w:val="single" w:color="auto" w:sz="6" w:space="0"/>
                    <w:bottom w:val="single" w:color="auto" w:sz="6" w:space="0"/>
                    <w:right w:val="single" w:color="auto" w:sz="4" w:space="0"/>
                  </w:tcBorders>
                  <w:vAlign w:val="center"/>
                </w:tcPr>
                <w:p w14:paraId="5F1FC74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4</w:t>
                  </w:r>
                  <w:r>
                    <w:rPr>
                      <w:rFonts w:hint="default" w:ascii="Times New Roman" w:hAnsi="Times New Roman" w:eastAsia="宋体" w:cs="Times New Roman"/>
                      <w:i w:val="0"/>
                      <w:iCs w:val="0"/>
                      <w:color w:val="auto"/>
                      <w:kern w:val="0"/>
                      <w:sz w:val="22"/>
                      <w:szCs w:val="22"/>
                      <w:u w:val="none"/>
                      <w:lang w:val="en-US" w:eastAsia="zh-CN" w:bidi="ar"/>
                    </w:rPr>
                    <w:t xml:space="preserve"> </w:t>
                  </w:r>
                </w:p>
              </w:tc>
              <w:tc>
                <w:tcPr>
                  <w:tcW w:w="923" w:type="dxa"/>
                  <w:tcBorders>
                    <w:top w:val="single" w:color="auto" w:sz="6" w:space="0"/>
                    <w:bottom w:val="single" w:color="auto" w:sz="6" w:space="0"/>
                    <w:right w:val="single" w:color="auto" w:sz="4" w:space="0"/>
                  </w:tcBorders>
                  <w:vAlign w:val="center"/>
                </w:tcPr>
                <w:p w14:paraId="1C885031">
                  <w:pPr>
                    <w:widowControl/>
                    <w:spacing w:line="240" w:lineRule="auto"/>
                    <w:ind w:firstLine="0" w:firstLineChars="0"/>
                    <w:jc w:val="center"/>
                    <w:textAlignment w:val="center"/>
                    <w:rPr>
                      <w:rFonts w:hint="eastAsia"/>
                      <w:bCs/>
                      <w:color w:val="auto"/>
                      <w:kern w:val="0"/>
                      <w:sz w:val="22"/>
                    </w:rPr>
                  </w:pPr>
                  <w:r>
                    <w:rPr>
                      <w:rFonts w:hint="eastAsia"/>
                      <w:color w:val="auto"/>
                      <w:kern w:val="0"/>
                      <w:sz w:val="22"/>
                      <w:szCs w:val="22"/>
                      <w:lang w:val="en-US" w:eastAsia="zh-CN" w:bidi="ar"/>
                    </w:rPr>
                    <w:t>56</w:t>
                  </w:r>
                </w:p>
              </w:tc>
              <w:tc>
                <w:tcPr>
                  <w:tcW w:w="924" w:type="dxa"/>
                  <w:tcBorders>
                    <w:top w:val="single" w:color="auto" w:sz="6" w:space="0"/>
                    <w:left w:val="single" w:color="auto" w:sz="4" w:space="0"/>
                    <w:bottom w:val="single" w:color="auto" w:sz="6" w:space="0"/>
                  </w:tcBorders>
                  <w:vAlign w:val="center"/>
                </w:tcPr>
                <w:p w14:paraId="0F5EF319">
                  <w:pPr>
                    <w:widowControl/>
                    <w:spacing w:line="240" w:lineRule="auto"/>
                    <w:ind w:firstLine="0" w:firstLineChars="0"/>
                    <w:jc w:val="center"/>
                    <w:textAlignment w:val="center"/>
                    <w:rPr>
                      <w:rFonts w:hint="default"/>
                      <w:bCs/>
                      <w:color w:val="auto"/>
                      <w:kern w:val="0"/>
                      <w:sz w:val="22"/>
                      <w:lang w:val="en-US"/>
                    </w:rPr>
                  </w:pPr>
                  <w:r>
                    <w:rPr>
                      <w:rFonts w:hint="eastAsia"/>
                      <w:color w:val="auto"/>
                      <w:kern w:val="0"/>
                      <w:sz w:val="22"/>
                      <w:szCs w:val="22"/>
                      <w:lang w:val="en-US" w:eastAsia="zh-CN" w:bidi="ar"/>
                    </w:rPr>
                    <w:t>47</w:t>
                  </w:r>
                </w:p>
              </w:tc>
              <w:tc>
                <w:tcPr>
                  <w:tcW w:w="924" w:type="dxa"/>
                  <w:tcBorders>
                    <w:top w:val="single" w:color="auto" w:sz="6" w:space="0"/>
                    <w:bottom w:val="single" w:color="auto" w:sz="6" w:space="0"/>
                  </w:tcBorders>
                  <w:vAlign w:val="center"/>
                </w:tcPr>
                <w:p w14:paraId="20E259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r>
                    <w:rPr>
                      <w:bCs/>
                      <w:color w:val="auto"/>
                      <w:kern w:val="0"/>
                      <w:sz w:val="22"/>
                    </w:rPr>
                    <w:t>65</w:t>
                  </w:r>
                </w:p>
              </w:tc>
              <w:tc>
                <w:tcPr>
                  <w:tcW w:w="924" w:type="dxa"/>
                  <w:tcBorders>
                    <w:top w:val="single" w:color="auto" w:sz="6" w:space="0"/>
                    <w:bottom w:val="single" w:color="auto" w:sz="6" w:space="0"/>
                    <w:right w:val="single" w:color="auto" w:sz="4" w:space="0"/>
                  </w:tcBorders>
                  <w:vAlign w:val="center"/>
                </w:tcPr>
                <w:p w14:paraId="6986FF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r>
                    <w:rPr>
                      <w:bCs/>
                      <w:color w:val="auto"/>
                      <w:kern w:val="0"/>
                      <w:sz w:val="22"/>
                    </w:rPr>
                    <w:t>55</w:t>
                  </w:r>
                </w:p>
              </w:tc>
              <w:tc>
                <w:tcPr>
                  <w:tcW w:w="924" w:type="dxa"/>
                  <w:tcBorders>
                    <w:top w:val="single" w:color="auto" w:sz="6" w:space="0"/>
                    <w:left w:val="single" w:color="auto" w:sz="4" w:space="0"/>
                    <w:bottom w:val="single" w:color="auto" w:sz="6" w:space="0"/>
                    <w:right w:val="single" w:color="auto" w:sz="4" w:space="0"/>
                  </w:tcBorders>
                  <w:vAlign w:val="center"/>
                </w:tcPr>
                <w:p w14:paraId="1D233D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r>
                    <w:rPr>
                      <w:rFonts w:hint="eastAsia"/>
                      <w:bCs/>
                      <w:color w:val="auto"/>
                      <w:kern w:val="0"/>
                      <w:sz w:val="22"/>
                    </w:rPr>
                    <w:t>达标</w:t>
                  </w:r>
                </w:p>
              </w:tc>
              <w:tc>
                <w:tcPr>
                  <w:tcW w:w="925" w:type="dxa"/>
                  <w:tcBorders>
                    <w:top w:val="single" w:color="auto" w:sz="6" w:space="0"/>
                    <w:left w:val="single" w:color="auto" w:sz="4" w:space="0"/>
                    <w:bottom w:val="single" w:color="auto" w:sz="6" w:space="0"/>
                    <w:right w:val="single" w:color="auto" w:sz="4" w:space="0"/>
                  </w:tcBorders>
                  <w:vAlign w:val="top"/>
                </w:tcPr>
                <w:p w14:paraId="41EF12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color w:val="auto"/>
                      <w:kern w:val="0"/>
                      <w:sz w:val="22"/>
                    </w:rPr>
                  </w:pPr>
                  <w:r>
                    <w:rPr>
                      <w:rFonts w:hint="eastAsia"/>
                      <w:bCs/>
                      <w:color w:val="auto"/>
                      <w:kern w:val="0"/>
                      <w:sz w:val="22"/>
                    </w:rPr>
                    <w:t>达标</w:t>
                  </w:r>
                </w:p>
              </w:tc>
            </w:tr>
          </w:tbl>
          <w:p w14:paraId="3BC6715C">
            <w:pPr>
              <w:spacing w:line="460" w:lineRule="exact"/>
              <w:ind w:firstLine="560"/>
              <w:rPr>
                <w:rFonts w:hint="default" w:eastAsia="宋体"/>
                <w:color w:val="auto"/>
                <w:sz w:val="26"/>
                <w:szCs w:val="26"/>
                <w:lang w:val="en-US" w:eastAsia="zh-CN"/>
              </w:rPr>
            </w:pPr>
            <w:r>
              <w:rPr>
                <w:rFonts w:hint="eastAsia"/>
                <w:color w:val="auto"/>
                <w:sz w:val="26"/>
                <w:szCs w:val="26"/>
                <w:lang w:val="en-US" w:eastAsia="zh-CN"/>
              </w:rPr>
              <w:t>东地块声源距离东、北厂界超过200m；西地块声源距离西、南厂界超过200m，距离较远，因此东地块设备噪声对东、北厂界影响极小，西地块设备噪声对西、南厂界影响极小。</w:t>
            </w:r>
          </w:p>
          <w:p w14:paraId="7C66385B">
            <w:pPr>
              <w:spacing w:line="460" w:lineRule="exact"/>
              <w:ind w:firstLine="560"/>
              <w:rPr>
                <w:color w:val="auto"/>
                <w:sz w:val="26"/>
                <w:szCs w:val="26"/>
              </w:rPr>
            </w:pPr>
            <w:r>
              <w:rPr>
                <w:rFonts w:hint="eastAsia"/>
                <w:color w:val="auto"/>
                <w:sz w:val="26"/>
                <w:szCs w:val="26"/>
              </w:rPr>
              <w:t>由上表可知，项目实施后，四周厂界噪声昼间、夜间均满足《工业企业厂界环境噪声排放标准》（GB12348-2008）3类排放限值要求。根据项目现状调查，厂区外</w:t>
            </w:r>
            <w:r>
              <w:rPr>
                <w:color w:val="auto"/>
                <w:sz w:val="26"/>
                <w:szCs w:val="26"/>
              </w:rPr>
              <w:t>5</w:t>
            </w:r>
            <w:r>
              <w:rPr>
                <w:rFonts w:hint="eastAsia"/>
                <w:color w:val="auto"/>
                <w:sz w:val="26"/>
                <w:szCs w:val="26"/>
              </w:rPr>
              <w:t>0m范围内无声环境敏感目标，均为工业园区的在建或已建企业，运营期对周边声环境影响小。</w:t>
            </w:r>
          </w:p>
          <w:p w14:paraId="2BC44C5D">
            <w:pPr>
              <w:spacing w:line="460" w:lineRule="exact"/>
              <w:ind w:firstLine="556"/>
              <w:rPr>
                <w:color w:val="auto"/>
                <w:sz w:val="26"/>
                <w:szCs w:val="26"/>
              </w:rPr>
            </w:pPr>
            <w:r>
              <w:rPr>
                <w:color w:val="auto"/>
                <w:sz w:val="26"/>
                <w:szCs w:val="26"/>
              </w:rPr>
              <w:t>4.2.3.3污染防治措施</w:t>
            </w:r>
          </w:p>
          <w:p w14:paraId="46543F3F">
            <w:pPr>
              <w:spacing w:line="460" w:lineRule="exact"/>
              <w:ind w:firstLine="556"/>
              <w:rPr>
                <w:color w:val="auto"/>
                <w:sz w:val="26"/>
                <w:szCs w:val="26"/>
              </w:rPr>
            </w:pPr>
            <w:r>
              <w:rPr>
                <w:color w:val="auto"/>
                <w:sz w:val="26"/>
                <w:szCs w:val="26"/>
              </w:rPr>
              <w:t>（1）合理布局</w:t>
            </w:r>
          </w:p>
          <w:p w14:paraId="05AF6265">
            <w:pPr>
              <w:spacing w:line="460" w:lineRule="exact"/>
              <w:ind w:firstLine="556"/>
              <w:rPr>
                <w:color w:val="auto"/>
                <w:sz w:val="26"/>
                <w:szCs w:val="26"/>
              </w:rPr>
            </w:pPr>
            <w:r>
              <w:rPr>
                <w:color w:val="auto"/>
                <w:sz w:val="26"/>
                <w:szCs w:val="26"/>
              </w:rPr>
              <w:t>在总平面布置上尽量将噪声源较大的设备布置在远离厂界处，并尽可能利用厂房围墙来阻隔声波的传播。</w:t>
            </w:r>
          </w:p>
          <w:p w14:paraId="10504682">
            <w:pPr>
              <w:spacing w:line="460" w:lineRule="exact"/>
              <w:ind w:firstLine="556"/>
              <w:rPr>
                <w:color w:val="auto"/>
                <w:sz w:val="26"/>
                <w:szCs w:val="26"/>
              </w:rPr>
            </w:pPr>
            <w:r>
              <w:rPr>
                <w:color w:val="auto"/>
                <w:sz w:val="26"/>
                <w:szCs w:val="26"/>
              </w:rPr>
              <w:t>（2）技术防治</w:t>
            </w:r>
          </w:p>
          <w:p w14:paraId="7C0ECA8A">
            <w:pPr>
              <w:spacing w:line="460" w:lineRule="exact"/>
              <w:ind w:firstLine="556"/>
              <w:rPr>
                <w:color w:val="auto"/>
                <w:sz w:val="26"/>
                <w:szCs w:val="26"/>
              </w:rPr>
            </w:pPr>
            <w:r>
              <w:rPr>
                <w:color w:val="auto"/>
                <w:sz w:val="26"/>
                <w:szCs w:val="26"/>
              </w:rPr>
              <w:t>尽量选用优质低噪设备，并对设备进行基础减振降噪处理，降低设备噪声对外环境的影响。</w:t>
            </w:r>
            <w:r>
              <w:rPr>
                <w:rFonts w:hint="eastAsia"/>
                <w:color w:val="auto"/>
                <w:sz w:val="26"/>
                <w:szCs w:val="26"/>
              </w:rPr>
              <w:t>氢气压缩机</w:t>
            </w:r>
            <w:r>
              <w:rPr>
                <w:color w:val="auto"/>
                <w:sz w:val="26"/>
                <w:szCs w:val="26"/>
              </w:rPr>
              <w:t>等设备设置消声、隔声装置。</w:t>
            </w:r>
          </w:p>
          <w:p w14:paraId="57D080DD">
            <w:pPr>
              <w:spacing w:line="460" w:lineRule="exact"/>
              <w:ind w:firstLine="556"/>
              <w:rPr>
                <w:color w:val="auto"/>
                <w:sz w:val="26"/>
                <w:szCs w:val="26"/>
              </w:rPr>
            </w:pPr>
            <w:r>
              <w:rPr>
                <w:color w:val="auto"/>
                <w:sz w:val="26"/>
                <w:szCs w:val="26"/>
              </w:rPr>
              <w:t>（3）管理措施</w:t>
            </w:r>
          </w:p>
          <w:p w14:paraId="4C402457">
            <w:pPr>
              <w:spacing w:line="460" w:lineRule="exact"/>
              <w:ind w:firstLine="556"/>
              <w:rPr>
                <w:rFonts w:hint="eastAsia" w:eastAsia="宋体"/>
                <w:color w:val="auto"/>
                <w:sz w:val="26"/>
                <w:szCs w:val="26"/>
                <w:lang w:eastAsia="zh-CN"/>
              </w:rPr>
            </w:pPr>
            <w:r>
              <w:rPr>
                <w:color w:val="auto"/>
                <w:sz w:val="26"/>
                <w:szCs w:val="26"/>
              </w:rPr>
              <w:t>加强设备维护，定期检查，使设备处于良好的运行状态，避免和减轻非正常运行时产生的噪声污染；夜间生产禁止工作人员喧哗</w:t>
            </w:r>
            <w:r>
              <w:rPr>
                <w:rFonts w:hint="eastAsia"/>
                <w:color w:val="auto"/>
                <w:sz w:val="26"/>
                <w:szCs w:val="26"/>
                <w:lang w:eastAsia="zh-CN"/>
              </w:rPr>
              <w:t>。</w:t>
            </w:r>
          </w:p>
          <w:p w14:paraId="4A5F2A76">
            <w:pPr>
              <w:adjustRightInd w:val="0"/>
              <w:snapToGrid w:val="0"/>
              <w:spacing w:line="460" w:lineRule="exact"/>
              <w:ind w:firstLine="520" w:firstLineChars="200"/>
              <w:rPr>
                <w:color w:val="auto"/>
                <w:sz w:val="26"/>
                <w:szCs w:val="26"/>
              </w:rPr>
            </w:pPr>
            <w:r>
              <w:rPr>
                <w:color w:val="auto"/>
                <w:sz w:val="26"/>
                <w:szCs w:val="26"/>
              </w:rPr>
              <w:t>4.2.3.4</w:t>
            </w:r>
            <w:r>
              <w:rPr>
                <w:rFonts w:hint="eastAsia"/>
                <w:color w:val="auto"/>
                <w:sz w:val="26"/>
                <w:szCs w:val="26"/>
              </w:rPr>
              <w:t>噪声监测计划</w:t>
            </w:r>
          </w:p>
          <w:p w14:paraId="706B655F">
            <w:pPr>
              <w:pStyle w:val="82"/>
              <w:ind w:firstLine="520"/>
              <w:rPr>
                <w:color w:val="auto"/>
                <w:szCs w:val="26"/>
              </w:rPr>
            </w:pPr>
            <w:r>
              <w:rPr>
                <w:rFonts w:hint="eastAsia" w:ascii="宋体" w:hAnsi="宋体"/>
                <w:color w:val="auto"/>
                <w:szCs w:val="26"/>
              </w:rPr>
              <w:t>根据《固定污染源排污许</w:t>
            </w:r>
            <w:r>
              <w:rPr>
                <w:color w:val="auto"/>
                <w:szCs w:val="26"/>
              </w:rPr>
              <w:t>可分类管理名录（2019年版）》，本项目排污许可管理类别为“登记管理”，因此参照《排污单位自行监测技术指南总则》(HJ819-2017)</w:t>
            </w:r>
            <w:r>
              <w:rPr>
                <w:rFonts w:hint="eastAsia"/>
                <w:color w:val="auto"/>
                <w:szCs w:val="26"/>
              </w:rPr>
              <w:t>、《排污许可证申请与核发技术规范汽车制造业》（HJ971-2018）相关</w:t>
            </w:r>
            <w:r>
              <w:rPr>
                <w:color w:val="auto"/>
                <w:szCs w:val="26"/>
              </w:rPr>
              <w:t>要求制定，监测计划见下表。</w:t>
            </w:r>
          </w:p>
          <w:p w14:paraId="7A676D5A">
            <w:pPr>
              <w:pStyle w:val="12"/>
              <w:spacing w:before="120"/>
              <w:rPr>
                <w:rFonts w:ascii="宋体" w:hAnsi="宋体"/>
                <w:color w:val="auto"/>
                <w:szCs w:val="26"/>
              </w:rPr>
            </w:pPr>
            <w:r>
              <w:rPr>
                <w:color w:val="auto"/>
                <w:szCs w:val="26"/>
              </w:rPr>
              <w:t>表4.2-1</w:t>
            </w:r>
            <w:r>
              <w:rPr>
                <w:rFonts w:hint="eastAsia"/>
                <w:color w:val="auto"/>
                <w:szCs w:val="26"/>
                <w:lang w:val="en-US" w:eastAsia="zh-CN"/>
              </w:rPr>
              <w:t xml:space="preserve">6  </w:t>
            </w:r>
            <w:r>
              <w:rPr>
                <w:color w:val="auto"/>
                <w:szCs w:val="26"/>
              </w:rPr>
              <w:t>厂</w:t>
            </w:r>
            <w:r>
              <w:rPr>
                <w:rFonts w:ascii="宋体" w:hAnsi="宋体"/>
                <w:color w:val="auto"/>
                <w:szCs w:val="26"/>
              </w:rPr>
              <w:t>界噪声自行监测要求</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394"/>
              <w:gridCol w:w="1394"/>
              <w:gridCol w:w="1394"/>
              <w:gridCol w:w="1395"/>
              <w:gridCol w:w="1395"/>
            </w:tblGrid>
            <w:tr w14:paraId="2F4A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auto" w:sz="4" w:space="0"/>
                    <w:left w:val="single" w:color="auto" w:sz="4" w:space="0"/>
                    <w:bottom w:val="single" w:color="auto" w:sz="4" w:space="0"/>
                    <w:right w:val="single" w:color="auto" w:sz="4" w:space="0"/>
                  </w:tcBorders>
                  <w:vAlign w:val="center"/>
                </w:tcPr>
                <w:p w14:paraId="6C572E2A">
                  <w:pPr>
                    <w:pStyle w:val="41"/>
                    <w:spacing w:before="120"/>
                    <w:rPr>
                      <w:color w:val="auto"/>
                      <w:sz w:val="22"/>
                      <w:szCs w:val="22"/>
                    </w:rPr>
                  </w:pPr>
                  <w:r>
                    <w:rPr>
                      <w:color w:val="auto"/>
                      <w:sz w:val="22"/>
                      <w:szCs w:val="22"/>
                    </w:rPr>
                    <w:t>排放口编号</w:t>
                  </w:r>
                </w:p>
              </w:tc>
              <w:tc>
                <w:tcPr>
                  <w:tcW w:w="1411" w:type="dxa"/>
                  <w:tcBorders>
                    <w:top w:val="single" w:color="auto" w:sz="4" w:space="0"/>
                    <w:left w:val="nil"/>
                    <w:bottom w:val="single" w:color="auto" w:sz="4" w:space="0"/>
                    <w:right w:val="single" w:color="auto" w:sz="4" w:space="0"/>
                  </w:tcBorders>
                  <w:vAlign w:val="center"/>
                </w:tcPr>
                <w:p w14:paraId="2D228596">
                  <w:pPr>
                    <w:pStyle w:val="41"/>
                    <w:spacing w:before="120"/>
                    <w:rPr>
                      <w:color w:val="auto"/>
                      <w:sz w:val="22"/>
                      <w:szCs w:val="22"/>
                    </w:rPr>
                  </w:pPr>
                  <w:r>
                    <w:rPr>
                      <w:color w:val="auto"/>
                      <w:sz w:val="22"/>
                      <w:szCs w:val="22"/>
                    </w:rPr>
                    <w:t>排放口名称</w:t>
                  </w:r>
                </w:p>
              </w:tc>
              <w:tc>
                <w:tcPr>
                  <w:tcW w:w="1412" w:type="dxa"/>
                  <w:tcBorders>
                    <w:top w:val="single" w:color="auto" w:sz="4" w:space="0"/>
                    <w:left w:val="nil"/>
                    <w:bottom w:val="single" w:color="auto" w:sz="4" w:space="0"/>
                    <w:right w:val="single" w:color="auto" w:sz="4" w:space="0"/>
                  </w:tcBorders>
                  <w:vAlign w:val="center"/>
                </w:tcPr>
                <w:p w14:paraId="2BC7561F">
                  <w:pPr>
                    <w:pStyle w:val="41"/>
                    <w:spacing w:before="120"/>
                    <w:rPr>
                      <w:color w:val="auto"/>
                      <w:sz w:val="22"/>
                      <w:szCs w:val="22"/>
                    </w:rPr>
                  </w:pPr>
                  <w:r>
                    <w:rPr>
                      <w:color w:val="auto"/>
                      <w:sz w:val="22"/>
                      <w:szCs w:val="22"/>
                    </w:rPr>
                    <w:t>监测内容</w:t>
                  </w:r>
                </w:p>
              </w:tc>
              <w:tc>
                <w:tcPr>
                  <w:tcW w:w="1412" w:type="dxa"/>
                  <w:tcBorders>
                    <w:top w:val="single" w:color="auto" w:sz="4" w:space="0"/>
                    <w:left w:val="nil"/>
                    <w:bottom w:val="single" w:color="auto" w:sz="4" w:space="0"/>
                    <w:right w:val="single" w:color="auto" w:sz="4" w:space="0"/>
                  </w:tcBorders>
                  <w:vAlign w:val="center"/>
                </w:tcPr>
                <w:p w14:paraId="17151004">
                  <w:pPr>
                    <w:pStyle w:val="41"/>
                    <w:spacing w:before="120"/>
                    <w:rPr>
                      <w:color w:val="auto"/>
                      <w:sz w:val="22"/>
                      <w:szCs w:val="22"/>
                    </w:rPr>
                  </w:pPr>
                  <w:r>
                    <w:rPr>
                      <w:color w:val="auto"/>
                      <w:sz w:val="22"/>
                      <w:szCs w:val="22"/>
                    </w:rPr>
                    <w:t>监测因子</w:t>
                  </w:r>
                </w:p>
              </w:tc>
              <w:tc>
                <w:tcPr>
                  <w:tcW w:w="1413" w:type="dxa"/>
                  <w:tcBorders>
                    <w:top w:val="single" w:color="auto" w:sz="4" w:space="0"/>
                    <w:left w:val="nil"/>
                    <w:bottom w:val="single" w:color="auto" w:sz="4" w:space="0"/>
                    <w:right w:val="single" w:color="auto" w:sz="4" w:space="0"/>
                  </w:tcBorders>
                  <w:vAlign w:val="center"/>
                </w:tcPr>
                <w:p w14:paraId="0AF1E35C">
                  <w:pPr>
                    <w:pStyle w:val="41"/>
                    <w:spacing w:before="120"/>
                    <w:rPr>
                      <w:color w:val="auto"/>
                      <w:sz w:val="22"/>
                      <w:szCs w:val="22"/>
                    </w:rPr>
                  </w:pPr>
                  <w:r>
                    <w:rPr>
                      <w:color w:val="auto"/>
                      <w:sz w:val="22"/>
                      <w:szCs w:val="22"/>
                    </w:rPr>
                    <w:t>监测方法</w:t>
                  </w:r>
                </w:p>
              </w:tc>
              <w:tc>
                <w:tcPr>
                  <w:tcW w:w="1413" w:type="dxa"/>
                  <w:tcBorders>
                    <w:top w:val="single" w:color="auto" w:sz="4" w:space="0"/>
                    <w:left w:val="nil"/>
                    <w:bottom w:val="single" w:color="auto" w:sz="4" w:space="0"/>
                    <w:right w:val="single" w:color="auto" w:sz="4" w:space="0"/>
                  </w:tcBorders>
                  <w:vAlign w:val="center"/>
                </w:tcPr>
                <w:p w14:paraId="01D7A8B5">
                  <w:pPr>
                    <w:pStyle w:val="41"/>
                    <w:spacing w:before="120"/>
                    <w:rPr>
                      <w:color w:val="auto"/>
                      <w:sz w:val="22"/>
                      <w:szCs w:val="22"/>
                    </w:rPr>
                  </w:pPr>
                  <w:r>
                    <w:rPr>
                      <w:color w:val="auto"/>
                      <w:sz w:val="22"/>
                      <w:szCs w:val="22"/>
                    </w:rPr>
                    <w:t>监测频次</w:t>
                  </w:r>
                </w:p>
              </w:tc>
            </w:tr>
            <w:tr w14:paraId="1AF1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auto" w:sz="4" w:space="0"/>
                    <w:left w:val="single" w:color="auto" w:sz="4" w:space="0"/>
                    <w:bottom w:val="single" w:color="auto" w:sz="4" w:space="0"/>
                    <w:right w:val="single" w:color="auto" w:sz="4" w:space="0"/>
                  </w:tcBorders>
                  <w:vAlign w:val="center"/>
                </w:tcPr>
                <w:p w14:paraId="706076C5">
                  <w:pPr>
                    <w:pStyle w:val="41"/>
                    <w:spacing w:before="120"/>
                    <w:rPr>
                      <w:color w:val="auto"/>
                      <w:sz w:val="22"/>
                      <w:szCs w:val="22"/>
                    </w:rPr>
                  </w:pPr>
                  <w:r>
                    <w:rPr>
                      <w:color w:val="auto"/>
                      <w:sz w:val="22"/>
                      <w:szCs w:val="22"/>
                    </w:rPr>
                    <w:t>/</w:t>
                  </w:r>
                </w:p>
              </w:tc>
              <w:tc>
                <w:tcPr>
                  <w:tcW w:w="1411" w:type="dxa"/>
                  <w:tcBorders>
                    <w:top w:val="single" w:color="auto" w:sz="4" w:space="0"/>
                    <w:left w:val="nil"/>
                    <w:bottom w:val="single" w:color="auto" w:sz="4" w:space="0"/>
                    <w:right w:val="single" w:color="auto" w:sz="4" w:space="0"/>
                  </w:tcBorders>
                  <w:vAlign w:val="center"/>
                </w:tcPr>
                <w:p w14:paraId="30433592">
                  <w:pPr>
                    <w:pStyle w:val="41"/>
                    <w:spacing w:before="120"/>
                    <w:rPr>
                      <w:color w:val="auto"/>
                      <w:sz w:val="22"/>
                      <w:szCs w:val="22"/>
                    </w:rPr>
                  </w:pPr>
                  <w:r>
                    <w:rPr>
                      <w:rFonts w:hint="eastAsia"/>
                      <w:color w:val="auto"/>
                      <w:sz w:val="22"/>
                      <w:szCs w:val="22"/>
                    </w:rPr>
                    <w:t>东地块</w:t>
                  </w:r>
                  <w:r>
                    <w:rPr>
                      <w:color w:val="auto"/>
                      <w:sz w:val="22"/>
                      <w:szCs w:val="22"/>
                    </w:rPr>
                    <w:t>厂界</w:t>
                  </w:r>
                </w:p>
              </w:tc>
              <w:tc>
                <w:tcPr>
                  <w:tcW w:w="1412" w:type="dxa"/>
                  <w:tcBorders>
                    <w:top w:val="single" w:color="auto" w:sz="4" w:space="0"/>
                    <w:left w:val="nil"/>
                    <w:bottom w:val="single" w:color="auto" w:sz="4" w:space="0"/>
                    <w:right w:val="single" w:color="auto" w:sz="4" w:space="0"/>
                  </w:tcBorders>
                  <w:vAlign w:val="center"/>
                </w:tcPr>
                <w:p w14:paraId="37C2DD6D">
                  <w:pPr>
                    <w:pStyle w:val="41"/>
                    <w:spacing w:before="120"/>
                    <w:rPr>
                      <w:color w:val="auto"/>
                      <w:sz w:val="22"/>
                      <w:szCs w:val="22"/>
                    </w:rPr>
                  </w:pPr>
                  <w:r>
                    <w:rPr>
                      <w:color w:val="auto"/>
                      <w:sz w:val="22"/>
                      <w:szCs w:val="22"/>
                    </w:rPr>
                    <w:t>厂界噪声</w:t>
                  </w:r>
                </w:p>
              </w:tc>
              <w:tc>
                <w:tcPr>
                  <w:tcW w:w="1412" w:type="dxa"/>
                  <w:tcBorders>
                    <w:top w:val="single" w:color="auto" w:sz="4" w:space="0"/>
                    <w:left w:val="nil"/>
                    <w:bottom w:val="single" w:color="auto" w:sz="4" w:space="0"/>
                    <w:right w:val="single" w:color="auto" w:sz="4" w:space="0"/>
                  </w:tcBorders>
                  <w:vAlign w:val="center"/>
                </w:tcPr>
                <w:p w14:paraId="7331BEA4">
                  <w:pPr>
                    <w:pStyle w:val="41"/>
                    <w:spacing w:before="120"/>
                    <w:rPr>
                      <w:color w:val="auto"/>
                      <w:sz w:val="22"/>
                      <w:szCs w:val="22"/>
                    </w:rPr>
                  </w:pPr>
                  <w:r>
                    <w:rPr>
                      <w:color w:val="auto"/>
                      <w:sz w:val="22"/>
                      <w:szCs w:val="22"/>
                    </w:rPr>
                    <w:t>等效A声级</w:t>
                  </w:r>
                </w:p>
              </w:tc>
              <w:tc>
                <w:tcPr>
                  <w:tcW w:w="1413" w:type="dxa"/>
                  <w:tcBorders>
                    <w:top w:val="single" w:color="auto" w:sz="4" w:space="0"/>
                    <w:left w:val="nil"/>
                    <w:bottom w:val="single" w:color="auto" w:sz="4" w:space="0"/>
                    <w:right w:val="single" w:color="auto" w:sz="4" w:space="0"/>
                  </w:tcBorders>
                  <w:vAlign w:val="center"/>
                </w:tcPr>
                <w:p w14:paraId="270E59A9">
                  <w:pPr>
                    <w:pStyle w:val="41"/>
                    <w:spacing w:before="120"/>
                    <w:rPr>
                      <w:color w:val="auto"/>
                      <w:sz w:val="22"/>
                      <w:szCs w:val="22"/>
                    </w:rPr>
                  </w:pPr>
                  <w:r>
                    <w:rPr>
                      <w:color w:val="auto"/>
                      <w:sz w:val="22"/>
                      <w:szCs w:val="22"/>
                    </w:rPr>
                    <w:t>手工</w:t>
                  </w:r>
                </w:p>
              </w:tc>
              <w:tc>
                <w:tcPr>
                  <w:tcW w:w="1413" w:type="dxa"/>
                  <w:tcBorders>
                    <w:top w:val="single" w:color="auto" w:sz="4" w:space="0"/>
                    <w:left w:val="nil"/>
                    <w:bottom w:val="single" w:color="auto" w:sz="4" w:space="0"/>
                    <w:right w:val="single" w:color="auto" w:sz="4" w:space="0"/>
                  </w:tcBorders>
                  <w:vAlign w:val="center"/>
                </w:tcPr>
                <w:p w14:paraId="16632BB7">
                  <w:pPr>
                    <w:pStyle w:val="41"/>
                    <w:spacing w:before="120"/>
                    <w:rPr>
                      <w:color w:val="auto"/>
                      <w:sz w:val="22"/>
                      <w:szCs w:val="22"/>
                    </w:rPr>
                  </w:pPr>
                  <w:r>
                    <w:rPr>
                      <w:color w:val="auto"/>
                      <w:sz w:val="22"/>
                      <w:szCs w:val="22"/>
                    </w:rPr>
                    <w:t>1次/季度，监测昼夜</w:t>
                  </w:r>
                </w:p>
              </w:tc>
            </w:tr>
            <w:tr w14:paraId="23F1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auto" w:sz="4" w:space="0"/>
                    <w:left w:val="single" w:color="auto" w:sz="4" w:space="0"/>
                    <w:bottom w:val="single" w:color="auto" w:sz="4" w:space="0"/>
                    <w:right w:val="single" w:color="auto" w:sz="4" w:space="0"/>
                  </w:tcBorders>
                  <w:vAlign w:val="center"/>
                </w:tcPr>
                <w:p w14:paraId="637CD10C">
                  <w:pPr>
                    <w:pStyle w:val="41"/>
                    <w:spacing w:before="120"/>
                    <w:rPr>
                      <w:color w:val="auto"/>
                      <w:sz w:val="22"/>
                      <w:szCs w:val="22"/>
                    </w:rPr>
                  </w:pPr>
                  <w:r>
                    <w:rPr>
                      <w:color w:val="auto"/>
                      <w:sz w:val="22"/>
                      <w:szCs w:val="22"/>
                    </w:rPr>
                    <w:t>/</w:t>
                  </w:r>
                </w:p>
              </w:tc>
              <w:tc>
                <w:tcPr>
                  <w:tcW w:w="1411" w:type="dxa"/>
                  <w:tcBorders>
                    <w:top w:val="single" w:color="auto" w:sz="4" w:space="0"/>
                    <w:left w:val="nil"/>
                    <w:bottom w:val="single" w:color="auto" w:sz="4" w:space="0"/>
                    <w:right w:val="single" w:color="auto" w:sz="4" w:space="0"/>
                  </w:tcBorders>
                  <w:vAlign w:val="center"/>
                </w:tcPr>
                <w:p w14:paraId="15B5EF10">
                  <w:pPr>
                    <w:pStyle w:val="41"/>
                    <w:spacing w:before="120"/>
                    <w:rPr>
                      <w:color w:val="auto"/>
                      <w:sz w:val="22"/>
                      <w:szCs w:val="22"/>
                    </w:rPr>
                  </w:pPr>
                  <w:r>
                    <w:rPr>
                      <w:rFonts w:hint="eastAsia"/>
                      <w:color w:val="auto"/>
                      <w:sz w:val="22"/>
                      <w:szCs w:val="22"/>
                    </w:rPr>
                    <w:t>西地块</w:t>
                  </w:r>
                  <w:r>
                    <w:rPr>
                      <w:color w:val="auto"/>
                      <w:sz w:val="22"/>
                      <w:szCs w:val="22"/>
                    </w:rPr>
                    <w:t>厂界</w:t>
                  </w:r>
                </w:p>
              </w:tc>
              <w:tc>
                <w:tcPr>
                  <w:tcW w:w="1412" w:type="dxa"/>
                  <w:tcBorders>
                    <w:top w:val="single" w:color="auto" w:sz="4" w:space="0"/>
                    <w:left w:val="nil"/>
                    <w:bottom w:val="single" w:color="auto" w:sz="4" w:space="0"/>
                    <w:right w:val="single" w:color="auto" w:sz="4" w:space="0"/>
                  </w:tcBorders>
                  <w:vAlign w:val="center"/>
                </w:tcPr>
                <w:p w14:paraId="6E1077AA">
                  <w:pPr>
                    <w:pStyle w:val="41"/>
                    <w:spacing w:before="120"/>
                    <w:rPr>
                      <w:color w:val="auto"/>
                      <w:sz w:val="22"/>
                      <w:szCs w:val="22"/>
                    </w:rPr>
                  </w:pPr>
                  <w:r>
                    <w:rPr>
                      <w:color w:val="auto"/>
                      <w:sz w:val="22"/>
                      <w:szCs w:val="22"/>
                    </w:rPr>
                    <w:t>厂界噪声</w:t>
                  </w:r>
                </w:p>
              </w:tc>
              <w:tc>
                <w:tcPr>
                  <w:tcW w:w="1412" w:type="dxa"/>
                  <w:tcBorders>
                    <w:top w:val="single" w:color="auto" w:sz="4" w:space="0"/>
                    <w:left w:val="nil"/>
                    <w:bottom w:val="single" w:color="auto" w:sz="4" w:space="0"/>
                    <w:right w:val="single" w:color="auto" w:sz="4" w:space="0"/>
                  </w:tcBorders>
                  <w:vAlign w:val="center"/>
                </w:tcPr>
                <w:p w14:paraId="6E5689FF">
                  <w:pPr>
                    <w:pStyle w:val="41"/>
                    <w:spacing w:before="120"/>
                    <w:rPr>
                      <w:color w:val="auto"/>
                      <w:sz w:val="22"/>
                      <w:szCs w:val="22"/>
                    </w:rPr>
                  </w:pPr>
                  <w:r>
                    <w:rPr>
                      <w:color w:val="auto"/>
                      <w:sz w:val="22"/>
                      <w:szCs w:val="22"/>
                    </w:rPr>
                    <w:t>等效A声级</w:t>
                  </w:r>
                </w:p>
              </w:tc>
              <w:tc>
                <w:tcPr>
                  <w:tcW w:w="1413" w:type="dxa"/>
                  <w:tcBorders>
                    <w:top w:val="single" w:color="auto" w:sz="4" w:space="0"/>
                    <w:left w:val="nil"/>
                    <w:bottom w:val="single" w:color="auto" w:sz="4" w:space="0"/>
                    <w:right w:val="single" w:color="auto" w:sz="4" w:space="0"/>
                  </w:tcBorders>
                  <w:vAlign w:val="center"/>
                </w:tcPr>
                <w:p w14:paraId="4397DB6B">
                  <w:pPr>
                    <w:pStyle w:val="41"/>
                    <w:spacing w:before="120"/>
                    <w:rPr>
                      <w:color w:val="auto"/>
                      <w:sz w:val="22"/>
                      <w:szCs w:val="22"/>
                    </w:rPr>
                  </w:pPr>
                  <w:r>
                    <w:rPr>
                      <w:color w:val="auto"/>
                      <w:sz w:val="22"/>
                      <w:szCs w:val="22"/>
                    </w:rPr>
                    <w:t>手工</w:t>
                  </w:r>
                </w:p>
              </w:tc>
              <w:tc>
                <w:tcPr>
                  <w:tcW w:w="1413" w:type="dxa"/>
                  <w:tcBorders>
                    <w:top w:val="single" w:color="auto" w:sz="4" w:space="0"/>
                    <w:left w:val="nil"/>
                    <w:bottom w:val="single" w:color="auto" w:sz="4" w:space="0"/>
                    <w:right w:val="single" w:color="auto" w:sz="4" w:space="0"/>
                  </w:tcBorders>
                  <w:vAlign w:val="center"/>
                </w:tcPr>
                <w:p w14:paraId="3CD18008">
                  <w:pPr>
                    <w:pStyle w:val="41"/>
                    <w:spacing w:before="120"/>
                    <w:rPr>
                      <w:color w:val="auto"/>
                      <w:sz w:val="22"/>
                      <w:szCs w:val="22"/>
                    </w:rPr>
                  </w:pPr>
                  <w:r>
                    <w:rPr>
                      <w:color w:val="auto"/>
                      <w:sz w:val="22"/>
                      <w:szCs w:val="22"/>
                    </w:rPr>
                    <w:t>1次/季度，监测昼夜</w:t>
                  </w:r>
                </w:p>
              </w:tc>
            </w:tr>
          </w:tbl>
          <w:p w14:paraId="056D5676">
            <w:pPr>
              <w:pStyle w:val="19"/>
              <w:adjustRightInd w:val="0"/>
              <w:snapToGrid w:val="0"/>
              <w:spacing w:line="460" w:lineRule="exact"/>
              <w:ind w:firstLine="522"/>
              <w:rPr>
                <w:rFonts w:ascii="Times New Roman" w:hAnsi="Times New Roman"/>
                <w:b/>
                <w:bCs/>
                <w:color w:val="auto"/>
                <w:sz w:val="26"/>
                <w:szCs w:val="26"/>
              </w:rPr>
            </w:pPr>
            <w:r>
              <w:rPr>
                <w:rFonts w:ascii="Times New Roman" w:hAnsi="Times New Roman"/>
                <w:b/>
                <w:bCs/>
                <w:color w:val="auto"/>
                <w:sz w:val="26"/>
                <w:szCs w:val="26"/>
              </w:rPr>
              <w:t>4</w:t>
            </w:r>
            <w:r>
              <w:rPr>
                <w:rFonts w:hint="eastAsia" w:ascii="Times New Roman" w:hAnsi="Times New Roman"/>
                <w:b/>
                <w:bCs/>
                <w:color w:val="auto"/>
                <w:sz w:val="26"/>
                <w:szCs w:val="26"/>
              </w:rPr>
              <w:t>.2.4</w:t>
            </w:r>
            <w:r>
              <w:rPr>
                <w:rFonts w:hint="eastAsia" w:hAnsi="宋体"/>
                <w:b/>
                <w:bCs/>
                <w:color w:val="auto"/>
                <w:sz w:val="26"/>
                <w:szCs w:val="26"/>
              </w:rPr>
              <w:t>固体废物处置措施</w:t>
            </w:r>
          </w:p>
          <w:p w14:paraId="69119106">
            <w:pPr>
              <w:spacing w:line="460" w:lineRule="exact"/>
              <w:ind w:firstLine="520" w:firstLineChars="200"/>
              <w:rPr>
                <w:color w:val="auto"/>
                <w:sz w:val="26"/>
                <w:szCs w:val="26"/>
              </w:rPr>
            </w:pPr>
            <w:r>
              <w:rPr>
                <w:color w:val="auto"/>
                <w:sz w:val="26"/>
                <w:szCs w:val="26"/>
              </w:rPr>
              <w:t>4.2.4.1固体废物</w:t>
            </w:r>
            <w:r>
              <w:rPr>
                <w:rFonts w:hint="eastAsia"/>
                <w:color w:val="auto"/>
                <w:sz w:val="26"/>
                <w:szCs w:val="26"/>
              </w:rPr>
              <w:t>产生及处置情况</w:t>
            </w:r>
          </w:p>
          <w:p w14:paraId="020F87ED">
            <w:pPr>
              <w:spacing w:line="460" w:lineRule="exact"/>
              <w:ind w:firstLine="510"/>
              <w:rPr>
                <w:color w:val="auto"/>
                <w:sz w:val="26"/>
                <w:szCs w:val="26"/>
              </w:rPr>
            </w:pPr>
            <w:r>
              <w:rPr>
                <w:color w:val="auto"/>
                <w:sz w:val="26"/>
                <w:szCs w:val="26"/>
              </w:rPr>
              <w:t>（1）一般工业固废</w:t>
            </w:r>
          </w:p>
          <w:p w14:paraId="7D53CA63">
            <w:pPr>
              <w:spacing w:line="460" w:lineRule="exact"/>
              <w:ind w:firstLine="510"/>
              <w:rPr>
                <w:color w:val="auto"/>
                <w:sz w:val="26"/>
                <w:szCs w:val="26"/>
              </w:rPr>
            </w:pPr>
            <w:r>
              <w:rPr>
                <w:rFonts w:hint="eastAsia"/>
                <w:color w:val="auto"/>
                <w:sz w:val="26"/>
                <w:szCs w:val="26"/>
              </w:rPr>
              <w:t>废包装、废零部件（S1）：项目生产过程中产生的一般工业固废主要为废包装材料、废零部件等，产生量约为40</w:t>
            </w:r>
            <w:r>
              <w:rPr>
                <w:color w:val="auto"/>
                <w:sz w:val="26"/>
                <w:szCs w:val="26"/>
              </w:rPr>
              <w:t>t/a</w:t>
            </w:r>
            <w:r>
              <w:rPr>
                <w:rFonts w:hint="eastAsia"/>
                <w:color w:val="auto"/>
                <w:sz w:val="26"/>
                <w:szCs w:val="26"/>
              </w:rPr>
              <w:t>，集中收集后送废品回收站回收</w:t>
            </w:r>
            <w:r>
              <w:rPr>
                <w:color w:val="auto"/>
                <w:sz w:val="26"/>
                <w:szCs w:val="26"/>
              </w:rPr>
              <w:t>。</w:t>
            </w:r>
          </w:p>
          <w:p w14:paraId="43206580">
            <w:pPr>
              <w:spacing w:line="460" w:lineRule="exact"/>
              <w:ind w:firstLine="510"/>
              <w:rPr>
                <w:color w:val="auto"/>
                <w:sz w:val="26"/>
                <w:szCs w:val="26"/>
              </w:rPr>
            </w:pPr>
            <w:r>
              <w:rPr>
                <w:rFonts w:hint="eastAsia"/>
                <w:color w:val="auto"/>
                <w:sz w:val="26"/>
                <w:szCs w:val="26"/>
              </w:rPr>
              <w:t>劳保用品（S2)：生产过程中产生废手套、废口罩等劳保用品约3t/a，收集后交具有相应处置资质的单位处置。</w:t>
            </w:r>
          </w:p>
          <w:p w14:paraId="26745422">
            <w:pPr>
              <w:spacing w:line="460" w:lineRule="exact"/>
              <w:ind w:firstLine="510"/>
              <w:rPr>
                <w:color w:val="auto"/>
                <w:sz w:val="26"/>
                <w:szCs w:val="26"/>
              </w:rPr>
            </w:pPr>
            <w:r>
              <w:rPr>
                <w:color w:val="auto"/>
                <w:sz w:val="26"/>
                <w:szCs w:val="26"/>
              </w:rPr>
              <w:t>（2）危险废物</w:t>
            </w:r>
          </w:p>
          <w:p w14:paraId="21AF4F91">
            <w:pPr>
              <w:spacing w:line="460" w:lineRule="exact"/>
              <w:ind w:firstLine="510"/>
              <w:rPr>
                <w:color w:val="auto"/>
                <w:sz w:val="26"/>
                <w:szCs w:val="26"/>
              </w:rPr>
            </w:pPr>
            <w:r>
              <w:rPr>
                <w:rFonts w:hint="eastAsia"/>
                <w:color w:val="auto"/>
                <w:sz w:val="26"/>
                <w:szCs w:val="26"/>
              </w:rPr>
              <w:t>废包装桶/瓶（S3）：主要包</w:t>
            </w:r>
            <w:r>
              <w:rPr>
                <w:rFonts w:hint="eastAsia"/>
                <w:color w:val="auto"/>
                <w:sz w:val="26"/>
                <w:szCs w:val="26"/>
                <w:lang w:val="en-US" w:eastAsia="zh-CN"/>
              </w:rPr>
              <w:t>括</w:t>
            </w:r>
            <w:r>
              <w:rPr>
                <w:rFonts w:hint="eastAsia"/>
                <w:color w:val="auto"/>
                <w:sz w:val="26"/>
                <w:szCs w:val="26"/>
              </w:rPr>
              <w:t>雨水回用系统、生活水处理系统、循环冷却水系统添加药剂等废包装容器</w:t>
            </w:r>
            <w:r>
              <w:rPr>
                <w:rFonts w:hint="eastAsia"/>
                <w:color w:val="auto"/>
                <w:sz w:val="26"/>
                <w:szCs w:val="26"/>
                <w:lang w:eastAsia="zh-CN"/>
              </w:rPr>
              <w:t>。</w:t>
            </w:r>
            <w:r>
              <w:rPr>
                <w:rFonts w:hint="eastAsia"/>
                <w:color w:val="auto"/>
                <w:sz w:val="26"/>
                <w:szCs w:val="26"/>
                <w:lang w:val="en-US" w:eastAsia="zh-CN"/>
              </w:rPr>
              <w:t>以及阀门生产线产生的螺纹胶空罐等</w:t>
            </w:r>
            <w:r>
              <w:rPr>
                <w:rFonts w:hint="eastAsia"/>
                <w:color w:val="auto"/>
                <w:sz w:val="26"/>
                <w:szCs w:val="26"/>
              </w:rPr>
              <w:t>，产生量为</w:t>
            </w:r>
            <w:r>
              <w:rPr>
                <w:rFonts w:hint="eastAsia"/>
                <w:color w:val="auto"/>
                <w:sz w:val="26"/>
                <w:szCs w:val="26"/>
                <w:lang w:val="en-US" w:eastAsia="zh-CN"/>
              </w:rPr>
              <w:t>20</w:t>
            </w:r>
            <w:r>
              <w:rPr>
                <w:rFonts w:hint="eastAsia"/>
                <w:color w:val="auto"/>
                <w:sz w:val="26"/>
                <w:szCs w:val="26"/>
              </w:rPr>
              <w:t>t/a，密闭桶</w:t>
            </w:r>
            <w:r>
              <w:rPr>
                <w:color w:val="auto"/>
                <w:sz w:val="26"/>
                <w:szCs w:val="26"/>
              </w:rPr>
              <w:t>收集</w:t>
            </w:r>
            <w:r>
              <w:rPr>
                <w:rFonts w:hint="eastAsia"/>
                <w:color w:val="auto"/>
                <w:sz w:val="26"/>
                <w:szCs w:val="26"/>
              </w:rPr>
              <w:t>转移至</w:t>
            </w:r>
            <w:r>
              <w:rPr>
                <w:rFonts w:hint="eastAsia"/>
                <w:color w:val="auto"/>
                <w:sz w:val="26"/>
                <w:szCs w:val="26"/>
                <w:lang w:eastAsia="zh-CN"/>
              </w:rPr>
              <w:t>危废贮存库</w:t>
            </w:r>
            <w:r>
              <w:rPr>
                <w:rFonts w:hint="eastAsia"/>
                <w:color w:val="auto"/>
                <w:sz w:val="26"/>
                <w:szCs w:val="26"/>
              </w:rPr>
              <w:t>专用容器中，定期交有资质单位处置。</w:t>
            </w:r>
          </w:p>
          <w:p w14:paraId="436E5B1F">
            <w:pPr>
              <w:spacing w:line="460" w:lineRule="exact"/>
              <w:ind w:firstLine="510"/>
              <w:rPr>
                <w:color w:val="auto"/>
                <w:sz w:val="26"/>
                <w:szCs w:val="26"/>
              </w:rPr>
            </w:pPr>
            <w:r>
              <w:rPr>
                <w:rFonts w:hint="eastAsia"/>
                <w:color w:val="auto"/>
                <w:sz w:val="26"/>
                <w:szCs w:val="26"/>
              </w:rPr>
              <w:t>化学品沾染物（S4）：抹布等化学品沾染物约</w:t>
            </w:r>
            <w:r>
              <w:rPr>
                <w:rFonts w:hint="eastAsia"/>
                <w:color w:val="auto"/>
                <w:sz w:val="26"/>
                <w:szCs w:val="26"/>
                <w:lang w:val="en-US" w:eastAsia="zh-CN"/>
              </w:rPr>
              <w:t>20</w:t>
            </w:r>
            <w:r>
              <w:rPr>
                <w:rFonts w:hint="eastAsia"/>
                <w:color w:val="auto"/>
                <w:sz w:val="26"/>
                <w:szCs w:val="26"/>
              </w:rPr>
              <w:t>t/a，采用密闭桶</w:t>
            </w:r>
            <w:r>
              <w:rPr>
                <w:color w:val="auto"/>
                <w:sz w:val="26"/>
                <w:szCs w:val="26"/>
              </w:rPr>
              <w:t>收集后分类暂存于</w:t>
            </w:r>
            <w:r>
              <w:rPr>
                <w:rFonts w:hint="eastAsia"/>
                <w:color w:val="auto"/>
                <w:sz w:val="26"/>
                <w:szCs w:val="26"/>
                <w:lang w:eastAsia="zh-CN"/>
              </w:rPr>
              <w:t>危废贮存库</w:t>
            </w:r>
            <w:r>
              <w:rPr>
                <w:color w:val="auto"/>
                <w:sz w:val="26"/>
                <w:szCs w:val="26"/>
              </w:rPr>
              <w:t>内，定期交有资质单位处置</w:t>
            </w:r>
            <w:r>
              <w:rPr>
                <w:rFonts w:hint="eastAsia"/>
                <w:color w:val="auto"/>
                <w:sz w:val="26"/>
                <w:szCs w:val="26"/>
              </w:rPr>
              <w:t>。</w:t>
            </w:r>
          </w:p>
          <w:p w14:paraId="53FD84B4">
            <w:pPr>
              <w:spacing w:line="460" w:lineRule="exact"/>
              <w:ind w:firstLine="510"/>
              <w:rPr>
                <w:color w:val="auto"/>
                <w:sz w:val="26"/>
                <w:szCs w:val="26"/>
              </w:rPr>
            </w:pPr>
            <w:r>
              <w:rPr>
                <w:rFonts w:hint="eastAsia"/>
                <w:color w:val="auto"/>
                <w:sz w:val="26"/>
                <w:szCs w:val="26"/>
              </w:rPr>
              <w:t>废油（S5）、废油桶（S6）：</w:t>
            </w:r>
            <w:r>
              <w:rPr>
                <w:color w:val="auto"/>
                <w:sz w:val="26"/>
                <w:szCs w:val="26"/>
              </w:rPr>
              <w:t>项目</w:t>
            </w:r>
            <w:r>
              <w:rPr>
                <w:rFonts w:hint="eastAsia"/>
                <w:color w:val="auto"/>
                <w:sz w:val="26"/>
                <w:szCs w:val="26"/>
              </w:rPr>
              <w:t>在</w:t>
            </w:r>
            <w:r>
              <w:rPr>
                <w:color w:val="auto"/>
                <w:sz w:val="26"/>
                <w:szCs w:val="26"/>
              </w:rPr>
              <w:t>设备维护及检修过程中有废机油及废棉纱手套产生，废</w:t>
            </w:r>
            <w:r>
              <w:rPr>
                <w:rFonts w:hint="eastAsia"/>
                <w:color w:val="auto"/>
                <w:sz w:val="26"/>
                <w:szCs w:val="26"/>
              </w:rPr>
              <w:t>润滑</w:t>
            </w:r>
            <w:r>
              <w:rPr>
                <w:color w:val="auto"/>
                <w:sz w:val="26"/>
                <w:szCs w:val="26"/>
              </w:rPr>
              <w:t>油年产生量为</w:t>
            </w:r>
            <w:r>
              <w:rPr>
                <w:rFonts w:hint="eastAsia"/>
                <w:color w:val="auto"/>
                <w:sz w:val="26"/>
                <w:szCs w:val="26"/>
                <w:lang w:val="en-US" w:eastAsia="zh-CN"/>
              </w:rPr>
              <w:t>50</w:t>
            </w:r>
            <w:r>
              <w:rPr>
                <w:color w:val="auto"/>
                <w:sz w:val="26"/>
                <w:szCs w:val="26"/>
              </w:rPr>
              <w:t>t/a，废</w:t>
            </w:r>
            <w:r>
              <w:rPr>
                <w:rFonts w:hint="eastAsia"/>
                <w:color w:val="auto"/>
                <w:sz w:val="26"/>
                <w:szCs w:val="26"/>
              </w:rPr>
              <w:t>机油瓶盖严瓶盖后</w:t>
            </w:r>
            <w:r>
              <w:rPr>
                <w:color w:val="auto"/>
                <w:sz w:val="26"/>
                <w:szCs w:val="26"/>
              </w:rPr>
              <w:t>转移至</w:t>
            </w:r>
            <w:r>
              <w:rPr>
                <w:rFonts w:hint="eastAsia"/>
                <w:color w:val="auto"/>
                <w:sz w:val="26"/>
                <w:szCs w:val="26"/>
                <w:lang w:eastAsia="zh-CN"/>
              </w:rPr>
              <w:t>危废贮存库</w:t>
            </w:r>
            <w:r>
              <w:rPr>
                <w:color w:val="auto"/>
                <w:sz w:val="26"/>
                <w:szCs w:val="26"/>
              </w:rPr>
              <w:t>专用容器中，定期交有资质单位处置；</w:t>
            </w:r>
            <w:r>
              <w:rPr>
                <w:rFonts w:hint="eastAsia"/>
                <w:color w:val="auto"/>
                <w:sz w:val="26"/>
                <w:szCs w:val="26"/>
              </w:rPr>
              <w:t>废油桶</w:t>
            </w:r>
            <w:r>
              <w:rPr>
                <w:color w:val="auto"/>
                <w:sz w:val="26"/>
                <w:szCs w:val="26"/>
              </w:rPr>
              <w:t>年产生量为</w:t>
            </w:r>
            <w:r>
              <w:rPr>
                <w:rFonts w:hint="eastAsia"/>
                <w:color w:val="auto"/>
                <w:sz w:val="26"/>
                <w:szCs w:val="26"/>
                <w:lang w:val="en-US" w:eastAsia="zh-CN"/>
              </w:rPr>
              <w:t>120</w:t>
            </w:r>
            <w:r>
              <w:rPr>
                <w:color w:val="auto"/>
                <w:sz w:val="26"/>
                <w:szCs w:val="26"/>
              </w:rPr>
              <w:t>t/a，定期交有资质单位处置。</w:t>
            </w:r>
          </w:p>
          <w:p w14:paraId="29A4E316">
            <w:pPr>
              <w:spacing w:line="460" w:lineRule="exact"/>
              <w:ind w:firstLine="510"/>
              <w:rPr>
                <w:color w:val="auto"/>
                <w:sz w:val="26"/>
                <w:szCs w:val="26"/>
              </w:rPr>
            </w:pPr>
            <w:r>
              <w:rPr>
                <w:rFonts w:hint="eastAsia"/>
                <w:color w:val="auto"/>
                <w:sz w:val="26"/>
                <w:szCs w:val="26"/>
              </w:rPr>
              <w:t>废蓄电池（S7）、废灯管（S8）：车间内废蓄电池产生量为3t/a、废灯管的产生量为2t/a。定期交有资质单位处置。</w:t>
            </w:r>
          </w:p>
          <w:p w14:paraId="7380B201">
            <w:pPr>
              <w:spacing w:line="460" w:lineRule="exact"/>
              <w:ind w:firstLine="510"/>
              <w:rPr>
                <w:color w:val="auto"/>
                <w:sz w:val="26"/>
                <w:szCs w:val="26"/>
              </w:rPr>
            </w:pPr>
            <w:r>
              <w:rPr>
                <w:rFonts w:hint="eastAsia"/>
                <w:color w:val="auto"/>
                <w:sz w:val="26"/>
                <w:szCs w:val="26"/>
              </w:rPr>
              <w:t>废防冻液（S9）：机械维护产生的废防冻液约</w:t>
            </w:r>
            <w:r>
              <w:rPr>
                <w:rFonts w:hint="eastAsia"/>
                <w:color w:val="auto"/>
                <w:sz w:val="26"/>
                <w:szCs w:val="26"/>
                <w:lang w:val="en-US" w:eastAsia="zh-CN"/>
              </w:rPr>
              <w:t>5</w:t>
            </w:r>
            <w:r>
              <w:rPr>
                <w:rFonts w:hint="eastAsia"/>
                <w:color w:val="auto"/>
                <w:sz w:val="26"/>
                <w:szCs w:val="26"/>
              </w:rPr>
              <w:t>0t/a，采用密闭桶</w:t>
            </w:r>
            <w:r>
              <w:rPr>
                <w:color w:val="auto"/>
                <w:sz w:val="26"/>
                <w:szCs w:val="26"/>
              </w:rPr>
              <w:t>收集后分类暂存于</w:t>
            </w:r>
            <w:r>
              <w:rPr>
                <w:rFonts w:hint="eastAsia"/>
                <w:color w:val="auto"/>
                <w:sz w:val="26"/>
                <w:szCs w:val="26"/>
                <w:lang w:eastAsia="zh-CN"/>
              </w:rPr>
              <w:t>危废贮存库</w:t>
            </w:r>
            <w:r>
              <w:rPr>
                <w:color w:val="auto"/>
                <w:sz w:val="26"/>
                <w:szCs w:val="26"/>
              </w:rPr>
              <w:t>内，定期交有资质单位处置</w:t>
            </w:r>
            <w:r>
              <w:rPr>
                <w:rFonts w:hint="eastAsia"/>
                <w:color w:val="auto"/>
                <w:sz w:val="26"/>
                <w:szCs w:val="26"/>
              </w:rPr>
              <w:t>。</w:t>
            </w:r>
          </w:p>
          <w:p w14:paraId="49F36B69">
            <w:pPr>
              <w:spacing w:line="460" w:lineRule="exact"/>
              <w:ind w:firstLine="510"/>
              <w:rPr>
                <w:color w:val="auto"/>
                <w:sz w:val="26"/>
                <w:szCs w:val="26"/>
              </w:rPr>
            </w:pPr>
            <w:r>
              <w:rPr>
                <w:rFonts w:hint="eastAsia"/>
                <w:color w:val="auto"/>
                <w:sz w:val="26"/>
                <w:szCs w:val="26"/>
              </w:rPr>
              <w:t>废</w:t>
            </w:r>
            <w:r>
              <w:rPr>
                <w:rFonts w:hint="eastAsia"/>
                <w:color w:val="auto"/>
                <w:sz w:val="26"/>
                <w:szCs w:val="26"/>
                <w:lang w:val="en-US" w:eastAsia="zh-CN"/>
              </w:rPr>
              <w:t>油水混合物</w:t>
            </w:r>
            <w:r>
              <w:rPr>
                <w:rFonts w:hint="eastAsia"/>
                <w:color w:val="auto"/>
                <w:sz w:val="26"/>
                <w:szCs w:val="26"/>
              </w:rPr>
              <w:t>（S10）：</w:t>
            </w:r>
            <w:r>
              <w:rPr>
                <w:rFonts w:hint="eastAsia"/>
                <w:color w:val="auto"/>
                <w:sz w:val="26"/>
                <w:szCs w:val="26"/>
                <w:lang w:val="en-US" w:eastAsia="zh-CN"/>
              </w:rPr>
              <w:t>电驱桥生产测试过程中，涉及水管/油管的测试拆解，产生水油混合物的量为5t/a</w:t>
            </w:r>
            <w:r>
              <w:rPr>
                <w:rFonts w:hint="eastAsia"/>
                <w:color w:val="auto"/>
                <w:sz w:val="26"/>
                <w:szCs w:val="26"/>
              </w:rPr>
              <w:t>、采用密闭桶</w:t>
            </w:r>
            <w:r>
              <w:rPr>
                <w:color w:val="auto"/>
                <w:sz w:val="26"/>
                <w:szCs w:val="26"/>
              </w:rPr>
              <w:t>收集后分类暂存于</w:t>
            </w:r>
            <w:r>
              <w:rPr>
                <w:rFonts w:hint="eastAsia"/>
                <w:color w:val="auto"/>
                <w:sz w:val="26"/>
                <w:szCs w:val="26"/>
                <w:lang w:eastAsia="zh-CN"/>
              </w:rPr>
              <w:t>危废贮存库</w:t>
            </w:r>
            <w:r>
              <w:rPr>
                <w:color w:val="auto"/>
                <w:sz w:val="26"/>
                <w:szCs w:val="26"/>
              </w:rPr>
              <w:t>内，定期交有资质单位处置</w:t>
            </w:r>
            <w:r>
              <w:rPr>
                <w:rFonts w:hint="eastAsia"/>
                <w:color w:val="auto"/>
                <w:sz w:val="26"/>
                <w:szCs w:val="26"/>
              </w:rPr>
              <w:t>。</w:t>
            </w:r>
          </w:p>
          <w:p w14:paraId="2B30837A">
            <w:pPr>
              <w:numPr>
                <w:ilvl w:val="0"/>
                <w:numId w:val="5"/>
              </w:numPr>
              <w:spacing w:line="460" w:lineRule="exact"/>
              <w:ind w:firstLine="520" w:firstLineChars="200"/>
              <w:rPr>
                <w:color w:val="auto"/>
                <w:sz w:val="26"/>
                <w:szCs w:val="26"/>
              </w:rPr>
            </w:pPr>
            <w:r>
              <w:rPr>
                <w:rFonts w:hint="eastAsia"/>
                <w:color w:val="auto"/>
                <w:sz w:val="26"/>
                <w:szCs w:val="26"/>
              </w:rPr>
              <w:t>其他废物</w:t>
            </w:r>
          </w:p>
          <w:p w14:paraId="6F5A555D">
            <w:pPr>
              <w:spacing w:line="460" w:lineRule="exact"/>
              <w:ind w:firstLine="510"/>
              <w:rPr>
                <w:color w:val="auto"/>
                <w:sz w:val="26"/>
                <w:szCs w:val="26"/>
              </w:rPr>
            </w:pPr>
            <w:r>
              <w:rPr>
                <w:rFonts w:hint="eastAsia"/>
                <w:color w:val="auto"/>
                <w:sz w:val="26"/>
                <w:szCs w:val="26"/>
              </w:rPr>
              <w:t>餐厨垃圾（S1</w:t>
            </w:r>
            <w:r>
              <w:rPr>
                <w:rFonts w:hint="eastAsia"/>
                <w:color w:val="auto"/>
                <w:sz w:val="26"/>
                <w:szCs w:val="26"/>
                <w:lang w:val="en-US" w:eastAsia="zh-CN"/>
              </w:rPr>
              <w:t>1</w:t>
            </w:r>
            <w:r>
              <w:rPr>
                <w:rFonts w:hint="eastAsia"/>
                <w:color w:val="auto"/>
                <w:sz w:val="26"/>
                <w:szCs w:val="26"/>
              </w:rPr>
              <w:t>）：项目新增劳动定员</w:t>
            </w:r>
            <w:r>
              <w:rPr>
                <w:rFonts w:hint="eastAsia"/>
                <w:color w:val="auto"/>
                <w:sz w:val="26"/>
                <w:szCs w:val="26"/>
                <w:lang w:val="en-US" w:eastAsia="zh-CN"/>
              </w:rPr>
              <w:t>70</w:t>
            </w:r>
            <w:r>
              <w:rPr>
                <w:rFonts w:hint="eastAsia"/>
                <w:color w:val="auto"/>
                <w:sz w:val="26"/>
                <w:szCs w:val="26"/>
              </w:rPr>
              <w:t>人，按每人每天产生0.25kg考虑，餐厨垃圾产生量为</w:t>
            </w:r>
            <w:r>
              <w:rPr>
                <w:rFonts w:hint="eastAsia"/>
                <w:color w:val="auto"/>
                <w:sz w:val="26"/>
                <w:szCs w:val="26"/>
                <w:lang w:val="en-US" w:eastAsia="zh-CN"/>
              </w:rPr>
              <w:t>5.25</w:t>
            </w:r>
            <w:r>
              <w:rPr>
                <w:rFonts w:hint="eastAsia"/>
                <w:color w:val="auto"/>
                <w:sz w:val="26"/>
                <w:szCs w:val="26"/>
              </w:rPr>
              <w:t>t/a，交由市政环卫部门处理。</w:t>
            </w:r>
          </w:p>
          <w:p w14:paraId="3FD4A7AD">
            <w:pPr>
              <w:spacing w:line="460" w:lineRule="exact"/>
              <w:ind w:firstLine="510"/>
              <w:rPr>
                <w:color w:val="auto"/>
                <w:sz w:val="26"/>
                <w:szCs w:val="26"/>
              </w:rPr>
            </w:pPr>
            <w:r>
              <w:rPr>
                <w:rFonts w:hint="eastAsia"/>
                <w:color w:val="auto"/>
                <w:sz w:val="26"/>
                <w:szCs w:val="26"/>
              </w:rPr>
              <w:t>生活垃圾（S1</w:t>
            </w:r>
            <w:r>
              <w:rPr>
                <w:rFonts w:hint="eastAsia"/>
                <w:color w:val="auto"/>
                <w:sz w:val="26"/>
                <w:szCs w:val="26"/>
                <w:lang w:val="en-US" w:eastAsia="zh-CN"/>
              </w:rPr>
              <w:t>2</w:t>
            </w:r>
            <w:r>
              <w:rPr>
                <w:rFonts w:hint="eastAsia"/>
                <w:color w:val="auto"/>
                <w:sz w:val="26"/>
                <w:szCs w:val="26"/>
              </w:rPr>
              <w:t>）：项目新增劳动定员</w:t>
            </w:r>
            <w:r>
              <w:rPr>
                <w:rFonts w:hint="eastAsia"/>
                <w:color w:val="auto"/>
                <w:sz w:val="26"/>
                <w:szCs w:val="26"/>
                <w:lang w:val="en-US" w:eastAsia="zh-CN"/>
              </w:rPr>
              <w:t>70</w:t>
            </w:r>
            <w:r>
              <w:rPr>
                <w:rFonts w:hint="eastAsia"/>
                <w:color w:val="auto"/>
                <w:sz w:val="26"/>
                <w:szCs w:val="26"/>
              </w:rPr>
              <w:t>人，按每人每天产生0.5kg考虑，生活垃圾产生量为</w:t>
            </w:r>
            <w:r>
              <w:rPr>
                <w:rFonts w:hint="eastAsia"/>
                <w:color w:val="auto"/>
                <w:sz w:val="26"/>
                <w:szCs w:val="26"/>
                <w:lang w:val="en-US" w:eastAsia="zh-CN"/>
              </w:rPr>
              <w:t>10.5</w:t>
            </w:r>
            <w:r>
              <w:rPr>
                <w:rFonts w:hint="eastAsia"/>
                <w:color w:val="auto"/>
                <w:sz w:val="26"/>
                <w:szCs w:val="26"/>
              </w:rPr>
              <w:t>t/a，交由市政环卫部门处理。</w:t>
            </w:r>
          </w:p>
          <w:p w14:paraId="1873428A">
            <w:pPr>
              <w:spacing w:line="460" w:lineRule="exact"/>
              <w:ind w:firstLine="510"/>
              <w:rPr>
                <w:color w:val="auto"/>
                <w:sz w:val="26"/>
                <w:szCs w:val="26"/>
              </w:rPr>
            </w:pPr>
            <w:r>
              <w:rPr>
                <w:rFonts w:hint="eastAsia"/>
                <w:color w:val="auto"/>
                <w:sz w:val="26"/>
                <w:szCs w:val="26"/>
              </w:rPr>
              <w:t>本项目的固体废物产生及处置情况见下表。</w:t>
            </w:r>
          </w:p>
          <w:p w14:paraId="4A025837">
            <w:pPr>
              <w:pStyle w:val="12"/>
              <w:spacing w:before="120"/>
              <w:rPr>
                <w:color w:val="auto"/>
                <w:szCs w:val="26"/>
              </w:rPr>
            </w:pPr>
            <w:r>
              <w:rPr>
                <w:color w:val="auto"/>
                <w:szCs w:val="26"/>
              </w:rPr>
              <w:t>表4.2-1</w:t>
            </w:r>
            <w:r>
              <w:rPr>
                <w:rFonts w:hint="eastAsia"/>
                <w:color w:val="auto"/>
                <w:szCs w:val="26"/>
                <w:lang w:val="en-US" w:eastAsia="zh-CN"/>
              </w:rPr>
              <w:t xml:space="preserve">7  </w:t>
            </w:r>
            <w:r>
              <w:rPr>
                <w:color w:val="auto"/>
                <w:szCs w:val="26"/>
              </w:rPr>
              <w:t>项目固体废物产生情况表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184"/>
              <w:gridCol w:w="951"/>
              <w:gridCol w:w="1730"/>
              <w:gridCol w:w="1023"/>
              <w:gridCol w:w="735"/>
              <w:gridCol w:w="736"/>
              <w:gridCol w:w="1048"/>
            </w:tblGrid>
            <w:tr w14:paraId="00EF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2BB2D254">
                  <w:pPr>
                    <w:widowControl/>
                    <w:jc w:val="center"/>
                    <w:rPr>
                      <w:bCs/>
                      <w:color w:val="auto"/>
                      <w:kern w:val="0"/>
                      <w:sz w:val="22"/>
                      <w:szCs w:val="22"/>
                    </w:rPr>
                  </w:pPr>
                  <w:r>
                    <w:rPr>
                      <w:rFonts w:hint="eastAsia"/>
                      <w:bCs/>
                      <w:color w:val="auto"/>
                      <w:kern w:val="0"/>
                      <w:sz w:val="22"/>
                      <w:szCs w:val="22"/>
                    </w:rPr>
                    <w:t>产生环节</w:t>
                  </w:r>
                </w:p>
              </w:tc>
              <w:tc>
                <w:tcPr>
                  <w:tcW w:w="1184" w:type="dxa"/>
                  <w:tcBorders>
                    <w:top w:val="single" w:color="auto" w:sz="4" w:space="0"/>
                    <w:left w:val="nil"/>
                    <w:bottom w:val="single" w:color="auto" w:sz="4" w:space="0"/>
                    <w:right w:val="single" w:color="auto" w:sz="4" w:space="0"/>
                  </w:tcBorders>
                  <w:vAlign w:val="center"/>
                </w:tcPr>
                <w:p w14:paraId="1DE061C1">
                  <w:pPr>
                    <w:widowControl/>
                    <w:jc w:val="center"/>
                    <w:rPr>
                      <w:bCs/>
                      <w:color w:val="auto"/>
                      <w:kern w:val="0"/>
                      <w:sz w:val="22"/>
                      <w:szCs w:val="22"/>
                    </w:rPr>
                  </w:pPr>
                  <w:r>
                    <w:rPr>
                      <w:rFonts w:hint="eastAsia"/>
                      <w:bCs/>
                      <w:color w:val="auto"/>
                      <w:kern w:val="0"/>
                      <w:sz w:val="22"/>
                      <w:szCs w:val="22"/>
                    </w:rPr>
                    <w:t>固废名称</w:t>
                  </w:r>
                </w:p>
              </w:tc>
              <w:tc>
                <w:tcPr>
                  <w:tcW w:w="951" w:type="dxa"/>
                  <w:tcBorders>
                    <w:top w:val="single" w:color="auto" w:sz="4" w:space="0"/>
                    <w:left w:val="nil"/>
                    <w:bottom w:val="single" w:color="auto" w:sz="4" w:space="0"/>
                    <w:right w:val="single" w:color="auto" w:sz="4" w:space="0"/>
                  </w:tcBorders>
                  <w:vAlign w:val="center"/>
                </w:tcPr>
                <w:p w14:paraId="2876E806">
                  <w:pPr>
                    <w:widowControl/>
                    <w:jc w:val="center"/>
                    <w:rPr>
                      <w:bCs/>
                      <w:color w:val="auto"/>
                      <w:kern w:val="0"/>
                      <w:sz w:val="22"/>
                      <w:szCs w:val="22"/>
                    </w:rPr>
                  </w:pPr>
                  <w:r>
                    <w:rPr>
                      <w:rFonts w:hint="eastAsia"/>
                      <w:bCs/>
                      <w:color w:val="auto"/>
                      <w:kern w:val="0"/>
                      <w:sz w:val="22"/>
                      <w:szCs w:val="22"/>
                    </w:rPr>
                    <w:t>固废属性</w:t>
                  </w:r>
                </w:p>
              </w:tc>
              <w:tc>
                <w:tcPr>
                  <w:tcW w:w="1730" w:type="dxa"/>
                  <w:tcBorders>
                    <w:top w:val="single" w:color="auto" w:sz="4" w:space="0"/>
                    <w:left w:val="nil"/>
                    <w:bottom w:val="single" w:color="auto" w:sz="4" w:space="0"/>
                    <w:right w:val="single" w:color="auto" w:sz="4" w:space="0"/>
                  </w:tcBorders>
                  <w:vAlign w:val="center"/>
                </w:tcPr>
                <w:p w14:paraId="5E853957">
                  <w:pPr>
                    <w:widowControl/>
                    <w:jc w:val="center"/>
                    <w:rPr>
                      <w:bCs/>
                      <w:color w:val="auto"/>
                      <w:kern w:val="0"/>
                      <w:sz w:val="22"/>
                      <w:szCs w:val="22"/>
                    </w:rPr>
                  </w:pPr>
                  <w:r>
                    <w:rPr>
                      <w:rFonts w:hint="eastAsia"/>
                      <w:bCs/>
                      <w:color w:val="auto"/>
                      <w:kern w:val="0"/>
                      <w:sz w:val="22"/>
                      <w:szCs w:val="22"/>
                    </w:rPr>
                    <w:t>废物代码</w:t>
                  </w:r>
                </w:p>
              </w:tc>
              <w:tc>
                <w:tcPr>
                  <w:tcW w:w="1023" w:type="dxa"/>
                  <w:tcBorders>
                    <w:top w:val="single" w:color="auto" w:sz="4" w:space="0"/>
                    <w:left w:val="nil"/>
                    <w:bottom w:val="single" w:color="auto" w:sz="4" w:space="0"/>
                    <w:right w:val="single" w:color="auto" w:sz="4" w:space="0"/>
                  </w:tcBorders>
                  <w:vAlign w:val="center"/>
                </w:tcPr>
                <w:p w14:paraId="1914C376">
                  <w:pPr>
                    <w:widowControl/>
                    <w:jc w:val="center"/>
                    <w:rPr>
                      <w:bCs/>
                      <w:color w:val="auto"/>
                      <w:kern w:val="0"/>
                      <w:sz w:val="22"/>
                      <w:szCs w:val="22"/>
                    </w:rPr>
                  </w:pPr>
                  <w:r>
                    <w:rPr>
                      <w:rFonts w:hint="eastAsia"/>
                      <w:bCs/>
                      <w:color w:val="auto"/>
                      <w:kern w:val="0"/>
                      <w:sz w:val="22"/>
                      <w:szCs w:val="22"/>
                    </w:rPr>
                    <w:t>主要有毒有害物质</w:t>
                  </w:r>
                </w:p>
              </w:tc>
              <w:tc>
                <w:tcPr>
                  <w:tcW w:w="735" w:type="dxa"/>
                  <w:tcBorders>
                    <w:top w:val="single" w:color="auto" w:sz="4" w:space="0"/>
                    <w:left w:val="nil"/>
                    <w:bottom w:val="single" w:color="auto" w:sz="4" w:space="0"/>
                    <w:right w:val="single" w:color="auto" w:sz="4" w:space="0"/>
                  </w:tcBorders>
                  <w:vAlign w:val="center"/>
                </w:tcPr>
                <w:p w14:paraId="5CB026B5">
                  <w:pPr>
                    <w:widowControl/>
                    <w:jc w:val="center"/>
                    <w:rPr>
                      <w:bCs/>
                      <w:color w:val="auto"/>
                      <w:kern w:val="0"/>
                      <w:sz w:val="22"/>
                      <w:szCs w:val="22"/>
                    </w:rPr>
                  </w:pPr>
                  <w:r>
                    <w:rPr>
                      <w:rFonts w:hint="eastAsia"/>
                      <w:bCs/>
                      <w:color w:val="auto"/>
                      <w:kern w:val="0"/>
                      <w:sz w:val="22"/>
                      <w:szCs w:val="22"/>
                    </w:rPr>
                    <w:t>物理性状</w:t>
                  </w:r>
                </w:p>
              </w:tc>
              <w:tc>
                <w:tcPr>
                  <w:tcW w:w="736" w:type="dxa"/>
                  <w:tcBorders>
                    <w:top w:val="single" w:color="auto" w:sz="4" w:space="0"/>
                    <w:left w:val="nil"/>
                    <w:bottom w:val="single" w:color="auto" w:sz="4" w:space="0"/>
                    <w:right w:val="single" w:color="auto" w:sz="4" w:space="0"/>
                  </w:tcBorders>
                  <w:vAlign w:val="center"/>
                </w:tcPr>
                <w:p w14:paraId="57EFD5DB">
                  <w:pPr>
                    <w:widowControl/>
                    <w:jc w:val="center"/>
                    <w:rPr>
                      <w:bCs/>
                      <w:color w:val="auto"/>
                      <w:kern w:val="0"/>
                      <w:sz w:val="22"/>
                      <w:szCs w:val="22"/>
                    </w:rPr>
                  </w:pPr>
                  <w:r>
                    <w:rPr>
                      <w:rFonts w:hint="eastAsia"/>
                      <w:bCs/>
                      <w:color w:val="auto"/>
                      <w:kern w:val="0"/>
                      <w:sz w:val="22"/>
                      <w:szCs w:val="22"/>
                    </w:rPr>
                    <w:t>危险特性</w:t>
                  </w:r>
                </w:p>
              </w:tc>
              <w:tc>
                <w:tcPr>
                  <w:tcW w:w="1048" w:type="dxa"/>
                  <w:tcBorders>
                    <w:top w:val="single" w:color="auto" w:sz="4" w:space="0"/>
                    <w:left w:val="nil"/>
                    <w:bottom w:val="single" w:color="auto" w:sz="4" w:space="0"/>
                    <w:right w:val="single" w:color="auto" w:sz="4" w:space="0"/>
                  </w:tcBorders>
                  <w:vAlign w:val="center"/>
                </w:tcPr>
                <w:p w14:paraId="78780D21">
                  <w:pPr>
                    <w:widowControl/>
                    <w:jc w:val="center"/>
                    <w:rPr>
                      <w:bCs/>
                      <w:color w:val="auto"/>
                      <w:kern w:val="0"/>
                      <w:sz w:val="22"/>
                      <w:szCs w:val="22"/>
                    </w:rPr>
                  </w:pPr>
                  <w:r>
                    <w:rPr>
                      <w:rFonts w:hint="eastAsia"/>
                      <w:bCs/>
                      <w:color w:val="auto"/>
                      <w:kern w:val="0"/>
                      <w:sz w:val="22"/>
                      <w:szCs w:val="22"/>
                    </w:rPr>
                    <w:t>产生量（t/a）</w:t>
                  </w:r>
                </w:p>
              </w:tc>
            </w:tr>
            <w:tr w14:paraId="79C8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6B6E0446">
                  <w:pPr>
                    <w:widowControl/>
                    <w:jc w:val="center"/>
                    <w:rPr>
                      <w:bCs/>
                      <w:color w:val="auto"/>
                      <w:kern w:val="0"/>
                      <w:sz w:val="22"/>
                      <w:szCs w:val="22"/>
                    </w:rPr>
                  </w:pPr>
                  <w:r>
                    <w:rPr>
                      <w:rFonts w:hint="eastAsia"/>
                      <w:bCs/>
                      <w:color w:val="auto"/>
                      <w:kern w:val="0"/>
                      <w:sz w:val="22"/>
                      <w:szCs w:val="22"/>
                    </w:rPr>
                    <w:t>全工艺过程</w:t>
                  </w:r>
                </w:p>
              </w:tc>
              <w:tc>
                <w:tcPr>
                  <w:tcW w:w="1184" w:type="dxa"/>
                  <w:tcBorders>
                    <w:top w:val="single" w:color="auto" w:sz="4" w:space="0"/>
                    <w:left w:val="nil"/>
                    <w:bottom w:val="single" w:color="auto" w:sz="4" w:space="0"/>
                    <w:right w:val="single" w:color="auto" w:sz="4" w:space="0"/>
                  </w:tcBorders>
                  <w:vAlign w:val="center"/>
                </w:tcPr>
                <w:p w14:paraId="50A293CA">
                  <w:pPr>
                    <w:widowControl/>
                    <w:jc w:val="center"/>
                    <w:rPr>
                      <w:bCs/>
                      <w:color w:val="auto"/>
                      <w:kern w:val="0"/>
                      <w:sz w:val="22"/>
                      <w:szCs w:val="22"/>
                    </w:rPr>
                  </w:pPr>
                  <w:r>
                    <w:rPr>
                      <w:rFonts w:hint="eastAsia"/>
                      <w:bCs/>
                      <w:color w:val="auto"/>
                      <w:kern w:val="0"/>
                      <w:sz w:val="22"/>
                      <w:szCs w:val="22"/>
                    </w:rPr>
                    <w:t>废包装材料、废零部件S1</w:t>
                  </w:r>
                </w:p>
              </w:tc>
              <w:tc>
                <w:tcPr>
                  <w:tcW w:w="951" w:type="dxa"/>
                  <w:tcBorders>
                    <w:top w:val="single" w:color="auto" w:sz="4" w:space="0"/>
                    <w:left w:val="nil"/>
                    <w:bottom w:val="single" w:color="auto" w:sz="4" w:space="0"/>
                    <w:right w:val="single" w:color="auto" w:sz="4" w:space="0"/>
                  </w:tcBorders>
                  <w:vAlign w:val="center"/>
                </w:tcPr>
                <w:p w14:paraId="2FE9304B">
                  <w:pPr>
                    <w:widowControl/>
                    <w:jc w:val="center"/>
                    <w:rPr>
                      <w:bCs/>
                      <w:color w:val="auto"/>
                      <w:kern w:val="0"/>
                      <w:sz w:val="22"/>
                      <w:szCs w:val="22"/>
                    </w:rPr>
                  </w:pPr>
                  <w:r>
                    <w:rPr>
                      <w:rFonts w:hint="eastAsia"/>
                      <w:bCs/>
                      <w:color w:val="auto"/>
                      <w:kern w:val="0"/>
                      <w:sz w:val="22"/>
                      <w:szCs w:val="22"/>
                    </w:rPr>
                    <w:t>一般工业固废</w:t>
                  </w:r>
                </w:p>
              </w:tc>
              <w:tc>
                <w:tcPr>
                  <w:tcW w:w="1730" w:type="dxa"/>
                  <w:tcBorders>
                    <w:top w:val="single" w:color="auto" w:sz="4" w:space="0"/>
                    <w:left w:val="nil"/>
                    <w:bottom w:val="single" w:color="auto" w:sz="4" w:space="0"/>
                    <w:right w:val="single" w:color="auto" w:sz="4" w:space="0"/>
                  </w:tcBorders>
                  <w:vAlign w:val="center"/>
                </w:tcPr>
                <w:p w14:paraId="1C2E51FA">
                  <w:pPr>
                    <w:widowControl/>
                    <w:jc w:val="center"/>
                    <w:rPr>
                      <w:bCs/>
                      <w:color w:val="auto"/>
                      <w:kern w:val="0"/>
                      <w:sz w:val="22"/>
                      <w:szCs w:val="22"/>
                    </w:rPr>
                  </w:pPr>
                  <w:r>
                    <w:rPr>
                      <w:rFonts w:hint="eastAsia"/>
                      <w:bCs/>
                      <w:color w:val="auto"/>
                      <w:kern w:val="0"/>
                      <w:sz w:val="22"/>
                      <w:szCs w:val="22"/>
                    </w:rPr>
                    <w:t>900-999-99</w:t>
                  </w:r>
                </w:p>
              </w:tc>
              <w:tc>
                <w:tcPr>
                  <w:tcW w:w="1023" w:type="dxa"/>
                  <w:tcBorders>
                    <w:top w:val="single" w:color="auto" w:sz="4" w:space="0"/>
                    <w:left w:val="nil"/>
                    <w:bottom w:val="single" w:color="auto" w:sz="4" w:space="0"/>
                    <w:right w:val="single" w:color="auto" w:sz="4" w:space="0"/>
                  </w:tcBorders>
                  <w:vAlign w:val="center"/>
                </w:tcPr>
                <w:p w14:paraId="51944BB8">
                  <w:pPr>
                    <w:widowControl/>
                    <w:jc w:val="center"/>
                    <w:rPr>
                      <w:bCs/>
                      <w:color w:val="auto"/>
                      <w:kern w:val="0"/>
                      <w:sz w:val="22"/>
                      <w:szCs w:val="22"/>
                    </w:rPr>
                  </w:pPr>
                  <w:r>
                    <w:rPr>
                      <w:rFonts w:hint="eastAsia"/>
                      <w:bCs/>
                      <w:color w:val="auto"/>
                      <w:kern w:val="0"/>
                      <w:sz w:val="22"/>
                      <w:szCs w:val="22"/>
                    </w:rPr>
                    <w:t>/</w:t>
                  </w:r>
                </w:p>
              </w:tc>
              <w:tc>
                <w:tcPr>
                  <w:tcW w:w="735" w:type="dxa"/>
                  <w:tcBorders>
                    <w:top w:val="single" w:color="auto" w:sz="4" w:space="0"/>
                    <w:left w:val="nil"/>
                    <w:bottom w:val="single" w:color="auto" w:sz="4" w:space="0"/>
                    <w:right w:val="single" w:color="auto" w:sz="4" w:space="0"/>
                  </w:tcBorders>
                  <w:vAlign w:val="center"/>
                </w:tcPr>
                <w:p w14:paraId="2FD00A6C">
                  <w:pPr>
                    <w:widowControl/>
                    <w:jc w:val="center"/>
                    <w:rPr>
                      <w:bCs/>
                      <w:color w:val="auto"/>
                      <w:kern w:val="0"/>
                      <w:sz w:val="22"/>
                      <w:szCs w:val="22"/>
                    </w:rPr>
                  </w:pPr>
                  <w:r>
                    <w:rPr>
                      <w:rFonts w:hint="eastAsia"/>
                      <w:bCs/>
                      <w:color w:val="auto"/>
                      <w:kern w:val="0"/>
                      <w:sz w:val="22"/>
                      <w:szCs w:val="22"/>
                    </w:rPr>
                    <w:t>固体</w:t>
                  </w:r>
                </w:p>
              </w:tc>
              <w:tc>
                <w:tcPr>
                  <w:tcW w:w="736" w:type="dxa"/>
                  <w:tcBorders>
                    <w:top w:val="single" w:color="auto" w:sz="4" w:space="0"/>
                    <w:left w:val="nil"/>
                    <w:bottom w:val="single" w:color="auto" w:sz="4" w:space="0"/>
                    <w:right w:val="single" w:color="auto" w:sz="4" w:space="0"/>
                  </w:tcBorders>
                  <w:vAlign w:val="center"/>
                </w:tcPr>
                <w:p w14:paraId="4DA73F74">
                  <w:pPr>
                    <w:widowControl/>
                    <w:jc w:val="center"/>
                    <w:rPr>
                      <w:bCs/>
                      <w:color w:val="auto"/>
                      <w:kern w:val="0"/>
                      <w:sz w:val="22"/>
                      <w:szCs w:val="22"/>
                    </w:rPr>
                  </w:pPr>
                  <w:r>
                    <w:rPr>
                      <w:rFonts w:hint="eastAsia"/>
                      <w:bCs/>
                      <w:color w:val="auto"/>
                      <w:kern w:val="0"/>
                      <w:sz w:val="22"/>
                      <w:szCs w:val="22"/>
                    </w:rPr>
                    <w:t>/</w:t>
                  </w:r>
                </w:p>
              </w:tc>
              <w:tc>
                <w:tcPr>
                  <w:tcW w:w="1048" w:type="dxa"/>
                  <w:tcBorders>
                    <w:top w:val="single" w:color="auto" w:sz="4" w:space="0"/>
                    <w:left w:val="nil"/>
                    <w:bottom w:val="single" w:color="auto" w:sz="4" w:space="0"/>
                    <w:right w:val="single" w:color="auto" w:sz="4" w:space="0"/>
                  </w:tcBorders>
                  <w:vAlign w:val="center"/>
                </w:tcPr>
                <w:p w14:paraId="020AE40E">
                  <w:pPr>
                    <w:widowControl/>
                    <w:jc w:val="center"/>
                    <w:rPr>
                      <w:bCs/>
                      <w:color w:val="auto"/>
                      <w:kern w:val="0"/>
                      <w:sz w:val="22"/>
                      <w:szCs w:val="22"/>
                    </w:rPr>
                  </w:pPr>
                  <w:r>
                    <w:rPr>
                      <w:rFonts w:hint="eastAsia"/>
                      <w:bCs/>
                      <w:color w:val="auto"/>
                      <w:kern w:val="0"/>
                      <w:sz w:val="22"/>
                      <w:szCs w:val="22"/>
                    </w:rPr>
                    <w:t>40</w:t>
                  </w:r>
                </w:p>
              </w:tc>
            </w:tr>
            <w:tr w14:paraId="0DA9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01670676">
                  <w:pPr>
                    <w:widowControl/>
                    <w:jc w:val="center"/>
                    <w:rPr>
                      <w:bCs/>
                      <w:color w:val="auto"/>
                      <w:kern w:val="0"/>
                      <w:sz w:val="22"/>
                      <w:szCs w:val="22"/>
                    </w:rPr>
                  </w:pPr>
                  <w:r>
                    <w:rPr>
                      <w:rFonts w:hint="eastAsia"/>
                      <w:bCs/>
                      <w:color w:val="auto"/>
                      <w:kern w:val="0"/>
                      <w:sz w:val="22"/>
                      <w:szCs w:val="22"/>
                    </w:rPr>
                    <w:t>全工艺过程</w:t>
                  </w:r>
                </w:p>
              </w:tc>
              <w:tc>
                <w:tcPr>
                  <w:tcW w:w="1184" w:type="dxa"/>
                  <w:tcBorders>
                    <w:top w:val="single" w:color="auto" w:sz="4" w:space="0"/>
                    <w:left w:val="nil"/>
                    <w:bottom w:val="single" w:color="auto" w:sz="4" w:space="0"/>
                    <w:right w:val="single" w:color="auto" w:sz="4" w:space="0"/>
                  </w:tcBorders>
                  <w:vAlign w:val="center"/>
                </w:tcPr>
                <w:p w14:paraId="1B28EA57">
                  <w:pPr>
                    <w:widowControl/>
                    <w:jc w:val="center"/>
                    <w:rPr>
                      <w:bCs/>
                      <w:color w:val="auto"/>
                      <w:kern w:val="0"/>
                      <w:sz w:val="22"/>
                      <w:szCs w:val="22"/>
                    </w:rPr>
                  </w:pPr>
                  <w:r>
                    <w:rPr>
                      <w:rFonts w:hint="eastAsia"/>
                      <w:bCs/>
                      <w:color w:val="auto"/>
                      <w:kern w:val="0"/>
                      <w:sz w:val="22"/>
                      <w:szCs w:val="22"/>
                    </w:rPr>
                    <w:t>劳保用品S2</w:t>
                  </w:r>
                </w:p>
              </w:tc>
              <w:tc>
                <w:tcPr>
                  <w:tcW w:w="951" w:type="dxa"/>
                  <w:tcBorders>
                    <w:top w:val="single" w:color="auto" w:sz="4" w:space="0"/>
                    <w:left w:val="nil"/>
                    <w:bottom w:val="single" w:color="auto" w:sz="4" w:space="0"/>
                    <w:right w:val="single" w:color="auto" w:sz="4" w:space="0"/>
                  </w:tcBorders>
                  <w:vAlign w:val="center"/>
                </w:tcPr>
                <w:p w14:paraId="7BA6011D">
                  <w:pPr>
                    <w:widowControl/>
                    <w:jc w:val="center"/>
                    <w:rPr>
                      <w:bCs/>
                      <w:color w:val="auto"/>
                      <w:kern w:val="0"/>
                      <w:sz w:val="22"/>
                      <w:szCs w:val="22"/>
                    </w:rPr>
                  </w:pPr>
                  <w:r>
                    <w:rPr>
                      <w:rFonts w:hint="eastAsia"/>
                      <w:bCs/>
                      <w:color w:val="auto"/>
                      <w:kern w:val="0"/>
                      <w:sz w:val="22"/>
                      <w:szCs w:val="22"/>
                    </w:rPr>
                    <w:t>一般工业固废</w:t>
                  </w:r>
                </w:p>
              </w:tc>
              <w:tc>
                <w:tcPr>
                  <w:tcW w:w="1730" w:type="dxa"/>
                  <w:tcBorders>
                    <w:top w:val="single" w:color="auto" w:sz="4" w:space="0"/>
                    <w:left w:val="nil"/>
                    <w:bottom w:val="single" w:color="auto" w:sz="4" w:space="0"/>
                    <w:right w:val="single" w:color="auto" w:sz="4" w:space="0"/>
                  </w:tcBorders>
                  <w:vAlign w:val="center"/>
                </w:tcPr>
                <w:p w14:paraId="3AA460B9">
                  <w:pPr>
                    <w:widowControl/>
                    <w:jc w:val="center"/>
                    <w:rPr>
                      <w:bCs/>
                      <w:color w:val="auto"/>
                      <w:kern w:val="0"/>
                      <w:sz w:val="22"/>
                      <w:szCs w:val="22"/>
                    </w:rPr>
                  </w:pPr>
                  <w:r>
                    <w:rPr>
                      <w:rFonts w:hint="eastAsia"/>
                      <w:bCs/>
                      <w:color w:val="auto"/>
                      <w:kern w:val="0"/>
                      <w:sz w:val="22"/>
                      <w:szCs w:val="22"/>
                    </w:rPr>
                    <w:t>900-999-99</w:t>
                  </w:r>
                </w:p>
              </w:tc>
              <w:tc>
                <w:tcPr>
                  <w:tcW w:w="1023" w:type="dxa"/>
                  <w:tcBorders>
                    <w:top w:val="single" w:color="auto" w:sz="4" w:space="0"/>
                    <w:left w:val="nil"/>
                    <w:bottom w:val="single" w:color="auto" w:sz="4" w:space="0"/>
                    <w:right w:val="single" w:color="auto" w:sz="4" w:space="0"/>
                  </w:tcBorders>
                  <w:vAlign w:val="center"/>
                </w:tcPr>
                <w:p w14:paraId="39457994">
                  <w:pPr>
                    <w:widowControl/>
                    <w:jc w:val="center"/>
                    <w:rPr>
                      <w:bCs/>
                      <w:color w:val="auto"/>
                      <w:kern w:val="0"/>
                      <w:sz w:val="22"/>
                      <w:szCs w:val="22"/>
                    </w:rPr>
                  </w:pPr>
                  <w:r>
                    <w:rPr>
                      <w:rFonts w:hint="eastAsia"/>
                      <w:bCs/>
                      <w:color w:val="auto"/>
                      <w:kern w:val="0"/>
                      <w:sz w:val="22"/>
                      <w:szCs w:val="22"/>
                    </w:rPr>
                    <w:t>/</w:t>
                  </w:r>
                </w:p>
              </w:tc>
              <w:tc>
                <w:tcPr>
                  <w:tcW w:w="735" w:type="dxa"/>
                  <w:tcBorders>
                    <w:top w:val="single" w:color="auto" w:sz="4" w:space="0"/>
                    <w:left w:val="nil"/>
                    <w:bottom w:val="single" w:color="auto" w:sz="4" w:space="0"/>
                    <w:right w:val="single" w:color="auto" w:sz="4" w:space="0"/>
                  </w:tcBorders>
                  <w:vAlign w:val="center"/>
                </w:tcPr>
                <w:p w14:paraId="6A2C93A0">
                  <w:pPr>
                    <w:widowControl/>
                    <w:jc w:val="center"/>
                    <w:rPr>
                      <w:bCs/>
                      <w:color w:val="auto"/>
                      <w:kern w:val="0"/>
                      <w:sz w:val="22"/>
                      <w:szCs w:val="22"/>
                    </w:rPr>
                  </w:pPr>
                  <w:r>
                    <w:rPr>
                      <w:rFonts w:hint="eastAsia"/>
                      <w:bCs/>
                      <w:color w:val="auto"/>
                      <w:kern w:val="0"/>
                      <w:sz w:val="22"/>
                      <w:szCs w:val="22"/>
                    </w:rPr>
                    <w:t>固体废物</w:t>
                  </w:r>
                </w:p>
              </w:tc>
              <w:tc>
                <w:tcPr>
                  <w:tcW w:w="736" w:type="dxa"/>
                  <w:tcBorders>
                    <w:top w:val="single" w:color="auto" w:sz="4" w:space="0"/>
                    <w:left w:val="nil"/>
                    <w:bottom w:val="single" w:color="auto" w:sz="4" w:space="0"/>
                    <w:right w:val="single" w:color="auto" w:sz="4" w:space="0"/>
                  </w:tcBorders>
                  <w:vAlign w:val="center"/>
                </w:tcPr>
                <w:p w14:paraId="508FD0F0">
                  <w:pPr>
                    <w:widowControl/>
                    <w:jc w:val="center"/>
                    <w:rPr>
                      <w:bCs/>
                      <w:color w:val="auto"/>
                      <w:kern w:val="0"/>
                      <w:sz w:val="22"/>
                      <w:szCs w:val="22"/>
                    </w:rPr>
                  </w:pPr>
                  <w:r>
                    <w:rPr>
                      <w:rFonts w:hint="eastAsia"/>
                      <w:bCs/>
                      <w:color w:val="auto"/>
                      <w:kern w:val="0"/>
                      <w:sz w:val="22"/>
                      <w:szCs w:val="22"/>
                    </w:rPr>
                    <w:t>/</w:t>
                  </w:r>
                </w:p>
              </w:tc>
              <w:tc>
                <w:tcPr>
                  <w:tcW w:w="1048" w:type="dxa"/>
                  <w:tcBorders>
                    <w:top w:val="single" w:color="auto" w:sz="4" w:space="0"/>
                    <w:left w:val="nil"/>
                    <w:bottom w:val="single" w:color="auto" w:sz="4" w:space="0"/>
                    <w:right w:val="single" w:color="auto" w:sz="4" w:space="0"/>
                  </w:tcBorders>
                  <w:vAlign w:val="center"/>
                </w:tcPr>
                <w:p w14:paraId="4D9AFF9D">
                  <w:pPr>
                    <w:widowControl/>
                    <w:jc w:val="center"/>
                    <w:rPr>
                      <w:bCs/>
                      <w:color w:val="auto"/>
                      <w:kern w:val="0"/>
                      <w:sz w:val="22"/>
                      <w:szCs w:val="22"/>
                    </w:rPr>
                  </w:pPr>
                  <w:r>
                    <w:rPr>
                      <w:rFonts w:hint="eastAsia"/>
                      <w:bCs/>
                      <w:color w:val="auto"/>
                      <w:kern w:val="0"/>
                      <w:sz w:val="22"/>
                      <w:szCs w:val="22"/>
                    </w:rPr>
                    <w:t>3</w:t>
                  </w:r>
                </w:p>
              </w:tc>
            </w:tr>
            <w:tr w14:paraId="4F75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0408F85A">
                  <w:pPr>
                    <w:widowControl/>
                    <w:jc w:val="center"/>
                    <w:rPr>
                      <w:bCs/>
                      <w:color w:val="auto"/>
                      <w:kern w:val="0"/>
                      <w:sz w:val="22"/>
                      <w:szCs w:val="22"/>
                    </w:rPr>
                  </w:pPr>
                  <w:r>
                    <w:rPr>
                      <w:rFonts w:hint="eastAsia"/>
                      <w:bCs/>
                      <w:color w:val="auto"/>
                      <w:kern w:val="0"/>
                      <w:sz w:val="22"/>
                      <w:szCs w:val="22"/>
                    </w:rPr>
                    <w:t>车间</w:t>
                  </w:r>
                </w:p>
              </w:tc>
              <w:tc>
                <w:tcPr>
                  <w:tcW w:w="1184" w:type="dxa"/>
                  <w:tcBorders>
                    <w:top w:val="single" w:color="auto" w:sz="4" w:space="0"/>
                    <w:left w:val="nil"/>
                    <w:bottom w:val="single" w:color="auto" w:sz="4" w:space="0"/>
                    <w:right w:val="single" w:color="auto" w:sz="4" w:space="0"/>
                  </w:tcBorders>
                  <w:vAlign w:val="center"/>
                </w:tcPr>
                <w:p w14:paraId="57C5865A">
                  <w:pPr>
                    <w:widowControl/>
                    <w:jc w:val="center"/>
                    <w:rPr>
                      <w:bCs/>
                      <w:color w:val="auto"/>
                      <w:kern w:val="0"/>
                      <w:sz w:val="22"/>
                      <w:szCs w:val="22"/>
                    </w:rPr>
                  </w:pPr>
                  <w:r>
                    <w:rPr>
                      <w:rFonts w:hint="eastAsia"/>
                      <w:bCs/>
                      <w:color w:val="auto"/>
                      <w:kern w:val="0"/>
                      <w:sz w:val="22"/>
                      <w:szCs w:val="22"/>
                    </w:rPr>
                    <w:t>废包装桶/瓶S3</w:t>
                  </w:r>
                </w:p>
              </w:tc>
              <w:tc>
                <w:tcPr>
                  <w:tcW w:w="951" w:type="dxa"/>
                  <w:tcBorders>
                    <w:top w:val="single" w:color="auto" w:sz="4" w:space="0"/>
                    <w:left w:val="nil"/>
                    <w:bottom w:val="single" w:color="auto" w:sz="4" w:space="0"/>
                    <w:right w:val="single" w:color="auto" w:sz="4" w:space="0"/>
                  </w:tcBorders>
                  <w:vAlign w:val="center"/>
                </w:tcPr>
                <w:p w14:paraId="7A2BE9D3">
                  <w:pPr>
                    <w:widowControl/>
                    <w:jc w:val="center"/>
                    <w:rPr>
                      <w:bCs/>
                      <w:color w:val="auto"/>
                      <w:kern w:val="0"/>
                      <w:sz w:val="22"/>
                      <w:szCs w:val="22"/>
                    </w:rPr>
                  </w:pPr>
                  <w:r>
                    <w:rPr>
                      <w:rFonts w:hint="eastAsia"/>
                      <w:bCs/>
                      <w:color w:val="auto"/>
                      <w:kern w:val="0"/>
                      <w:sz w:val="22"/>
                      <w:szCs w:val="22"/>
                    </w:rPr>
                    <w:t>危险废物</w:t>
                  </w:r>
                </w:p>
              </w:tc>
              <w:tc>
                <w:tcPr>
                  <w:tcW w:w="1730" w:type="dxa"/>
                  <w:tcBorders>
                    <w:top w:val="single" w:color="auto" w:sz="4" w:space="0"/>
                    <w:left w:val="nil"/>
                    <w:bottom w:val="single" w:color="auto" w:sz="4" w:space="0"/>
                    <w:right w:val="single" w:color="auto" w:sz="4" w:space="0"/>
                  </w:tcBorders>
                  <w:vAlign w:val="center"/>
                </w:tcPr>
                <w:p w14:paraId="55034516">
                  <w:pPr>
                    <w:widowControl/>
                    <w:jc w:val="center"/>
                    <w:rPr>
                      <w:bCs/>
                      <w:color w:val="auto"/>
                      <w:kern w:val="0"/>
                      <w:sz w:val="22"/>
                      <w:szCs w:val="22"/>
                    </w:rPr>
                  </w:pPr>
                  <w:r>
                    <w:rPr>
                      <w:rFonts w:hint="eastAsia"/>
                      <w:bCs/>
                      <w:color w:val="auto"/>
                      <w:kern w:val="0"/>
                      <w:sz w:val="22"/>
                      <w:szCs w:val="22"/>
                    </w:rPr>
                    <w:t>HW49（900-041-49）</w:t>
                  </w:r>
                </w:p>
              </w:tc>
              <w:tc>
                <w:tcPr>
                  <w:tcW w:w="1023" w:type="dxa"/>
                  <w:tcBorders>
                    <w:top w:val="single" w:color="auto" w:sz="4" w:space="0"/>
                    <w:left w:val="nil"/>
                    <w:bottom w:val="single" w:color="auto" w:sz="4" w:space="0"/>
                    <w:right w:val="single" w:color="auto" w:sz="4" w:space="0"/>
                  </w:tcBorders>
                  <w:vAlign w:val="center"/>
                </w:tcPr>
                <w:p w14:paraId="4A08B2E6">
                  <w:pPr>
                    <w:widowControl/>
                    <w:jc w:val="center"/>
                    <w:rPr>
                      <w:rFonts w:hint="default" w:eastAsia="宋体"/>
                      <w:bCs/>
                      <w:color w:val="auto"/>
                      <w:kern w:val="0"/>
                      <w:sz w:val="22"/>
                      <w:szCs w:val="22"/>
                      <w:lang w:val="en-US" w:eastAsia="zh-CN"/>
                    </w:rPr>
                  </w:pPr>
                  <w:r>
                    <w:rPr>
                      <w:rFonts w:hint="eastAsia"/>
                      <w:bCs/>
                      <w:color w:val="auto"/>
                      <w:kern w:val="0"/>
                      <w:sz w:val="22"/>
                      <w:szCs w:val="22"/>
                      <w:lang w:val="en-US" w:eastAsia="zh-CN"/>
                    </w:rPr>
                    <w:t>有机溶剂</w:t>
                  </w:r>
                </w:p>
              </w:tc>
              <w:tc>
                <w:tcPr>
                  <w:tcW w:w="735" w:type="dxa"/>
                  <w:tcBorders>
                    <w:top w:val="single" w:color="auto" w:sz="4" w:space="0"/>
                    <w:left w:val="nil"/>
                    <w:bottom w:val="single" w:color="auto" w:sz="4" w:space="0"/>
                    <w:right w:val="single" w:color="auto" w:sz="4" w:space="0"/>
                  </w:tcBorders>
                  <w:vAlign w:val="center"/>
                </w:tcPr>
                <w:p w14:paraId="708808D9">
                  <w:pPr>
                    <w:widowControl/>
                    <w:jc w:val="center"/>
                    <w:rPr>
                      <w:bCs/>
                      <w:color w:val="auto"/>
                      <w:kern w:val="0"/>
                      <w:sz w:val="22"/>
                      <w:szCs w:val="22"/>
                    </w:rPr>
                  </w:pPr>
                  <w:r>
                    <w:rPr>
                      <w:rFonts w:hint="eastAsia"/>
                      <w:bCs/>
                      <w:color w:val="auto"/>
                      <w:kern w:val="0"/>
                      <w:sz w:val="22"/>
                      <w:szCs w:val="22"/>
                    </w:rPr>
                    <w:t>固体</w:t>
                  </w:r>
                </w:p>
              </w:tc>
              <w:tc>
                <w:tcPr>
                  <w:tcW w:w="736" w:type="dxa"/>
                  <w:tcBorders>
                    <w:top w:val="single" w:color="auto" w:sz="4" w:space="0"/>
                    <w:left w:val="nil"/>
                    <w:bottom w:val="single" w:color="auto" w:sz="4" w:space="0"/>
                    <w:right w:val="single" w:color="auto" w:sz="4" w:space="0"/>
                  </w:tcBorders>
                  <w:vAlign w:val="center"/>
                </w:tcPr>
                <w:p w14:paraId="77E5D02B">
                  <w:pPr>
                    <w:widowControl/>
                    <w:jc w:val="center"/>
                    <w:rPr>
                      <w:bCs/>
                      <w:color w:val="auto"/>
                      <w:kern w:val="0"/>
                      <w:sz w:val="22"/>
                      <w:szCs w:val="22"/>
                    </w:rPr>
                  </w:pPr>
                  <w:r>
                    <w:rPr>
                      <w:rFonts w:hint="eastAsia"/>
                      <w:bCs/>
                      <w:color w:val="auto"/>
                      <w:kern w:val="0"/>
                      <w:sz w:val="22"/>
                      <w:szCs w:val="22"/>
                    </w:rPr>
                    <w:t>T，I</w:t>
                  </w:r>
                </w:p>
              </w:tc>
              <w:tc>
                <w:tcPr>
                  <w:tcW w:w="1048" w:type="dxa"/>
                  <w:tcBorders>
                    <w:top w:val="single" w:color="auto" w:sz="4" w:space="0"/>
                    <w:left w:val="nil"/>
                    <w:bottom w:val="single" w:color="auto" w:sz="4" w:space="0"/>
                    <w:right w:val="single" w:color="auto" w:sz="4" w:space="0"/>
                  </w:tcBorders>
                  <w:vAlign w:val="center"/>
                </w:tcPr>
                <w:p w14:paraId="23D62B92">
                  <w:pPr>
                    <w:widowControl/>
                    <w:jc w:val="center"/>
                    <w:rPr>
                      <w:rFonts w:hint="default" w:eastAsia="宋体"/>
                      <w:bCs/>
                      <w:color w:val="auto"/>
                      <w:kern w:val="0"/>
                      <w:sz w:val="22"/>
                      <w:szCs w:val="22"/>
                      <w:u w:val="none"/>
                      <w:lang w:val="en-US" w:eastAsia="zh-CN"/>
                    </w:rPr>
                  </w:pPr>
                  <w:r>
                    <w:rPr>
                      <w:rFonts w:hint="eastAsia"/>
                      <w:bCs/>
                      <w:color w:val="auto"/>
                      <w:kern w:val="0"/>
                      <w:sz w:val="22"/>
                      <w:szCs w:val="22"/>
                      <w:u w:val="none"/>
                      <w:lang w:val="en-US" w:eastAsia="zh-CN"/>
                    </w:rPr>
                    <w:t>20</w:t>
                  </w:r>
                </w:p>
              </w:tc>
            </w:tr>
            <w:tr w14:paraId="0EE8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756E11DF">
                  <w:pPr>
                    <w:widowControl/>
                    <w:jc w:val="center"/>
                    <w:rPr>
                      <w:bCs/>
                      <w:color w:val="auto"/>
                      <w:kern w:val="0"/>
                      <w:sz w:val="22"/>
                      <w:szCs w:val="22"/>
                    </w:rPr>
                  </w:pPr>
                  <w:r>
                    <w:rPr>
                      <w:rFonts w:hint="eastAsia"/>
                      <w:bCs/>
                      <w:color w:val="auto"/>
                      <w:kern w:val="0"/>
                      <w:sz w:val="22"/>
                      <w:szCs w:val="22"/>
                    </w:rPr>
                    <w:t>擦拭、设备维护</w:t>
                  </w:r>
                </w:p>
              </w:tc>
              <w:tc>
                <w:tcPr>
                  <w:tcW w:w="1184" w:type="dxa"/>
                  <w:tcBorders>
                    <w:top w:val="single" w:color="auto" w:sz="4" w:space="0"/>
                    <w:left w:val="nil"/>
                    <w:bottom w:val="single" w:color="auto" w:sz="4" w:space="0"/>
                    <w:right w:val="single" w:color="auto" w:sz="4" w:space="0"/>
                  </w:tcBorders>
                  <w:vAlign w:val="center"/>
                </w:tcPr>
                <w:p w14:paraId="58396661">
                  <w:pPr>
                    <w:widowControl/>
                    <w:jc w:val="center"/>
                    <w:rPr>
                      <w:bCs/>
                      <w:color w:val="auto"/>
                      <w:kern w:val="0"/>
                      <w:sz w:val="22"/>
                      <w:szCs w:val="22"/>
                    </w:rPr>
                  </w:pPr>
                  <w:r>
                    <w:rPr>
                      <w:rFonts w:hint="eastAsia"/>
                      <w:bCs/>
                      <w:color w:val="auto"/>
                      <w:kern w:val="0"/>
                      <w:sz w:val="22"/>
                      <w:szCs w:val="22"/>
                    </w:rPr>
                    <w:t>化学品沾染物S4</w:t>
                  </w:r>
                </w:p>
              </w:tc>
              <w:tc>
                <w:tcPr>
                  <w:tcW w:w="951" w:type="dxa"/>
                  <w:tcBorders>
                    <w:top w:val="single" w:color="auto" w:sz="4" w:space="0"/>
                    <w:left w:val="nil"/>
                    <w:bottom w:val="single" w:color="auto" w:sz="4" w:space="0"/>
                    <w:right w:val="single" w:color="auto" w:sz="4" w:space="0"/>
                  </w:tcBorders>
                  <w:vAlign w:val="center"/>
                </w:tcPr>
                <w:p w14:paraId="1F0499D3">
                  <w:pPr>
                    <w:widowControl/>
                    <w:jc w:val="center"/>
                    <w:rPr>
                      <w:bCs/>
                      <w:color w:val="auto"/>
                      <w:kern w:val="0"/>
                      <w:sz w:val="22"/>
                      <w:szCs w:val="22"/>
                    </w:rPr>
                  </w:pPr>
                  <w:r>
                    <w:rPr>
                      <w:rFonts w:hint="eastAsia"/>
                      <w:bCs/>
                      <w:color w:val="auto"/>
                      <w:kern w:val="0"/>
                      <w:sz w:val="22"/>
                      <w:szCs w:val="22"/>
                    </w:rPr>
                    <w:t>危险废物</w:t>
                  </w:r>
                </w:p>
              </w:tc>
              <w:tc>
                <w:tcPr>
                  <w:tcW w:w="1730" w:type="dxa"/>
                  <w:tcBorders>
                    <w:top w:val="single" w:color="auto" w:sz="4" w:space="0"/>
                    <w:left w:val="nil"/>
                    <w:bottom w:val="single" w:color="auto" w:sz="4" w:space="0"/>
                    <w:right w:val="single" w:color="auto" w:sz="4" w:space="0"/>
                  </w:tcBorders>
                  <w:vAlign w:val="center"/>
                </w:tcPr>
                <w:p w14:paraId="057A9D32">
                  <w:pPr>
                    <w:widowControl/>
                    <w:jc w:val="center"/>
                    <w:rPr>
                      <w:bCs/>
                      <w:color w:val="auto"/>
                      <w:kern w:val="0"/>
                      <w:sz w:val="22"/>
                      <w:szCs w:val="22"/>
                    </w:rPr>
                  </w:pPr>
                  <w:r>
                    <w:rPr>
                      <w:rFonts w:hint="eastAsia"/>
                      <w:bCs/>
                      <w:color w:val="auto"/>
                      <w:kern w:val="0"/>
                      <w:sz w:val="22"/>
                      <w:szCs w:val="22"/>
                    </w:rPr>
                    <w:t>HW49（900-041-49）</w:t>
                  </w:r>
                </w:p>
              </w:tc>
              <w:tc>
                <w:tcPr>
                  <w:tcW w:w="1023" w:type="dxa"/>
                  <w:tcBorders>
                    <w:top w:val="single" w:color="auto" w:sz="4" w:space="0"/>
                    <w:left w:val="nil"/>
                    <w:bottom w:val="single" w:color="auto" w:sz="4" w:space="0"/>
                    <w:right w:val="single" w:color="auto" w:sz="4" w:space="0"/>
                  </w:tcBorders>
                  <w:vAlign w:val="center"/>
                </w:tcPr>
                <w:p w14:paraId="59BE1725">
                  <w:pPr>
                    <w:widowControl/>
                    <w:jc w:val="center"/>
                    <w:rPr>
                      <w:rFonts w:hint="default" w:eastAsia="宋体"/>
                      <w:bCs/>
                      <w:color w:val="auto"/>
                      <w:kern w:val="0"/>
                      <w:sz w:val="22"/>
                      <w:szCs w:val="22"/>
                      <w:lang w:val="en-US" w:eastAsia="zh-CN"/>
                    </w:rPr>
                  </w:pPr>
                  <w:r>
                    <w:rPr>
                      <w:rFonts w:hint="eastAsia"/>
                      <w:bCs/>
                      <w:color w:val="auto"/>
                      <w:kern w:val="0"/>
                      <w:sz w:val="22"/>
                      <w:szCs w:val="22"/>
                      <w:lang w:val="en-US" w:eastAsia="zh-CN"/>
                    </w:rPr>
                    <w:t>乙醇等</w:t>
                  </w:r>
                </w:p>
              </w:tc>
              <w:tc>
                <w:tcPr>
                  <w:tcW w:w="735" w:type="dxa"/>
                  <w:tcBorders>
                    <w:top w:val="single" w:color="auto" w:sz="4" w:space="0"/>
                    <w:left w:val="nil"/>
                    <w:bottom w:val="single" w:color="auto" w:sz="4" w:space="0"/>
                    <w:right w:val="single" w:color="auto" w:sz="4" w:space="0"/>
                  </w:tcBorders>
                  <w:vAlign w:val="center"/>
                </w:tcPr>
                <w:p w14:paraId="3C9521AF">
                  <w:pPr>
                    <w:widowControl/>
                    <w:jc w:val="center"/>
                    <w:rPr>
                      <w:bCs/>
                      <w:color w:val="auto"/>
                      <w:kern w:val="0"/>
                      <w:sz w:val="22"/>
                      <w:szCs w:val="22"/>
                    </w:rPr>
                  </w:pPr>
                  <w:r>
                    <w:rPr>
                      <w:rFonts w:hint="eastAsia"/>
                      <w:bCs/>
                      <w:color w:val="auto"/>
                      <w:kern w:val="0"/>
                      <w:sz w:val="22"/>
                      <w:szCs w:val="22"/>
                    </w:rPr>
                    <w:t>固体</w:t>
                  </w:r>
                </w:p>
              </w:tc>
              <w:tc>
                <w:tcPr>
                  <w:tcW w:w="736" w:type="dxa"/>
                  <w:tcBorders>
                    <w:top w:val="single" w:color="auto" w:sz="4" w:space="0"/>
                    <w:left w:val="nil"/>
                    <w:bottom w:val="single" w:color="auto" w:sz="4" w:space="0"/>
                    <w:right w:val="single" w:color="auto" w:sz="4" w:space="0"/>
                  </w:tcBorders>
                  <w:vAlign w:val="center"/>
                </w:tcPr>
                <w:p w14:paraId="1BE6E7FA">
                  <w:pPr>
                    <w:widowControl/>
                    <w:jc w:val="center"/>
                    <w:rPr>
                      <w:bCs/>
                      <w:color w:val="auto"/>
                      <w:kern w:val="0"/>
                      <w:sz w:val="22"/>
                      <w:szCs w:val="22"/>
                    </w:rPr>
                  </w:pPr>
                  <w:r>
                    <w:rPr>
                      <w:rFonts w:hint="eastAsia"/>
                      <w:bCs/>
                      <w:color w:val="auto"/>
                      <w:kern w:val="0"/>
                      <w:sz w:val="22"/>
                      <w:szCs w:val="22"/>
                    </w:rPr>
                    <w:t>T，I</w:t>
                  </w:r>
                </w:p>
              </w:tc>
              <w:tc>
                <w:tcPr>
                  <w:tcW w:w="1048" w:type="dxa"/>
                  <w:tcBorders>
                    <w:top w:val="single" w:color="auto" w:sz="4" w:space="0"/>
                    <w:left w:val="nil"/>
                    <w:bottom w:val="single" w:color="auto" w:sz="4" w:space="0"/>
                    <w:right w:val="single" w:color="auto" w:sz="4" w:space="0"/>
                  </w:tcBorders>
                  <w:vAlign w:val="center"/>
                </w:tcPr>
                <w:p w14:paraId="6925BFAC">
                  <w:pPr>
                    <w:widowControl/>
                    <w:jc w:val="center"/>
                    <w:rPr>
                      <w:rFonts w:hint="default" w:eastAsia="宋体"/>
                      <w:bCs/>
                      <w:color w:val="auto"/>
                      <w:kern w:val="0"/>
                      <w:sz w:val="22"/>
                      <w:szCs w:val="22"/>
                      <w:u w:val="none"/>
                      <w:lang w:val="en-US" w:eastAsia="zh-CN"/>
                    </w:rPr>
                  </w:pPr>
                  <w:r>
                    <w:rPr>
                      <w:rFonts w:hint="eastAsia"/>
                      <w:bCs/>
                      <w:color w:val="auto"/>
                      <w:kern w:val="0"/>
                      <w:sz w:val="22"/>
                      <w:szCs w:val="22"/>
                      <w:u w:val="none"/>
                      <w:lang w:val="en-US" w:eastAsia="zh-CN"/>
                    </w:rPr>
                    <w:t>20</w:t>
                  </w:r>
                </w:p>
              </w:tc>
            </w:tr>
            <w:tr w14:paraId="30E8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305D414A">
                  <w:pPr>
                    <w:widowControl/>
                    <w:jc w:val="center"/>
                    <w:rPr>
                      <w:bCs/>
                      <w:color w:val="auto"/>
                      <w:kern w:val="0"/>
                      <w:sz w:val="22"/>
                      <w:szCs w:val="22"/>
                    </w:rPr>
                  </w:pPr>
                  <w:r>
                    <w:rPr>
                      <w:rFonts w:hint="eastAsia"/>
                      <w:bCs/>
                      <w:color w:val="auto"/>
                      <w:kern w:val="0"/>
                      <w:sz w:val="22"/>
                      <w:szCs w:val="22"/>
                    </w:rPr>
                    <w:t>设备维护</w:t>
                  </w:r>
                </w:p>
              </w:tc>
              <w:tc>
                <w:tcPr>
                  <w:tcW w:w="1184" w:type="dxa"/>
                  <w:tcBorders>
                    <w:top w:val="single" w:color="auto" w:sz="4" w:space="0"/>
                    <w:left w:val="nil"/>
                    <w:bottom w:val="single" w:color="auto" w:sz="4" w:space="0"/>
                    <w:right w:val="single" w:color="auto" w:sz="4" w:space="0"/>
                  </w:tcBorders>
                  <w:vAlign w:val="center"/>
                </w:tcPr>
                <w:p w14:paraId="5F7D7873">
                  <w:pPr>
                    <w:widowControl/>
                    <w:jc w:val="center"/>
                    <w:rPr>
                      <w:bCs/>
                      <w:color w:val="auto"/>
                      <w:kern w:val="0"/>
                      <w:sz w:val="22"/>
                      <w:szCs w:val="22"/>
                    </w:rPr>
                  </w:pPr>
                  <w:r>
                    <w:rPr>
                      <w:rFonts w:hint="eastAsia"/>
                      <w:bCs/>
                      <w:color w:val="auto"/>
                      <w:kern w:val="0"/>
                      <w:sz w:val="22"/>
                      <w:szCs w:val="22"/>
                    </w:rPr>
                    <w:t>废机油S5</w:t>
                  </w:r>
                </w:p>
              </w:tc>
              <w:tc>
                <w:tcPr>
                  <w:tcW w:w="951" w:type="dxa"/>
                  <w:tcBorders>
                    <w:top w:val="single" w:color="auto" w:sz="4" w:space="0"/>
                    <w:left w:val="nil"/>
                    <w:bottom w:val="single" w:color="auto" w:sz="4" w:space="0"/>
                    <w:right w:val="single" w:color="auto" w:sz="4" w:space="0"/>
                  </w:tcBorders>
                  <w:vAlign w:val="center"/>
                </w:tcPr>
                <w:p w14:paraId="279460A3">
                  <w:pPr>
                    <w:widowControl/>
                    <w:jc w:val="center"/>
                    <w:rPr>
                      <w:bCs/>
                      <w:color w:val="auto"/>
                      <w:kern w:val="0"/>
                      <w:sz w:val="22"/>
                      <w:szCs w:val="22"/>
                    </w:rPr>
                  </w:pPr>
                  <w:r>
                    <w:rPr>
                      <w:rFonts w:hint="eastAsia"/>
                      <w:bCs/>
                      <w:color w:val="auto"/>
                      <w:kern w:val="0"/>
                      <w:sz w:val="22"/>
                      <w:szCs w:val="22"/>
                    </w:rPr>
                    <w:t>危险废物</w:t>
                  </w:r>
                </w:p>
              </w:tc>
              <w:tc>
                <w:tcPr>
                  <w:tcW w:w="1730" w:type="dxa"/>
                  <w:tcBorders>
                    <w:top w:val="single" w:color="auto" w:sz="4" w:space="0"/>
                    <w:left w:val="nil"/>
                    <w:bottom w:val="single" w:color="auto" w:sz="4" w:space="0"/>
                    <w:right w:val="single" w:color="auto" w:sz="4" w:space="0"/>
                  </w:tcBorders>
                  <w:vAlign w:val="center"/>
                </w:tcPr>
                <w:p w14:paraId="09703DC1">
                  <w:pPr>
                    <w:widowControl/>
                    <w:jc w:val="center"/>
                    <w:rPr>
                      <w:bCs/>
                      <w:color w:val="auto"/>
                      <w:kern w:val="0"/>
                      <w:sz w:val="22"/>
                      <w:szCs w:val="22"/>
                    </w:rPr>
                  </w:pPr>
                  <w:r>
                    <w:rPr>
                      <w:rFonts w:hint="eastAsia" w:eastAsiaTheme="minorEastAsia"/>
                      <w:color w:val="auto"/>
                      <w:kern w:val="0"/>
                      <w:sz w:val="22"/>
                      <w:szCs w:val="22"/>
                      <w:lang w:bidi="ar"/>
                    </w:rPr>
                    <w:t>HW08（900-214-08）</w:t>
                  </w:r>
                </w:p>
              </w:tc>
              <w:tc>
                <w:tcPr>
                  <w:tcW w:w="1023" w:type="dxa"/>
                  <w:tcBorders>
                    <w:top w:val="single" w:color="auto" w:sz="4" w:space="0"/>
                    <w:left w:val="nil"/>
                    <w:bottom w:val="single" w:color="auto" w:sz="4" w:space="0"/>
                    <w:right w:val="single" w:color="auto" w:sz="4" w:space="0"/>
                  </w:tcBorders>
                  <w:vAlign w:val="center"/>
                </w:tcPr>
                <w:p w14:paraId="2044EB33">
                  <w:pPr>
                    <w:widowControl/>
                    <w:jc w:val="center"/>
                    <w:rPr>
                      <w:bCs/>
                      <w:color w:val="auto"/>
                      <w:kern w:val="0"/>
                      <w:sz w:val="22"/>
                      <w:szCs w:val="22"/>
                    </w:rPr>
                  </w:pPr>
                  <w:r>
                    <w:rPr>
                      <w:rFonts w:hint="eastAsia"/>
                      <w:bCs/>
                      <w:color w:val="auto"/>
                      <w:kern w:val="0"/>
                      <w:sz w:val="22"/>
                      <w:szCs w:val="22"/>
                    </w:rPr>
                    <w:t>矿物油</w:t>
                  </w:r>
                </w:p>
              </w:tc>
              <w:tc>
                <w:tcPr>
                  <w:tcW w:w="735" w:type="dxa"/>
                  <w:tcBorders>
                    <w:top w:val="single" w:color="auto" w:sz="4" w:space="0"/>
                    <w:left w:val="nil"/>
                    <w:bottom w:val="single" w:color="auto" w:sz="4" w:space="0"/>
                    <w:right w:val="single" w:color="auto" w:sz="4" w:space="0"/>
                  </w:tcBorders>
                  <w:vAlign w:val="center"/>
                </w:tcPr>
                <w:p w14:paraId="0702EB39">
                  <w:pPr>
                    <w:widowControl/>
                    <w:jc w:val="center"/>
                    <w:rPr>
                      <w:bCs/>
                      <w:color w:val="auto"/>
                      <w:kern w:val="0"/>
                      <w:sz w:val="22"/>
                      <w:szCs w:val="22"/>
                    </w:rPr>
                  </w:pPr>
                  <w:r>
                    <w:rPr>
                      <w:rFonts w:hint="eastAsia"/>
                      <w:bCs/>
                      <w:color w:val="auto"/>
                      <w:kern w:val="0"/>
                      <w:sz w:val="22"/>
                      <w:szCs w:val="22"/>
                    </w:rPr>
                    <w:t>液体</w:t>
                  </w:r>
                </w:p>
              </w:tc>
              <w:tc>
                <w:tcPr>
                  <w:tcW w:w="736" w:type="dxa"/>
                  <w:tcBorders>
                    <w:top w:val="single" w:color="auto" w:sz="4" w:space="0"/>
                    <w:left w:val="nil"/>
                    <w:bottom w:val="single" w:color="auto" w:sz="4" w:space="0"/>
                    <w:right w:val="single" w:color="auto" w:sz="4" w:space="0"/>
                  </w:tcBorders>
                  <w:vAlign w:val="center"/>
                </w:tcPr>
                <w:p w14:paraId="3619F107">
                  <w:pPr>
                    <w:widowControl/>
                    <w:jc w:val="center"/>
                    <w:rPr>
                      <w:bCs/>
                      <w:color w:val="auto"/>
                      <w:kern w:val="0"/>
                      <w:sz w:val="22"/>
                      <w:szCs w:val="22"/>
                    </w:rPr>
                  </w:pPr>
                  <w:r>
                    <w:rPr>
                      <w:rFonts w:hint="eastAsia"/>
                      <w:bCs/>
                      <w:color w:val="auto"/>
                      <w:kern w:val="0"/>
                      <w:sz w:val="22"/>
                      <w:szCs w:val="22"/>
                    </w:rPr>
                    <w:t>T，I</w:t>
                  </w:r>
                </w:p>
              </w:tc>
              <w:tc>
                <w:tcPr>
                  <w:tcW w:w="1048" w:type="dxa"/>
                  <w:tcBorders>
                    <w:top w:val="single" w:color="auto" w:sz="4" w:space="0"/>
                    <w:left w:val="nil"/>
                    <w:bottom w:val="single" w:color="auto" w:sz="4" w:space="0"/>
                    <w:right w:val="single" w:color="auto" w:sz="4" w:space="0"/>
                  </w:tcBorders>
                  <w:vAlign w:val="center"/>
                </w:tcPr>
                <w:p w14:paraId="3C8BD0D6">
                  <w:pPr>
                    <w:widowControl/>
                    <w:jc w:val="center"/>
                    <w:rPr>
                      <w:rFonts w:hint="default" w:eastAsia="宋体"/>
                      <w:bCs/>
                      <w:color w:val="auto"/>
                      <w:kern w:val="0"/>
                      <w:sz w:val="22"/>
                      <w:szCs w:val="22"/>
                      <w:u w:val="none"/>
                      <w:lang w:val="en-US" w:eastAsia="zh-CN"/>
                    </w:rPr>
                  </w:pPr>
                  <w:r>
                    <w:rPr>
                      <w:rFonts w:hint="eastAsia"/>
                      <w:bCs/>
                      <w:color w:val="auto"/>
                      <w:kern w:val="0"/>
                      <w:sz w:val="22"/>
                      <w:szCs w:val="22"/>
                      <w:u w:val="none"/>
                      <w:lang w:val="en-US" w:eastAsia="zh-CN"/>
                    </w:rPr>
                    <w:t>50</w:t>
                  </w:r>
                </w:p>
              </w:tc>
            </w:tr>
            <w:tr w14:paraId="37D8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3EAF0F4B">
                  <w:pPr>
                    <w:widowControl/>
                    <w:jc w:val="center"/>
                    <w:rPr>
                      <w:bCs/>
                      <w:color w:val="auto"/>
                      <w:kern w:val="0"/>
                      <w:sz w:val="22"/>
                      <w:szCs w:val="22"/>
                    </w:rPr>
                  </w:pPr>
                  <w:r>
                    <w:rPr>
                      <w:rFonts w:hint="eastAsia"/>
                      <w:bCs/>
                      <w:color w:val="auto"/>
                      <w:kern w:val="0"/>
                      <w:sz w:val="22"/>
                      <w:szCs w:val="22"/>
                    </w:rPr>
                    <w:t>设备维护</w:t>
                  </w:r>
                </w:p>
              </w:tc>
              <w:tc>
                <w:tcPr>
                  <w:tcW w:w="1184" w:type="dxa"/>
                  <w:tcBorders>
                    <w:top w:val="single" w:color="auto" w:sz="4" w:space="0"/>
                    <w:left w:val="nil"/>
                    <w:bottom w:val="single" w:color="auto" w:sz="4" w:space="0"/>
                    <w:right w:val="single" w:color="auto" w:sz="4" w:space="0"/>
                  </w:tcBorders>
                  <w:vAlign w:val="center"/>
                </w:tcPr>
                <w:p w14:paraId="4D61E568">
                  <w:pPr>
                    <w:widowControl/>
                    <w:jc w:val="center"/>
                    <w:rPr>
                      <w:bCs/>
                      <w:color w:val="auto"/>
                      <w:kern w:val="0"/>
                      <w:sz w:val="22"/>
                      <w:szCs w:val="22"/>
                    </w:rPr>
                  </w:pPr>
                  <w:r>
                    <w:rPr>
                      <w:rFonts w:hint="eastAsia"/>
                      <w:bCs/>
                      <w:color w:val="auto"/>
                      <w:kern w:val="0"/>
                      <w:sz w:val="22"/>
                      <w:szCs w:val="22"/>
                    </w:rPr>
                    <w:t>废油桶S6</w:t>
                  </w:r>
                </w:p>
              </w:tc>
              <w:tc>
                <w:tcPr>
                  <w:tcW w:w="951" w:type="dxa"/>
                  <w:tcBorders>
                    <w:top w:val="single" w:color="auto" w:sz="4" w:space="0"/>
                    <w:left w:val="nil"/>
                    <w:bottom w:val="single" w:color="auto" w:sz="4" w:space="0"/>
                    <w:right w:val="single" w:color="auto" w:sz="4" w:space="0"/>
                  </w:tcBorders>
                  <w:vAlign w:val="center"/>
                </w:tcPr>
                <w:p w14:paraId="2A61D486">
                  <w:pPr>
                    <w:widowControl/>
                    <w:jc w:val="center"/>
                    <w:rPr>
                      <w:bCs/>
                      <w:color w:val="auto"/>
                      <w:kern w:val="0"/>
                      <w:sz w:val="22"/>
                      <w:szCs w:val="22"/>
                    </w:rPr>
                  </w:pPr>
                  <w:r>
                    <w:rPr>
                      <w:rFonts w:hint="eastAsia"/>
                      <w:bCs/>
                      <w:color w:val="auto"/>
                      <w:kern w:val="0"/>
                      <w:sz w:val="22"/>
                      <w:szCs w:val="22"/>
                    </w:rPr>
                    <w:t>危险废物</w:t>
                  </w:r>
                </w:p>
              </w:tc>
              <w:tc>
                <w:tcPr>
                  <w:tcW w:w="1730" w:type="dxa"/>
                  <w:tcBorders>
                    <w:top w:val="single" w:color="auto" w:sz="4" w:space="0"/>
                    <w:left w:val="nil"/>
                    <w:bottom w:val="single" w:color="auto" w:sz="4" w:space="0"/>
                    <w:right w:val="single" w:color="auto" w:sz="4" w:space="0"/>
                  </w:tcBorders>
                  <w:vAlign w:val="center"/>
                </w:tcPr>
                <w:p w14:paraId="59C2468B">
                  <w:pPr>
                    <w:widowControl/>
                    <w:jc w:val="center"/>
                    <w:rPr>
                      <w:bCs/>
                      <w:color w:val="auto"/>
                      <w:kern w:val="0"/>
                      <w:sz w:val="22"/>
                      <w:szCs w:val="22"/>
                    </w:rPr>
                  </w:pPr>
                  <w:r>
                    <w:rPr>
                      <w:rFonts w:hint="eastAsia"/>
                      <w:bCs/>
                      <w:color w:val="auto"/>
                      <w:kern w:val="0"/>
                      <w:sz w:val="22"/>
                      <w:szCs w:val="22"/>
                    </w:rPr>
                    <w:t>HW08（</w:t>
                  </w:r>
                  <w:r>
                    <w:rPr>
                      <w:rFonts w:eastAsiaTheme="minorEastAsia"/>
                      <w:color w:val="auto"/>
                      <w:kern w:val="0"/>
                      <w:sz w:val="22"/>
                      <w:szCs w:val="22"/>
                      <w:lang w:bidi="ar"/>
                    </w:rPr>
                    <w:t>900-249-08</w:t>
                  </w:r>
                  <w:r>
                    <w:rPr>
                      <w:rFonts w:hint="eastAsia"/>
                      <w:bCs/>
                      <w:color w:val="auto"/>
                      <w:kern w:val="0"/>
                      <w:sz w:val="22"/>
                      <w:szCs w:val="22"/>
                    </w:rPr>
                    <w:t>）</w:t>
                  </w:r>
                </w:p>
              </w:tc>
              <w:tc>
                <w:tcPr>
                  <w:tcW w:w="1023" w:type="dxa"/>
                  <w:tcBorders>
                    <w:top w:val="single" w:color="auto" w:sz="4" w:space="0"/>
                    <w:left w:val="nil"/>
                    <w:bottom w:val="single" w:color="auto" w:sz="4" w:space="0"/>
                    <w:right w:val="single" w:color="auto" w:sz="4" w:space="0"/>
                  </w:tcBorders>
                  <w:vAlign w:val="center"/>
                </w:tcPr>
                <w:p w14:paraId="3D2A7818">
                  <w:pPr>
                    <w:widowControl/>
                    <w:jc w:val="center"/>
                    <w:rPr>
                      <w:bCs/>
                      <w:color w:val="auto"/>
                      <w:kern w:val="0"/>
                      <w:sz w:val="22"/>
                      <w:szCs w:val="22"/>
                    </w:rPr>
                  </w:pPr>
                  <w:r>
                    <w:rPr>
                      <w:rFonts w:hint="eastAsia"/>
                      <w:bCs/>
                      <w:color w:val="auto"/>
                      <w:kern w:val="0"/>
                      <w:sz w:val="22"/>
                      <w:szCs w:val="22"/>
                    </w:rPr>
                    <w:t>矿物油</w:t>
                  </w:r>
                </w:p>
              </w:tc>
              <w:tc>
                <w:tcPr>
                  <w:tcW w:w="735" w:type="dxa"/>
                  <w:tcBorders>
                    <w:top w:val="single" w:color="auto" w:sz="4" w:space="0"/>
                    <w:left w:val="nil"/>
                    <w:bottom w:val="single" w:color="auto" w:sz="4" w:space="0"/>
                    <w:right w:val="single" w:color="auto" w:sz="4" w:space="0"/>
                  </w:tcBorders>
                  <w:vAlign w:val="center"/>
                </w:tcPr>
                <w:p w14:paraId="6F4DC833">
                  <w:pPr>
                    <w:widowControl/>
                    <w:jc w:val="center"/>
                    <w:rPr>
                      <w:bCs/>
                      <w:color w:val="auto"/>
                      <w:kern w:val="0"/>
                      <w:sz w:val="22"/>
                      <w:szCs w:val="22"/>
                    </w:rPr>
                  </w:pPr>
                  <w:r>
                    <w:rPr>
                      <w:rFonts w:hint="eastAsia"/>
                      <w:bCs/>
                      <w:color w:val="auto"/>
                      <w:kern w:val="0"/>
                      <w:sz w:val="22"/>
                      <w:szCs w:val="22"/>
                    </w:rPr>
                    <w:t>固体</w:t>
                  </w:r>
                </w:p>
              </w:tc>
              <w:tc>
                <w:tcPr>
                  <w:tcW w:w="736" w:type="dxa"/>
                  <w:tcBorders>
                    <w:top w:val="single" w:color="auto" w:sz="4" w:space="0"/>
                    <w:left w:val="nil"/>
                    <w:bottom w:val="single" w:color="auto" w:sz="4" w:space="0"/>
                    <w:right w:val="single" w:color="auto" w:sz="4" w:space="0"/>
                  </w:tcBorders>
                  <w:vAlign w:val="center"/>
                </w:tcPr>
                <w:p w14:paraId="6AADA29A">
                  <w:pPr>
                    <w:widowControl/>
                    <w:jc w:val="center"/>
                    <w:rPr>
                      <w:bCs/>
                      <w:color w:val="auto"/>
                      <w:kern w:val="0"/>
                      <w:sz w:val="22"/>
                      <w:szCs w:val="22"/>
                    </w:rPr>
                  </w:pPr>
                  <w:r>
                    <w:rPr>
                      <w:rFonts w:hint="eastAsia"/>
                      <w:bCs/>
                      <w:color w:val="auto"/>
                      <w:kern w:val="0"/>
                      <w:sz w:val="22"/>
                      <w:szCs w:val="22"/>
                    </w:rPr>
                    <w:t>T，I</w:t>
                  </w:r>
                </w:p>
              </w:tc>
              <w:tc>
                <w:tcPr>
                  <w:tcW w:w="1048" w:type="dxa"/>
                  <w:tcBorders>
                    <w:top w:val="single" w:color="auto" w:sz="4" w:space="0"/>
                    <w:left w:val="nil"/>
                    <w:bottom w:val="single" w:color="auto" w:sz="4" w:space="0"/>
                    <w:right w:val="single" w:color="auto" w:sz="4" w:space="0"/>
                  </w:tcBorders>
                  <w:vAlign w:val="center"/>
                </w:tcPr>
                <w:p w14:paraId="2473EAD2">
                  <w:pPr>
                    <w:widowControl/>
                    <w:jc w:val="center"/>
                    <w:rPr>
                      <w:rFonts w:hint="default" w:eastAsia="宋体"/>
                      <w:bCs/>
                      <w:color w:val="auto"/>
                      <w:kern w:val="0"/>
                      <w:sz w:val="22"/>
                      <w:szCs w:val="22"/>
                      <w:u w:val="none"/>
                      <w:lang w:val="en-US" w:eastAsia="zh-CN"/>
                    </w:rPr>
                  </w:pPr>
                  <w:r>
                    <w:rPr>
                      <w:rFonts w:hint="eastAsia"/>
                      <w:bCs/>
                      <w:color w:val="auto"/>
                      <w:kern w:val="0"/>
                      <w:sz w:val="22"/>
                      <w:szCs w:val="22"/>
                      <w:u w:val="none"/>
                      <w:lang w:val="en-US" w:eastAsia="zh-CN"/>
                    </w:rPr>
                    <w:t>120</w:t>
                  </w:r>
                </w:p>
              </w:tc>
            </w:tr>
            <w:tr w14:paraId="6DB4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2FF16D3C">
                  <w:pPr>
                    <w:widowControl/>
                    <w:jc w:val="center"/>
                    <w:rPr>
                      <w:bCs/>
                      <w:color w:val="auto"/>
                      <w:kern w:val="0"/>
                      <w:sz w:val="22"/>
                      <w:szCs w:val="22"/>
                    </w:rPr>
                  </w:pPr>
                  <w:r>
                    <w:rPr>
                      <w:rFonts w:hint="eastAsia"/>
                      <w:bCs/>
                      <w:color w:val="auto"/>
                      <w:kern w:val="0"/>
                      <w:sz w:val="22"/>
                      <w:szCs w:val="22"/>
                    </w:rPr>
                    <w:t>车间</w:t>
                  </w:r>
                </w:p>
              </w:tc>
              <w:tc>
                <w:tcPr>
                  <w:tcW w:w="1184" w:type="dxa"/>
                  <w:tcBorders>
                    <w:top w:val="single" w:color="auto" w:sz="4" w:space="0"/>
                    <w:left w:val="nil"/>
                    <w:bottom w:val="single" w:color="auto" w:sz="4" w:space="0"/>
                    <w:right w:val="single" w:color="auto" w:sz="4" w:space="0"/>
                  </w:tcBorders>
                  <w:vAlign w:val="center"/>
                </w:tcPr>
                <w:p w14:paraId="405EF248">
                  <w:pPr>
                    <w:widowControl/>
                    <w:jc w:val="center"/>
                    <w:rPr>
                      <w:bCs/>
                      <w:color w:val="auto"/>
                      <w:kern w:val="0"/>
                      <w:sz w:val="22"/>
                      <w:szCs w:val="22"/>
                    </w:rPr>
                  </w:pPr>
                  <w:r>
                    <w:rPr>
                      <w:rFonts w:hint="eastAsia"/>
                      <w:bCs/>
                      <w:color w:val="auto"/>
                      <w:kern w:val="0"/>
                      <w:sz w:val="22"/>
                      <w:szCs w:val="22"/>
                    </w:rPr>
                    <w:t>废蓄电池S7</w:t>
                  </w:r>
                </w:p>
              </w:tc>
              <w:tc>
                <w:tcPr>
                  <w:tcW w:w="951" w:type="dxa"/>
                  <w:tcBorders>
                    <w:top w:val="single" w:color="auto" w:sz="4" w:space="0"/>
                    <w:left w:val="nil"/>
                    <w:bottom w:val="single" w:color="auto" w:sz="4" w:space="0"/>
                    <w:right w:val="single" w:color="auto" w:sz="4" w:space="0"/>
                  </w:tcBorders>
                  <w:vAlign w:val="center"/>
                </w:tcPr>
                <w:p w14:paraId="13AD6A80">
                  <w:pPr>
                    <w:widowControl/>
                    <w:jc w:val="center"/>
                    <w:rPr>
                      <w:bCs/>
                      <w:color w:val="auto"/>
                      <w:kern w:val="0"/>
                      <w:sz w:val="22"/>
                      <w:szCs w:val="22"/>
                    </w:rPr>
                  </w:pPr>
                  <w:r>
                    <w:rPr>
                      <w:rFonts w:hint="eastAsia"/>
                      <w:bCs/>
                      <w:color w:val="auto"/>
                      <w:kern w:val="0"/>
                      <w:sz w:val="22"/>
                      <w:szCs w:val="22"/>
                    </w:rPr>
                    <w:t>危险废物</w:t>
                  </w:r>
                </w:p>
              </w:tc>
              <w:tc>
                <w:tcPr>
                  <w:tcW w:w="1730" w:type="dxa"/>
                  <w:tcBorders>
                    <w:top w:val="single" w:color="auto" w:sz="4" w:space="0"/>
                    <w:left w:val="nil"/>
                    <w:bottom w:val="single" w:color="auto" w:sz="4" w:space="0"/>
                    <w:right w:val="single" w:color="auto" w:sz="4" w:space="0"/>
                  </w:tcBorders>
                  <w:vAlign w:val="center"/>
                </w:tcPr>
                <w:p w14:paraId="6416CCAD">
                  <w:pPr>
                    <w:widowControl/>
                    <w:jc w:val="center"/>
                    <w:rPr>
                      <w:bCs/>
                      <w:color w:val="auto"/>
                      <w:kern w:val="0"/>
                      <w:sz w:val="22"/>
                      <w:szCs w:val="22"/>
                    </w:rPr>
                  </w:pPr>
                  <w:r>
                    <w:rPr>
                      <w:rFonts w:hint="eastAsia"/>
                      <w:bCs/>
                      <w:color w:val="auto"/>
                      <w:kern w:val="0"/>
                      <w:sz w:val="22"/>
                      <w:szCs w:val="22"/>
                    </w:rPr>
                    <w:t>HW31</w:t>
                  </w:r>
                </w:p>
                <w:p w14:paraId="53DEB6FA">
                  <w:pPr>
                    <w:widowControl/>
                    <w:jc w:val="center"/>
                    <w:rPr>
                      <w:bCs/>
                      <w:color w:val="auto"/>
                      <w:kern w:val="0"/>
                      <w:sz w:val="22"/>
                      <w:szCs w:val="22"/>
                    </w:rPr>
                  </w:pPr>
                  <w:r>
                    <w:rPr>
                      <w:rFonts w:hint="eastAsia"/>
                      <w:bCs/>
                      <w:color w:val="auto"/>
                      <w:kern w:val="0"/>
                      <w:sz w:val="22"/>
                      <w:szCs w:val="22"/>
                    </w:rPr>
                    <w:t>(900-052-31)</w:t>
                  </w:r>
                </w:p>
              </w:tc>
              <w:tc>
                <w:tcPr>
                  <w:tcW w:w="1023" w:type="dxa"/>
                  <w:tcBorders>
                    <w:top w:val="single" w:color="auto" w:sz="4" w:space="0"/>
                    <w:left w:val="nil"/>
                    <w:bottom w:val="single" w:color="auto" w:sz="4" w:space="0"/>
                    <w:right w:val="single" w:color="auto" w:sz="4" w:space="0"/>
                  </w:tcBorders>
                  <w:vAlign w:val="center"/>
                </w:tcPr>
                <w:p w14:paraId="2404532E">
                  <w:pPr>
                    <w:widowControl/>
                    <w:jc w:val="center"/>
                    <w:rPr>
                      <w:bCs/>
                      <w:color w:val="auto"/>
                      <w:kern w:val="0"/>
                      <w:sz w:val="22"/>
                      <w:szCs w:val="22"/>
                    </w:rPr>
                  </w:pPr>
                  <w:r>
                    <w:rPr>
                      <w:rFonts w:hint="eastAsia"/>
                      <w:bCs/>
                      <w:color w:val="auto"/>
                      <w:kern w:val="0"/>
                      <w:sz w:val="22"/>
                      <w:szCs w:val="22"/>
                    </w:rPr>
                    <w:t>铅</w:t>
                  </w:r>
                </w:p>
              </w:tc>
              <w:tc>
                <w:tcPr>
                  <w:tcW w:w="735" w:type="dxa"/>
                  <w:tcBorders>
                    <w:top w:val="single" w:color="auto" w:sz="4" w:space="0"/>
                    <w:left w:val="nil"/>
                    <w:bottom w:val="single" w:color="auto" w:sz="4" w:space="0"/>
                    <w:right w:val="single" w:color="auto" w:sz="4" w:space="0"/>
                  </w:tcBorders>
                  <w:vAlign w:val="center"/>
                </w:tcPr>
                <w:p w14:paraId="392DDEE9">
                  <w:pPr>
                    <w:widowControl/>
                    <w:jc w:val="center"/>
                    <w:rPr>
                      <w:bCs/>
                      <w:color w:val="auto"/>
                      <w:kern w:val="0"/>
                      <w:sz w:val="22"/>
                      <w:szCs w:val="22"/>
                    </w:rPr>
                  </w:pPr>
                  <w:r>
                    <w:rPr>
                      <w:rFonts w:hint="eastAsia"/>
                      <w:bCs/>
                      <w:color w:val="auto"/>
                      <w:kern w:val="0"/>
                      <w:sz w:val="22"/>
                      <w:szCs w:val="22"/>
                    </w:rPr>
                    <w:t>固体</w:t>
                  </w:r>
                </w:p>
              </w:tc>
              <w:tc>
                <w:tcPr>
                  <w:tcW w:w="736" w:type="dxa"/>
                  <w:tcBorders>
                    <w:top w:val="single" w:color="auto" w:sz="4" w:space="0"/>
                    <w:left w:val="nil"/>
                    <w:bottom w:val="single" w:color="auto" w:sz="4" w:space="0"/>
                    <w:right w:val="single" w:color="auto" w:sz="4" w:space="0"/>
                  </w:tcBorders>
                  <w:vAlign w:val="center"/>
                </w:tcPr>
                <w:p w14:paraId="70FA3DB1">
                  <w:pPr>
                    <w:widowControl/>
                    <w:jc w:val="center"/>
                    <w:rPr>
                      <w:bCs/>
                      <w:color w:val="auto"/>
                      <w:kern w:val="0"/>
                      <w:sz w:val="22"/>
                      <w:szCs w:val="22"/>
                    </w:rPr>
                  </w:pPr>
                  <w:r>
                    <w:rPr>
                      <w:rFonts w:hint="eastAsia"/>
                      <w:bCs/>
                      <w:color w:val="auto"/>
                      <w:kern w:val="0"/>
                      <w:sz w:val="22"/>
                      <w:szCs w:val="22"/>
                    </w:rPr>
                    <w:t>T，C</w:t>
                  </w:r>
                </w:p>
              </w:tc>
              <w:tc>
                <w:tcPr>
                  <w:tcW w:w="1048" w:type="dxa"/>
                  <w:tcBorders>
                    <w:top w:val="single" w:color="auto" w:sz="4" w:space="0"/>
                    <w:left w:val="nil"/>
                    <w:bottom w:val="single" w:color="auto" w:sz="4" w:space="0"/>
                    <w:right w:val="single" w:color="auto" w:sz="4" w:space="0"/>
                  </w:tcBorders>
                  <w:vAlign w:val="center"/>
                </w:tcPr>
                <w:p w14:paraId="6702C569">
                  <w:pPr>
                    <w:widowControl/>
                    <w:jc w:val="center"/>
                    <w:rPr>
                      <w:bCs/>
                      <w:color w:val="auto"/>
                      <w:kern w:val="0"/>
                      <w:sz w:val="22"/>
                      <w:szCs w:val="22"/>
                      <w:u w:val="none"/>
                    </w:rPr>
                  </w:pPr>
                  <w:r>
                    <w:rPr>
                      <w:rFonts w:hint="eastAsia"/>
                      <w:bCs/>
                      <w:color w:val="auto"/>
                      <w:kern w:val="0"/>
                      <w:sz w:val="22"/>
                      <w:szCs w:val="22"/>
                      <w:u w:val="none"/>
                    </w:rPr>
                    <w:t>3</w:t>
                  </w:r>
                </w:p>
              </w:tc>
            </w:tr>
            <w:tr w14:paraId="1482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14E58B64">
                  <w:pPr>
                    <w:widowControl/>
                    <w:jc w:val="center"/>
                    <w:rPr>
                      <w:bCs/>
                      <w:color w:val="auto"/>
                      <w:kern w:val="0"/>
                      <w:sz w:val="22"/>
                      <w:szCs w:val="22"/>
                    </w:rPr>
                  </w:pPr>
                  <w:r>
                    <w:rPr>
                      <w:rFonts w:hint="eastAsia"/>
                      <w:bCs/>
                      <w:color w:val="auto"/>
                      <w:kern w:val="0"/>
                      <w:sz w:val="22"/>
                      <w:szCs w:val="22"/>
                    </w:rPr>
                    <w:t>车间</w:t>
                  </w:r>
                </w:p>
              </w:tc>
              <w:tc>
                <w:tcPr>
                  <w:tcW w:w="1184" w:type="dxa"/>
                  <w:tcBorders>
                    <w:top w:val="single" w:color="auto" w:sz="4" w:space="0"/>
                    <w:left w:val="nil"/>
                    <w:bottom w:val="single" w:color="auto" w:sz="4" w:space="0"/>
                    <w:right w:val="single" w:color="auto" w:sz="4" w:space="0"/>
                  </w:tcBorders>
                  <w:vAlign w:val="center"/>
                </w:tcPr>
                <w:p w14:paraId="7D823ACD">
                  <w:pPr>
                    <w:widowControl/>
                    <w:jc w:val="center"/>
                    <w:rPr>
                      <w:bCs/>
                      <w:color w:val="auto"/>
                      <w:kern w:val="0"/>
                      <w:sz w:val="22"/>
                      <w:szCs w:val="22"/>
                    </w:rPr>
                  </w:pPr>
                  <w:r>
                    <w:rPr>
                      <w:rFonts w:hint="eastAsia"/>
                      <w:bCs/>
                      <w:color w:val="auto"/>
                      <w:kern w:val="0"/>
                      <w:sz w:val="22"/>
                      <w:szCs w:val="22"/>
                    </w:rPr>
                    <w:t>废灯管S8</w:t>
                  </w:r>
                </w:p>
              </w:tc>
              <w:tc>
                <w:tcPr>
                  <w:tcW w:w="951" w:type="dxa"/>
                  <w:tcBorders>
                    <w:top w:val="single" w:color="auto" w:sz="4" w:space="0"/>
                    <w:left w:val="nil"/>
                    <w:bottom w:val="single" w:color="auto" w:sz="4" w:space="0"/>
                    <w:right w:val="single" w:color="auto" w:sz="4" w:space="0"/>
                  </w:tcBorders>
                  <w:vAlign w:val="center"/>
                </w:tcPr>
                <w:p w14:paraId="31F327C5">
                  <w:pPr>
                    <w:widowControl/>
                    <w:jc w:val="center"/>
                    <w:rPr>
                      <w:bCs/>
                      <w:color w:val="auto"/>
                      <w:kern w:val="0"/>
                      <w:sz w:val="22"/>
                      <w:szCs w:val="22"/>
                    </w:rPr>
                  </w:pPr>
                  <w:r>
                    <w:rPr>
                      <w:rFonts w:hint="eastAsia"/>
                      <w:bCs/>
                      <w:color w:val="auto"/>
                      <w:kern w:val="0"/>
                      <w:sz w:val="22"/>
                      <w:szCs w:val="22"/>
                    </w:rPr>
                    <w:t>危险废物</w:t>
                  </w:r>
                </w:p>
              </w:tc>
              <w:tc>
                <w:tcPr>
                  <w:tcW w:w="1730" w:type="dxa"/>
                  <w:tcBorders>
                    <w:top w:val="single" w:color="auto" w:sz="4" w:space="0"/>
                    <w:left w:val="nil"/>
                    <w:bottom w:val="single" w:color="auto" w:sz="4" w:space="0"/>
                    <w:right w:val="single" w:color="auto" w:sz="4" w:space="0"/>
                  </w:tcBorders>
                  <w:vAlign w:val="center"/>
                </w:tcPr>
                <w:p w14:paraId="160ECB7F">
                  <w:pPr>
                    <w:widowControl/>
                    <w:jc w:val="center"/>
                    <w:rPr>
                      <w:bCs/>
                      <w:color w:val="auto"/>
                      <w:kern w:val="0"/>
                      <w:sz w:val="22"/>
                      <w:szCs w:val="22"/>
                    </w:rPr>
                  </w:pPr>
                  <w:r>
                    <w:rPr>
                      <w:rFonts w:hint="eastAsia"/>
                      <w:bCs/>
                      <w:color w:val="auto"/>
                      <w:kern w:val="0"/>
                      <w:sz w:val="22"/>
                      <w:szCs w:val="22"/>
                    </w:rPr>
                    <w:t>HW29</w:t>
                  </w:r>
                </w:p>
                <w:p w14:paraId="05274AFE">
                  <w:pPr>
                    <w:widowControl/>
                    <w:jc w:val="center"/>
                    <w:rPr>
                      <w:bCs/>
                      <w:color w:val="auto"/>
                      <w:kern w:val="0"/>
                      <w:sz w:val="22"/>
                      <w:szCs w:val="22"/>
                    </w:rPr>
                  </w:pPr>
                  <w:r>
                    <w:rPr>
                      <w:rFonts w:hint="eastAsia"/>
                      <w:bCs/>
                      <w:color w:val="auto"/>
                      <w:kern w:val="0"/>
                      <w:sz w:val="22"/>
                      <w:szCs w:val="22"/>
                    </w:rPr>
                    <w:t>(900-023-28)</w:t>
                  </w:r>
                </w:p>
              </w:tc>
              <w:tc>
                <w:tcPr>
                  <w:tcW w:w="1023" w:type="dxa"/>
                  <w:tcBorders>
                    <w:top w:val="single" w:color="auto" w:sz="4" w:space="0"/>
                    <w:left w:val="nil"/>
                    <w:bottom w:val="single" w:color="auto" w:sz="4" w:space="0"/>
                    <w:right w:val="single" w:color="auto" w:sz="4" w:space="0"/>
                  </w:tcBorders>
                  <w:vAlign w:val="center"/>
                </w:tcPr>
                <w:p w14:paraId="0ED6AD80">
                  <w:pPr>
                    <w:widowControl/>
                    <w:jc w:val="center"/>
                    <w:rPr>
                      <w:bCs/>
                      <w:color w:val="auto"/>
                      <w:kern w:val="0"/>
                      <w:sz w:val="22"/>
                      <w:szCs w:val="22"/>
                    </w:rPr>
                  </w:pPr>
                  <w:r>
                    <w:rPr>
                      <w:rFonts w:hint="eastAsia"/>
                      <w:bCs/>
                      <w:color w:val="auto"/>
                      <w:kern w:val="0"/>
                      <w:sz w:val="22"/>
                      <w:szCs w:val="22"/>
                    </w:rPr>
                    <w:t>汞</w:t>
                  </w:r>
                </w:p>
              </w:tc>
              <w:tc>
                <w:tcPr>
                  <w:tcW w:w="735" w:type="dxa"/>
                  <w:tcBorders>
                    <w:top w:val="single" w:color="auto" w:sz="4" w:space="0"/>
                    <w:left w:val="nil"/>
                    <w:bottom w:val="single" w:color="auto" w:sz="4" w:space="0"/>
                    <w:right w:val="single" w:color="auto" w:sz="4" w:space="0"/>
                  </w:tcBorders>
                  <w:vAlign w:val="center"/>
                </w:tcPr>
                <w:p w14:paraId="53DD6243">
                  <w:pPr>
                    <w:widowControl/>
                    <w:jc w:val="center"/>
                    <w:rPr>
                      <w:bCs/>
                      <w:color w:val="auto"/>
                      <w:kern w:val="0"/>
                      <w:sz w:val="22"/>
                      <w:szCs w:val="22"/>
                    </w:rPr>
                  </w:pPr>
                  <w:r>
                    <w:rPr>
                      <w:rFonts w:hint="eastAsia"/>
                      <w:bCs/>
                      <w:color w:val="auto"/>
                      <w:kern w:val="0"/>
                      <w:sz w:val="22"/>
                      <w:szCs w:val="22"/>
                    </w:rPr>
                    <w:t>固体</w:t>
                  </w:r>
                </w:p>
              </w:tc>
              <w:tc>
                <w:tcPr>
                  <w:tcW w:w="736" w:type="dxa"/>
                  <w:tcBorders>
                    <w:top w:val="single" w:color="auto" w:sz="4" w:space="0"/>
                    <w:left w:val="nil"/>
                    <w:bottom w:val="single" w:color="auto" w:sz="4" w:space="0"/>
                    <w:right w:val="single" w:color="auto" w:sz="4" w:space="0"/>
                  </w:tcBorders>
                  <w:vAlign w:val="center"/>
                </w:tcPr>
                <w:p w14:paraId="7EFEE46A">
                  <w:pPr>
                    <w:widowControl/>
                    <w:jc w:val="center"/>
                    <w:rPr>
                      <w:bCs/>
                      <w:color w:val="auto"/>
                      <w:kern w:val="0"/>
                      <w:sz w:val="22"/>
                      <w:szCs w:val="22"/>
                    </w:rPr>
                  </w:pPr>
                  <w:r>
                    <w:rPr>
                      <w:rFonts w:hint="eastAsia"/>
                      <w:bCs/>
                      <w:color w:val="auto"/>
                      <w:kern w:val="0"/>
                      <w:sz w:val="22"/>
                      <w:szCs w:val="22"/>
                    </w:rPr>
                    <w:t>T，I</w:t>
                  </w:r>
                </w:p>
              </w:tc>
              <w:tc>
                <w:tcPr>
                  <w:tcW w:w="1048" w:type="dxa"/>
                  <w:tcBorders>
                    <w:top w:val="single" w:color="auto" w:sz="4" w:space="0"/>
                    <w:left w:val="nil"/>
                    <w:bottom w:val="single" w:color="auto" w:sz="4" w:space="0"/>
                    <w:right w:val="single" w:color="auto" w:sz="4" w:space="0"/>
                  </w:tcBorders>
                  <w:vAlign w:val="center"/>
                </w:tcPr>
                <w:p w14:paraId="041E7EA0">
                  <w:pPr>
                    <w:widowControl/>
                    <w:jc w:val="center"/>
                    <w:rPr>
                      <w:bCs/>
                      <w:color w:val="auto"/>
                      <w:kern w:val="0"/>
                      <w:sz w:val="22"/>
                      <w:szCs w:val="22"/>
                      <w:u w:val="none"/>
                    </w:rPr>
                  </w:pPr>
                  <w:r>
                    <w:rPr>
                      <w:rFonts w:hint="eastAsia"/>
                      <w:bCs/>
                      <w:color w:val="auto"/>
                      <w:kern w:val="0"/>
                      <w:sz w:val="22"/>
                      <w:szCs w:val="22"/>
                      <w:u w:val="none"/>
                    </w:rPr>
                    <w:t>2</w:t>
                  </w:r>
                </w:p>
              </w:tc>
            </w:tr>
            <w:tr w14:paraId="6A51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445085D0">
                  <w:pPr>
                    <w:widowControl/>
                    <w:jc w:val="center"/>
                    <w:rPr>
                      <w:bCs/>
                      <w:color w:val="auto"/>
                      <w:kern w:val="0"/>
                      <w:sz w:val="22"/>
                      <w:szCs w:val="22"/>
                    </w:rPr>
                  </w:pPr>
                  <w:r>
                    <w:rPr>
                      <w:rFonts w:hint="eastAsia"/>
                      <w:bCs/>
                      <w:color w:val="auto"/>
                      <w:kern w:val="0"/>
                      <w:sz w:val="22"/>
                      <w:szCs w:val="22"/>
                    </w:rPr>
                    <w:t>车间</w:t>
                  </w:r>
                </w:p>
              </w:tc>
              <w:tc>
                <w:tcPr>
                  <w:tcW w:w="1184" w:type="dxa"/>
                  <w:tcBorders>
                    <w:top w:val="single" w:color="auto" w:sz="4" w:space="0"/>
                    <w:left w:val="nil"/>
                    <w:bottom w:val="single" w:color="auto" w:sz="4" w:space="0"/>
                    <w:right w:val="single" w:color="auto" w:sz="4" w:space="0"/>
                  </w:tcBorders>
                  <w:vAlign w:val="center"/>
                </w:tcPr>
                <w:p w14:paraId="7CC6A0E8">
                  <w:pPr>
                    <w:widowControl/>
                    <w:jc w:val="center"/>
                    <w:rPr>
                      <w:bCs/>
                      <w:color w:val="auto"/>
                      <w:kern w:val="0"/>
                      <w:sz w:val="22"/>
                      <w:szCs w:val="22"/>
                    </w:rPr>
                  </w:pPr>
                  <w:r>
                    <w:rPr>
                      <w:rFonts w:hint="eastAsia"/>
                      <w:bCs/>
                      <w:color w:val="auto"/>
                      <w:kern w:val="0"/>
                      <w:sz w:val="22"/>
                      <w:szCs w:val="22"/>
                    </w:rPr>
                    <w:t>废防冻液S9</w:t>
                  </w:r>
                </w:p>
              </w:tc>
              <w:tc>
                <w:tcPr>
                  <w:tcW w:w="951" w:type="dxa"/>
                  <w:tcBorders>
                    <w:top w:val="single" w:color="auto" w:sz="4" w:space="0"/>
                    <w:left w:val="nil"/>
                    <w:bottom w:val="single" w:color="auto" w:sz="4" w:space="0"/>
                    <w:right w:val="single" w:color="auto" w:sz="4" w:space="0"/>
                  </w:tcBorders>
                  <w:vAlign w:val="center"/>
                </w:tcPr>
                <w:p w14:paraId="2A78B826">
                  <w:pPr>
                    <w:widowControl/>
                    <w:jc w:val="center"/>
                    <w:rPr>
                      <w:bCs/>
                      <w:color w:val="auto"/>
                      <w:kern w:val="0"/>
                      <w:sz w:val="22"/>
                      <w:szCs w:val="22"/>
                    </w:rPr>
                  </w:pPr>
                  <w:r>
                    <w:rPr>
                      <w:rFonts w:hint="eastAsia"/>
                      <w:bCs/>
                      <w:color w:val="auto"/>
                      <w:kern w:val="0"/>
                      <w:sz w:val="22"/>
                      <w:szCs w:val="22"/>
                    </w:rPr>
                    <w:t>危险废物</w:t>
                  </w:r>
                </w:p>
              </w:tc>
              <w:tc>
                <w:tcPr>
                  <w:tcW w:w="1730" w:type="dxa"/>
                  <w:tcBorders>
                    <w:top w:val="single" w:color="auto" w:sz="4" w:space="0"/>
                    <w:left w:val="nil"/>
                    <w:bottom w:val="single" w:color="auto" w:sz="4" w:space="0"/>
                    <w:right w:val="single" w:color="auto" w:sz="4" w:space="0"/>
                  </w:tcBorders>
                  <w:vAlign w:val="center"/>
                </w:tcPr>
                <w:p w14:paraId="565723D7">
                  <w:pPr>
                    <w:widowControl/>
                    <w:jc w:val="center"/>
                    <w:rPr>
                      <w:bCs/>
                      <w:color w:val="auto"/>
                      <w:kern w:val="0"/>
                      <w:sz w:val="22"/>
                      <w:szCs w:val="22"/>
                    </w:rPr>
                  </w:pPr>
                  <w:r>
                    <w:rPr>
                      <w:rFonts w:hint="eastAsia"/>
                      <w:bCs/>
                      <w:color w:val="auto"/>
                      <w:kern w:val="0"/>
                      <w:sz w:val="22"/>
                      <w:szCs w:val="22"/>
                    </w:rPr>
                    <w:t>HW06（900-402-06）</w:t>
                  </w:r>
                </w:p>
              </w:tc>
              <w:tc>
                <w:tcPr>
                  <w:tcW w:w="1023" w:type="dxa"/>
                  <w:tcBorders>
                    <w:top w:val="single" w:color="auto" w:sz="4" w:space="0"/>
                    <w:left w:val="nil"/>
                    <w:bottom w:val="single" w:color="auto" w:sz="4" w:space="0"/>
                    <w:right w:val="single" w:color="auto" w:sz="4" w:space="0"/>
                  </w:tcBorders>
                  <w:vAlign w:val="center"/>
                </w:tcPr>
                <w:p w14:paraId="699FA39F">
                  <w:pPr>
                    <w:widowControl/>
                    <w:jc w:val="center"/>
                    <w:rPr>
                      <w:bCs/>
                      <w:color w:val="auto"/>
                      <w:kern w:val="0"/>
                      <w:sz w:val="22"/>
                      <w:szCs w:val="22"/>
                    </w:rPr>
                  </w:pPr>
                  <w:r>
                    <w:rPr>
                      <w:rFonts w:hint="eastAsia"/>
                      <w:bCs/>
                      <w:color w:val="auto"/>
                      <w:kern w:val="0"/>
                      <w:sz w:val="22"/>
                      <w:szCs w:val="22"/>
                    </w:rPr>
                    <w:t>有机物</w:t>
                  </w:r>
                </w:p>
              </w:tc>
              <w:tc>
                <w:tcPr>
                  <w:tcW w:w="735" w:type="dxa"/>
                  <w:tcBorders>
                    <w:top w:val="single" w:color="auto" w:sz="4" w:space="0"/>
                    <w:left w:val="nil"/>
                    <w:bottom w:val="single" w:color="auto" w:sz="4" w:space="0"/>
                    <w:right w:val="single" w:color="auto" w:sz="4" w:space="0"/>
                  </w:tcBorders>
                  <w:vAlign w:val="center"/>
                </w:tcPr>
                <w:p w14:paraId="2C29B0D3">
                  <w:pPr>
                    <w:widowControl/>
                    <w:jc w:val="center"/>
                    <w:rPr>
                      <w:bCs/>
                      <w:color w:val="auto"/>
                      <w:kern w:val="0"/>
                      <w:sz w:val="22"/>
                      <w:szCs w:val="22"/>
                    </w:rPr>
                  </w:pPr>
                  <w:r>
                    <w:rPr>
                      <w:rFonts w:hint="eastAsia"/>
                      <w:bCs/>
                      <w:color w:val="auto"/>
                      <w:kern w:val="0"/>
                      <w:sz w:val="22"/>
                      <w:szCs w:val="22"/>
                    </w:rPr>
                    <w:t>液体</w:t>
                  </w:r>
                </w:p>
              </w:tc>
              <w:tc>
                <w:tcPr>
                  <w:tcW w:w="736" w:type="dxa"/>
                  <w:tcBorders>
                    <w:top w:val="single" w:color="auto" w:sz="4" w:space="0"/>
                    <w:left w:val="nil"/>
                    <w:bottom w:val="single" w:color="auto" w:sz="4" w:space="0"/>
                    <w:right w:val="single" w:color="auto" w:sz="4" w:space="0"/>
                  </w:tcBorders>
                  <w:vAlign w:val="center"/>
                </w:tcPr>
                <w:p w14:paraId="6E7B0BD9">
                  <w:pPr>
                    <w:widowControl/>
                    <w:jc w:val="center"/>
                    <w:rPr>
                      <w:bCs/>
                      <w:color w:val="auto"/>
                      <w:kern w:val="0"/>
                      <w:sz w:val="22"/>
                      <w:szCs w:val="22"/>
                    </w:rPr>
                  </w:pPr>
                  <w:r>
                    <w:rPr>
                      <w:rFonts w:hint="eastAsia"/>
                      <w:bCs/>
                      <w:color w:val="auto"/>
                      <w:kern w:val="0"/>
                      <w:sz w:val="22"/>
                      <w:szCs w:val="22"/>
                    </w:rPr>
                    <w:t>T，I，R</w:t>
                  </w:r>
                </w:p>
              </w:tc>
              <w:tc>
                <w:tcPr>
                  <w:tcW w:w="1048" w:type="dxa"/>
                  <w:tcBorders>
                    <w:top w:val="single" w:color="auto" w:sz="4" w:space="0"/>
                    <w:left w:val="nil"/>
                    <w:bottom w:val="single" w:color="auto" w:sz="4" w:space="0"/>
                    <w:right w:val="single" w:color="auto" w:sz="4" w:space="0"/>
                  </w:tcBorders>
                  <w:vAlign w:val="center"/>
                </w:tcPr>
                <w:p w14:paraId="1E650372">
                  <w:pPr>
                    <w:widowControl/>
                    <w:jc w:val="center"/>
                    <w:rPr>
                      <w:rFonts w:hint="default" w:eastAsia="宋体"/>
                      <w:bCs/>
                      <w:color w:val="auto"/>
                      <w:kern w:val="0"/>
                      <w:sz w:val="22"/>
                      <w:szCs w:val="22"/>
                      <w:u w:val="none"/>
                      <w:lang w:val="en-US" w:eastAsia="zh-CN"/>
                    </w:rPr>
                  </w:pPr>
                  <w:r>
                    <w:rPr>
                      <w:rFonts w:hint="eastAsia"/>
                      <w:bCs/>
                      <w:color w:val="auto"/>
                      <w:kern w:val="0"/>
                      <w:sz w:val="22"/>
                      <w:szCs w:val="22"/>
                      <w:u w:val="none"/>
                      <w:lang w:val="en-US" w:eastAsia="zh-CN"/>
                    </w:rPr>
                    <w:t>50</w:t>
                  </w:r>
                </w:p>
              </w:tc>
            </w:tr>
            <w:tr w14:paraId="7E20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06D27B0A">
                  <w:pPr>
                    <w:widowControl/>
                    <w:jc w:val="center"/>
                    <w:rPr>
                      <w:bCs/>
                      <w:color w:val="auto"/>
                      <w:kern w:val="0"/>
                      <w:sz w:val="22"/>
                      <w:szCs w:val="22"/>
                    </w:rPr>
                  </w:pPr>
                  <w:r>
                    <w:rPr>
                      <w:rFonts w:hint="eastAsia"/>
                      <w:bCs/>
                      <w:color w:val="auto"/>
                      <w:kern w:val="0"/>
                      <w:sz w:val="22"/>
                      <w:szCs w:val="22"/>
                    </w:rPr>
                    <w:t>车间</w:t>
                  </w:r>
                </w:p>
              </w:tc>
              <w:tc>
                <w:tcPr>
                  <w:tcW w:w="1184" w:type="dxa"/>
                  <w:tcBorders>
                    <w:top w:val="single" w:color="auto" w:sz="4" w:space="0"/>
                    <w:left w:val="nil"/>
                    <w:bottom w:val="single" w:color="auto" w:sz="4" w:space="0"/>
                    <w:right w:val="single" w:color="auto" w:sz="4" w:space="0"/>
                  </w:tcBorders>
                  <w:vAlign w:val="center"/>
                </w:tcPr>
                <w:p w14:paraId="6E9AA67B">
                  <w:pPr>
                    <w:widowControl/>
                    <w:jc w:val="center"/>
                    <w:rPr>
                      <w:bCs/>
                      <w:color w:val="auto"/>
                      <w:kern w:val="0"/>
                      <w:sz w:val="22"/>
                      <w:szCs w:val="22"/>
                    </w:rPr>
                  </w:pPr>
                  <w:r>
                    <w:rPr>
                      <w:rFonts w:hint="eastAsia"/>
                      <w:bCs/>
                      <w:color w:val="auto"/>
                      <w:kern w:val="0"/>
                      <w:sz w:val="22"/>
                      <w:szCs w:val="22"/>
                    </w:rPr>
                    <w:t>废</w:t>
                  </w:r>
                  <w:r>
                    <w:rPr>
                      <w:rFonts w:hint="eastAsia"/>
                      <w:bCs/>
                      <w:color w:val="auto"/>
                      <w:kern w:val="0"/>
                      <w:sz w:val="22"/>
                      <w:szCs w:val="22"/>
                      <w:lang w:val="en-US" w:eastAsia="zh-CN"/>
                    </w:rPr>
                    <w:t>油/水混合物</w:t>
                  </w:r>
                  <w:r>
                    <w:rPr>
                      <w:rFonts w:hint="eastAsia"/>
                      <w:bCs/>
                      <w:color w:val="auto"/>
                      <w:kern w:val="0"/>
                      <w:sz w:val="22"/>
                      <w:szCs w:val="22"/>
                    </w:rPr>
                    <w:t>S10</w:t>
                  </w:r>
                </w:p>
              </w:tc>
              <w:tc>
                <w:tcPr>
                  <w:tcW w:w="951" w:type="dxa"/>
                  <w:tcBorders>
                    <w:top w:val="single" w:color="auto" w:sz="4" w:space="0"/>
                    <w:left w:val="nil"/>
                    <w:bottom w:val="single" w:color="auto" w:sz="4" w:space="0"/>
                    <w:right w:val="single" w:color="auto" w:sz="4" w:space="0"/>
                  </w:tcBorders>
                  <w:vAlign w:val="center"/>
                </w:tcPr>
                <w:p w14:paraId="5B520A04">
                  <w:pPr>
                    <w:widowControl/>
                    <w:jc w:val="center"/>
                    <w:rPr>
                      <w:bCs/>
                      <w:color w:val="auto"/>
                      <w:kern w:val="0"/>
                      <w:sz w:val="22"/>
                      <w:szCs w:val="22"/>
                    </w:rPr>
                  </w:pPr>
                  <w:r>
                    <w:rPr>
                      <w:rFonts w:hint="eastAsia"/>
                      <w:bCs/>
                      <w:color w:val="auto"/>
                      <w:kern w:val="0"/>
                      <w:sz w:val="22"/>
                      <w:szCs w:val="22"/>
                    </w:rPr>
                    <w:t>危险废物</w:t>
                  </w:r>
                </w:p>
              </w:tc>
              <w:tc>
                <w:tcPr>
                  <w:tcW w:w="1730" w:type="dxa"/>
                  <w:tcBorders>
                    <w:top w:val="single" w:color="auto" w:sz="4" w:space="0"/>
                    <w:left w:val="nil"/>
                    <w:bottom w:val="single" w:color="auto" w:sz="4" w:space="0"/>
                    <w:right w:val="single" w:color="auto" w:sz="4" w:space="0"/>
                  </w:tcBorders>
                  <w:vAlign w:val="center"/>
                </w:tcPr>
                <w:p w14:paraId="698CEB12">
                  <w:pPr>
                    <w:widowControl/>
                    <w:jc w:val="center"/>
                    <w:rPr>
                      <w:bCs/>
                      <w:color w:val="auto"/>
                      <w:kern w:val="0"/>
                      <w:sz w:val="22"/>
                      <w:szCs w:val="22"/>
                    </w:rPr>
                  </w:pPr>
                  <w:r>
                    <w:rPr>
                      <w:rFonts w:hint="eastAsia"/>
                      <w:bCs/>
                      <w:color w:val="auto"/>
                      <w:kern w:val="0"/>
                      <w:sz w:val="22"/>
                      <w:szCs w:val="22"/>
                    </w:rPr>
                    <w:t>HW09（900-007-09）</w:t>
                  </w:r>
                </w:p>
              </w:tc>
              <w:tc>
                <w:tcPr>
                  <w:tcW w:w="1023" w:type="dxa"/>
                  <w:tcBorders>
                    <w:top w:val="single" w:color="auto" w:sz="4" w:space="0"/>
                    <w:left w:val="nil"/>
                    <w:bottom w:val="single" w:color="auto" w:sz="4" w:space="0"/>
                    <w:right w:val="single" w:color="auto" w:sz="4" w:space="0"/>
                  </w:tcBorders>
                  <w:vAlign w:val="center"/>
                </w:tcPr>
                <w:p w14:paraId="3D14AB43">
                  <w:pPr>
                    <w:widowControl/>
                    <w:jc w:val="center"/>
                    <w:rPr>
                      <w:bCs/>
                      <w:color w:val="auto"/>
                      <w:kern w:val="0"/>
                      <w:sz w:val="22"/>
                      <w:szCs w:val="22"/>
                    </w:rPr>
                  </w:pPr>
                  <w:r>
                    <w:rPr>
                      <w:rFonts w:hint="eastAsia"/>
                      <w:bCs/>
                      <w:color w:val="auto"/>
                      <w:kern w:val="0"/>
                      <w:sz w:val="22"/>
                      <w:szCs w:val="22"/>
                    </w:rPr>
                    <w:t>矿物油</w:t>
                  </w:r>
                </w:p>
              </w:tc>
              <w:tc>
                <w:tcPr>
                  <w:tcW w:w="735" w:type="dxa"/>
                  <w:tcBorders>
                    <w:top w:val="single" w:color="auto" w:sz="4" w:space="0"/>
                    <w:left w:val="nil"/>
                    <w:bottom w:val="single" w:color="auto" w:sz="4" w:space="0"/>
                    <w:right w:val="single" w:color="auto" w:sz="4" w:space="0"/>
                  </w:tcBorders>
                  <w:vAlign w:val="center"/>
                </w:tcPr>
                <w:p w14:paraId="29D449C3">
                  <w:pPr>
                    <w:widowControl/>
                    <w:jc w:val="center"/>
                    <w:rPr>
                      <w:bCs/>
                      <w:color w:val="auto"/>
                      <w:kern w:val="0"/>
                      <w:sz w:val="22"/>
                      <w:szCs w:val="22"/>
                    </w:rPr>
                  </w:pPr>
                  <w:r>
                    <w:rPr>
                      <w:rFonts w:hint="eastAsia"/>
                      <w:bCs/>
                      <w:color w:val="auto"/>
                      <w:kern w:val="0"/>
                      <w:sz w:val="22"/>
                      <w:szCs w:val="22"/>
                    </w:rPr>
                    <w:t>固体</w:t>
                  </w:r>
                </w:p>
              </w:tc>
              <w:tc>
                <w:tcPr>
                  <w:tcW w:w="736" w:type="dxa"/>
                  <w:tcBorders>
                    <w:top w:val="single" w:color="auto" w:sz="4" w:space="0"/>
                    <w:left w:val="nil"/>
                    <w:bottom w:val="single" w:color="auto" w:sz="4" w:space="0"/>
                    <w:right w:val="single" w:color="auto" w:sz="4" w:space="0"/>
                  </w:tcBorders>
                  <w:vAlign w:val="center"/>
                </w:tcPr>
                <w:p w14:paraId="42449DA8">
                  <w:pPr>
                    <w:widowControl/>
                    <w:jc w:val="center"/>
                    <w:rPr>
                      <w:bCs/>
                      <w:color w:val="auto"/>
                      <w:kern w:val="0"/>
                      <w:sz w:val="22"/>
                      <w:szCs w:val="22"/>
                    </w:rPr>
                  </w:pPr>
                  <w:r>
                    <w:rPr>
                      <w:rFonts w:hint="eastAsia"/>
                      <w:bCs/>
                      <w:color w:val="auto"/>
                      <w:kern w:val="0"/>
                      <w:sz w:val="22"/>
                      <w:szCs w:val="22"/>
                    </w:rPr>
                    <w:t>T</w:t>
                  </w:r>
                </w:p>
              </w:tc>
              <w:tc>
                <w:tcPr>
                  <w:tcW w:w="1048" w:type="dxa"/>
                  <w:tcBorders>
                    <w:top w:val="single" w:color="auto" w:sz="4" w:space="0"/>
                    <w:left w:val="nil"/>
                    <w:bottom w:val="single" w:color="auto" w:sz="4" w:space="0"/>
                    <w:right w:val="single" w:color="auto" w:sz="4" w:space="0"/>
                  </w:tcBorders>
                  <w:vAlign w:val="center"/>
                </w:tcPr>
                <w:p w14:paraId="44435904">
                  <w:pPr>
                    <w:widowControl/>
                    <w:jc w:val="center"/>
                    <w:rPr>
                      <w:rFonts w:hint="eastAsia" w:eastAsia="宋体"/>
                      <w:bCs/>
                      <w:color w:val="auto"/>
                      <w:kern w:val="0"/>
                      <w:sz w:val="22"/>
                      <w:szCs w:val="22"/>
                      <w:lang w:eastAsia="zh-CN"/>
                    </w:rPr>
                  </w:pPr>
                  <w:r>
                    <w:rPr>
                      <w:rFonts w:hint="eastAsia"/>
                      <w:bCs/>
                      <w:color w:val="auto"/>
                      <w:kern w:val="0"/>
                      <w:sz w:val="22"/>
                      <w:szCs w:val="22"/>
                      <w:lang w:val="en-US" w:eastAsia="zh-CN"/>
                    </w:rPr>
                    <w:t>5</w:t>
                  </w:r>
                </w:p>
              </w:tc>
            </w:tr>
            <w:tr w14:paraId="409F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1D80B319">
                  <w:pPr>
                    <w:widowControl/>
                    <w:jc w:val="center"/>
                    <w:rPr>
                      <w:bCs/>
                      <w:color w:val="auto"/>
                      <w:kern w:val="0"/>
                      <w:sz w:val="22"/>
                      <w:szCs w:val="22"/>
                    </w:rPr>
                  </w:pPr>
                  <w:r>
                    <w:rPr>
                      <w:rFonts w:hint="eastAsia"/>
                      <w:bCs/>
                      <w:color w:val="auto"/>
                      <w:kern w:val="0"/>
                      <w:sz w:val="22"/>
                      <w:szCs w:val="22"/>
                    </w:rPr>
                    <w:t>食堂</w:t>
                  </w:r>
                </w:p>
              </w:tc>
              <w:tc>
                <w:tcPr>
                  <w:tcW w:w="1184" w:type="dxa"/>
                  <w:tcBorders>
                    <w:top w:val="single" w:color="auto" w:sz="4" w:space="0"/>
                    <w:left w:val="nil"/>
                    <w:bottom w:val="single" w:color="auto" w:sz="4" w:space="0"/>
                    <w:right w:val="single" w:color="auto" w:sz="4" w:space="0"/>
                  </w:tcBorders>
                  <w:vAlign w:val="center"/>
                </w:tcPr>
                <w:p w14:paraId="18C789A2">
                  <w:pPr>
                    <w:widowControl/>
                    <w:jc w:val="center"/>
                    <w:rPr>
                      <w:bCs/>
                      <w:color w:val="auto"/>
                      <w:kern w:val="0"/>
                      <w:sz w:val="22"/>
                      <w:szCs w:val="22"/>
                    </w:rPr>
                  </w:pPr>
                  <w:r>
                    <w:rPr>
                      <w:rFonts w:hint="eastAsia"/>
                      <w:bCs/>
                      <w:color w:val="auto"/>
                      <w:kern w:val="0"/>
                      <w:sz w:val="22"/>
                      <w:szCs w:val="22"/>
                    </w:rPr>
                    <w:t>餐厨垃圾</w:t>
                  </w:r>
                </w:p>
                <w:p w14:paraId="1A647FE4">
                  <w:pPr>
                    <w:widowControl/>
                    <w:jc w:val="center"/>
                    <w:rPr>
                      <w:rFonts w:hint="default" w:eastAsia="宋体"/>
                      <w:bCs/>
                      <w:color w:val="auto"/>
                      <w:kern w:val="0"/>
                      <w:sz w:val="22"/>
                      <w:szCs w:val="22"/>
                      <w:lang w:val="en-US" w:eastAsia="zh-CN"/>
                    </w:rPr>
                  </w:pPr>
                  <w:r>
                    <w:rPr>
                      <w:rFonts w:hint="eastAsia"/>
                      <w:bCs/>
                      <w:color w:val="auto"/>
                      <w:kern w:val="0"/>
                      <w:sz w:val="22"/>
                      <w:szCs w:val="22"/>
                    </w:rPr>
                    <w:t>S1</w:t>
                  </w:r>
                  <w:r>
                    <w:rPr>
                      <w:rFonts w:hint="eastAsia"/>
                      <w:bCs/>
                      <w:color w:val="auto"/>
                      <w:kern w:val="0"/>
                      <w:sz w:val="22"/>
                      <w:szCs w:val="22"/>
                      <w:lang w:val="en-US" w:eastAsia="zh-CN"/>
                    </w:rPr>
                    <w:t>1</w:t>
                  </w:r>
                </w:p>
              </w:tc>
              <w:tc>
                <w:tcPr>
                  <w:tcW w:w="951" w:type="dxa"/>
                  <w:tcBorders>
                    <w:top w:val="single" w:color="auto" w:sz="4" w:space="0"/>
                    <w:left w:val="nil"/>
                    <w:bottom w:val="single" w:color="auto" w:sz="4" w:space="0"/>
                    <w:right w:val="single" w:color="auto" w:sz="4" w:space="0"/>
                  </w:tcBorders>
                  <w:vAlign w:val="center"/>
                </w:tcPr>
                <w:p w14:paraId="651E4296">
                  <w:pPr>
                    <w:widowControl/>
                    <w:jc w:val="center"/>
                    <w:rPr>
                      <w:bCs/>
                      <w:color w:val="auto"/>
                      <w:kern w:val="0"/>
                      <w:sz w:val="22"/>
                      <w:szCs w:val="22"/>
                    </w:rPr>
                  </w:pPr>
                  <w:r>
                    <w:rPr>
                      <w:rFonts w:hint="eastAsia"/>
                      <w:bCs/>
                      <w:color w:val="auto"/>
                      <w:kern w:val="0"/>
                      <w:sz w:val="22"/>
                      <w:szCs w:val="22"/>
                    </w:rPr>
                    <w:t>餐厨垃圾</w:t>
                  </w:r>
                </w:p>
              </w:tc>
              <w:tc>
                <w:tcPr>
                  <w:tcW w:w="1730" w:type="dxa"/>
                  <w:tcBorders>
                    <w:top w:val="single" w:color="auto" w:sz="4" w:space="0"/>
                    <w:left w:val="nil"/>
                    <w:bottom w:val="single" w:color="auto" w:sz="4" w:space="0"/>
                    <w:right w:val="single" w:color="auto" w:sz="4" w:space="0"/>
                  </w:tcBorders>
                  <w:vAlign w:val="center"/>
                </w:tcPr>
                <w:p w14:paraId="5CFBD07C">
                  <w:pPr>
                    <w:widowControl/>
                    <w:jc w:val="center"/>
                    <w:rPr>
                      <w:bCs/>
                      <w:color w:val="auto"/>
                      <w:kern w:val="0"/>
                      <w:sz w:val="22"/>
                      <w:szCs w:val="22"/>
                    </w:rPr>
                  </w:pPr>
                  <w:r>
                    <w:rPr>
                      <w:rFonts w:hint="eastAsia"/>
                      <w:bCs/>
                      <w:color w:val="auto"/>
                      <w:kern w:val="0"/>
                      <w:sz w:val="22"/>
                      <w:szCs w:val="22"/>
                    </w:rPr>
                    <w:t>/</w:t>
                  </w:r>
                </w:p>
              </w:tc>
              <w:tc>
                <w:tcPr>
                  <w:tcW w:w="1023" w:type="dxa"/>
                  <w:tcBorders>
                    <w:top w:val="single" w:color="auto" w:sz="4" w:space="0"/>
                    <w:left w:val="nil"/>
                    <w:bottom w:val="single" w:color="auto" w:sz="4" w:space="0"/>
                    <w:right w:val="single" w:color="auto" w:sz="4" w:space="0"/>
                  </w:tcBorders>
                  <w:vAlign w:val="center"/>
                </w:tcPr>
                <w:p w14:paraId="186CED57">
                  <w:pPr>
                    <w:widowControl/>
                    <w:jc w:val="center"/>
                    <w:rPr>
                      <w:bCs/>
                      <w:color w:val="auto"/>
                      <w:kern w:val="0"/>
                      <w:sz w:val="22"/>
                      <w:szCs w:val="22"/>
                    </w:rPr>
                  </w:pPr>
                  <w:r>
                    <w:rPr>
                      <w:rFonts w:hint="eastAsia"/>
                      <w:bCs/>
                      <w:color w:val="auto"/>
                      <w:kern w:val="0"/>
                      <w:sz w:val="22"/>
                      <w:szCs w:val="22"/>
                    </w:rPr>
                    <w:t>动植物油</w:t>
                  </w:r>
                </w:p>
              </w:tc>
              <w:tc>
                <w:tcPr>
                  <w:tcW w:w="735" w:type="dxa"/>
                  <w:tcBorders>
                    <w:top w:val="single" w:color="auto" w:sz="4" w:space="0"/>
                    <w:left w:val="nil"/>
                    <w:bottom w:val="single" w:color="auto" w:sz="4" w:space="0"/>
                    <w:right w:val="single" w:color="auto" w:sz="4" w:space="0"/>
                  </w:tcBorders>
                  <w:vAlign w:val="center"/>
                </w:tcPr>
                <w:p w14:paraId="37EF455B">
                  <w:pPr>
                    <w:widowControl/>
                    <w:jc w:val="center"/>
                    <w:rPr>
                      <w:bCs/>
                      <w:color w:val="auto"/>
                      <w:kern w:val="0"/>
                      <w:sz w:val="22"/>
                      <w:szCs w:val="22"/>
                    </w:rPr>
                  </w:pPr>
                  <w:r>
                    <w:rPr>
                      <w:rFonts w:hint="eastAsia"/>
                      <w:bCs/>
                      <w:color w:val="auto"/>
                      <w:kern w:val="0"/>
                      <w:sz w:val="22"/>
                      <w:szCs w:val="22"/>
                    </w:rPr>
                    <w:t>固体</w:t>
                  </w:r>
                </w:p>
              </w:tc>
              <w:tc>
                <w:tcPr>
                  <w:tcW w:w="736" w:type="dxa"/>
                  <w:tcBorders>
                    <w:top w:val="single" w:color="auto" w:sz="4" w:space="0"/>
                    <w:left w:val="nil"/>
                    <w:bottom w:val="single" w:color="auto" w:sz="4" w:space="0"/>
                    <w:right w:val="single" w:color="auto" w:sz="4" w:space="0"/>
                  </w:tcBorders>
                  <w:vAlign w:val="center"/>
                </w:tcPr>
                <w:p w14:paraId="132C0374">
                  <w:pPr>
                    <w:widowControl/>
                    <w:jc w:val="center"/>
                    <w:rPr>
                      <w:bCs/>
                      <w:color w:val="auto"/>
                      <w:kern w:val="0"/>
                      <w:sz w:val="22"/>
                      <w:szCs w:val="22"/>
                    </w:rPr>
                  </w:pPr>
                  <w:r>
                    <w:rPr>
                      <w:rFonts w:hint="eastAsia"/>
                      <w:bCs/>
                      <w:color w:val="auto"/>
                      <w:kern w:val="0"/>
                      <w:sz w:val="22"/>
                      <w:szCs w:val="22"/>
                    </w:rPr>
                    <w:t>/</w:t>
                  </w:r>
                </w:p>
              </w:tc>
              <w:tc>
                <w:tcPr>
                  <w:tcW w:w="1048" w:type="dxa"/>
                  <w:tcBorders>
                    <w:top w:val="single" w:color="auto" w:sz="4" w:space="0"/>
                    <w:left w:val="nil"/>
                    <w:bottom w:val="single" w:color="auto" w:sz="4" w:space="0"/>
                    <w:right w:val="single" w:color="auto" w:sz="4" w:space="0"/>
                  </w:tcBorders>
                  <w:vAlign w:val="center"/>
                </w:tcPr>
                <w:p w14:paraId="3156E1D3">
                  <w:pPr>
                    <w:widowControl/>
                    <w:jc w:val="center"/>
                    <w:rPr>
                      <w:rFonts w:hint="default" w:eastAsia="宋体"/>
                      <w:bCs/>
                      <w:color w:val="auto"/>
                      <w:kern w:val="0"/>
                      <w:sz w:val="22"/>
                      <w:szCs w:val="22"/>
                      <w:lang w:val="en-US" w:eastAsia="zh-CN"/>
                    </w:rPr>
                  </w:pPr>
                  <w:r>
                    <w:rPr>
                      <w:rFonts w:hint="eastAsia"/>
                      <w:bCs/>
                      <w:color w:val="auto"/>
                      <w:kern w:val="0"/>
                      <w:sz w:val="22"/>
                      <w:szCs w:val="22"/>
                      <w:lang w:val="en-US" w:eastAsia="zh-CN"/>
                    </w:rPr>
                    <w:t>5.25</w:t>
                  </w:r>
                </w:p>
              </w:tc>
            </w:tr>
            <w:tr w14:paraId="4750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7857E323">
                  <w:pPr>
                    <w:widowControl/>
                    <w:jc w:val="center"/>
                    <w:rPr>
                      <w:bCs/>
                      <w:color w:val="auto"/>
                      <w:kern w:val="0"/>
                      <w:sz w:val="22"/>
                      <w:szCs w:val="22"/>
                    </w:rPr>
                  </w:pPr>
                  <w:r>
                    <w:rPr>
                      <w:rFonts w:hint="eastAsia"/>
                      <w:bCs/>
                      <w:color w:val="auto"/>
                      <w:kern w:val="0"/>
                      <w:sz w:val="22"/>
                      <w:szCs w:val="22"/>
                    </w:rPr>
                    <w:t>办公</w:t>
                  </w:r>
                </w:p>
              </w:tc>
              <w:tc>
                <w:tcPr>
                  <w:tcW w:w="1184" w:type="dxa"/>
                  <w:tcBorders>
                    <w:top w:val="single" w:color="auto" w:sz="4" w:space="0"/>
                    <w:left w:val="nil"/>
                    <w:bottom w:val="single" w:color="auto" w:sz="4" w:space="0"/>
                    <w:right w:val="single" w:color="auto" w:sz="4" w:space="0"/>
                  </w:tcBorders>
                  <w:vAlign w:val="center"/>
                </w:tcPr>
                <w:p w14:paraId="6F5EC001">
                  <w:pPr>
                    <w:widowControl/>
                    <w:jc w:val="center"/>
                    <w:rPr>
                      <w:rFonts w:hint="eastAsia" w:eastAsia="宋体"/>
                      <w:bCs/>
                      <w:color w:val="auto"/>
                      <w:kern w:val="0"/>
                      <w:sz w:val="22"/>
                      <w:szCs w:val="22"/>
                      <w:lang w:eastAsia="zh-CN"/>
                    </w:rPr>
                  </w:pPr>
                  <w:r>
                    <w:rPr>
                      <w:rFonts w:hint="eastAsia"/>
                      <w:bCs/>
                      <w:color w:val="auto"/>
                      <w:kern w:val="0"/>
                      <w:sz w:val="22"/>
                      <w:szCs w:val="22"/>
                    </w:rPr>
                    <w:t>生活垃圾S1</w:t>
                  </w:r>
                  <w:r>
                    <w:rPr>
                      <w:rFonts w:hint="eastAsia"/>
                      <w:bCs/>
                      <w:color w:val="auto"/>
                      <w:kern w:val="0"/>
                      <w:sz w:val="22"/>
                      <w:szCs w:val="22"/>
                      <w:lang w:val="en-US" w:eastAsia="zh-CN"/>
                    </w:rPr>
                    <w:t>2</w:t>
                  </w:r>
                </w:p>
              </w:tc>
              <w:tc>
                <w:tcPr>
                  <w:tcW w:w="951" w:type="dxa"/>
                  <w:tcBorders>
                    <w:top w:val="single" w:color="auto" w:sz="4" w:space="0"/>
                    <w:left w:val="nil"/>
                    <w:bottom w:val="single" w:color="auto" w:sz="4" w:space="0"/>
                    <w:right w:val="single" w:color="auto" w:sz="4" w:space="0"/>
                  </w:tcBorders>
                  <w:vAlign w:val="center"/>
                </w:tcPr>
                <w:p w14:paraId="5ECB4C59">
                  <w:pPr>
                    <w:widowControl/>
                    <w:jc w:val="center"/>
                    <w:rPr>
                      <w:bCs/>
                      <w:color w:val="auto"/>
                      <w:kern w:val="0"/>
                      <w:sz w:val="22"/>
                      <w:szCs w:val="22"/>
                    </w:rPr>
                  </w:pPr>
                  <w:r>
                    <w:rPr>
                      <w:rFonts w:hint="eastAsia"/>
                      <w:bCs/>
                      <w:color w:val="auto"/>
                      <w:kern w:val="0"/>
                      <w:sz w:val="22"/>
                      <w:szCs w:val="22"/>
                    </w:rPr>
                    <w:t>生活垃圾</w:t>
                  </w:r>
                </w:p>
              </w:tc>
              <w:tc>
                <w:tcPr>
                  <w:tcW w:w="1730" w:type="dxa"/>
                  <w:tcBorders>
                    <w:top w:val="single" w:color="auto" w:sz="4" w:space="0"/>
                    <w:left w:val="nil"/>
                    <w:bottom w:val="single" w:color="auto" w:sz="4" w:space="0"/>
                    <w:right w:val="single" w:color="auto" w:sz="4" w:space="0"/>
                  </w:tcBorders>
                  <w:vAlign w:val="center"/>
                </w:tcPr>
                <w:p w14:paraId="2416CD18">
                  <w:pPr>
                    <w:widowControl/>
                    <w:jc w:val="center"/>
                    <w:rPr>
                      <w:bCs/>
                      <w:color w:val="auto"/>
                      <w:kern w:val="0"/>
                      <w:sz w:val="22"/>
                      <w:szCs w:val="22"/>
                    </w:rPr>
                  </w:pPr>
                  <w:r>
                    <w:rPr>
                      <w:rFonts w:hint="eastAsia"/>
                      <w:bCs/>
                      <w:color w:val="auto"/>
                      <w:kern w:val="0"/>
                      <w:sz w:val="22"/>
                      <w:szCs w:val="22"/>
                    </w:rPr>
                    <w:t>/</w:t>
                  </w:r>
                </w:p>
              </w:tc>
              <w:tc>
                <w:tcPr>
                  <w:tcW w:w="1023" w:type="dxa"/>
                  <w:tcBorders>
                    <w:top w:val="single" w:color="auto" w:sz="4" w:space="0"/>
                    <w:left w:val="nil"/>
                    <w:bottom w:val="single" w:color="auto" w:sz="4" w:space="0"/>
                    <w:right w:val="single" w:color="auto" w:sz="4" w:space="0"/>
                  </w:tcBorders>
                  <w:vAlign w:val="center"/>
                </w:tcPr>
                <w:p w14:paraId="6FF5E2B3">
                  <w:pPr>
                    <w:widowControl/>
                    <w:jc w:val="center"/>
                    <w:rPr>
                      <w:bCs/>
                      <w:color w:val="auto"/>
                      <w:kern w:val="0"/>
                      <w:sz w:val="22"/>
                      <w:szCs w:val="22"/>
                    </w:rPr>
                  </w:pPr>
                  <w:r>
                    <w:rPr>
                      <w:rFonts w:hint="eastAsia"/>
                      <w:bCs/>
                      <w:color w:val="auto"/>
                      <w:kern w:val="0"/>
                      <w:sz w:val="22"/>
                      <w:szCs w:val="22"/>
                    </w:rPr>
                    <w:t>/</w:t>
                  </w:r>
                </w:p>
              </w:tc>
              <w:tc>
                <w:tcPr>
                  <w:tcW w:w="735" w:type="dxa"/>
                  <w:tcBorders>
                    <w:top w:val="single" w:color="auto" w:sz="4" w:space="0"/>
                    <w:left w:val="nil"/>
                    <w:bottom w:val="single" w:color="auto" w:sz="4" w:space="0"/>
                    <w:right w:val="single" w:color="auto" w:sz="4" w:space="0"/>
                  </w:tcBorders>
                  <w:vAlign w:val="center"/>
                </w:tcPr>
                <w:p w14:paraId="56D39915">
                  <w:pPr>
                    <w:widowControl/>
                    <w:jc w:val="center"/>
                    <w:rPr>
                      <w:bCs/>
                      <w:color w:val="auto"/>
                      <w:kern w:val="0"/>
                      <w:sz w:val="22"/>
                      <w:szCs w:val="22"/>
                    </w:rPr>
                  </w:pPr>
                  <w:r>
                    <w:rPr>
                      <w:rFonts w:hint="eastAsia"/>
                      <w:bCs/>
                      <w:color w:val="auto"/>
                      <w:kern w:val="0"/>
                      <w:sz w:val="22"/>
                      <w:szCs w:val="22"/>
                    </w:rPr>
                    <w:t>固体</w:t>
                  </w:r>
                </w:p>
              </w:tc>
              <w:tc>
                <w:tcPr>
                  <w:tcW w:w="736" w:type="dxa"/>
                  <w:tcBorders>
                    <w:top w:val="single" w:color="auto" w:sz="4" w:space="0"/>
                    <w:left w:val="nil"/>
                    <w:bottom w:val="single" w:color="auto" w:sz="4" w:space="0"/>
                    <w:right w:val="single" w:color="auto" w:sz="4" w:space="0"/>
                  </w:tcBorders>
                  <w:vAlign w:val="center"/>
                </w:tcPr>
                <w:p w14:paraId="5A7AD3E3">
                  <w:pPr>
                    <w:widowControl/>
                    <w:jc w:val="center"/>
                    <w:rPr>
                      <w:bCs/>
                      <w:color w:val="auto"/>
                      <w:kern w:val="0"/>
                      <w:sz w:val="22"/>
                      <w:szCs w:val="22"/>
                    </w:rPr>
                  </w:pPr>
                  <w:r>
                    <w:rPr>
                      <w:rFonts w:hint="eastAsia"/>
                      <w:bCs/>
                      <w:color w:val="auto"/>
                      <w:kern w:val="0"/>
                      <w:sz w:val="22"/>
                      <w:szCs w:val="22"/>
                    </w:rPr>
                    <w:t>/</w:t>
                  </w:r>
                </w:p>
              </w:tc>
              <w:tc>
                <w:tcPr>
                  <w:tcW w:w="1048" w:type="dxa"/>
                  <w:tcBorders>
                    <w:top w:val="single" w:color="auto" w:sz="4" w:space="0"/>
                    <w:left w:val="nil"/>
                    <w:bottom w:val="single" w:color="auto" w:sz="4" w:space="0"/>
                    <w:right w:val="single" w:color="auto" w:sz="4" w:space="0"/>
                  </w:tcBorders>
                  <w:vAlign w:val="center"/>
                </w:tcPr>
                <w:p w14:paraId="713C39B7">
                  <w:pPr>
                    <w:widowControl/>
                    <w:jc w:val="center"/>
                    <w:rPr>
                      <w:rFonts w:hint="default" w:eastAsia="宋体"/>
                      <w:bCs/>
                      <w:color w:val="auto"/>
                      <w:kern w:val="0"/>
                      <w:sz w:val="22"/>
                      <w:szCs w:val="22"/>
                      <w:lang w:val="en-US" w:eastAsia="zh-CN"/>
                    </w:rPr>
                  </w:pPr>
                  <w:r>
                    <w:rPr>
                      <w:rFonts w:hint="eastAsia"/>
                      <w:bCs/>
                      <w:color w:val="auto"/>
                      <w:kern w:val="0"/>
                      <w:sz w:val="22"/>
                      <w:szCs w:val="22"/>
                      <w:lang w:val="en-US" w:eastAsia="zh-CN"/>
                    </w:rPr>
                    <w:t>10.5</w:t>
                  </w:r>
                </w:p>
              </w:tc>
            </w:tr>
          </w:tbl>
          <w:p w14:paraId="7CF36351">
            <w:pPr>
              <w:pStyle w:val="12"/>
              <w:spacing w:before="120"/>
              <w:rPr>
                <w:rFonts w:ascii="宋体" w:hAnsi="宋体"/>
                <w:color w:val="auto"/>
                <w:szCs w:val="26"/>
              </w:rPr>
            </w:pPr>
            <w:r>
              <w:rPr>
                <w:color w:val="auto"/>
                <w:szCs w:val="26"/>
              </w:rPr>
              <w:t>表4.2-1</w:t>
            </w:r>
            <w:r>
              <w:rPr>
                <w:rFonts w:hint="eastAsia"/>
                <w:color w:val="auto"/>
                <w:szCs w:val="26"/>
                <w:lang w:val="en-US" w:eastAsia="zh-CN"/>
              </w:rPr>
              <w:t xml:space="preserve">8  </w:t>
            </w:r>
            <w:r>
              <w:rPr>
                <w:rFonts w:ascii="宋体" w:hAnsi="宋体"/>
                <w:color w:val="auto"/>
                <w:szCs w:val="26"/>
              </w:rPr>
              <w:t>固体废物</w:t>
            </w:r>
            <w:r>
              <w:rPr>
                <w:rFonts w:hint="eastAsia" w:ascii="宋体" w:hAnsi="宋体"/>
                <w:color w:val="auto"/>
                <w:szCs w:val="26"/>
              </w:rPr>
              <w:t>处置</w:t>
            </w:r>
            <w:r>
              <w:rPr>
                <w:rFonts w:ascii="宋体" w:hAnsi="宋体"/>
                <w:color w:val="auto"/>
                <w:szCs w:val="26"/>
              </w:rPr>
              <w:t>情况表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189"/>
              <w:gridCol w:w="1128"/>
              <w:gridCol w:w="1698"/>
              <w:gridCol w:w="940"/>
              <w:gridCol w:w="935"/>
            </w:tblGrid>
            <w:tr w14:paraId="1A9E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auto" w:sz="4" w:space="0"/>
                    <w:left w:val="single" w:color="auto" w:sz="4" w:space="0"/>
                    <w:bottom w:val="single" w:color="auto" w:sz="4" w:space="0"/>
                    <w:right w:val="single" w:color="auto" w:sz="4" w:space="0"/>
                  </w:tcBorders>
                  <w:vAlign w:val="center"/>
                </w:tcPr>
                <w:p w14:paraId="77260BE6">
                  <w:pPr>
                    <w:widowControl/>
                    <w:jc w:val="center"/>
                    <w:rPr>
                      <w:bCs/>
                      <w:color w:val="auto"/>
                      <w:kern w:val="0"/>
                      <w:sz w:val="22"/>
                      <w:szCs w:val="22"/>
                    </w:rPr>
                  </w:pPr>
                  <w:r>
                    <w:rPr>
                      <w:rFonts w:hint="eastAsia"/>
                      <w:bCs/>
                      <w:color w:val="auto"/>
                      <w:kern w:val="0"/>
                      <w:sz w:val="22"/>
                      <w:szCs w:val="22"/>
                    </w:rPr>
                    <w:t>固废名称</w:t>
                  </w:r>
                </w:p>
              </w:tc>
              <w:tc>
                <w:tcPr>
                  <w:tcW w:w="2189" w:type="dxa"/>
                  <w:tcBorders>
                    <w:top w:val="single" w:color="auto" w:sz="4" w:space="0"/>
                    <w:left w:val="nil"/>
                    <w:bottom w:val="single" w:color="auto" w:sz="4" w:space="0"/>
                    <w:right w:val="single" w:color="auto" w:sz="4" w:space="0"/>
                  </w:tcBorders>
                  <w:vAlign w:val="center"/>
                </w:tcPr>
                <w:p w14:paraId="11436486">
                  <w:pPr>
                    <w:widowControl/>
                    <w:jc w:val="center"/>
                    <w:rPr>
                      <w:bCs/>
                      <w:color w:val="auto"/>
                      <w:kern w:val="0"/>
                      <w:sz w:val="22"/>
                      <w:szCs w:val="22"/>
                    </w:rPr>
                  </w:pPr>
                  <w:r>
                    <w:rPr>
                      <w:rFonts w:hint="eastAsia"/>
                      <w:bCs/>
                      <w:color w:val="auto"/>
                      <w:kern w:val="0"/>
                      <w:sz w:val="22"/>
                      <w:szCs w:val="22"/>
                    </w:rPr>
                    <w:t>贮存方式</w:t>
                  </w:r>
                </w:p>
              </w:tc>
              <w:tc>
                <w:tcPr>
                  <w:tcW w:w="1128" w:type="dxa"/>
                  <w:tcBorders>
                    <w:top w:val="single" w:color="auto" w:sz="4" w:space="0"/>
                    <w:left w:val="nil"/>
                    <w:bottom w:val="single" w:color="auto" w:sz="4" w:space="0"/>
                    <w:right w:val="single" w:color="auto" w:sz="4" w:space="0"/>
                  </w:tcBorders>
                  <w:vAlign w:val="center"/>
                </w:tcPr>
                <w:p w14:paraId="5F70149A">
                  <w:pPr>
                    <w:widowControl/>
                    <w:jc w:val="center"/>
                    <w:rPr>
                      <w:bCs/>
                      <w:color w:val="auto"/>
                      <w:kern w:val="0"/>
                      <w:sz w:val="22"/>
                      <w:szCs w:val="22"/>
                    </w:rPr>
                  </w:pPr>
                  <w:r>
                    <w:rPr>
                      <w:rFonts w:hint="eastAsia"/>
                      <w:bCs/>
                      <w:color w:val="auto"/>
                      <w:kern w:val="0"/>
                      <w:sz w:val="22"/>
                      <w:szCs w:val="22"/>
                    </w:rPr>
                    <w:t>利用处置方式</w:t>
                  </w:r>
                </w:p>
              </w:tc>
              <w:tc>
                <w:tcPr>
                  <w:tcW w:w="1698" w:type="dxa"/>
                  <w:tcBorders>
                    <w:top w:val="single" w:color="auto" w:sz="4" w:space="0"/>
                    <w:left w:val="nil"/>
                    <w:bottom w:val="single" w:color="auto" w:sz="4" w:space="0"/>
                    <w:right w:val="single" w:color="auto" w:sz="4" w:space="0"/>
                  </w:tcBorders>
                  <w:vAlign w:val="center"/>
                </w:tcPr>
                <w:p w14:paraId="7AC2CB7D">
                  <w:pPr>
                    <w:widowControl/>
                    <w:jc w:val="center"/>
                    <w:rPr>
                      <w:bCs/>
                      <w:color w:val="auto"/>
                      <w:kern w:val="0"/>
                      <w:sz w:val="22"/>
                      <w:szCs w:val="22"/>
                    </w:rPr>
                  </w:pPr>
                  <w:r>
                    <w:rPr>
                      <w:rFonts w:hint="eastAsia"/>
                      <w:bCs/>
                      <w:color w:val="auto"/>
                      <w:kern w:val="0"/>
                      <w:sz w:val="22"/>
                      <w:szCs w:val="22"/>
                    </w:rPr>
                    <w:t>去向</w:t>
                  </w:r>
                </w:p>
              </w:tc>
              <w:tc>
                <w:tcPr>
                  <w:tcW w:w="940" w:type="dxa"/>
                  <w:tcBorders>
                    <w:top w:val="single" w:color="auto" w:sz="4" w:space="0"/>
                    <w:left w:val="nil"/>
                    <w:bottom w:val="single" w:color="auto" w:sz="4" w:space="0"/>
                    <w:right w:val="single" w:color="auto" w:sz="4" w:space="0"/>
                  </w:tcBorders>
                  <w:vAlign w:val="center"/>
                </w:tcPr>
                <w:p w14:paraId="1E8E170B">
                  <w:pPr>
                    <w:widowControl/>
                    <w:jc w:val="center"/>
                    <w:rPr>
                      <w:bCs/>
                      <w:color w:val="auto"/>
                      <w:kern w:val="0"/>
                      <w:sz w:val="22"/>
                      <w:szCs w:val="22"/>
                    </w:rPr>
                  </w:pPr>
                  <w:r>
                    <w:rPr>
                      <w:rFonts w:hint="eastAsia"/>
                      <w:bCs/>
                      <w:color w:val="auto"/>
                      <w:kern w:val="0"/>
                      <w:sz w:val="22"/>
                      <w:szCs w:val="22"/>
                    </w:rPr>
                    <w:t>处置量（</w:t>
                  </w:r>
                  <w:r>
                    <w:rPr>
                      <w:rFonts w:hint="eastAsia"/>
                      <w:color w:val="auto"/>
                      <w:sz w:val="22"/>
                      <w:szCs w:val="22"/>
                    </w:rPr>
                    <w:t>t/a）</w:t>
                  </w:r>
                </w:p>
              </w:tc>
              <w:tc>
                <w:tcPr>
                  <w:tcW w:w="935" w:type="dxa"/>
                  <w:tcBorders>
                    <w:top w:val="single" w:color="auto" w:sz="4" w:space="0"/>
                    <w:left w:val="nil"/>
                    <w:bottom w:val="single" w:color="auto" w:sz="4" w:space="0"/>
                    <w:right w:val="single" w:color="auto" w:sz="4" w:space="0"/>
                  </w:tcBorders>
                  <w:vAlign w:val="center"/>
                </w:tcPr>
                <w:p w14:paraId="4898CEB7">
                  <w:pPr>
                    <w:widowControl/>
                    <w:jc w:val="center"/>
                    <w:rPr>
                      <w:bCs/>
                      <w:color w:val="auto"/>
                      <w:kern w:val="0"/>
                      <w:sz w:val="22"/>
                      <w:szCs w:val="22"/>
                    </w:rPr>
                  </w:pPr>
                  <w:r>
                    <w:rPr>
                      <w:rFonts w:hint="eastAsia"/>
                      <w:bCs/>
                      <w:color w:val="auto"/>
                      <w:kern w:val="0"/>
                      <w:sz w:val="22"/>
                      <w:szCs w:val="22"/>
                    </w:rPr>
                    <w:t>排放量（</w:t>
                  </w:r>
                  <w:r>
                    <w:rPr>
                      <w:rFonts w:hint="eastAsia"/>
                      <w:color w:val="auto"/>
                      <w:sz w:val="22"/>
                      <w:szCs w:val="22"/>
                    </w:rPr>
                    <w:t>t/a）</w:t>
                  </w:r>
                </w:p>
              </w:tc>
            </w:tr>
            <w:tr w14:paraId="122C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auto" w:sz="4" w:space="0"/>
                    <w:left w:val="single" w:color="auto" w:sz="4" w:space="0"/>
                    <w:bottom w:val="single" w:color="auto" w:sz="4" w:space="0"/>
                    <w:right w:val="single" w:color="auto" w:sz="4" w:space="0"/>
                  </w:tcBorders>
                  <w:vAlign w:val="center"/>
                </w:tcPr>
                <w:p w14:paraId="5E2FEFCB">
                  <w:pPr>
                    <w:widowControl/>
                    <w:jc w:val="center"/>
                    <w:rPr>
                      <w:bCs/>
                      <w:color w:val="auto"/>
                      <w:kern w:val="0"/>
                      <w:sz w:val="22"/>
                      <w:szCs w:val="22"/>
                    </w:rPr>
                  </w:pPr>
                  <w:r>
                    <w:rPr>
                      <w:rFonts w:hint="eastAsia"/>
                      <w:bCs/>
                      <w:color w:val="auto"/>
                      <w:kern w:val="0"/>
                      <w:sz w:val="22"/>
                      <w:szCs w:val="22"/>
                    </w:rPr>
                    <w:t>废包装材料、废零部件</w:t>
                  </w:r>
                </w:p>
              </w:tc>
              <w:tc>
                <w:tcPr>
                  <w:tcW w:w="2189" w:type="dxa"/>
                  <w:tcBorders>
                    <w:top w:val="single" w:color="auto" w:sz="4" w:space="0"/>
                    <w:left w:val="nil"/>
                    <w:bottom w:val="single" w:color="auto" w:sz="4" w:space="0"/>
                    <w:right w:val="single" w:color="auto" w:sz="4" w:space="0"/>
                  </w:tcBorders>
                  <w:vAlign w:val="center"/>
                </w:tcPr>
                <w:p w14:paraId="3B14FBB8">
                  <w:pPr>
                    <w:widowControl/>
                    <w:jc w:val="center"/>
                    <w:rPr>
                      <w:bCs/>
                      <w:color w:val="auto"/>
                      <w:kern w:val="0"/>
                      <w:sz w:val="22"/>
                      <w:szCs w:val="22"/>
                    </w:rPr>
                  </w:pPr>
                  <w:r>
                    <w:rPr>
                      <w:rFonts w:hint="eastAsia"/>
                      <w:bCs/>
                      <w:color w:val="auto"/>
                      <w:kern w:val="0"/>
                      <w:sz w:val="22"/>
                      <w:szCs w:val="22"/>
                    </w:rPr>
                    <w:t>存放于垃圾站</w:t>
                  </w:r>
                </w:p>
              </w:tc>
              <w:tc>
                <w:tcPr>
                  <w:tcW w:w="1128" w:type="dxa"/>
                  <w:tcBorders>
                    <w:top w:val="single" w:color="auto" w:sz="4" w:space="0"/>
                    <w:left w:val="nil"/>
                    <w:bottom w:val="single" w:color="auto" w:sz="4" w:space="0"/>
                    <w:right w:val="single" w:color="auto" w:sz="4" w:space="0"/>
                  </w:tcBorders>
                  <w:vAlign w:val="center"/>
                </w:tcPr>
                <w:p w14:paraId="4311F165">
                  <w:pPr>
                    <w:widowControl/>
                    <w:jc w:val="center"/>
                    <w:rPr>
                      <w:bCs/>
                      <w:color w:val="auto"/>
                      <w:kern w:val="0"/>
                      <w:sz w:val="22"/>
                      <w:szCs w:val="22"/>
                    </w:rPr>
                  </w:pPr>
                  <w:r>
                    <w:rPr>
                      <w:rFonts w:hint="eastAsia"/>
                      <w:bCs/>
                      <w:color w:val="auto"/>
                      <w:kern w:val="0"/>
                      <w:sz w:val="22"/>
                      <w:szCs w:val="22"/>
                    </w:rPr>
                    <w:t>回收</w:t>
                  </w:r>
                </w:p>
              </w:tc>
              <w:tc>
                <w:tcPr>
                  <w:tcW w:w="1698" w:type="dxa"/>
                  <w:tcBorders>
                    <w:top w:val="single" w:color="auto" w:sz="4" w:space="0"/>
                    <w:left w:val="nil"/>
                    <w:bottom w:val="single" w:color="auto" w:sz="4" w:space="0"/>
                    <w:right w:val="single" w:color="auto" w:sz="4" w:space="0"/>
                  </w:tcBorders>
                  <w:vAlign w:val="center"/>
                </w:tcPr>
                <w:p w14:paraId="145657E5">
                  <w:pPr>
                    <w:widowControl/>
                    <w:jc w:val="center"/>
                    <w:rPr>
                      <w:bCs/>
                      <w:color w:val="auto"/>
                      <w:kern w:val="0"/>
                      <w:sz w:val="22"/>
                      <w:szCs w:val="22"/>
                    </w:rPr>
                  </w:pPr>
                  <w:r>
                    <w:rPr>
                      <w:rFonts w:hint="eastAsia"/>
                      <w:bCs/>
                      <w:color w:val="auto"/>
                      <w:kern w:val="0"/>
                      <w:sz w:val="22"/>
                      <w:szCs w:val="22"/>
                    </w:rPr>
                    <w:t>废品回收站</w:t>
                  </w:r>
                </w:p>
              </w:tc>
              <w:tc>
                <w:tcPr>
                  <w:tcW w:w="940" w:type="dxa"/>
                  <w:tcBorders>
                    <w:top w:val="single" w:color="auto" w:sz="4" w:space="0"/>
                    <w:left w:val="nil"/>
                    <w:bottom w:val="single" w:color="auto" w:sz="4" w:space="0"/>
                    <w:right w:val="single" w:color="auto" w:sz="4" w:space="0"/>
                  </w:tcBorders>
                  <w:vAlign w:val="center"/>
                </w:tcPr>
                <w:p w14:paraId="249C5A4B">
                  <w:pPr>
                    <w:widowControl/>
                    <w:jc w:val="center"/>
                    <w:rPr>
                      <w:bCs/>
                      <w:color w:val="auto"/>
                      <w:kern w:val="0"/>
                      <w:sz w:val="22"/>
                      <w:szCs w:val="22"/>
                    </w:rPr>
                  </w:pPr>
                  <w:r>
                    <w:rPr>
                      <w:rFonts w:hint="eastAsia"/>
                      <w:bCs/>
                      <w:color w:val="auto"/>
                      <w:kern w:val="0"/>
                      <w:sz w:val="22"/>
                      <w:szCs w:val="22"/>
                    </w:rPr>
                    <w:t>40</w:t>
                  </w:r>
                </w:p>
              </w:tc>
              <w:tc>
                <w:tcPr>
                  <w:tcW w:w="935" w:type="dxa"/>
                  <w:tcBorders>
                    <w:top w:val="single" w:color="auto" w:sz="4" w:space="0"/>
                    <w:left w:val="nil"/>
                    <w:bottom w:val="single" w:color="auto" w:sz="4" w:space="0"/>
                    <w:right w:val="single" w:color="auto" w:sz="4" w:space="0"/>
                  </w:tcBorders>
                  <w:vAlign w:val="center"/>
                </w:tcPr>
                <w:p w14:paraId="3487E2FE">
                  <w:pPr>
                    <w:widowControl/>
                    <w:jc w:val="center"/>
                    <w:rPr>
                      <w:bCs/>
                      <w:color w:val="auto"/>
                      <w:kern w:val="0"/>
                      <w:sz w:val="22"/>
                      <w:szCs w:val="22"/>
                    </w:rPr>
                  </w:pPr>
                  <w:r>
                    <w:rPr>
                      <w:rFonts w:hint="eastAsia"/>
                      <w:bCs/>
                      <w:color w:val="auto"/>
                      <w:kern w:val="0"/>
                      <w:sz w:val="22"/>
                      <w:szCs w:val="22"/>
                    </w:rPr>
                    <w:t>0</w:t>
                  </w:r>
                </w:p>
              </w:tc>
            </w:tr>
            <w:tr w14:paraId="44A7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25BAED8D">
                  <w:pPr>
                    <w:widowControl/>
                    <w:ind w:firstLine="220" w:firstLineChars="100"/>
                    <w:rPr>
                      <w:bCs/>
                      <w:color w:val="auto"/>
                      <w:kern w:val="0"/>
                      <w:sz w:val="22"/>
                      <w:szCs w:val="22"/>
                    </w:rPr>
                  </w:pPr>
                  <w:r>
                    <w:rPr>
                      <w:rFonts w:hint="eastAsia"/>
                      <w:bCs/>
                      <w:color w:val="auto"/>
                      <w:kern w:val="0"/>
                      <w:sz w:val="22"/>
                      <w:szCs w:val="22"/>
                    </w:rPr>
                    <w:t>劳保用品</w:t>
                  </w:r>
                </w:p>
              </w:tc>
              <w:tc>
                <w:tcPr>
                  <w:tcW w:w="2189" w:type="dxa"/>
                  <w:vAlign w:val="center"/>
                </w:tcPr>
                <w:p w14:paraId="01DAAADF">
                  <w:pPr>
                    <w:widowControl/>
                    <w:jc w:val="center"/>
                    <w:rPr>
                      <w:bCs/>
                      <w:color w:val="auto"/>
                      <w:kern w:val="0"/>
                      <w:sz w:val="22"/>
                      <w:szCs w:val="22"/>
                    </w:rPr>
                  </w:pPr>
                  <w:r>
                    <w:rPr>
                      <w:rFonts w:hint="eastAsia"/>
                      <w:bCs/>
                      <w:color w:val="auto"/>
                      <w:kern w:val="0"/>
                      <w:sz w:val="22"/>
                      <w:szCs w:val="22"/>
                    </w:rPr>
                    <w:t>暂存于一般固废间</w:t>
                  </w:r>
                </w:p>
              </w:tc>
              <w:tc>
                <w:tcPr>
                  <w:tcW w:w="1128" w:type="dxa"/>
                  <w:vAlign w:val="center"/>
                </w:tcPr>
                <w:p w14:paraId="4FE26377">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6A4D994C">
                  <w:pPr>
                    <w:widowControl/>
                    <w:jc w:val="center"/>
                    <w:rPr>
                      <w:bCs/>
                      <w:color w:val="auto"/>
                      <w:kern w:val="0"/>
                      <w:sz w:val="22"/>
                      <w:szCs w:val="22"/>
                    </w:rPr>
                  </w:pPr>
                  <w:r>
                    <w:rPr>
                      <w:rFonts w:hint="eastAsia"/>
                      <w:bCs/>
                      <w:color w:val="auto"/>
                      <w:kern w:val="0"/>
                      <w:sz w:val="22"/>
                      <w:szCs w:val="22"/>
                    </w:rPr>
                    <w:t>第三方资质单位</w:t>
                  </w:r>
                </w:p>
              </w:tc>
              <w:tc>
                <w:tcPr>
                  <w:tcW w:w="940" w:type="dxa"/>
                  <w:vAlign w:val="center"/>
                </w:tcPr>
                <w:p w14:paraId="2E13D0D8">
                  <w:pPr>
                    <w:widowControl/>
                    <w:jc w:val="center"/>
                    <w:rPr>
                      <w:bCs/>
                      <w:color w:val="auto"/>
                      <w:kern w:val="0"/>
                      <w:sz w:val="22"/>
                      <w:szCs w:val="22"/>
                    </w:rPr>
                  </w:pPr>
                  <w:r>
                    <w:rPr>
                      <w:rFonts w:hint="eastAsia"/>
                      <w:bCs/>
                      <w:color w:val="auto"/>
                      <w:kern w:val="0"/>
                      <w:sz w:val="22"/>
                      <w:szCs w:val="22"/>
                    </w:rPr>
                    <w:t>3</w:t>
                  </w:r>
                </w:p>
              </w:tc>
              <w:tc>
                <w:tcPr>
                  <w:tcW w:w="935" w:type="dxa"/>
                  <w:vAlign w:val="center"/>
                </w:tcPr>
                <w:p w14:paraId="7CE21D1A">
                  <w:pPr>
                    <w:widowControl/>
                    <w:jc w:val="center"/>
                    <w:rPr>
                      <w:bCs/>
                      <w:color w:val="auto"/>
                      <w:kern w:val="0"/>
                      <w:sz w:val="22"/>
                      <w:szCs w:val="22"/>
                    </w:rPr>
                  </w:pPr>
                  <w:r>
                    <w:rPr>
                      <w:rFonts w:hint="eastAsia"/>
                      <w:bCs/>
                      <w:color w:val="auto"/>
                      <w:kern w:val="0"/>
                      <w:sz w:val="22"/>
                      <w:szCs w:val="22"/>
                    </w:rPr>
                    <w:t>0</w:t>
                  </w:r>
                </w:p>
              </w:tc>
            </w:tr>
            <w:tr w14:paraId="4BE9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10763126">
                  <w:pPr>
                    <w:widowControl/>
                    <w:jc w:val="center"/>
                    <w:rPr>
                      <w:bCs/>
                      <w:color w:val="auto"/>
                      <w:kern w:val="0"/>
                      <w:sz w:val="22"/>
                      <w:szCs w:val="22"/>
                    </w:rPr>
                  </w:pPr>
                  <w:r>
                    <w:rPr>
                      <w:rFonts w:hint="eastAsia"/>
                      <w:bCs/>
                      <w:color w:val="auto"/>
                      <w:kern w:val="0"/>
                      <w:sz w:val="22"/>
                      <w:szCs w:val="22"/>
                    </w:rPr>
                    <w:t>废包装桶/瓶</w:t>
                  </w:r>
                </w:p>
              </w:tc>
              <w:tc>
                <w:tcPr>
                  <w:tcW w:w="2189" w:type="dxa"/>
                  <w:vAlign w:val="center"/>
                </w:tcPr>
                <w:p w14:paraId="0B8C0E81">
                  <w:pPr>
                    <w:widowControl/>
                    <w:jc w:val="center"/>
                    <w:rPr>
                      <w:rFonts w:hint="eastAsia" w:eastAsia="宋体"/>
                      <w:bCs/>
                      <w:color w:val="auto"/>
                      <w:kern w:val="0"/>
                      <w:sz w:val="22"/>
                      <w:szCs w:val="22"/>
                      <w:lang w:eastAsia="zh-CN"/>
                    </w:rPr>
                  </w:pPr>
                  <w:r>
                    <w:rPr>
                      <w:rFonts w:hint="eastAsia"/>
                      <w:bCs/>
                      <w:color w:val="auto"/>
                      <w:kern w:val="0"/>
                      <w:sz w:val="22"/>
                      <w:szCs w:val="22"/>
                    </w:rPr>
                    <w:t>盖严桶/瓶盖，暂存放于</w:t>
                  </w:r>
                  <w:r>
                    <w:rPr>
                      <w:rFonts w:hint="eastAsia"/>
                      <w:bCs/>
                      <w:color w:val="auto"/>
                      <w:kern w:val="0"/>
                      <w:sz w:val="22"/>
                      <w:szCs w:val="22"/>
                      <w:lang w:eastAsia="zh-CN"/>
                    </w:rPr>
                    <w:t>危废贮存库</w:t>
                  </w:r>
                </w:p>
              </w:tc>
              <w:tc>
                <w:tcPr>
                  <w:tcW w:w="1128" w:type="dxa"/>
                  <w:vAlign w:val="center"/>
                </w:tcPr>
                <w:p w14:paraId="6F5383E6">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4457DDC7">
                  <w:pPr>
                    <w:widowControl/>
                    <w:jc w:val="center"/>
                    <w:rPr>
                      <w:bCs/>
                      <w:color w:val="auto"/>
                      <w:kern w:val="0"/>
                      <w:sz w:val="22"/>
                      <w:szCs w:val="22"/>
                    </w:rPr>
                  </w:pPr>
                  <w:r>
                    <w:rPr>
                      <w:rFonts w:hint="eastAsia"/>
                      <w:bCs/>
                      <w:color w:val="auto"/>
                      <w:kern w:val="0"/>
                      <w:sz w:val="22"/>
                      <w:szCs w:val="22"/>
                    </w:rPr>
                    <w:t>第三方资质单位</w:t>
                  </w:r>
                </w:p>
              </w:tc>
              <w:tc>
                <w:tcPr>
                  <w:tcW w:w="940" w:type="dxa"/>
                  <w:vAlign w:val="center"/>
                </w:tcPr>
                <w:p w14:paraId="5B1C9EFF">
                  <w:pPr>
                    <w:widowControl/>
                    <w:jc w:val="center"/>
                    <w:rPr>
                      <w:bCs/>
                      <w:color w:val="auto"/>
                      <w:kern w:val="0"/>
                      <w:sz w:val="22"/>
                      <w:szCs w:val="22"/>
                    </w:rPr>
                  </w:pPr>
                  <w:r>
                    <w:rPr>
                      <w:rFonts w:hint="eastAsia"/>
                      <w:bCs/>
                      <w:color w:val="auto"/>
                      <w:kern w:val="0"/>
                      <w:sz w:val="22"/>
                      <w:szCs w:val="22"/>
                      <w:u w:val="none"/>
                      <w:lang w:val="en-US" w:eastAsia="zh-CN"/>
                    </w:rPr>
                    <w:t>20</w:t>
                  </w:r>
                </w:p>
              </w:tc>
              <w:tc>
                <w:tcPr>
                  <w:tcW w:w="935" w:type="dxa"/>
                  <w:vAlign w:val="center"/>
                </w:tcPr>
                <w:p w14:paraId="7FB51AE4">
                  <w:pPr>
                    <w:widowControl/>
                    <w:jc w:val="center"/>
                    <w:rPr>
                      <w:bCs/>
                      <w:color w:val="auto"/>
                      <w:kern w:val="0"/>
                      <w:sz w:val="22"/>
                      <w:szCs w:val="22"/>
                    </w:rPr>
                  </w:pPr>
                  <w:r>
                    <w:rPr>
                      <w:rFonts w:hint="eastAsia"/>
                      <w:bCs/>
                      <w:color w:val="auto"/>
                      <w:kern w:val="0"/>
                      <w:sz w:val="22"/>
                      <w:szCs w:val="22"/>
                    </w:rPr>
                    <w:t>0</w:t>
                  </w:r>
                </w:p>
              </w:tc>
            </w:tr>
            <w:tr w14:paraId="07C1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584AC668">
                  <w:pPr>
                    <w:widowControl/>
                    <w:jc w:val="center"/>
                    <w:rPr>
                      <w:bCs/>
                      <w:color w:val="auto"/>
                      <w:kern w:val="0"/>
                      <w:sz w:val="22"/>
                      <w:szCs w:val="22"/>
                    </w:rPr>
                  </w:pPr>
                  <w:r>
                    <w:rPr>
                      <w:rFonts w:hint="eastAsia"/>
                      <w:bCs/>
                      <w:color w:val="auto"/>
                      <w:kern w:val="0"/>
                      <w:sz w:val="22"/>
                      <w:szCs w:val="22"/>
                    </w:rPr>
                    <w:t>化学沾染物</w:t>
                  </w:r>
                </w:p>
              </w:tc>
              <w:tc>
                <w:tcPr>
                  <w:tcW w:w="2189" w:type="dxa"/>
                  <w:vAlign w:val="center"/>
                </w:tcPr>
                <w:p w14:paraId="219BCFAE">
                  <w:pPr>
                    <w:widowControl/>
                    <w:jc w:val="center"/>
                    <w:rPr>
                      <w:bCs/>
                      <w:color w:val="auto"/>
                      <w:kern w:val="0"/>
                      <w:sz w:val="22"/>
                      <w:szCs w:val="22"/>
                    </w:rPr>
                  </w:pPr>
                  <w:r>
                    <w:rPr>
                      <w:rFonts w:hint="eastAsia"/>
                      <w:bCs/>
                      <w:color w:val="auto"/>
                      <w:kern w:val="0"/>
                      <w:sz w:val="22"/>
                      <w:szCs w:val="22"/>
                    </w:rPr>
                    <w:t>采用密闭桶收集后分类暂存于</w:t>
                  </w:r>
                  <w:r>
                    <w:rPr>
                      <w:rFonts w:hint="eastAsia"/>
                      <w:bCs/>
                      <w:color w:val="auto"/>
                      <w:kern w:val="0"/>
                      <w:sz w:val="22"/>
                      <w:szCs w:val="22"/>
                      <w:lang w:eastAsia="zh-CN"/>
                    </w:rPr>
                    <w:t>危废贮存库</w:t>
                  </w:r>
                  <w:r>
                    <w:rPr>
                      <w:rFonts w:hint="eastAsia"/>
                      <w:bCs/>
                      <w:color w:val="auto"/>
                      <w:kern w:val="0"/>
                      <w:sz w:val="22"/>
                      <w:szCs w:val="22"/>
                    </w:rPr>
                    <w:t>内</w:t>
                  </w:r>
                </w:p>
              </w:tc>
              <w:tc>
                <w:tcPr>
                  <w:tcW w:w="1128" w:type="dxa"/>
                  <w:vAlign w:val="center"/>
                </w:tcPr>
                <w:p w14:paraId="2CFB2E88">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5C647361">
                  <w:pPr>
                    <w:widowControl/>
                    <w:jc w:val="center"/>
                    <w:rPr>
                      <w:bCs/>
                      <w:color w:val="auto"/>
                      <w:kern w:val="0"/>
                      <w:sz w:val="22"/>
                      <w:szCs w:val="22"/>
                    </w:rPr>
                  </w:pPr>
                  <w:r>
                    <w:rPr>
                      <w:rFonts w:hint="eastAsia"/>
                      <w:bCs/>
                      <w:color w:val="auto"/>
                      <w:kern w:val="0"/>
                      <w:sz w:val="22"/>
                      <w:szCs w:val="22"/>
                    </w:rPr>
                    <w:t>第三方资质单位</w:t>
                  </w:r>
                </w:p>
              </w:tc>
              <w:tc>
                <w:tcPr>
                  <w:tcW w:w="940" w:type="dxa"/>
                  <w:vAlign w:val="center"/>
                </w:tcPr>
                <w:p w14:paraId="5DE60F40">
                  <w:pPr>
                    <w:widowControl/>
                    <w:jc w:val="center"/>
                    <w:rPr>
                      <w:bCs/>
                      <w:color w:val="auto"/>
                      <w:kern w:val="0"/>
                      <w:sz w:val="22"/>
                      <w:szCs w:val="22"/>
                    </w:rPr>
                  </w:pPr>
                  <w:r>
                    <w:rPr>
                      <w:rFonts w:hint="eastAsia"/>
                      <w:bCs/>
                      <w:color w:val="auto"/>
                      <w:kern w:val="0"/>
                      <w:sz w:val="22"/>
                      <w:szCs w:val="22"/>
                      <w:u w:val="none"/>
                      <w:lang w:val="en-US" w:eastAsia="zh-CN"/>
                    </w:rPr>
                    <w:t>20</w:t>
                  </w:r>
                </w:p>
              </w:tc>
              <w:tc>
                <w:tcPr>
                  <w:tcW w:w="935" w:type="dxa"/>
                  <w:vAlign w:val="center"/>
                </w:tcPr>
                <w:p w14:paraId="09A52CB4">
                  <w:pPr>
                    <w:widowControl/>
                    <w:jc w:val="center"/>
                    <w:rPr>
                      <w:bCs/>
                      <w:color w:val="auto"/>
                      <w:kern w:val="0"/>
                      <w:sz w:val="22"/>
                      <w:szCs w:val="22"/>
                    </w:rPr>
                  </w:pPr>
                  <w:r>
                    <w:rPr>
                      <w:rFonts w:hint="eastAsia"/>
                      <w:bCs/>
                      <w:color w:val="auto"/>
                      <w:kern w:val="0"/>
                      <w:sz w:val="22"/>
                      <w:szCs w:val="22"/>
                    </w:rPr>
                    <w:t>0</w:t>
                  </w:r>
                </w:p>
              </w:tc>
            </w:tr>
            <w:tr w14:paraId="3E36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70FDFC05">
                  <w:pPr>
                    <w:widowControl/>
                    <w:jc w:val="center"/>
                    <w:rPr>
                      <w:bCs/>
                      <w:color w:val="auto"/>
                      <w:kern w:val="0"/>
                      <w:sz w:val="22"/>
                      <w:szCs w:val="22"/>
                    </w:rPr>
                  </w:pPr>
                  <w:r>
                    <w:rPr>
                      <w:rFonts w:hint="eastAsia"/>
                      <w:bCs/>
                      <w:color w:val="auto"/>
                      <w:kern w:val="0"/>
                      <w:sz w:val="22"/>
                      <w:szCs w:val="22"/>
                    </w:rPr>
                    <w:t>废机油</w:t>
                  </w:r>
                </w:p>
              </w:tc>
              <w:tc>
                <w:tcPr>
                  <w:tcW w:w="2189" w:type="dxa"/>
                  <w:vAlign w:val="center"/>
                </w:tcPr>
                <w:p w14:paraId="5AFADD42">
                  <w:pPr>
                    <w:widowControl/>
                    <w:jc w:val="center"/>
                    <w:rPr>
                      <w:bCs/>
                      <w:color w:val="auto"/>
                      <w:kern w:val="0"/>
                      <w:sz w:val="22"/>
                      <w:szCs w:val="22"/>
                    </w:rPr>
                  </w:pPr>
                  <w:r>
                    <w:rPr>
                      <w:rFonts w:hint="eastAsia"/>
                      <w:bCs/>
                      <w:color w:val="auto"/>
                      <w:kern w:val="0"/>
                      <w:sz w:val="22"/>
                      <w:szCs w:val="22"/>
                    </w:rPr>
                    <w:t>盖严瓶盖后转移至</w:t>
                  </w:r>
                  <w:r>
                    <w:rPr>
                      <w:rFonts w:hint="eastAsia"/>
                      <w:bCs/>
                      <w:color w:val="auto"/>
                      <w:kern w:val="0"/>
                      <w:sz w:val="22"/>
                      <w:szCs w:val="22"/>
                      <w:lang w:eastAsia="zh-CN"/>
                    </w:rPr>
                    <w:t>危废贮存库</w:t>
                  </w:r>
                  <w:r>
                    <w:rPr>
                      <w:rFonts w:hint="eastAsia"/>
                      <w:bCs/>
                      <w:color w:val="auto"/>
                      <w:kern w:val="0"/>
                      <w:sz w:val="22"/>
                      <w:szCs w:val="22"/>
                    </w:rPr>
                    <w:t>专用容器中</w:t>
                  </w:r>
                </w:p>
              </w:tc>
              <w:tc>
                <w:tcPr>
                  <w:tcW w:w="1128" w:type="dxa"/>
                  <w:vAlign w:val="center"/>
                </w:tcPr>
                <w:p w14:paraId="69C12002">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5EC67E67">
                  <w:pPr>
                    <w:widowControl/>
                    <w:jc w:val="center"/>
                    <w:rPr>
                      <w:color w:val="auto"/>
                      <w:sz w:val="22"/>
                      <w:szCs w:val="22"/>
                    </w:rPr>
                  </w:pPr>
                  <w:r>
                    <w:rPr>
                      <w:rFonts w:hint="eastAsia"/>
                      <w:bCs/>
                      <w:color w:val="auto"/>
                      <w:kern w:val="0"/>
                      <w:sz w:val="22"/>
                      <w:szCs w:val="22"/>
                    </w:rPr>
                    <w:t>第三方资质单位</w:t>
                  </w:r>
                </w:p>
              </w:tc>
              <w:tc>
                <w:tcPr>
                  <w:tcW w:w="940" w:type="dxa"/>
                  <w:vAlign w:val="center"/>
                </w:tcPr>
                <w:p w14:paraId="56D66752">
                  <w:pPr>
                    <w:widowControl/>
                    <w:jc w:val="center"/>
                    <w:rPr>
                      <w:bCs/>
                      <w:color w:val="auto"/>
                      <w:kern w:val="0"/>
                      <w:sz w:val="22"/>
                      <w:szCs w:val="22"/>
                    </w:rPr>
                  </w:pPr>
                  <w:r>
                    <w:rPr>
                      <w:rFonts w:hint="eastAsia"/>
                      <w:bCs/>
                      <w:color w:val="auto"/>
                      <w:kern w:val="0"/>
                      <w:sz w:val="22"/>
                      <w:szCs w:val="22"/>
                      <w:u w:val="none"/>
                      <w:lang w:val="en-US" w:eastAsia="zh-CN"/>
                    </w:rPr>
                    <w:t>50</w:t>
                  </w:r>
                </w:p>
              </w:tc>
              <w:tc>
                <w:tcPr>
                  <w:tcW w:w="935" w:type="dxa"/>
                  <w:vAlign w:val="center"/>
                </w:tcPr>
                <w:p w14:paraId="5F47F2F8">
                  <w:pPr>
                    <w:widowControl/>
                    <w:jc w:val="center"/>
                    <w:rPr>
                      <w:bCs/>
                      <w:color w:val="auto"/>
                      <w:kern w:val="0"/>
                      <w:sz w:val="22"/>
                      <w:szCs w:val="22"/>
                    </w:rPr>
                  </w:pPr>
                  <w:r>
                    <w:rPr>
                      <w:rFonts w:hint="eastAsia"/>
                      <w:bCs/>
                      <w:color w:val="auto"/>
                      <w:kern w:val="0"/>
                      <w:sz w:val="22"/>
                      <w:szCs w:val="22"/>
                    </w:rPr>
                    <w:t>0</w:t>
                  </w:r>
                </w:p>
              </w:tc>
            </w:tr>
            <w:tr w14:paraId="2FC2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32ABB1A1">
                  <w:pPr>
                    <w:widowControl/>
                    <w:jc w:val="center"/>
                    <w:rPr>
                      <w:bCs/>
                      <w:color w:val="auto"/>
                      <w:kern w:val="0"/>
                      <w:sz w:val="22"/>
                      <w:szCs w:val="22"/>
                    </w:rPr>
                  </w:pPr>
                  <w:r>
                    <w:rPr>
                      <w:rFonts w:hint="eastAsia"/>
                      <w:bCs/>
                      <w:color w:val="auto"/>
                      <w:kern w:val="0"/>
                      <w:sz w:val="22"/>
                      <w:szCs w:val="22"/>
                    </w:rPr>
                    <w:t>废油桶</w:t>
                  </w:r>
                </w:p>
              </w:tc>
              <w:tc>
                <w:tcPr>
                  <w:tcW w:w="2189" w:type="dxa"/>
                  <w:vAlign w:val="center"/>
                </w:tcPr>
                <w:p w14:paraId="2B5F81DF">
                  <w:pPr>
                    <w:widowControl/>
                    <w:jc w:val="center"/>
                    <w:rPr>
                      <w:rFonts w:hint="eastAsia" w:eastAsia="宋体"/>
                      <w:bCs/>
                      <w:color w:val="auto"/>
                      <w:kern w:val="0"/>
                      <w:sz w:val="22"/>
                      <w:szCs w:val="22"/>
                      <w:lang w:eastAsia="zh-CN"/>
                    </w:rPr>
                  </w:pPr>
                  <w:r>
                    <w:rPr>
                      <w:rFonts w:hint="eastAsia"/>
                      <w:bCs/>
                      <w:color w:val="auto"/>
                      <w:kern w:val="0"/>
                      <w:sz w:val="22"/>
                      <w:szCs w:val="22"/>
                    </w:rPr>
                    <w:t>密闭桶装收集，存放于</w:t>
                  </w:r>
                  <w:r>
                    <w:rPr>
                      <w:rFonts w:hint="eastAsia"/>
                      <w:bCs/>
                      <w:color w:val="auto"/>
                      <w:kern w:val="0"/>
                      <w:sz w:val="22"/>
                      <w:szCs w:val="22"/>
                      <w:lang w:eastAsia="zh-CN"/>
                    </w:rPr>
                    <w:t>危废贮存库</w:t>
                  </w:r>
                </w:p>
              </w:tc>
              <w:tc>
                <w:tcPr>
                  <w:tcW w:w="1128" w:type="dxa"/>
                  <w:vAlign w:val="center"/>
                </w:tcPr>
                <w:p w14:paraId="08C0273F">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027D1690">
                  <w:pPr>
                    <w:widowControl/>
                    <w:jc w:val="center"/>
                    <w:rPr>
                      <w:color w:val="auto"/>
                      <w:sz w:val="22"/>
                      <w:szCs w:val="22"/>
                    </w:rPr>
                  </w:pPr>
                  <w:r>
                    <w:rPr>
                      <w:rFonts w:hint="eastAsia"/>
                      <w:bCs/>
                      <w:color w:val="auto"/>
                      <w:kern w:val="0"/>
                      <w:sz w:val="22"/>
                      <w:szCs w:val="22"/>
                    </w:rPr>
                    <w:t>第三方资质单位</w:t>
                  </w:r>
                </w:p>
              </w:tc>
              <w:tc>
                <w:tcPr>
                  <w:tcW w:w="940" w:type="dxa"/>
                  <w:vAlign w:val="center"/>
                </w:tcPr>
                <w:p w14:paraId="0D7C7271">
                  <w:pPr>
                    <w:widowControl/>
                    <w:jc w:val="center"/>
                    <w:rPr>
                      <w:bCs/>
                      <w:color w:val="auto"/>
                      <w:kern w:val="0"/>
                      <w:sz w:val="22"/>
                      <w:szCs w:val="22"/>
                    </w:rPr>
                  </w:pPr>
                  <w:r>
                    <w:rPr>
                      <w:rFonts w:hint="eastAsia"/>
                      <w:bCs/>
                      <w:color w:val="auto"/>
                      <w:kern w:val="0"/>
                      <w:sz w:val="22"/>
                      <w:szCs w:val="22"/>
                      <w:u w:val="none"/>
                      <w:lang w:val="en-US" w:eastAsia="zh-CN"/>
                    </w:rPr>
                    <w:t>120</w:t>
                  </w:r>
                </w:p>
              </w:tc>
              <w:tc>
                <w:tcPr>
                  <w:tcW w:w="935" w:type="dxa"/>
                  <w:vAlign w:val="center"/>
                </w:tcPr>
                <w:p w14:paraId="4230BB4A">
                  <w:pPr>
                    <w:widowControl/>
                    <w:jc w:val="center"/>
                    <w:rPr>
                      <w:bCs/>
                      <w:color w:val="auto"/>
                      <w:kern w:val="0"/>
                      <w:sz w:val="22"/>
                      <w:szCs w:val="22"/>
                    </w:rPr>
                  </w:pPr>
                  <w:r>
                    <w:rPr>
                      <w:rFonts w:hint="eastAsia"/>
                      <w:bCs/>
                      <w:color w:val="auto"/>
                      <w:kern w:val="0"/>
                      <w:sz w:val="22"/>
                      <w:szCs w:val="22"/>
                    </w:rPr>
                    <w:t>0</w:t>
                  </w:r>
                </w:p>
              </w:tc>
            </w:tr>
            <w:tr w14:paraId="1569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5C72E740">
                  <w:pPr>
                    <w:widowControl/>
                    <w:jc w:val="center"/>
                    <w:rPr>
                      <w:bCs/>
                      <w:color w:val="auto"/>
                      <w:kern w:val="0"/>
                      <w:sz w:val="22"/>
                      <w:szCs w:val="22"/>
                    </w:rPr>
                  </w:pPr>
                  <w:r>
                    <w:rPr>
                      <w:rFonts w:hint="eastAsia"/>
                      <w:bCs/>
                      <w:color w:val="auto"/>
                      <w:kern w:val="0"/>
                      <w:sz w:val="22"/>
                      <w:szCs w:val="22"/>
                    </w:rPr>
                    <w:t>废蓄电池</w:t>
                  </w:r>
                </w:p>
              </w:tc>
              <w:tc>
                <w:tcPr>
                  <w:tcW w:w="2189" w:type="dxa"/>
                  <w:vAlign w:val="center"/>
                </w:tcPr>
                <w:p w14:paraId="1BF6EBD7">
                  <w:pPr>
                    <w:widowControl/>
                    <w:jc w:val="center"/>
                    <w:rPr>
                      <w:rFonts w:hint="eastAsia" w:eastAsia="宋体"/>
                      <w:bCs/>
                      <w:color w:val="auto"/>
                      <w:kern w:val="0"/>
                      <w:sz w:val="22"/>
                      <w:szCs w:val="22"/>
                      <w:lang w:eastAsia="zh-CN"/>
                    </w:rPr>
                  </w:pPr>
                  <w:r>
                    <w:rPr>
                      <w:rFonts w:hint="eastAsia"/>
                      <w:bCs/>
                      <w:color w:val="auto"/>
                      <w:kern w:val="0"/>
                      <w:sz w:val="22"/>
                      <w:szCs w:val="22"/>
                    </w:rPr>
                    <w:t>密闭桶装收集，存放于</w:t>
                  </w:r>
                  <w:r>
                    <w:rPr>
                      <w:rFonts w:hint="eastAsia"/>
                      <w:bCs/>
                      <w:color w:val="auto"/>
                      <w:kern w:val="0"/>
                      <w:sz w:val="22"/>
                      <w:szCs w:val="22"/>
                      <w:lang w:eastAsia="zh-CN"/>
                    </w:rPr>
                    <w:t>危废贮存库</w:t>
                  </w:r>
                </w:p>
              </w:tc>
              <w:tc>
                <w:tcPr>
                  <w:tcW w:w="1128" w:type="dxa"/>
                  <w:vAlign w:val="center"/>
                </w:tcPr>
                <w:p w14:paraId="367CC694">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40D6AD02">
                  <w:pPr>
                    <w:widowControl/>
                    <w:jc w:val="center"/>
                    <w:rPr>
                      <w:color w:val="auto"/>
                      <w:sz w:val="22"/>
                      <w:szCs w:val="22"/>
                    </w:rPr>
                  </w:pPr>
                  <w:r>
                    <w:rPr>
                      <w:rFonts w:hint="eastAsia"/>
                      <w:bCs/>
                      <w:color w:val="auto"/>
                      <w:kern w:val="0"/>
                      <w:sz w:val="22"/>
                      <w:szCs w:val="22"/>
                    </w:rPr>
                    <w:t>第三方资质单位</w:t>
                  </w:r>
                </w:p>
              </w:tc>
              <w:tc>
                <w:tcPr>
                  <w:tcW w:w="940" w:type="dxa"/>
                  <w:vAlign w:val="center"/>
                </w:tcPr>
                <w:p w14:paraId="617EE20E">
                  <w:pPr>
                    <w:widowControl/>
                    <w:jc w:val="center"/>
                    <w:rPr>
                      <w:bCs/>
                      <w:color w:val="auto"/>
                      <w:kern w:val="0"/>
                      <w:sz w:val="22"/>
                      <w:szCs w:val="22"/>
                    </w:rPr>
                  </w:pPr>
                  <w:r>
                    <w:rPr>
                      <w:rFonts w:hint="eastAsia"/>
                      <w:bCs/>
                      <w:color w:val="auto"/>
                      <w:kern w:val="0"/>
                      <w:sz w:val="22"/>
                      <w:szCs w:val="22"/>
                      <w:u w:val="none"/>
                    </w:rPr>
                    <w:t>3</w:t>
                  </w:r>
                </w:p>
              </w:tc>
              <w:tc>
                <w:tcPr>
                  <w:tcW w:w="935" w:type="dxa"/>
                  <w:vAlign w:val="center"/>
                </w:tcPr>
                <w:p w14:paraId="096F8DF0">
                  <w:pPr>
                    <w:widowControl/>
                    <w:jc w:val="center"/>
                    <w:rPr>
                      <w:bCs/>
                      <w:color w:val="auto"/>
                      <w:kern w:val="0"/>
                      <w:sz w:val="22"/>
                      <w:szCs w:val="22"/>
                    </w:rPr>
                  </w:pPr>
                  <w:r>
                    <w:rPr>
                      <w:rFonts w:hint="eastAsia"/>
                      <w:bCs/>
                      <w:color w:val="auto"/>
                      <w:kern w:val="0"/>
                      <w:sz w:val="22"/>
                      <w:szCs w:val="22"/>
                    </w:rPr>
                    <w:t>0</w:t>
                  </w:r>
                </w:p>
              </w:tc>
            </w:tr>
            <w:tr w14:paraId="3FC8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4B706D48">
                  <w:pPr>
                    <w:widowControl/>
                    <w:jc w:val="center"/>
                    <w:rPr>
                      <w:bCs/>
                      <w:color w:val="auto"/>
                      <w:kern w:val="0"/>
                      <w:sz w:val="22"/>
                      <w:szCs w:val="22"/>
                    </w:rPr>
                  </w:pPr>
                  <w:r>
                    <w:rPr>
                      <w:rFonts w:hint="eastAsia"/>
                      <w:bCs/>
                      <w:color w:val="auto"/>
                      <w:kern w:val="0"/>
                      <w:sz w:val="22"/>
                      <w:szCs w:val="22"/>
                    </w:rPr>
                    <w:t>废灯管</w:t>
                  </w:r>
                </w:p>
              </w:tc>
              <w:tc>
                <w:tcPr>
                  <w:tcW w:w="2189" w:type="dxa"/>
                  <w:vAlign w:val="center"/>
                </w:tcPr>
                <w:p w14:paraId="21D7E862">
                  <w:pPr>
                    <w:widowControl/>
                    <w:jc w:val="center"/>
                    <w:rPr>
                      <w:rFonts w:hint="eastAsia" w:eastAsia="宋体"/>
                      <w:bCs/>
                      <w:color w:val="auto"/>
                      <w:kern w:val="0"/>
                      <w:sz w:val="22"/>
                      <w:szCs w:val="22"/>
                      <w:lang w:eastAsia="zh-CN"/>
                    </w:rPr>
                  </w:pPr>
                  <w:r>
                    <w:rPr>
                      <w:rFonts w:hint="eastAsia"/>
                      <w:bCs/>
                      <w:color w:val="auto"/>
                      <w:kern w:val="0"/>
                      <w:sz w:val="22"/>
                      <w:szCs w:val="22"/>
                    </w:rPr>
                    <w:t>密闭桶装收集，存放于</w:t>
                  </w:r>
                  <w:r>
                    <w:rPr>
                      <w:rFonts w:hint="eastAsia"/>
                      <w:bCs/>
                      <w:color w:val="auto"/>
                      <w:kern w:val="0"/>
                      <w:sz w:val="22"/>
                      <w:szCs w:val="22"/>
                      <w:lang w:eastAsia="zh-CN"/>
                    </w:rPr>
                    <w:t>危废贮存库</w:t>
                  </w:r>
                </w:p>
              </w:tc>
              <w:tc>
                <w:tcPr>
                  <w:tcW w:w="1128" w:type="dxa"/>
                  <w:vAlign w:val="center"/>
                </w:tcPr>
                <w:p w14:paraId="1BCCFBA9">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1A699BDC">
                  <w:pPr>
                    <w:widowControl/>
                    <w:jc w:val="center"/>
                    <w:rPr>
                      <w:color w:val="auto"/>
                      <w:sz w:val="22"/>
                      <w:szCs w:val="22"/>
                    </w:rPr>
                  </w:pPr>
                  <w:r>
                    <w:rPr>
                      <w:rFonts w:hint="eastAsia"/>
                      <w:bCs/>
                      <w:color w:val="auto"/>
                      <w:kern w:val="0"/>
                      <w:sz w:val="22"/>
                      <w:szCs w:val="22"/>
                    </w:rPr>
                    <w:t>第三方资质单位</w:t>
                  </w:r>
                </w:p>
              </w:tc>
              <w:tc>
                <w:tcPr>
                  <w:tcW w:w="940" w:type="dxa"/>
                  <w:vAlign w:val="center"/>
                </w:tcPr>
                <w:p w14:paraId="3A82AC75">
                  <w:pPr>
                    <w:widowControl/>
                    <w:jc w:val="center"/>
                    <w:rPr>
                      <w:bCs/>
                      <w:color w:val="auto"/>
                      <w:kern w:val="0"/>
                      <w:sz w:val="22"/>
                      <w:szCs w:val="22"/>
                    </w:rPr>
                  </w:pPr>
                  <w:r>
                    <w:rPr>
                      <w:rFonts w:hint="eastAsia"/>
                      <w:bCs/>
                      <w:color w:val="auto"/>
                      <w:kern w:val="0"/>
                      <w:sz w:val="22"/>
                      <w:szCs w:val="22"/>
                      <w:u w:val="none"/>
                    </w:rPr>
                    <w:t>2</w:t>
                  </w:r>
                </w:p>
              </w:tc>
              <w:tc>
                <w:tcPr>
                  <w:tcW w:w="935" w:type="dxa"/>
                  <w:vAlign w:val="center"/>
                </w:tcPr>
                <w:p w14:paraId="02AA929C">
                  <w:pPr>
                    <w:widowControl/>
                    <w:jc w:val="center"/>
                    <w:rPr>
                      <w:bCs/>
                      <w:color w:val="auto"/>
                      <w:kern w:val="0"/>
                      <w:sz w:val="22"/>
                      <w:szCs w:val="22"/>
                    </w:rPr>
                  </w:pPr>
                  <w:r>
                    <w:rPr>
                      <w:rFonts w:hint="eastAsia"/>
                      <w:bCs/>
                      <w:color w:val="auto"/>
                      <w:kern w:val="0"/>
                      <w:sz w:val="22"/>
                      <w:szCs w:val="22"/>
                    </w:rPr>
                    <w:t>0</w:t>
                  </w:r>
                </w:p>
              </w:tc>
            </w:tr>
            <w:tr w14:paraId="5E60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2BB4DC26">
                  <w:pPr>
                    <w:widowControl/>
                    <w:jc w:val="center"/>
                    <w:rPr>
                      <w:bCs/>
                      <w:color w:val="auto"/>
                      <w:kern w:val="0"/>
                      <w:sz w:val="22"/>
                      <w:szCs w:val="22"/>
                    </w:rPr>
                  </w:pPr>
                  <w:r>
                    <w:rPr>
                      <w:rFonts w:hint="eastAsia"/>
                      <w:bCs/>
                      <w:color w:val="auto"/>
                      <w:kern w:val="0"/>
                      <w:sz w:val="22"/>
                      <w:szCs w:val="22"/>
                    </w:rPr>
                    <w:t>废防冻液</w:t>
                  </w:r>
                </w:p>
              </w:tc>
              <w:tc>
                <w:tcPr>
                  <w:tcW w:w="2189" w:type="dxa"/>
                  <w:vAlign w:val="center"/>
                </w:tcPr>
                <w:p w14:paraId="78EE68F4">
                  <w:pPr>
                    <w:widowControl/>
                    <w:jc w:val="center"/>
                    <w:rPr>
                      <w:rFonts w:hint="eastAsia" w:eastAsia="宋体"/>
                      <w:bCs/>
                      <w:color w:val="auto"/>
                      <w:kern w:val="0"/>
                      <w:sz w:val="22"/>
                      <w:szCs w:val="22"/>
                      <w:lang w:eastAsia="zh-CN"/>
                    </w:rPr>
                  </w:pPr>
                  <w:r>
                    <w:rPr>
                      <w:rFonts w:hint="eastAsia"/>
                      <w:bCs/>
                      <w:color w:val="auto"/>
                      <w:kern w:val="0"/>
                      <w:sz w:val="22"/>
                      <w:szCs w:val="22"/>
                    </w:rPr>
                    <w:t>密闭桶装收集，存放于</w:t>
                  </w:r>
                  <w:r>
                    <w:rPr>
                      <w:rFonts w:hint="eastAsia"/>
                      <w:bCs/>
                      <w:color w:val="auto"/>
                      <w:kern w:val="0"/>
                      <w:sz w:val="22"/>
                      <w:szCs w:val="22"/>
                      <w:lang w:eastAsia="zh-CN"/>
                    </w:rPr>
                    <w:t>危废贮存库</w:t>
                  </w:r>
                </w:p>
              </w:tc>
              <w:tc>
                <w:tcPr>
                  <w:tcW w:w="1128" w:type="dxa"/>
                  <w:vAlign w:val="center"/>
                </w:tcPr>
                <w:p w14:paraId="53032E9E">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18170728">
                  <w:pPr>
                    <w:widowControl/>
                    <w:jc w:val="center"/>
                    <w:rPr>
                      <w:bCs/>
                      <w:color w:val="auto"/>
                      <w:kern w:val="0"/>
                      <w:sz w:val="22"/>
                      <w:szCs w:val="22"/>
                    </w:rPr>
                  </w:pPr>
                  <w:r>
                    <w:rPr>
                      <w:rFonts w:hint="eastAsia"/>
                      <w:bCs/>
                      <w:color w:val="auto"/>
                      <w:kern w:val="0"/>
                      <w:sz w:val="22"/>
                      <w:szCs w:val="22"/>
                    </w:rPr>
                    <w:t>第三方资质单位</w:t>
                  </w:r>
                </w:p>
              </w:tc>
              <w:tc>
                <w:tcPr>
                  <w:tcW w:w="940" w:type="dxa"/>
                  <w:vAlign w:val="center"/>
                </w:tcPr>
                <w:p w14:paraId="0A4C0CFD">
                  <w:pPr>
                    <w:widowControl/>
                    <w:jc w:val="center"/>
                    <w:rPr>
                      <w:rFonts w:hint="default"/>
                      <w:bCs/>
                      <w:color w:val="auto"/>
                      <w:kern w:val="0"/>
                      <w:sz w:val="22"/>
                      <w:szCs w:val="22"/>
                      <w:lang w:val="en-US"/>
                    </w:rPr>
                  </w:pPr>
                  <w:r>
                    <w:rPr>
                      <w:rFonts w:hint="eastAsia"/>
                      <w:bCs/>
                      <w:color w:val="auto"/>
                      <w:kern w:val="0"/>
                      <w:sz w:val="22"/>
                      <w:szCs w:val="22"/>
                      <w:u w:val="none"/>
                      <w:lang w:val="en-US" w:eastAsia="zh-CN"/>
                    </w:rPr>
                    <w:t>50</w:t>
                  </w:r>
                </w:p>
              </w:tc>
              <w:tc>
                <w:tcPr>
                  <w:tcW w:w="935" w:type="dxa"/>
                  <w:vAlign w:val="center"/>
                </w:tcPr>
                <w:p w14:paraId="6DCF4CA8">
                  <w:pPr>
                    <w:widowControl/>
                    <w:jc w:val="center"/>
                    <w:rPr>
                      <w:bCs/>
                      <w:color w:val="auto"/>
                      <w:kern w:val="0"/>
                      <w:sz w:val="22"/>
                      <w:szCs w:val="22"/>
                    </w:rPr>
                  </w:pPr>
                  <w:r>
                    <w:rPr>
                      <w:rFonts w:hint="eastAsia"/>
                      <w:bCs/>
                      <w:color w:val="auto"/>
                      <w:kern w:val="0"/>
                      <w:sz w:val="22"/>
                      <w:szCs w:val="22"/>
                    </w:rPr>
                    <w:t>0</w:t>
                  </w:r>
                </w:p>
              </w:tc>
            </w:tr>
            <w:tr w14:paraId="5CC3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3FE1AEEE">
                  <w:pPr>
                    <w:widowControl/>
                    <w:jc w:val="center"/>
                    <w:rPr>
                      <w:rFonts w:hint="default" w:eastAsia="宋体"/>
                      <w:bCs/>
                      <w:color w:val="auto"/>
                      <w:kern w:val="0"/>
                      <w:sz w:val="22"/>
                      <w:szCs w:val="22"/>
                      <w:lang w:val="en-US" w:eastAsia="zh-CN"/>
                    </w:rPr>
                  </w:pPr>
                  <w:r>
                    <w:rPr>
                      <w:rFonts w:hint="eastAsia"/>
                      <w:bCs/>
                      <w:color w:val="auto"/>
                      <w:kern w:val="0"/>
                      <w:sz w:val="22"/>
                      <w:szCs w:val="22"/>
                    </w:rPr>
                    <w:t>废</w:t>
                  </w:r>
                  <w:r>
                    <w:rPr>
                      <w:rFonts w:hint="eastAsia"/>
                      <w:bCs/>
                      <w:color w:val="auto"/>
                      <w:kern w:val="0"/>
                      <w:sz w:val="22"/>
                      <w:szCs w:val="22"/>
                      <w:lang w:val="en-US" w:eastAsia="zh-CN"/>
                    </w:rPr>
                    <w:t>油/水混合物</w:t>
                  </w:r>
                </w:p>
              </w:tc>
              <w:tc>
                <w:tcPr>
                  <w:tcW w:w="2189" w:type="dxa"/>
                  <w:vAlign w:val="center"/>
                </w:tcPr>
                <w:p w14:paraId="0CEFD7F3">
                  <w:pPr>
                    <w:widowControl/>
                    <w:jc w:val="center"/>
                    <w:rPr>
                      <w:rFonts w:hint="eastAsia" w:eastAsia="宋体"/>
                      <w:bCs/>
                      <w:color w:val="auto"/>
                      <w:kern w:val="0"/>
                      <w:sz w:val="22"/>
                      <w:szCs w:val="22"/>
                      <w:lang w:eastAsia="zh-CN"/>
                    </w:rPr>
                  </w:pPr>
                  <w:r>
                    <w:rPr>
                      <w:rFonts w:hint="eastAsia"/>
                      <w:bCs/>
                      <w:color w:val="auto"/>
                      <w:kern w:val="0"/>
                      <w:sz w:val="22"/>
                      <w:szCs w:val="22"/>
                    </w:rPr>
                    <w:t>密闭桶装收集，存放于</w:t>
                  </w:r>
                  <w:r>
                    <w:rPr>
                      <w:rFonts w:hint="eastAsia"/>
                      <w:bCs/>
                      <w:color w:val="auto"/>
                      <w:kern w:val="0"/>
                      <w:sz w:val="22"/>
                      <w:szCs w:val="22"/>
                      <w:lang w:eastAsia="zh-CN"/>
                    </w:rPr>
                    <w:t>危废贮存库</w:t>
                  </w:r>
                </w:p>
              </w:tc>
              <w:tc>
                <w:tcPr>
                  <w:tcW w:w="1128" w:type="dxa"/>
                  <w:vAlign w:val="center"/>
                </w:tcPr>
                <w:p w14:paraId="6D2A3122">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418E06AC">
                  <w:pPr>
                    <w:widowControl/>
                    <w:jc w:val="center"/>
                    <w:rPr>
                      <w:bCs/>
                      <w:color w:val="auto"/>
                      <w:kern w:val="0"/>
                      <w:sz w:val="22"/>
                      <w:szCs w:val="22"/>
                    </w:rPr>
                  </w:pPr>
                  <w:r>
                    <w:rPr>
                      <w:rFonts w:hint="eastAsia"/>
                      <w:bCs/>
                      <w:color w:val="auto"/>
                      <w:kern w:val="0"/>
                      <w:sz w:val="22"/>
                      <w:szCs w:val="22"/>
                    </w:rPr>
                    <w:t>第三方资质单位</w:t>
                  </w:r>
                </w:p>
              </w:tc>
              <w:tc>
                <w:tcPr>
                  <w:tcW w:w="940" w:type="dxa"/>
                  <w:vAlign w:val="center"/>
                </w:tcPr>
                <w:p w14:paraId="6158906D">
                  <w:pPr>
                    <w:widowControl/>
                    <w:jc w:val="center"/>
                    <w:rPr>
                      <w:bCs/>
                      <w:color w:val="auto"/>
                      <w:kern w:val="0"/>
                      <w:sz w:val="22"/>
                      <w:szCs w:val="22"/>
                    </w:rPr>
                  </w:pPr>
                  <w:r>
                    <w:rPr>
                      <w:rFonts w:hint="eastAsia"/>
                      <w:bCs/>
                      <w:color w:val="auto"/>
                      <w:kern w:val="0"/>
                      <w:sz w:val="22"/>
                      <w:szCs w:val="22"/>
                      <w:lang w:val="en-US" w:eastAsia="zh-CN"/>
                    </w:rPr>
                    <w:t>5</w:t>
                  </w:r>
                </w:p>
              </w:tc>
              <w:tc>
                <w:tcPr>
                  <w:tcW w:w="935" w:type="dxa"/>
                  <w:vAlign w:val="center"/>
                </w:tcPr>
                <w:p w14:paraId="3A211553">
                  <w:pPr>
                    <w:widowControl/>
                    <w:jc w:val="center"/>
                    <w:rPr>
                      <w:bCs/>
                      <w:color w:val="auto"/>
                      <w:kern w:val="0"/>
                      <w:sz w:val="22"/>
                      <w:szCs w:val="22"/>
                    </w:rPr>
                  </w:pPr>
                  <w:r>
                    <w:rPr>
                      <w:rFonts w:hint="eastAsia"/>
                      <w:bCs/>
                      <w:color w:val="auto"/>
                      <w:kern w:val="0"/>
                      <w:sz w:val="22"/>
                      <w:szCs w:val="22"/>
                    </w:rPr>
                    <w:t>0</w:t>
                  </w:r>
                </w:p>
              </w:tc>
            </w:tr>
            <w:tr w14:paraId="4A33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468F696C">
                  <w:pPr>
                    <w:widowControl/>
                    <w:jc w:val="center"/>
                    <w:rPr>
                      <w:bCs/>
                      <w:color w:val="auto"/>
                      <w:kern w:val="0"/>
                      <w:sz w:val="22"/>
                      <w:szCs w:val="22"/>
                    </w:rPr>
                  </w:pPr>
                  <w:r>
                    <w:rPr>
                      <w:rFonts w:hint="eastAsia"/>
                      <w:bCs/>
                      <w:color w:val="auto"/>
                      <w:kern w:val="0"/>
                      <w:sz w:val="22"/>
                      <w:szCs w:val="22"/>
                    </w:rPr>
                    <w:t>餐厨垃圾</w:t>
                  </w:r>
                </w:p>
              </w:tc>
              <w:tc>
                <w:tcPr>
                  <w:tcW w:w="2189" w:type="dxa"/>
                  <w:vAlign w:val="center"/>
                </w:tcPr>
                <w:p w14:paraId="3654B825">
                  <w:pPr>
                    <w:widowControl/>
                    <w:jc w:val="center"/>
                    <w:rPr>
                      <w:bCs/>
                      <w:color w:val="auto"/>
                      <w:kern w:val="0"/>
                      <w:sz w:val="22"/>
                      <w:szCs w:val="22"/>
                    </w:rPr>
                  </w:pPr>
                  <w:r>
                    <w:rPr>
                      <w:rFonts w:hint="eastAsia"/>
                      <w:bCs/>
                      <w:color w:val="auto"/>
                      <w:kern w:val="0"/>
                      <w:sz w:val="22"/>
                      <w:szCs w:val="22"/>
                    </w:rPr>
                    <w:t>专用垃圾箱收集，垃圾站</w:t>
                  </w:r>
                </w:p>
              </w:tc>
              <w:tc>
                <w:tcPr>
                  <w:tcW w:w="1128" w:type="dxa"/>
                  <w:vAlign w:val="center"/>
                </w:tcPr>
                <w:p w14:paraId="7497CD6F">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0E64B741">
                  <w:pPr>
                    <w:widowControl/>
                    <w:jc w:val="center"/>
                    <w:rPr>
                      <w:color w:val="auto"/>
                      <w:sz w:val="22"/>
                      <w:szCs w:val="22"/>
                    </w:rPr>
                  </w:pPr>
                  <w:r>
                    <w:rPr>
                      <w:color w:val="auto"/>
                      <w:sz w:val="22"/>
                      <w:szCs w:val="22"/>
                    </w:rPr>
                    <w:t>交由市政环卫部门处理</w:t>
                  </w:r>
                </w:p>
              </w:tc>
              <w:tc>
                <w:tcPr>
                  <w:tcW w:w="940" w:type="dxa"/>
                  <w:vAlign w:val="center"/>
                </w:tcPr>
                <w:p w14:paraId="47239028">
                  <w:pPr>
                    <w:widowControl/>
                    <w:jc w:val="center"/>
                    <w:rPr>
                      <w:bCs/>
                      <w:color w:val="auto"/>
                      <w:kern w:val="0"/>
                      <w:sz w:val="22"/>
                      <w:szCs w:val="22"/>
                    </w:rPr>
                  </w:pPr>
                  <w:r>
                    <w:rPr>
                      <w:rFonts w:hint="eastAsia"/>
                      <w:bCs/>
                      <w:color w:val="auto"/>
                      <w:kern w:val="0"/>
                      <w:sz w:val="22"/>
                      <w:szCs w:val="22"/>
                      <w:lang w:val="en-US" w:eastAsia="zh-CN"/>
                    </w:rPr>
                    <w:t>5.25</w:t>
                  </w:r>
                </w:p>
              </w:tc>
              <w:tc>
                <w:tcPr>
                  <w:tcW w:w="935" w:type="dxa"/>
                  <w:vAlign w:val="center"/>
                </w:tcPr>
                <w:p w14:paraId="05FD8900">
                  <w:pPr>
                    <w:widowControl/>
                    <w:jc w:val="center"/>
                    <w:rPr>
                      <w:bCs/>
                      <w:color w:val="auto"/>
                      <w:kern w:val="0"/>
                      <w:sz w:val="22"/>
                      <w:szCs w:val="22"/>
                    </w:rPr>
                  </w:pPr>
                  <w:r>
                    <w:rPr>
                      <w:rFonts w:hint="eastAsia"/>
                      <w:bCs/>
                      <w:color w:val="auto"/>
                      <w:kern w:val="0"/>
                      <w:sz w:val="22"/>
                      <w:szCs w:val="22"/>
                    </w:rPr>
                    <w:t>0</w:t>
                  </w:r>
                </w:p>
              </w:tc>
            </w:tr>
            <w:tr w14:paraId="68FA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14:paraId="15152CC6">
                  <w:pPr>
                    <w:widowControl/>
                    <w:jc w:val="center"/>
                    <w:rPr>
                      <w:bCs/>
                      <w:color w:val="auto"/>
                      <w:kern w:val="0"/>
                      <w:sz w:val="22"/>
                      <w:szCs w:val="22"/>
                    </w:rPr>
                  </w:pPr>
                  <w:r>
                    <w:rPr>
                      <w:rFonts w:hint="eastAsia"/>
                      <w:bCs/>
                      <w:color w:val="auto"/>
                      <w:kern w:val="0"/>
                      <w:sz w:val="22"/>
                      <w:szCs w:val="22"/>
                    </w:rPr>
                    <w:t>生活垃圾</w:t>
                  </w:r>
                </w:p>
              </w:tc>
              <w:tc>
                <w:tcPr>
                  <w:tcW w:w="2189" w:type="dxa"/>
                  <w:vAlign w:val="center"/>
                </w:tcPr>
                <w:p w14:paraId="09204FC9">
                  <w:pPr>
                    <w:widowControl/>
                    <w:jc w:val="center"/>
                    <w:rPr>
                      <w:bCs/>
                      <w:color w:val="auto"/>
                      <w:kern w:val="0"/>
                      <w:sz w:val="22"/>
                      <w:szCs w:val="22"/>
                    </w:rPr>
                  </w:pPr>
                  <w:r>
                    <w:rPr>
                      <w:rFonts w:hint="eastAsia"/>
                      <w:bCs/>
                      <w:color w:val="auto"/>
                      <w:kern w:val="0"/>
                      <w:sz w:val="22"/>
                      <w:szCs w:val="22"/>
                    </w:rPr>
                    <w:t>垃圾箱收集，垃圾站</w:t>
                  </w:r>
                </w:p>
              </w:tc>
              <w:tc>
                <w:tcPr>
                  <w:tcW w:w="1128" w:type="dxa"/>
                  <w:vAlign w:val="center"/>
                </w:tcPr>
                <w:p w14:paraId="0D7177E2">
                  <w:pPr>
                    <w:widowControl/>
                    <w:jc w:val="center"/>
                    <w:rPr>
                      <w:bCs/>
                      <w:color w:val="auto"/>
                      <w:kern w:val="0"/>
                      <w:sz w:val="22"/>
                      <w:szCs w:val="22"/>
                    </w:rPr>
                  </w:pPr>
                  <w:r>
                    <w:rPr>
                      <w:rFonts w:hint="eastAsia"/>
                      <w:bCs/>
                      <w:color w:val="auto"/>
                      <w:kern w:val="0"/>
                      <w:sz w:val="22"/>
                      <w:szCs w:val="22"/>
                    </w:rPr>
                    <w:t>委托处置</w:t>
                  </w:r>
                </w:p>
              </w:tc>
              <w:tc>
                <w:tcPr>
                  <w:tcW w:w="1698" w:type="dxa"/>
                  <w:vAlign w:val="center"/>
                </w:tcPr>
                <w:p w14:paraId="48554CE6">
                  <w:pPr>
                    <w:widowControl/>
                    <w:jc w:val="center"/>
                    <w:rPr>
                      <w:color w:val="auto"/>
                      <w:sz w:val="22"/>
                      <w:szCs w:val="22"/>
                    </w:rPr>
                  </w:pPr>
                  <w:r>
                    <w:rPr>
                      <w:color w:val="auto"/>
                      <w:sz w:val="22"/>
                      <w:szCs w:val="22"/>
                    </w:rPr>
                    <w:t>交由市政环卫部门处理</w:t>
                  </w:r>
                </w:p>
              </w:tc>
              <w:tc>
                <w:tcPr>
                  <w:tcW w:w="940" w:type="dxa"/>
                  <w:vAlign w:val="center"/>
                </w:tcPr>
                <w:p w14:paraId="71966E41">
                  <w:pPr>
                    <w:widowControl/>
                    <w:jc w:val="center"/>
                    <w:rPr>
                      <w:bCs/>
                      <w:color w:val="auto"/>
                      <w:kern w:val="0"/>
                      <w:sz w:val="22"/>
                      <w:szCs w:val="22"/>
                    </w:rPr>
                  </w:pPr>
                  <w:r>
                    <w:rPr>
                      <w:rFonts w:hint="eastAsia"/>
                      <w:bCs/>
                      <w:color w:val="auto"/>
                      <w:kern w:val="0"/>
                      <w:sz w:val="22"/>
                      <w:szCs w:val="22"/>
                      <w:lang w:val="en-US" w:eastAsia="zh-CN"/>
                    </w:rPr>
                    <w:t>10.5</w:t>
                  </w:r>
                </w:p>
              </w:tc>
              <w:tc>
                <w:tcPr>
                  <w:tcW w:w="935" w:type="dxa"/>
                  <w:vAlign w:val="center"/>
                </w:tcPr>
                <w:p w14:paraId="5CBCB56C">
                  <w:pPr>
                    <w:widowControl/>
                    <w:jc w:val="center"/>
                    <w:rPr>
                      <w:bCs/>
                      <w:color w:val="auto"/>
                      <w:kern w:val="0"/>
                      <w:sz w:val="22"/>
                      <w:szCs w:val="22"/>
                    </w:rPr>
                  </w:pPr>
                  <w:r>
                    <w:rPr>
                      <w:rFonts w:hint="eastAsia"/>
                      <w:bCs/>
                      <w:color w:val="auto"/>
                      <w:kern w:val="0"/>
                      <w:sz w:val="22"/>
                      <w:szCs w:val="22"/>
                    </w:rPr>
                    <w:t>0</w:t>
                  </w:r>
                </w:p>
              </w:tc>
            </w:tr>
          </w:tbl>
          <w:p w14:paraId="398E3C77">
            <w:pPr>
              <w:rPr>
                <w:color w:val="auto"/>
              </w:rPr>
            </w:pPr>
          </w:p>
          <w:p w14:paraId="51F3EA59">
            <w:pPr>
              <w:spacing w:line="460" w:lineRule="exact"/>
              <w:ind w:firstLine="510"/>
              <w:rPr>
                <w:color w:val="auto"/>
                <w:sz w:val="26"/>
                <w:szCs w:val="26"/>
              </w:rPr>
            </w:pPr>
            <w:r>
              <w:rPr>
                <w:color w:val="auto"/>
                <w:sz w:val="26"/>
                <w:szCs w:val="26"/>
              </w:rPr>
              <w:t>4.2.4.2固体废物环境管理要求</w:t>
            </w:r>
          </w:p>
          <w:p w14:paraId="721CEF7E">
            <w:pPr>
              <w:spacing w:line="460" w:lineRule="exact"/>
              <w:ind w:firstLine="510"/>
              <w:rPr>
                <w:color w:val="auto"/>
                <w:sz w:val="26"/>
                <w:szCs w:val="26"/>
              </w:rPr>
            </w:pPr>
            <w:r>
              <w:rPr>
                <w:color w:val="auto"/>
                <w:sz w:val="26"/>
                <w:szCs w:val="26"/>
              </w:rPr>
              <w:t>企业</w:t>
            </w:r>
            <w:r>
              <w:rPr>
                <w:rFonts w:hint="eastAsia"/>
                <w:color w:val="auto"/>
                <w:sz w:val="26"/>
                <w:szCs w:val="26"/>
                <w:lang w:eastAsia="zh-Hans"/>
              </w:rPr>
              <w:t>现有厂区已</w:t>
            </w:r>
            <w:r>
              <w:rPr>
                <w:color w:val="auto"/>
                <w:sz w:val="26"/>
                <w:szCs w:val="26"/>
              </w:rPr>
              <w:t>设置</w:t>
            </w:r>
            <w:r>
              <w:rPr>
                <w:rFonts w:hint="eastAsia"/>
                <w:color w:val="auto"/>
                <w:sz w:val="26"/>
                <w:szCs w:val="26"/>
                <w:lang w:eastAsia="zh-CN"/>
              </w:rPr>
              <w:t>危废贮存库</w:t>
            </w:r>
            <w:r>
              <w:rPr>
                <w:rFonts w:hint="eastAsia"/>
                <w:color w:val="auto"/>
                <w:sz w:val="26"/>
                <w:szCs w:val="26"/>
                <w:lang w:eastAsia="zh-Hans"/>
              </w:rPr>
              <w:t>密闭储存危险废物</w:t>
            </w:r>
            <w:r>
              <w:rPr>
                <w:color w:val="auto"/>
                <w:sz w:val="26"/>
                <w:szCs w:val="26"/>
              </w:rPr>
              <w:t>，</w:t>
            </w:r>
            <w:r>
              <w:rPr>
                <w:rFonts w:hint="eastAsia"/>
                <w:color w:val="auto"/>
                <w:sz w:val="26"/>
                <w:szCs w:val="26"/>
                <w:lang w:eastAsia="zh-CN"/>
              </w:rPr>
              <w:t>危废贮存库</w:t>
            </w:r>
            <w:r>
              <w:rPr>
                <w:color w:val="auto"/>
                <w:sz w:val="26"/>
                <w:szCs w:val="26"/>
              </w:rPr>
              <w:t>地面</w:t>
            </w:r>
            <w:r>
              <w:rPr>
                <w:rFonts w:hint="eastAsia"/>
                <w:color w:val="auto"/>
                <w:sz w:val="26"/>
                <w:szCs w:val="26"/>
                <w:lang w:eastAsia="zh-Hans"/>
              </w:rPr>
              <w:t>已</w:t>
            </w:r>
            <w:r>
              <w:rPr>
                <w:color w:val="auto"/>
                <w:sz w:val="26"/>
                <w:szCs w:val="26"/>
              </w:rPr>
              <w:t>进行防渗防腐处理，库房内四周设置截流沟，</w:t>
            </w:r>
            <w:r>
              <w:rPr>
                <w:rFonts w:hint="eastAsia"/>
                <w:color w:val="auto"/>
                <w:sz w:val="26"/>
                <w:szCs w:val="26"/>
                <w:lang w:eastAsia="zh-Hans"/>
              </w:rPr>
              <w:t>液体物料设置了</w:t>
            </w:r>
            <w:r>
              <w:rPr>
                <w:rFonts w:hint="eastAsia"/>
                <w:color w:val="auto"/>
                <w:sz w:val="26"/>
                <w:szCs w:val="26"/>
              </w:rPr>
              <w:t>托盘</w:t>
            </w:r>
            <w:r>
              <w:rPr>
                <w:color w:val="auto"/>
                <w:sz w:val="26"/>
                <w:szCs w:val="26"/>
              </w:rPr>
              <w:t>，防止废油漫流或泄漏；各种危险废物分类存放，并有相应转运记录。危险废物暂存管理按照《危险废物贮存污染物控制标准》（GB18597-20</w:t>
            </w:r>
            <w:r>
              <w:rPr>
                <w:rFonts w:hint="eastAsia"/>
                <w:color w:val="auto"/>
                <w:sz w:val="26"/>
                <w:szCs w:val="26"/>
              </w:rPr>
              <w:t>23</w:t>
            </w:r>
            <w:r>
              <w:rPr>
                <w:color w:val="auto"/>
                <w:sz w:val="26"/>
                <w:szCs w:val="26"/>
              </w:rPr>
              <w:t>）的要求执行。</w:t>
            </w:r>
          </w:p>
          <w:p w14:paraId="722568F0">
            <w:pPr>
              <w:pStyle w:val="82"/>
              <w:ind w:firstLine="522"/>
              <w:rPr>
                <w:b/>
                <w:bCs w:val="0"/>
                <w:color w:val="auto"/>
                <w:szCs w:val="26"/>
                <w:lang w:val="zh-CN"/>
              </w:rPr>
            </w:pPr>
            <w:r>
              <w:rPr>
                <w:rFonts w:hint="eastAsia"/>
                <w:b/>
                <w:bCs w:val="0"/>
                <w:color w:val="auto"/>
                <w:szCs w:val="26"/>
                <w:lang w:val="zh-CN"/>
              </w:rPr>
              <w:t>4.2.5地下水、</w:t>
            </w:r>
            <w:r>
              <w:rPr>
                <w:rFonts w:hint="eastAsia"/>
                <w:b/>
                <w:bCs w:val="0"/>
                <w:color w:val="auto"/>
                <w:szCs w:val="26"/>
              </w:rPr>
              <w:t>土壤</w:t>
            </w:r>
            <w:r>
              <w:rPr>
                <w:rFonts w:hint="eastAsia"/>
                <w:b/>
                <w:bCs w:val="0"/>
                <w:color w:val="auto"/>
                <w:szCs w:val="26"/>
                <w:lang w:val="zh-CN"/>
              </w:rPr>
              <w:t>污染防治措施</w:t>
            </w:r>
          </w:p>
          <w:p w14:paraId="4C55F0AD">
            <w:pPr>
              <w:spacing w:line="460" w:lineRule="exact"/>
              <w:ind w:firstLine="510"/>
              <w:rPr>
                <w:color w:val="auto"/>
                <w:sz w:val="26"/>
                <w:szCs w:val="26"/>
              </w:rPr>
            </w:pPr>
            <w:r>
              <w:rPr>
                <w:rFonts w:hint="eastAsia"/>
                <w:color w:val="auto"/>
                <w:sz w:val="26"/>
                <w:szCs w:val="26"/>
              </w:rPr>
              <w:t>本项目对地下水、土壤的主要影响途径为车间防渗层破损，物料堆存下渗污染地下水。本项目现有工程已对可能造成地下水污染的区域进行防渗处理，防渗措施如下：</w:t>
            </w:r>
          </w:p>
          <w:p w14:paraId="7DC3078A">
            <w:pPr>
              <w:spacing w:line="460" w:lineRule="exact"/>
              <w:ind w:firstLine="510"/>
              <w:jc w:val="center"/>
              <w:rPr>
                <w:color w:val="auto"/>
                <w:sz w:val="26"/>
                <w:szCs w:val="26"/>
              </w:rPr>
            </w:pPr>
            <w:r>
              <w:rPr>
                <w:color w:val="auto"/>
                <w:sz w:val="26"/>
                <w:szCs w:val="26"/>
              </w:rPr>
              <w:t>表</w:t>
            </w:r>
            <w:r>
              <w:rPr>
                <w:rFonts w:hint="eastAsia"/>
                <w:color w:val="auto"/>
                <w:sz w:val="26"/>
                <w:szCs w:val="26"/>
              </w:rPr>
              <w:t>4</w:t>
            </w:r>
            <w:r>
              <w:rPr>
                <w:color w:val="auto"/>
                <w:sz w:val="26"/>
                <w:szCs w:val="26"/>
              </w:rPr>
              <w:t>.2-1</w:t>
            </w:r>
            <w:r>
              <w:rPr>
                <w:rFonts w:hint="eastAsia"/>
                <w:color w:val="auto"/>
                <w:sz w:val="26"/>
                <w:szCs w:val="26"/>
                <w:lang w:val="en-US" w:eastAsia="zh-CN"/>
              </w:rPr>
              <w:t xml:space="preserve">9  </w:t>
            </w:r>
            <w:r>
              <w:rPr>
                <w:rFonts w:hint="eastAsia"/>
                <w:color w:val="auto"/>
                <w:sz w:val="26"/>
                <w:szCs w:val="26"/>
              </w:rPr>
              <w:t>工程防渗措施一览表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1194"/>
              <w:gridCol w:w="3561"/>
            </w:tblGrid>
            <w:tr w14:paraId="6744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6" w:type="pct"/>
                  <w:vAlign w:val="center"/>
                </w:tcPr>
                <w:p w14:paraId="0CF993F6">
                  <w:pPr>
                    <w:pStyle w:val="41"/>
                    <w:spacing w:line="320" w:lineRule="exact"/>
                    <w:rPr>
                      <w:color w:val="auto"/>
                      <w:sz w:val="22"/>
                      <w:szCs w:val="22"/>
                    </w:rPr>
                  </w:pPr>
                  <w:r>
                    <w:rPr>
                      <w:rFonts w:hint="eastAsia"/>
                      <w:color w:val="auto"/>
                      <w:sz w:val="22"/>
                      <w:szCs w:val="22"/>
                    </w:rPr>
                    <w:t>构筑物名称</w:t>
                  </w:r>
                </w:p>
              </w:tc>
              <w:tc>
                <w:tcPr>
                  <w:tcW w:w="714" w:type="pct"/>
                  <w:vAlign w:val="center"/>
                </w:tcPr>
                <w:p w14:paraId="17E7BE84">
                  <w:pPr>
                    <w:pStyle w:val="41"/>
                    <w:spacing w:line="320" w:lineRule="exact"/>
                    <w:rPr>
                      <w:color w:val="auto"/>
                      <w:sz w:val="22"/>
                      <w:szCs w:val="22"/>
                    </w:rPr>
                  </w:pPr>
                  <w:r>
                    <w:rPr>
                      <w:rFonts w:hint="eastAsia"/>
                      <w:color w:val="auto"/>
                      <w:sz w:val="22"/>
                      <w:szCs w:val="22"/>
                    </w:rPr>
                    <w:t>防渗分区</w:t>
                  </w:r>
                </w:p>
              </w:tc>
              <w:tc>
                <w:tcPr>
                  <w:tcW w:w="2128" w:type="pct"/>
                  <w:vAlign w:val="center"/>
                </w:tcPr>
                <w:p w14:paraId="1E2DA940">
                  <w:pPr>
                    <w:pStyle w:val="41"/>
                    <w:spacing w:line="320" w:lineRule="exact"/>
                    <w:rPr>
                      <w:color w:val="auto"/>
                      <w:sz w:val="22"/>
                      <w:szCs w:val="22"/>
                    </w:rPr>
                  </w:pPr>
                  <w:r>
                    <w:rPr>
                      <w:rFonts w:hint="eastAsia"/>
                      <w:color w:val="auto"/>
                      <w:sz w:val="22"/>
                      <w:szCs w:val="22"/>
                    </w:rPr>
                    <w:t>防渗技术要求</w:t>
                  </w:r>
                </w:p>
              </w:tc>
            </w:tr>
            <w:tr w14:paraId="3D1E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6" w:type="pct"/>
                  <w:vAlign w:val="center"/>
                </w:tcPr>
                <w:p w14:paraId="39B919F1">
                  <w:pPr>
                    <w:pStyle w:val="41"/>
                    <w:spacing w:line="320" w:lineRule="exact"/>
                    <w:rPr>
                      <w:rFonts w:hint="eastAsia" w:eastAsia="宋体"/>
                      <w:color w:val="auto"/>
                      <w:sz w:val="22"/>
                      <w:szCs w:val="22"/>
                      <w:lang w:eastAsia="zh-CN"/>
                    </w:rPr>
                  </w:pPr>
                  <w:r>
                    <w:rPr>
                      <w:rFonts w:hint="eastAsia"/>
                      <w:color w:val="auto"/>
                      <w:sz w:val="22"/>
                      <w:szCs w:val="22"/>
                    </w:rPr>
                    <w:t>危险品库、</w:t>
                  </w:r>
                  <w:r>
                    <w:rPr>
                      <w:rFonts w:hint="eastAsia"/>
                      <w:color w:val="auto"/>
                      <w:sz w:val="22"/>
                      <w:szCs w:val="22"/>
                      <w:lang w:eastAsia="zh-CN"/>
                    </w:rPr>
                    <w:t>危废贮存库</w:t>
                  </w:r>
                </w:p>
              </w:tc>
              <w:tc>
                <w:tcPr>
                  <w:tcW w:w="714" w:type="pct"/>
                  <w:vAlign w:val="center"/>
                </w:tcPr>
                <w:p w14:paraId="6D5F8C73">
                  <w:pPr>
                    <w:pStyle w:val="41"/>
                    <w:spacing w:line="320" w:lineRule="exact"/>
                    <w:rPr>
                      <w:color w:val="auto"/>
                      <w:sz w:val="22"/>
                      <w:szCs w:val="22"/>
                    </w:rPr>
                  </w:pPr>
                  <w:r>
                    <w:rPr>
                      <w:rFonts w:hint="eastAsia"/>
                      <w:color w:val="auto"/>
                      <w:sz w:val="22"/>
                      <w:szCs w:val="22"/>
                    </w:rPr>
                    <w:t>重点防渗区</w:t>
                  </w:r>
                </w:p>
              </w:tc>
              <w:tc>
                <w:tcPr>
                  <w:tcW w:w="2128" w:type="pct"/>
                  <w:vAlign w:val="center"/>
                </w:tcPr>
                <w:p w14:paraId="59702EA5">
                  <w:pPr>
                    <w:pStyle w:val="41"/>
                    <w:spacing w:line="320" w:lineRule="exact"/>
                    <w:rPr>
                      <w:color w:val="auto"/>
                      <w:sz w:val="22"/>
                      <w:szCs w:val="22"/>
                    </w:rPr>
                  </w:pPr>
                  <w:r>
                    <w:rPr>
                      <w:rFonts w:hint="eastAsia"/>
                      <w:color w:val="auto"/>
                      <w:sz w:val="22"/>
                      <w:szCs w:val="22"/>
                    </w:rPr>
                    <w:t>等效粘土防渗层Mb≥6.0m，K≤1×10</w:t>
                  </w:r>
                  <w:r>
                    <w:rPr>
                      <w:rFonts w:hint="eastAsia"/>
                      <w:color w:val="auto"/>
                      <w:sz w:val="22"/>
                      <w:szCs w:val="22"/>
                      <w:vertAlign w:val="superscript"/>
                    </w:rPr>
                    <w:t>-7</w:t>
                  </w:r>
                  <w:r>
                    <w:rPr>
                      <w:rFonts w:hint="eastAsia"/>
                      <w:color w:val="auto"/>
                      <w:sz w:val="22"/>
                      <w:szCs w:val="22"/>
                    </w:rPr>
                    <w:t>cm/s；或参照GB18598执行</w:t>
                  </w:r>
                </w:p>
              </w:tc>
            </w:tr>
            <w:tr w14:paraId="2445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6" w:type="pct"/>
                  <w:vAlign w:val="center"/>
                </w:tcPr>
                <w:p w14:paraId="73F3EABB">
                  <w:pPr>
                    <w:pStyle w:val="41"/>
                    <w:spacing w:line="320" w:lineRule="exact"/>
                    <w:rPr>
                      <w:color w:val="auto"/>
                      <w:sz w:val="22"/>
                      <w:szCs w:val="22"/>
                    </w:rPr>
                  </w:pPr>
                  <w:r>
                    <w:rPr>
                      <w:rFonts w:hint="eastAsia"/>
                      <w:color w:val="auto"/>
                      <w:sz w:val="22"/>
                      <w:szCs w:val="22"/>
                    </w:rPr>
                    <w:t>发动机生产车间、</w:t>
                  </w:r>
                  <w:r>
                    <w:rPr>
                      <w:color w:val="auto"/>
                      <w:sz w:val="22"/>
                      <w:szCs w:val="22"/>
                    </w:rPr>
                    <w:t>动力中心</w:t>
                  </w:r>
                  <w:r>
                    <w:rPr>
                      <w:rFonts w:hint="eastAsia"/>
                      <w:color w:val="auto"/>
                      <w:sz w:val="22"/>
                      <w:szCs w:val="22"/>
                    </w:rPr>
                    <w:t>、</w:t>
                  </w:r>
                  <w:r>
                    <w:rPr>
                      <w:color w:val="auto"/>
                      <w:sz w:val="22"/>
                      <w:szCs w:val="22"/>
                    </w:rPr>
                    <w:t>气站</w:t>
                  </w:r>
                  <w:r>
                    <w:rPr>
                      <w:rFonts w:hint="eastAsia"/>
                      <w:color w:val="auto"/>
                      <w:sz w:val="22"/>
                      <w:szCs w:val="22"/>
                    </w:rPr>
                    <w:t>、废水处理站、隔油池、</w:t>
                  </w:r>
                  <w:r>
                    <w:rPr>
                      <w:rFonts w:hint="eastAsia"/>
                      <w:color w:val="auto"/>
                      <w:sz w:val="22"/>
                      <w:szCs w:val="22"/>
                      <w:lang w:eastAsia="zh-CN"/>
                    </w:rPr>
                    <w:t>化粪池</w:t>
                  </w:r>
                  <w:r>
                    <w:rPr>
                      <w:rFonts w:hint="eastAsia"/>
                      <w:color w:val="auto"/>
                      <w:sz w:val="22"/>
                      <w:szCs w:val="22"/>
                    </w:rPr>
                    <w:t>、垃圾站等</w:t>
                  </w:r>
                </w:p>
              </w:tc>
              <w:tc>
                <w:tcPr>
                  <w:tcW w:w="714" w:type="pct"/>
                  <w:vAlign w:val="center"/>
                </w:tcPr>
                <w:p w14:paraId="0B7D8B95">
                  <w:pPr>
                    <w:pStyle w:val="41"/>
                    <w:spacing w:line="320" w:lineRule="exact"/>
                    <w:rPr>
                      <w:color w:val="auto"/>
                      <w:sz w:val="22"/>
                      <w:szCs w:val="22"/>
                    </w:rPr>
                  </w:pPr>
                  <w:r>
                    <w:rPr>
                      <w:rFonts w:hint="eastAsia"/>
                      <w:color w:val="auto"/>
                      <w:sz w:val="22"/>
                      <w:szCs w:val="22"/>
                    </w:rPr>
                    <w:t>一般防渗区</w:t>
                  </w:r>
                </w:p>
              </w:tc>
              <w:tc>
                <w:tcPr>
                  <w:tcW w:w="2128" w:type="pct"/>
                  <w:vAlign w:val="center"/>
                </w:tcPr>
                <w:p w14:paraId="13DB4F08">
                  <w:pPr>
                    <w:pStyle w:val="41"/>
                    <w:spacing w:line="320" w:lineRule="exact"/>
                    <w:rPr>
                      <w:color w:val="auto"/>
                      <w:sz w:val="22"/>
                      <w:szCs w:val="22"/>
                    </w:rPr>
                  </w:pPr>
                  <w:r>
                    <w:rPr>
                      <w:rFonts w:hint="eastAsia"/>
                      <w:color w:val="auto"/>
                      <w:sz w:val="22"/>
                      <w:szCs w:val="22"/>
                    </w:rPr>
                    <w:t>等效粘土防渗层Mb≥1.5m，K≤1×10</w:t>
                  </w:r>
                  <w:r>
                    <w:rPr>
                      <w:rFonts w:hint="eastAsia"/>
                      <w:color w:val="auto"/>
                      <w:sz w:val="22"/>
                      <w:szCs w:val="22"/>
                      <w:vertAlign w:val="superscript"/>
                    </w:rPr>
                    <w:t>-7</w:t>
                  </w:r>
                  <w:r>
                    <w:rPr>
                      <w:rFonts w:hint="eastAsia"/>
                      <w:color w:val="auto"/>
                      <w:sz w:val="22"/>
                      <w:szCs w:val="22"/>
                    </w:rPr>
                    <w:t>cm/s；或参照GB16889执行</w:t>
                  </w:r>
                </w:p>
              </w:tc>
            </w:tr>
            <w:tr w14:paraId="594C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6" w:type="pct"/>
                  <w:vAlign w:val="center"/>
                </w:tcPr>
                <w:p w14:paraId="5FE8E398">
                  <w:pPr>
                    <w:pStyle w:val="41"/>
                    <w:spacing w:line="320" w:lineRule="exact"/>
                    <w:rPr>
                      <w:color w:val="auto"/>
                      <w:sz w:val="22"/>
                      <w:szCs w:val="22"/>
                    </w:rPr>
                  </w:pPr>
                  <w:r>
                    <w:rPr>
                      <w:color w:val="auto"/>
                      <w:sz w:val="22"/>
                      <w:szCs w:val="22"/>
                    </w:rPr>
                    <w:t>办公楼</w:t>
                  </w:r>
                  <w:r>
                    <w:rPr>
                      <w:rFonts w:hint="eastAsia"/>
                      <w:color w:val="auto"/>
                      <w:sz w:val="22"/>
                      <w:szCs w:val="22"/>
                    </w:rPr>
                    <w:t>、</w:t>
                  </w:r>
                  <w:r>
                    <w:rPr>
                      <w:color w:val="auto"/>
                      <w:sz w:val="22"/>
                      <w:szCs w:val="22"/>
                    </w:rPr>
                    <w:t>食堂</w:t>
                  </w:r>
                  <w:r>
                    <w:rPr>
                      <w:rFonts w:hint="eastAsia"/>
                      <w:color w:val="auto"/>
                      <w:sz w:val="22"/>
                      <w:szCs w:val="22"/>
                    </w:rPr>
                    <w:t>、门卫等</w:t>
                  </w:r>
                </w:p>
              </w:tc>
              <w:tc>
                <w:tcPr>
                  <w:tcW w:w="714" w:type="pct"/>
                  <w:vAlign w:val="center"/>
                </w:tcPr>
                <w:p w14:paraId="26FF7A46">
                  <w:pPr>
                    <w:pStyle w:val="41"/>
                    <w:spacing w:line="320" w:lineRule="exact"/>
                    <w:rPr>
                      <w:color w:val="auto"/>
                      <w:sz w:val="22"/>
                      <w:szCs w:val="22"/>
                    </w:rPr>
                  </w:pPr>
                  <w:r>
                    <w:rPr>
                      <w:rFonts w:hint="eastAsia"/>
                      <w:color w:val="auto"/>
                      <w:sz w:val="22"/>
                      <w:szCs w:val="22"/>
                    </w:rPr>
                    <w:t>简单防渗区</w:t>
                  </w:r>
                </w:p>
              </w:tc>
              <w:tc>
                <w:tcPr>
                  <w:tcW w:w="2128" w:type="pct"/>
                  <w:vAlign w:val="center"/>
                </w:tcPr>
                <w:p w14:paraId="430077F6">
                  <w:pPr>
                    <w:pStyle w:val="41"/>
                    <w:spacing w:line="320" w:lineRule="exact"/>
                    <w:rPr>
                      <w:color w:val="auto"/>
                      <w:sz w:val="22"/>
                      <w:szCs w:val="22"/>
                    </w:rPr>
                  </w:pPr>
                  <w:r>
                    <w:rPr>
                      <w:rFonts w:hint="eastAsia"/>
                      <w:color w:val="auto"/>
                      <w:sz w:val="22"/>
                      <w:szCs w:val="22"/>
                    </w:rPr>
                    <w:t>一般地面硬化</w:t>
                  </w:r>
                </w:p>
              </w:tc>
            </w:tr>
          </w:tbl>
          <w:p w14:paraId="65CE8E2F">
            <w:pPr>
              <w:pStyle w:val="82"/>
              <w:ind w:firstLine="522"/>
              <w:rPr>
                <w:b/>
                <w:bCs w:val="0"/>
                <w:color w:val="auto"/>
                <w:szCs w:val="26"/>
              </w:rPr>
            </w:pPr>
            <w:r>
              <w:rPr>
                <w:rFonts w:hint="eastAsia"/>
                <w:b/>
                <w:bCs w:val="0"/>
                <w:color w:val="auto"/>
                <w:szCs w:val="26"/>
                <w:lang w:val="zh-CN"/>
              </w:rPr>
              <w:t>4</w:t>
            </w:r>
            <w:r>
              <w:rPr>
                <w:b/>
                <w:bCs w:val="0"/>
                <w:color w:val="auto"/>
                <w:szCs w:val="26"/>
                <w:lang w:val="zh-CN"/>
              </w:rPr>
              <w:t>.2.</w:t>
            </w:r>
            <w:r>
              <w:rPr>
                <w:rFonts w:hint="eastAsia"/>
                <w:b/>
                <w:bCs w:val="0"/>
                <w:color w:val="auto"/>
                <w:szCs w:val="26"/>
              </w:rPr>
              <w:t>6</w:t>
            </w:r>
            <w:r>
              <w:rPr>
                <w:b/>
                <w:bCs w:val="0"/>
                <w:color w:val="auto"/>
                <w:szCs w:val="26"/>
                <w:lang w:val="zh-CN"/>
              </w:rPr>
              <w:t>环境风险</w:t>
            </w:r>
            <w:r>
              <w:rPr>
                <w:rFonts w:hint="eastAsia"/>
                <w:b/>
                <w:bCs w:val="0"/>
                <w:color w:val="auto"/>
                <w:szCs w:val="26"/>
              </w:rPr>
              <w:t>防范措施及影响分析</w:t>
            </w:r>
          </w:p>
          <w:p w14:paraId="2E74B36D">
            <w:pPr>
              <w:pStyle w:val="82"/>
              <w:ind w:firstLine="520"/>
              <w:rPr>
                <w:color w:val="auto"/>
                <w:szCs w:val="26"/>
              </w:rPr>
            </w:pPr>
            <w:r>
              <w:rPr>
                <w:rFonts w:hint="eastAsia"/>
                <w:color w:val="auto"/>
                <w:szCs w:val="26"/>
              </w:rPr>
              <w:t>4</w:t>
            </w:r>
            <w:r>
              <w:rPr>
                <w:color w:val="auto"/>
                <w:szCs w:val="26"/>
              </w:rPr>
              <w:t>.2.</w:t>
            </w:r>
            <w:r>
              <w:rPr>
                <w:rFonts w:hint="eastAsia"/>
                <w:color w:val="auto"/>
                <w:szCs w:val="26"/>
              </w:rPr>
              <w:t>6</w:t>
            </w:r>
            <w:r>
              <w:rPr>
                <w:color w:val="auto"/>
                <w:szCs w:val="26"/>
              </w:rPr>
              <w:t>.1</w:t>
            </w:r>
            <w:r>
              <w:rPr>
                <w:rFonts w:hint="eastAsia"/>
                <w:color w:val="auto"/>
                <w:szCs w:val="26"/>
              </w:rPr>
              <w:t>风险源调查</w:t>
            </w:r>
          </w:p>
          <w:p w14:paraId="5709841A">
            <w:pPr>
              <w:pStyle w:val="82"/>
              <w:ind w:firstLine="520"/>
              <w:rPr>
                <w:color w:val="auto"/>
                <w:szCs w:val="26"/>
              </w:rPr>
            </w:pPr>
            <w:r>
              <w:rPr>
                <w:rFonts w:hint="eastAsia"/>
                <w:color w:val="auto"/>
                <w:szCs w:val="26"/>
              </w:rPr>
              <w:t>（1）风险调查</w:t>
            </w:r>
          </w:p>
          <w:p w14:paraId="133AC556">
            <w:pPr>
              <w:pStyle w:val="82"/>
              <w:ind w:firstLine="520"/>
              <w:rPr>
                <w:color w:val="auto"/>
                <w:szCs w:val="26"/>
              </w:rPr>
            </w:pPr>
            <w:r>
              <w:rPr>
                <w:rFonts w:hint="eastAsia"/>
                <w:color w:val="auto"/>
                <w:szCs w:val="26"/>
              </w:rPr>
              <w:t>按照《建设项目环境风险评价技术导则》（HJ169-2018）附录B，本项目从原辅材料种类、生产过程、危险废物等方面存在的风险物质有：原辅材料中的电机润滑油、变速箱润滑油、润滑脂</w:t>
            </w:r>
            <w:r>
              <w:rPr>
                <w:rFonts w:hint="eastAsia"/>
                <w:color w:val="auto"/>
                <w:szCs w:val="26"/>
                <w:lang w:val="en-US" w:eastAsia="zh-CN"/>
              </w:rPr>
              <w:t>等</w:t>
            </w:r>
            <w:r>
              <w:rPr>
                <w:rFonts w:hint="eastAsia"/>
                <w:color w:val="auto"/>
                <w:szCs w:val="26"/>
              </w:rPr>
              <w:t>。</w:t>
            </w:r>
          </w:p>
          <w:p w14:paraId="6F1A9866">
            <w:pPr>
              <w:autoSpaceDE w:val="0"/>
              <w:autoSpaceDN w:val="0"/>
              <w:adjustRightInd w:val="0"/>
              <w:spacing w:line="460" w:lineRule="exact"/>
              <w:ind w:firstLine="520" w:firstLineChars="200"/>
              <w:jc w:val="left"/>
              <w:rPr>
                <w:color w:val="auto"/>
                <w:sz w:val="26"/>
                <w:szCs w:val="26"/>
              </w:rPr>
            </w:pPr>
            <w:r>
              <w:rPr>
                <w:rFonts w:hint="eastAsia" w:ascii="宋体" w:hAnsi="宋体"/>
                <w:color w:val="auto"/>
                <w:sz w:val="26"/>
                <w:szCs w:val="26"/>
              </w:rPr>
              <w:t>根据项目特点，对危险物质名称的按照《建设项目环境风险评价技术导则》（</w:t>
            </w:r>
            <w:r>
              <w:rPr>
                <w:rFonts w:hint="eastAsia"/>
                <w:color w:val="auto"/>
                <w:sz w:val="26"/>
                <w:szCs w:val="26"/>
              </w:rPr>
              <w:t>HJ169-2018</w:t>
            </w:r>
            <w:r>
              <w:rPr>
                <w:rFonts w:hint="eastAsia" w:ascii="宋体" w:hAnsi="宋体"/>
                <w:color w:val="auto"/>
                <w:sz w:val="26"/>
                <w:szCs w:val="26"/>
              </w:rPr>
              <w:t>）附录</w:t>
            </w:r>
            <w:r>
              <w:rPr>
                <w:rFonts w:hint="eastAsia"/>
                <w:color w:val="auto"/>
                <w:sz w:val="26"/>
                <w:szCs w:val="26"/>
              </w:rPr>
              <w:t>B</w:t>
            </w:r>
            <w:r>
              <w:rPr>
                <w:rFonts w:hint="eastAsia" w:ascii="宋体" w:hAnsi="宋体"/>
                <w:color w:val="auto"/>
                <w:sz w:val="26"/>
                <w:szCs w:val="26"/>
              </w:rPr>
              <w:t>表</w:t>
            </w:r>
            <w:r>
              <w:rPr>
                <w:rFonts w:hint="eastAsia"/>
                <w:color w:val="auto"/>
                <w:sz w:val="26"/>
                <w:szCs w:val="26"/>
              </w:rPr>
              <w:t>B1</w:t>
            </w:r>
            <w:r>
              <w:rPr>
                <w:rFonts w:hint="eastAsia" w:ascii="宋体" w:hAnsi="宋体"/>
                <w:color w:val="auto"/>
                <w:sz w:val="26"/>
                <w:szCs w:val="26"/>
              </w:rPr>
              <w:t>突发环境事件风险物质及临界量表，计算所涉及的每种危险物质在厂界内的最大存在总量与其在附录</w:t>
            </w:r>
            <w:r>
              <w:rPr>
                <w:rFonts w:hint="eastAsia"/>
                <w:color w:val="auto"/>
                <w:sz w:val="26"/>
                <w:szCs w:val="26"/>
              </w:rPr>
              <w:t>B</w:t>
            </w:r>
            <w:r>
              <w:rPr>
                <w:rFonts w:hint="eastAsia" w:ascii="宋体" w:hAnsi="宋体"/>
                <w:color w:val="auto"/>
                <w:sz w:val="26"/>
                <w:szCs w:val="26"/>
              </w:rPr>
              <w:t>中对应临界量的比值</w:t>
            </w:r>
            <w:r>
              <w:rPr>
                <w:rFonts w:hint="eastAsia"/>
                <w:color w:val="auto"/>
                <w:sz w:val="26"/>
                <w:szCs w:val="26"/>
              </w:rPr>
              <w:t>Q</w:t>
            </w:r>
            <w:r>
              <w:rPr>
                <w:rFonts w:hint="eastAsia" w:ascii="宋体" w:hAnsi="宋体"/>
                <w:color w:val="auto"/>
                <w:sz w:val="26"/>
                <w:szCs w:val="26"/>
              </w:rPr>
              <w:t>。在不同厂区的同一种物质，按其在厂界内的最大存在总量计算。当存在多种危险物质时，则按式计算物质总量与其临界量比值（</w:t>
            </w:r>
            <w:r>
              <w:rPr>
                <w:rFonts w:hint="eastAsia"/>
                <w:color w:val="auto"/>
                <w:sz w:val="26"/>
                <w:szCs w:val="26"/>
              </w:rPr>
              <w:t>Q</w:t>
            </w:r>
            <w:r>
              <w:rPr>
                <w:rFonts w:hint="eastAsia" w:ascii="宋体" w:hAnsi="宋体"/>
                <w:color w:val="auto"/>
                <w:sz w:val="26"/>
                <w:szCs w:val="26"/>
              </w:rPr>
              <w:t>）：</w:t>
            </w:r>
          </w:p>
          <w:p w14:paraId="12F2172B">
            <w:pPr>
              <w:autoSpaceDE w:val="0"/>
              <w:autoSpaceDN w:val="0"/>
              <w:adjustRightInd w:val="0"/>
              <w:spacing w:line="460" w:lineRule="exact"/>
              <w:ind w:firstLine="520" w:firstLineChars="200"/>
              <w:jc w:val="left"/>
              <w:rPr>
                <w:color w:val="auto"/>
                <w:sz w:val="26"/>
                <w:szCs w:val="26"/>
              </w:rPr>
            </w:pPr>
          </w:p>
          <w:p w14:paraId="15F5CE09">
            <w:pPr>
              <w:autoSpaceDE w:val="0"/>
              <w:autoSpaceDN w:val="0"/>
              <w:adjustRightInd w:val="0"/>
              <w:ind w:firstLine="520" w:firstLineChars="200"/>
              <w:jc w:val="center"/>
              <w:rPr>
                <w:color w:val="auto"/>
                <w:sz w:val="26"/>
                <w:szCs w:val="26"/>
              </w:rPr>
            </w:pPr>
            <w:r>
              <w:rPr>
                <w:color w:val="auto"/>
                <w:sz w:val="26"/>
                <w:szCs w:val="26"/>
              </w:rPr>
              <w:drawing>
                <wp:inline distT="0" distB="0" distL="0" distR="0">
                  <wp:extent cx="1449070" cy="336550"/>
                  <wp:effectExtent l="0" t="0" r="1778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49070" cy="336550"/>
                          </a:xfrm>
                          <a:prstGeom prst="rect">
                            <a:avLst/>
                          </a:prstGeom>
                          <a:noFill/>
                          <a:ln>
                            <a:noFill/>
                          </a:ln>
                        </pic:spPr>
                      </pic:pic>
                    </a:graphicData>
                  </a:graphic>
                </wp:inline>
              </w:drawing>
            </w:r>
          </w:p>
          <w:p w14:paraId="2F17D23A">
            <w:pPr>
              <w:pStyle w:val="82"/>
              <w:ind w:firstLine="520"/>
              <w:rPr>
                <w:color w:val="auto"/>
                <w:szCs w:val="26"/>
              </w:rPr>
            </w:pPr>
            <w:r>
              <w:rPr>
                <w:color w:val="auto"/>
                <w:szCs w:val="26"/>
              </w:rPr>
              <w:t>式中：q1，q2，...，qn——每种危险物质的最大存在总量，t；</w:t>
            </w:r>
          </w:p>
          <w:p w14:paraId="2CC4559F">
            <w:pPr>
              <w:pStyle w:val="82"/>
              <w:ind w:firstLine="520"/>
              <w:rPr>
                <w:color w:val="auto"/>
                <w:szCs w:val="26"/>
              </w:rPr>
            </w:pPr>
            <w:r>
              <w:rPr>
                <w:color w:val="auto"/>
                <w:szCs w:val="26"/>
              </w:rPr>
              <w:t>Q1,Q2,...,Qn——每种危险物质的临界量，t。</w:t>
            </w:r>
          </w:p>
          <w:p w14:paraId="4370C257">
            <w:pPr>
              <w:pStyle w:val="82"/>
              <w:ind w:firstLine="520"/>
              <w:rPr>
                <w:color w:val="auto"/>
                <w:szCs w:val="26"/>
              </w:rPr>
            </w:pPr>
            <w:r>
              <w:rPr>
                <w:color w:val="auto"/>
                <w:szCs w:val="26"/>
              </w:rPr>
              <w:t>当Q＜1时，该项目环境风险潜势为I。</w:t>
            </w:r>
          </w:p>
          <w:p w14:paraId="28B8BC93">
            <w:pPr>
              <w:pStyle w:val="82"/>
              <w:ind w:firstLine="520"/>
              <w:rPr>
                <w:color w:val="auto"/>
                <w:szCs w:val="26"/>
              </w:rPr>
            </w:pPr>
            <w:r>
              <w:rPr>
                <w:color w:val="auto"/>
                <w:szCs w:val="26"/>
              </w:rPr>
              <w:t>当Q≥1时，将Q值划分为：（1）1≤Q＜10；（2）10≤Q＜100；（3）Q≥100。</w:t>
            </w:r>
          </w:p>
          <w:p w14:paraId="74A39638">
            <w:pPr>
              <w:pStyle w:val="82"/>
              <w:ind w:firstLine="520"/>
              <w:rPr>
                <w:rFonts w:ascii="宋体" w:hAnsi="宋体"/>
                <w:color w:val="auto"/>
                <w:kern w:val="28"/>
                <w:szCs w:val="26"/>
              </w:rPr>
            </w:pPr>
            <w:r>
              <w:rPr>
                <w:rFonts w:hint="eastAsia"/>
                <w:color w:val="auto"/>
                <w:szCs w:val="26"/>
              </w:rPr>
              <w:t>氢气不属于《建设项目环境风险评价技术导则》（HJ169-2018）附录中的突发环境事件风险物质，但考虑其危险性将其识别如下，本</w:t>
            </w:r>
            <w:r>
              <w:rPr>
                <w:color w:val="auto"/>
                <w:szCs w:val="26"/>
              </w:rPr>
              <w:t>项目Q值</w:t>
            </w:r>
            <w:r>
              <w:rPr>
                <w:rFonts w:hint="eastAsia"/>
                <w:color w:val="auto"/>
                <w:szCs w:val="26"/>
              </w:rPr>
              <w:t>见下表</w:t>
            </w:r>
            <w:r>
              <w:rPr>
                <w:color w:val="auto"/>
                <w:szCs w:val="26"/>
              </w:rPr>
              <w:t>。</w:t>
            </w:r>
          </w:p>
          <w:p w14:paraId="2532D1AE">
            <w:pPr>
              <w:pStyle w:val="12"/>
              <w:spacing w:beforeLines="0" w:line="460" w:lineRule="exact"/>
              <w:rPr>
                <w:color w:val="auto"/>
                <w:szCs w:val="26"/>
              </w:rPr>
            </w:pPr>
            <w:r>
              <w:rPr>
                <w:rFonts w:hint="eastAsia"/>
                <w:color w:val="auto"/>
                <w:szCs w:val="26"/>
              </w:rPr>
              <w:t>表</w:t>
            </w:r>
            <w:r>
              <w:rPr>
                <w:color w:val="auto"/>
                <w:szCs w:val="26"/>
              </w:rPr>
              <w:t>4.2-</w:t>
            </w:r>
            <w:r>
              <w:rPr>
                <w:rFonts w:hint="eastAsia"/>
                <w:color w:val="auto"/>
                <w:szCs w:val="26"/>
                <w:lang w:val="en-US" w:eastAsia="zh-CN"/>
              </w:rPr>
              <w:t xml:space="preserve">20  </w:t>
            </w:r>
            <w:r>
              <w:rPr>
                <w:rFonts w:hint="eastAsia"/>
                <w:color w:val="auto"/>
                <w:szCs w:val="26"/>
              </w:rPr>
              <w:t>建设项目Q值表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210"/>
              <w:gridCol w:w="1674"/>
              <w:gridCol w:w="1674"/>
              <w:gridCol w:w="1674"/>
            </w:tblGrid>
            <w:tr w14:paraId="5375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51131718">
                  <w:pPr>
                    <w:pStyle w:val="41"/>
                    <w:spacing w:line="320" w:lineRule="exact"/>
                    <w:rPr>
                      <w:color w:val="auto"/>
                      <w:sz w:val="22"/>
                      <w:szCs w:val="22"/>
                    </w:rPr>
                  </w:pPr>
                  <w:r>
                    <w:rPr>
                      <w:rFonts w:hint="eastAsia"/>
                      <w:color w:val="auto"/>
                      <w:sz w:val="22"/>
                      <w:szCs w:val="22"/>
                    </w:rPr>
                    <w:t>序号</w:t>
                  </w:r>
                </w:p>
              </w:tc>
              <w:tc>
                <w:tcPr>
                  <w:tcW w:w="2210" w:type="dxa"/>
                  <w:tcBorders>
                    <w:top w:val="single" w:color="auto" w:sz="4" w:space="0"/>
                    <w:left w:val="nil"/>
                    <w:bottom w:val="single" w:color="auto" w:sz="4" w:space="0"/>
                    <w:right w:val="single" w:color="auto" w:sz="4" w:space="0"/>
                  </w:tcBorders>
                  <w:vAlign w:val="center"/>
                </w:tcPr>
                <w:p w14:paraId="428CC013">
                  <w:pPr>
                    <w:pStyle w:val="41"/>
                    <w:spacing w:line="320" w:lineRule="exact"/>
                    <w:rPr>
                      <w:color w:val="auto"/>
                      <w:sz w:val="22"/>
                      <w:szCs w:val="22"/>
                    </w:rPr>
                  </w:pPr>
                  <w:r>
                    <w:rPr>
                      <w:rFonts w:hint="eastAsia"/>
                      <w:color w:val="auto"/>
                      <w:sz w:val="22"/>
                      <w:szCs w:val="22"/>
                    </w:rPr>
                    <w:t>危险物质名称</w:t>
                  </w:r>
                </w:p>
              </w:tc>
              <w:tc>
                <w:tcPr>
                  <w:tcW w:w="1674" w:type="dxa"/>
                  <w:tcBorders>
                    <w:top w:val="single" w:color="auto" w:sz="4" w:space="0"/>
                    <w:left w:val="nil"/>
                    <w:bottom w:val="single" w:color="auto" w:sz="4" w:space="0"/>
                    <w:right w:val="single" w:color="auto" w:sz="4" w:space="0"/>
                  </w:tcBorders>
                  <w:vAlign w:val="center"/>
                </w:tcPr>
                <w:p w14:paraId="49006D66">
                  <w:pPr>
                    <w:pStyle w:val="41"/>
                    <w:spacing w:line="320" w:lineRule="exact"/>
                    <w:rPr>
                      <w:color w:val="auto"/>
                      <w:sz w:val="22"/>
                      <w:szCs w:val="22"/>
                    </w:rPr>
                  </w:pPr>
                  <w:r>
                    <w:rPr>
                      <w:rFonts w:hint="eastAsia"/>
                      <w:color w:val="auto"/>
                      <w:sz w:val="22"/>
                      <w:szCs w:val="22"/>
                    </w:rPr>
                    <w:t>最大存储量/t</w:t>
                  </w:r>
                </w:p>
              </w:tc>
              <w:tc>
                <w:tcPr>
                  <w:tcW w:w="1674" w:type="dxa"/>
                  <w:tcBorders>
                    <w:top w:val="single" w:color="auto" w:sz="4" w:space="0"/>
                    <w:left w:val="nil"/>
                    <w:bottom w:val="single" w:color="auto" w:sz="4" w:space="0"/>
                    <w:right w:val="single" w:color="auto" w:sz="4" w:space="0"/>
                  </w:tcBorders>
                  <w:vAlign w:val="center"/>
                </w:tcPr>
                <w:p w14:paraId="062A75EF">
                  <w:pPr>
                    <w:pStyle w:val="41"/>
                    <w:spacing w:line="320" w:lineRule="exact"/>
                    <w:rPr>
                      <w:color w:val="auto"/>
                      <w:sz w:val="22"/>
                      <w:szCs w:val="22"/>
                    </w:rPr>
                  </w:pPr>
                  <w:r>
                    <w:rPr>
                      <w:rFonts w:hint="eastAsia"/>
                      <w:color w:val="auto"/>
                      <w:sz w:val="22"/>
                      <w:szCs w:val="22"/>
                    </w:rPr>
                    <w:t>临界量/t</w:t>
                  </w:r>
                </w:p>
              </w:tc>
              <w:tc>
                <w:tcPr>
                  <w:tcW w:w="1674" w:type="dxa"/>
                  <w:tcBorders>
                    <w:top w:val="single" w:color="auto" w:sz="4" w:space="0"/>
                    <w:left w:val="nil"/>
                    <w:bottom w:val="single" w:color="auto" w:sz="4" w:space="0"/>
                    <w:right w:val="single" w:color="auto" w:sz="4" w:space="0"/>
                  </w:tcBorders>
                  <w:vAlign w:val="center"/>
                </w:tcPr>
                <w:p w14:paraId="49D71ACB">
                  <w:pPr>
                    <w:pStyle w:val="41"/>
                    <w:spacing w:line="320" w:lineRule="exact"/>
                    <w:rPr>
                      <w:color w:val="auto"/>
                      <w:sz w:val="22"/>
                      <w:szCs w:val="22"/>
                    </w:rPr>
                  </w:pPr>
                  <w:r>
                    <w:rPr>
                      <w:rFonts w:hint="eastAsia"/>
                      <w:color w:val="auto"/>
                      <w:sz w:val="22"/>
                      <w:szCs w:val="22"/>
                    </w:rPr>
                    <w:t>Q值</w:t>
                  </w:r>
                </w:p>
              </w:tc>
            </w:tr>
            <w:tr w14:paraId="7023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4B552819">
                  <w:pPr>
                    <w:pStyle w:val="41"/>
                    <w:spacing w:line="320" w:lineRule="exact"/>
                    <w:rPr>
                      <w:color w:val="auto"/>
                      <w:sz w:val="22"/>
                      <w:szCs w:val="22"/>
                    </w:rPr>
                  </w:pPr>
                  <w:r>
                    <w:rPr>
                      <w:rFonts w:hint="eastAsia"/>
                      <w:color w:val="auto"/>
                      <w:sz w:val="22"/>
                      <w:szCs w:val="22"/>
                    </w:rPr>
                    <w:t>1</w:t>
                  </w:r>
                </w:p>
              </w:tc>
              <w:tc>
                <w:tcPr>
                  <w:tcW w:w="2210" w:type="dxa"/>
                  <w:tcBorders>
                    <w:top w:val="single" w:color="auto" w:sz="4" w:space="0"/>
                    <w:left w:val="nil"/>
                    <w:bottom w:val="single" w:color="auto" w:sz="4" w:space="0"/>
                    <w:right w:val="single" w:color="auto" w:sz="4" w:space="0"/>
                  </w:tcBorders>
                  <w:vAlign w:val="top"/>
                </w:tcPr>
                <w:p w14:paraId="20ACE523">
                  <w:pPr>
                    <w:pStyle w:val="41"/>
                    <w:spacing w:line="320" w:lineRule="exact"/>
                    <w:rPr>
                      <w:color w:val="auto"/>
                      <w:sz w:val="22"/>
                      <w:szCs w:val="22"/>
                    </w:rPr>
                  </w:pPr>
                  <w:r>
                    <w:rPr>
                      <w:rFonts w:hint="eastAsia"/>
                      <w:color w:val="auto"/>
                      <w:sz w:val="22"/>
                      <w:szCs w:val="22"/>
                    </w:rPr>
                    <w:t>电机润滑油</w:t>
                  </w:r>
                </w:p>
              </w:tc>
              <w:tc>
                <w:tcPr>
                  <w:tcW w:w="1674" w:type="dxa"/>
                  <w:tcBorders>
                    <w:top w:val="single" w:color="auto" w:sz="4" w:space="0"/>
                    <w:left w:val="nil"/>
                    <w:bottom w:val="single" w:color="auto" w:sz="4" w:space="0"/>
                    <w:right w:val="single" w:color="auto" w:sz="4" w:space="0"/>
                  </w:tcBorders>
                  <w:vAlign w:val="center"/>
                </w:tcPr>
                <w:p w14:paraId="2DC77E10">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0.54</w:t>
                  </w:r>
                </w:p>
              </w:tc>
              <w:tc>
                <w:tcPr>
                  <w:tcW w:w="1674" w:type="dxa"/>
                  <w:tcBorders>
                    <w:top w:val="single" w:color="auto" w:sz="4" w:space="0"/>
                    <w:left w:val="nil"/>
                    <w:bottom w:val="single" w:color="auto" w:sz="4" w:space="0"/>
                    <w:right w:val="single" w:color="auto" w:sz="4" w:space="0"/>
                  </w:tcBorders>
                  <w:vAlign w:val="center"/>
                </w:tcPr>
                <w:p w14:paraId="0F279C6B">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2500</w:t>
                  </w:r>
                </w:p>
              </w:tc>
              <w:tc>
                <w:tcPr>
                  <w:tcW w:w="1674" w:type="dxa"/>
                  <w:tcBorders>
                    <w:top w:val="single" w:color="auto" w:sz="4" w:space="0"/>
                    <w:left w:val="nil"/>
                    <w:bottom w:val="single" w:color="auto" w:sz="4" w:space="0"/>
                    <w:right w:val="single" w:color="auto" w:sz="4" w:space="0"/>
                  </w:tcBorders>
                  <w:vAlign w:val="center"/>
                </w:tcPr>
                <w:p w14:paraId="07343362">
                  <w:pPr>
                    <w:pStyle w:val="41"/>
                    <w:spacing w:line="320" w:lineRule="exact"/>
                    <w:rPr>
                      <w:rFonts w:hint="eastAsia"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0.000216</w:t>
                  </w:r>
                </w:p>
              </w:tc>
            </w:tr>
            <w:tr w14:paraId="154C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01EFB60C">
                  <w:pPr>
                    <w:pStyle w:val="41"/>
                    <w:spacing w:line="320" w:lineRule="exact"/>
                    <w:rPr>
                      <w:color w:val="auto"/>
                      <w:sz w:val="22"/>
                      <w:szCs w:val="22"/>
                    </w:rPr>
                  </w:pPr>
                  <w:r>
                    <w:rPr>
                      <w:rFonts w:hint="eastAsia"/>
                      <w:color w:val="auto"/>
                      <w:sz w:val="22"/>
                      <w:szCs w:val="22"/>
                    </w:rPr>
                    <w:t>2</w:t>
                  </w:r>
                </w:p>
              </w:tc>
              <w:tc>
                <w:tcPr>
                  <w:tcW w:w="2210" w:type="dxa"/>
                  <w:tcBorders>
                    <w:top w:val="single" w:color="auto" w:sz="4" w:space="0"/>
                    <w:left w:val="nil"/>
                    <w:bottom w:val="single" w:color="auto" w:sz="4" w:space="0"/>
                    <w:right w:val="single" w:color="auto" w:sz="4" w:space="0"/>
                  </w:tcBorders>
                  <w:vAlign w:val="top"/>
                </w:tcPr>
                <w:p w14:paraId="6D35F5B5">
                  <w:pPr>
                    <w:pStyle w:val="41"/>
                    <w:spacing w:line="320" w:lineRule="exact"/>
                    <w:rPr>
                      <w:color w:val="auto"/>
                      <w:sz w:val="22"/>
                      <w:szCs w:val="22"/>
                    </w:rPr>
                  </w:pPr>
                  <w:r>
                    <w:rPr>
                      <w:rFonts w:hint="eastAsia"/>
                      <w:color w:val="auto"/>
                      <w:sz w:val="22"/>
                      <w:szCs w:val="22"/>
                    </w:rPr>
                    <w:t>变速箱润滑油</w:t>
                  </w:r>
                </w:p>
              </w:tc>
              <w:tc>
                <w:tcPr>
                  <w:tcW w:w="1674" w:type="dxa"/>
                  <w:tcBorders>
                    <w:top w:val="single" w:color="auto" w:sz="4" w:space="0"/>
                    <w:left w:val="nil"/>
                    <w:bottom w:val="single" w:color="auto" w:sz="4" w:space="0"/>
                    <w:right w:val="single" w:color="auto" w:sz="4" w:space="0"/>
                  </w:tcBorders>
                  <w:vAlign w:val="center"/>
                </w:tcPr>
                <w:p w14:paraId="426482F8">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0.54</w:t>
                  </w:r>
                </w:p>
              </w:tc>
              <w:tc>
                <w:tcPr>
                  <w:tcW w:w="1674" w:type="dxa"/>
                  <w:tcBorders>
                    <w:top w:val="single" w:color="auto" w:sz="4" w:space="0"/>
                    <w:left w:val="nil"/>
                    <w:bottom w:val="single" w:color="auto" w:sz="4" w:space="0"/>
                    <w:right w:val="single" w:color="auto" w:sz="4" w:space="0"/>
                  </w:tcBorders>
                  <w:vAlign w:val="center"/>
                </w:tcPr>
                <w:p w14:paraId="156F4EB0">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2500</w:t>
                  </w:r>
                </w:p>
              </w:tc>
              <w:tc>
                <w:tcPr>
                  <w:tcW w:w="1674" w:type="dxa"/>
                  <w:tcBorders>
                    <w:top w:val="single" w:color="auto" w:sz="4" w:space="0"/>
                    <w:left w:val="nil"/>
                    <w:bottom w:val="single" w:color="auto" w:sz="4" w:space="0"/>
                    <w:right w:val="single" w:color="auto" w:sz="4" w:space="0"/>
                  </w:tcBorders>
                  <w:vAlign w:val="center"/>
                </w:tcPr>
                <w:p w14:paraId="4A330C21">
                  <w:pPr>
                    <w:pStyle w:val="41"/>
                    <w:spacing w:line="320" w:lineRule="exact"/>
                    <w:rPr>
                      <w:rFonts w:hint="eastAsia"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0.000216</w:t>
                  </w:r>
                </w:p>
              </w:tc>
            </w:tr>
            <w:tr w14:paraId="61EA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0424484B">
                  <w:pPr>
                    <w:pStyle w:val="41"/>
                    <w:spacing w:line="320" w:lineRule="exact"/>
                    <w:rPr>
                      <w:color w:val="auto"/>
                      <w:sz w:val="22"/>
                      <w:szCs w:val="22"/>
                    </w:rPr>
                  </w:pPr>
                  <w:r>
                    <w:rPr>
                      <w:rFonts w:hint="eastAsia"/>
                      <w:color w:val="auto"/>
                      <w:sz w:val="22"/>
                      <w:szCs w:val="22"/>
                    </w:rPr>
                    <w:t>4</w:t>
                  </w:r>
                </w:p>
              </w:tc>
              <w:tc>
                <w:tcPr>
                  <w:tcW w:w="2210" w:type="dxa"/>
                  <w:tcBorders>
                    <w:top w:val="single" w:color="auto" w:sz="4" w:space="0"/>
                    <w:left w:val="nil"/>
                    <w:bottom w:val="single" w:color="auto" w:sz="4" w:space="0"/>
                    <w:right w:val="single" w:color="auto" w:sz="4" w:space="0"/>
                  </w:tcBorders>
                  <w:vAlign w:val="top"/>
                </w:tcPr>
                <w:p w14:paraId="3170D600">
                  <w:pPr>
                    <w:pStyle w:val="41"/>
                    <w:spacing w:line="320" w:lineRule="exact"/>
                    <w:rPr>
                      <w:color w:val="auto"/>
                      <w:sz w:val="22"/>
                      <w:szCs w:val="22"/>
                    </w:rPr>
                  </w:pPr>
                  <w:r>
                    <w:rPr>
                      <w:rFonts w:hint="eastAsia"/>
                      <w:color w:val="auto"/>
                      <w:sz w:val="22"/>
                      <w:szCs w:val="22"/>
                    </w:rPr>
                    <w:t>废油等</w:t>
                  </w:r>
                </w:p>
              </w:tc>
              <w:tc>
                <w:tcPr>
                  <w:tcW w:w="1674" w:type="dxa"/>
                  <w:tcBorders>
                    <w:top w:val="single" w:color="auto" w:sz="4" w:space="0"/>
                    <w:left w:val="nil"/>
                    <w:bottom w:val="single" w:color="auto" w:sz="4" w:space="0"/>
                    <w:right w:val="single" w:color="auto" w:sz="4" w:space="0"/>
                  </w:tcBorders>
                  <w:vAlign w:val="center"/>
                </w:tcPr>
                <w:p w14:paraId="1A3BA8A6">
                  <w:pPr>
                    <w:keepNext w:val="0"/>
                    <w:keepLines w:val="0"/>
                    <w:widowControl/>
                    <w:suppressLineNumbers w:val="0"/>
                    <w:jc w:val="center"/>
                    <w:textAlignment w:val="center"/>
                    <w:rPr>
                      <w:rFonts w:hint="default" w:eastAsia="宋体"/>
                      <w:color w:val="auto"/>
                      <w:sz w:val="22"/>
                      <w:szCs w:val="22"/>
                      <w:lang w:val="en-US" w:eastAsia="zh-CN"/>
                    </w:rPr>
                  </w:pPr>
                  <w:r>
                    <w:rPr>
                      <w:rFonts w:hint="eastAsia" w:cs="Times New Roman"/>
                      <w:i w:val="0"/>
                      <w:iCs w:val="0"/>
                      <w:color w:val="auto"/>
                      <w:kern w:val="0"/>
                      <w:sz w:val="21"/>
                      <w:szCs w:val="21"/>
                      <w:u w:val="none"/>
                      <w:lang w:val="en-US" w:eastAsia="zh-CN" w:bidi="ar"/>
                    </w:rPr>
                    <w:t>14</w:t>
                  </w:r>
                </w:p>
              </w:tc>
              <w:tc>
                <w:tcPr>
                  <w:tcW w:w="1674" w:type="dxa"/>
                  <w:tcBorders>
                    <w:top w:val="single" w:color="auto" w:sz="4" w:space="0"/>
                    <w:left w:val="nil"/>
                    <w:bottom w:val="single" w:color="auto" w:sz="4" w:space="0"/>
                    <w:right w:val="single" w:color="auto" w:sz="4" w:space="0"/>
                  </w:tcBorders>
                  <w:vAlign w:val="center"/>
                </w:tcPr>
                <w:p w14:paraId="0A738531">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2500</w:t>
                  </w:r>
                </w:p>
              </w:tc>
              <w:tc>
                <w:tcPr>
                  <w:tcW w:w="1674" w:type="dxa"/>
                  <w:tcBorders>
                    <w:top w:val="single" w:color="auto" w:sz="4" w:space="0"/>
                    <w:left w:val="nil"/>
                    <w:bottom w:val="single" w:color="auto" w:sz="4" w:space="0"/>
                    <w:right w:val="single" w:color="auto" w:sz="4" w:space="0"/>
                  </w:tcBorders>
                  <w:shd w:val="clear" w:color="auto" w:fill="auto"/>
                  <w:vAlign w:val="center"/>
                </w:tcPr>
                <w:p w14:paraId="3093D83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0.00566</w:t>
                  </w:r>
                  <w:r>
                    <w:rPr>
                      <w:rFonts w:hint="eastAsia" w:ascii="Times New Roman" w:hAnsi="Times New Roman" w:eastAsia="宋体" w:cs="Times New Roman"/>
                      <w:i w:val="0"/>
                      <w:iCs w:val="0"/>
                      <w:color w:val="auto"/>
                      <w:kern w:val="0"/>
                      <w:sz w:val="22"/>
                      <w:szCs w:val="22"/>
                      <w:u w:val="none"/>
                      <w:lang w:val="en-US" w:eastAsia="zh-CN" w:bidi="ar"/>
                    </w:rPr>
                    <w:t>7</w:t>
                  </w:r>
                </w:p>
              </w:tc>
            </w:tr>
            <w:tr w14:paraId="7C36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326901CF">
                  <w:pPr>
                    <w:pStyle w:val="41"/>
                    <w:spacing w:line="320" w:lineRule="exact"/>
                    <w:rPr>
                      <w:color w:val="auto"/>
                      <w:sz w:val="22"/>
                      <w:szCs w:val="22"/>
                    </w:rPr>
                  </w:pPr>
                  <w:r>
                    <w:rPr>
                      <w:rFonts w:hint="eastAsia"/>
                      <w:color w:val="auto"/>
                      <w:sz w:val="22"/>
                      <w:szCs w:val="22"/>
                    </w:rPr>
                    <w:t>5</w:t>
                  </w:r>
                </w:p>
              </w:tc>
              <w:tc>
                <w:tcPr>
                  <w:tcW w:w="2210" w:type="dxa"/>
                  <w:tcBorders>
                    <w:top w:val="single" w:color="auto" w:sz="4" w:space="0"/>
                    <w:left w:val="nil"/>
                    <w:bottom w:val="single" w:color="auto" w:sz="4" w:space="0"/>
                    <w:right w:val="single" w:color="auto" w:sz="4" w:space="0"/>
                  </w:tcBorders>
                  <w:vAlign w:val="top"/>
                </w:tcPr>
                <w:p w14:paraId="5DED0F96">
                  <w:pPr>
                    <w:pStyle w:val="41"/>
                    <w:spacing w:line="320" w:lineRule="exact"/>
                    <w:rPr>
                      <w:color w:val="auto"/>
                      <w:sz w:val="22"/>
                      <w:szCs w:val="22"/>
                    </w:rPr>
                  </w:pPr>
                  <w:r>
                    <w:rPr>
                      <w:rFonts w:hint="eastAsia"/>
                      <w:color w:val="auto"/>
                      <w:sz w:val="22"/>
                      <w:szCs w:val="22"/>
                    </w:rPr>
                    <w:t>合计</w:t>
                  </w:r>
                </w:p>
              </w:tc>
              <w:tc>
                <w:tcPr>
                  <w:tcW w:w="1674" w:type="dxa"/>
                  <w:tcBorders>
                    <w:top w:val="single" w:color="auto" w:sz="4" w:space="0"/>
                    <w:left w:val="nil"/>
                    <w:bottom w:val="single" w:color="auto" w:sz="4" w:space="0"/>
                    <w:right w:val="single" w:color="auto" w:sz="4" w:space="0"/>
                  </w:tcBorders>
                  <w:vAlign w:val="center"/>
                </w:tcPr>
                <w:p w14:paraId="00558505">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w:t>
                  </w:r>
                </w:p>
              </w:tc>
              <w:tc>
                <w:tcPr>
                  <w:tcW w:w="1674" w:type="dxa"/>
                  <w:tcBorders>
                    <w:top w:val="single" w:color="auto" w:sz="4" w:space="0"/>
                    <w:left w:val="nil"/>
                    <w:bottom w:val="single" w:color="auto" w:sz="4" w:space="0"/>
                    <w:right w:val="single" w:color="auto" w:sz="4" w:space="0"/>
                  </w:tcBorders>
                  <w:vAlign w:val="center"/>
                </w:tcPr>
                <w:p w14:paraId="2805569E">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w:t>
                  </w:r>
                </w:p>
              </w:tc>
              <w:tc>
                <w:tcPr>
                  <w:tcW w:w="1674" w:type="dxa"/>
                  <w:tcBorders>
                    <w:top w:val="single" w:color="auto" w:sz="4" w:space="0"/>
                    <w:left w:val="nil"/>
                    <w:bottom w:val="single" w:color="auto" w:sz="4" w:space="0"/>
                    <w:right w:val="single" w:color="auto" w:sz="4" w:space="0"/>
                  </w:tcBorders>
                  <w:shd w:val="clear" w:color="auto" w:fill="auto"/>
                  <w:vAlign w:val="center"/>
                </w:tcPr>
                <w:p w14:paraId="53815AD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0.00609</w:t>
                  </w:r>
                  <w:r>
                    <w:rPr>
                      <w:rFonts w:hint="eastAsia" w:ascii="Times New Roman" w:hAnsi="Times New Roman" w:eastAsia="宋体" w:cs="Times New Roman"/>
                      <w:i w:val="0"/>
                      <w:iCs w:val="0"/>
                      <w:color w:val="auto"/>
                      <w:kern w:val="0"/>
                      <w:sz w:val="22"/>
                      <w:szCs w:val="22"/>
                      <w:u w:val="none"/>
                      <w:lang w:val="en-US" w:eastAsia="zh-CN" w:bidi="ar"/>
                    </w:rPr>
                    <w:t>9</w:t>
                  </w:r>
                </w:p>
              </w:tc>
            </w:tr>
          </w:tbl>
          <w:p w14:paraId="2D79EC06">
            <w:pPr>
              <w:pStyle w:val="82"/>
              <w:spacing w:line="460" w:lineRule="exact"/>
              <w:ind w:firstLine="520"/>
              <w:rPr>
                <w:color w:val="auto"/>
                <w:szCs w:val="26"/>
              </w:rPr>
            </w:pPr>
            <w:r>
              <w:rPr>
                <w:color w:val="auto"/>
                <w:szCs w:val="26"/>
              </w:rPr>
              <w:t>根据</w:t>
            </w:r>
            <w:r>
              <w:rPr>
                <w:rFonts w:hint="eastAsia"/>
                <w:color w:val="auto"/>
                <w:szCs w:val="26"/>
              </w:rPr>
              <w:t>上表</w:t>
            </w:r>
            <w:r>
              <w:rPr>
                <w:color w:val="auto"/>
                <w:szCs w:val="26"/>
              </w:rPr>
              <w:t>，厂区</w:t>
            </w:r>
            <w:r>
              <w:rPr>
                <w:rFonts w:hint="eastAsia"/>
                <w:color w:val="auto"/>
                <w:szCs w:val="26"/>
              </w:rPr>
              <w:t>所有</w:t>
            </w:r>
            <w:r>
              <w:rPr>
                <w:color w:val="auto"/>
                <w:szCs w:val="26"/>
              </w:rPr>
              <w:t>危险物质</w:t>
            </w:r>
            <w:r>
              <w:rPr>
                <w:rFonts w:hint="eastAsia"/>
                <w:color w:val="auto"/>
                <w:szCs w:val="26"/>
              </w:rPr>
              <w:t>，</w:t>
            </w:r>
            <w:r>
              <w:rPr>
                <w:color w:val="auto"/>
                <w:szCs w:val="26"/>
              </w:rPr>
              <w:t>Q</w:t>
            </w:r>
            <w:r>
              <w:rPr>
                <w:rFonts w:hint="eastAsia"/>
                <w:color w:val="auto"/>
                <w:szCs w:val="26"/>
              </w:rPr>
              <w:t>值小于</w:t>
            </w:r>
            <w:r>
              <w:rPr>
                <w:color w:val="auto"/>
                <w:szCs w:val="26"/>
              </w:rPr>
              <w:t>1，风险潜势为I，仅对环境风险进行简单分析。</w:t>
            </w:r>
          </w:p>
          <w:p w14:paraId="589E6430">
            <w:pPr>
              <w:pStyle w:val="82"/>
              <w:spacing w:line="460" w:lineRule="exact"/>
              <w:ind w:firstLine="520"/>
              <w:rPr>
                <w:color w:val="auto"/>
                <w:szCs w:val="26"/>
              </w:rPr>
            </w:pPr>
            <w:r>
              <w:rPr>
                <w:rFonts w:hint="eastAsia"/>
                <w:color w:val="auto"/>
                <w:szCs w:val="26"/>
              </w:rPr>
              <w:t>4.2.6.2环境风险识别</w:t>
            </w:r>
          </w:p>
          <w:p w14:paraId="6342115E">
            <w:pPr>
              <w:pStyle w:val="12"/>
              <w:spacing w:beforeLines="0" w:line="460" w:lineRule="exact"/>
              <w:rPr>
                <w:color w:val="auto"/>
                <w:szCs w:val="26"/>
              </w:rPr>
            </w:pPr>
            <w:r>
              <w:rPr>
                <w:rFonts w:hint="eastAsia"/>
                <w:color w:val="auto"/>
                <w:szCs w:val="26"/>
              </w:rPr>
              <w:t>表4.2</w:t>
            </w:r>
            <w:r>
              <w:rPr>
                <w:color w:val="auto"/>
                <w:szCs w:val="26"/>
              </w:rPr>
              <w:t>-</w:t>
            </w:r>
            <w:r>
              <w:rPr>
                <w:rFonts w:hint="eastAsia"/>
                <w:color w:val="auto"/>
                <w:szCs w:val="26"/>
                <w:lang w:val="en-US" w:eastAsia="zh-CN"/>
              </w:rPr>
              <w:t xml:space="preserve">21  </w:t>
            </w:r>
            <w:r>
              <w:rPr>
                <w:color w:val="auto"/>
                <w:szCs w:val="26"/>
              </w:rPr>
              <w:t>环境风险识别表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647"/>
              <w:gridCol w:w="1189"/>
              <w:gridCol w:w="1372"/>
              <w:gridCol w:w="1171"/>
              <w:gridCol w:w="1775"/>
            </w:tblGrid>
            <w:tr w14:paraId="46A9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2" w:type="pct"/>
                  <w:shd w:val="clear" w:color="auto" w:fill="auto"/>
                  <w:vAlign w:val="center"/>
                </w:tcPr>
                <w:p w14:paraId="4B564603">
                  <w:pPr>
                    <w:pStyle w:val="41"/>
                    <w:spacing w:line="240" w:lineRule="auto"/>
                    <w:rPr>
                      <w:color w:val="auto"/>
                      <w:sz w:val="22"/>
                      <w:szCs w:val="22"/>
                    </w:rPr>
                  </w:pPr>
                  <w:r>
                    <w:rPr>
                      <w:rFonts w:hint="eastAsia"/>
                      <w:color w:val="auto"/>
                      <w:sz w:val="22"/>
                      <w:szCs w:val="22"/>
                    </w:rPr>
                    <w:t>危险单元</w:t>
                  </w:r>
                </w:p>
              </w:tc>
              <w:tc>
                <w:tcPr>
                  <w:tcW w:w="984" w:type="pct"/>
                  <w:shd w:val="clear" w:color="auto" w:fill="auto"/>
                  <w:vAlign w:val="center"/>
                </w:tcPr>
                <w:p w14:paraId="34479C5C">
                  <w:pPr>
                    <w:pStyle w:val="41"/>
                    <w:spacing w:line="240" w:lineRule="auto"/>
                    <w:rPr>
                      <w:color w:val="auto"/>
                      <w:sz w:val="22"/>
                      <w:szCs w:val="22"/>
                    </w:rPr>
                  </w:pPr>
                  <w:r>
                    <w:rPr>
                      <w:rFonts w:hint="eastAsia"/>
                      <w:color w:val="auto"/>
                      <w:sz w:val="22"/>
                      <w:szCs w:val="22"/>
                    </w:rPr>
                    <w:t>风险源</w:t>
                  </w:r>
                </w:p>
              </w:tc>
              <w:tc>
                <w:tcPr>
                  <w:tcW w:w="710" w:type="pct"/>
                  <w:shd w:val="clear" w:color="auto" w:fill="auto"/>
                  <w:vAlign w:val="center"/>
                </w:tcPr>
                <w:p w14:paraId="05A61C55">
                  <w:pPr>
                    <w:pStyle w:val="41"/>
                    <w:spacing w:line="240" w:lineRule="auto"/>
                    <w:rPr>
                      <w:color w:val="auto"/>
                      <w:sz w:val="22"/>
                      <w:szCs w:val="22"/>
                    </w:rPr>
                  </w:pPr>
                  <w:r>
                    <w:rPr>
                      <w:rFonts w:hint="eastAsia"/>
                      <w:color w:val="auto"/>
                      <w:sz w:val="22"/>
                      <w:szCs w:val="22"/>
                    </w:rPr>
                    <w:t>主要危险物质</w:t>
                  </w:r>
                </w:p>
              </w:tc>
              <w:tc>
                <w:tcPr>
                  <w:tcW w:w="820" w:type="pct"/>
                  <w:shd w:val="clear" w:color="auto" w:fill="auto"/>
                  <w:vAlign w:val="center"/>
                </w:tcPr>
                <w:p w14:paraId="7D6F8375">
                  <w:pPr>
                    <w:pStyle w:val="41"/>
                    <w:spacing w:line="240" w:lineRule="auto"/>
                    <w:rPr>
                      <w:color w:val="auto"/>
                      <w:sz w:val="22"/>
                      <w:szCs w:val="22"/>
                    </w:rPr>
                  </w:pPr>
                  <w:r>
                    <w:rPr>
                      <w:rFonts w:hint="eastAsia"/>
                      <w:color w:val="auto"/>
                      <w:sz w:val="22"/>
                      <w:szCs w:val="22"/>
                    </w:rPr>
                    <w:t>环境风险类型</w:t>
                  </w:r>
                </w:p>
              </w:tc>
              <w:tc>
                <w:tcPr>
                  <w:tcW w:w="700" w:type="pct"/>
                  <w:shd w:val="clear" w:color="auto" w:fill="auto"/>
                  <w:vAlign w:val="center"/>
                </w:tcPr>
                <w:p w14:paraId="1A9B1259">
                  <w:pPr>
                    <w:pStyle w:val="41"/>
                    <w:spacing w:line="240" w:lineRule="auto"/>
                    <w:rPr>
                      <w:color w:val="auto"/>
                      <w:sz w:val="22"/>
                      <w:szCs w:val="22"/>
                    </w:rPr>
                  </w:pPr>
                  <w:r>
                    <w:rPr>
                      <w:rFonts w:hint="eastAsia"/>
                      <w:color w:val="auto"/>
                      <w:sz w:val="22"/>
                      <w:szCs w:val="22"/>
                    </w:rPr>
                    <w:t>环境影响途径</w:t>
                  </w:r>
                </w:p>
              </w:tc>
              <w:tc>
                <w:tcPr>
                  <w:tcW w:w="1061" w:type="pct"/>
                  <w:shd w:val="clear" w:color="auto" w:fill="auto"/>
                  <w:vAlign w:val="center"/>
                </w:tcPr>
                <w:p w14:paraId="103A55A7">
                  <w:pPr>
                    <w:pStyle w:val="41"/>
                    <w:spacing w:line="240" w:lineRule="auto"/>
                    <w:rPr>
                      <w:color w:val="auto"/>
                      <w:sz w:val="22"/>
                      <w:szCs w:val="22"/>
                    </w:rPr>
                  </w:pPr>
                  <w:r>
                    <w:rPr>
                      <w:rFonts w:hint="eastAsia"/>
                      <w:color w:val="auto"/>
                      <w:sz w:val="22"/>
                      <w:szCs w:val="22"/>
                    </w:rPr>
                    <w:t>可能受影响的环境敏感目标</w:t>
                  </w:r>
                </w:p>
              </w:tc>
            </w:tr>
            <w:tr w14:paraId="4FD6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2" w:type="pct"/>
                  <w:shd w:val="clear" w:color="auto" w:fill="auto"/>
                  <w:vAlign w:val="center"/>
                </w:tcPr>
                <w:p w14:paraId="700FDEE0">
                  <w:pPr>
                    <w:pStyle w:val="41"/>
                    <w:spacing w:line="240" w:lineRule="auto"/>
                    <w:rPr>
                      <w:color w:val="auto"/>
                      <w:sz w:val="22"/>
                      <w:szCs w:val="22"/>
                    </w:rPr>
                  </w:pPr>
                  <w:r>
                    <w:rPr>
                      <w:rFonts w:hint="eastAsia"/>
                      <w:color w:val="auto"/>
                      <w:sz w:val="22"/>
                      <w:szCs w:val="22"/>
                    </w:rPr>
                    <w:t>危险品库</w:t>
                  </w:r>
                </w:p>
              </w:tc>
              <w:tc>
                <w:tcPr>
                  <w:tcW w:w="984" w:type="pct"/>
                  <w:shd w:val="clear" w:color="auto" w:fill="auto"/>
                  <w:vAlign w:val="center"/>
                </w:tcPr>
                <w:p w14:paraId="77C2A160">
                  <w:pPr>
                    <w:pStyle w:val="41"/>
                    <w:spacing w:line="320" w:lineRule="exact"/>
                    <w:rPr>
                      <w:color w:val="auto"/>
                      <w:sz w:val="22"/>
                      <w:szCs w:val="22"/>
                    </w:rPr>
                  </w:pPr>
                  <w:r>
                    <w:rPr>
                      <w:rFonts w:hint="eastAsia"/>
                      <w:color w:val="auto"/>
                      <w:sz w:val="22"/>
                      <w:szCs w:val="22"/>
                    </w:rPr>
                    <w:t>电机润滑油</w:t>
                  </w:r>
                </w:p>
              </w:tc>
              <w:tc>
                <w:tcPr>
                  <w:tcW w:w="710" w:type="pct"/>
                  <w:shd w:val="clear" w:color="auto" w:fill="auto"/>
                  <w:vAlign w:val="center"/>
                </w:tcPr>
                <w:p w14:paraId="7F822828">
                  <w:pPr>
                    <w:pStyle w:val="41"/>
                    <w:spacing w:line="240" w:lineRule="auto"/>
                    <w:rPr>
                      <w:color w:val="auto"/>
                      <w:sz w:val="22"/>
                      <w:szCs w:val="22"/>
                    </w:rPr>
                  </w:pPr>
                  <w:r>
                    <w:rPr>
                      <w:rFonts w:hint="eastAsia"/>
                      <w:color w:val="auto"/>
                      <w:sz w:val="22"/>
                      <w:szCs w:val="22"/>
                    </w:rPr>
                    <w:t>油类物质</w:t>
                  </w:r>
                </w:p>
              </w:tc>
              <w:tc>
                <w:tcPr>
                  <w:tcW w:w="820" w:type="pct"/>
                  <w:shd w:val="clear" w:color="auto" w:fill="auto"/>
                  <w:vAlign w:val="center"/>
                </w:tcPr>
                <w:p w14:paraId="49891A0B">
                  <w:pPr>
                    <w:pStyle w:val="41"/>
                    <w:spacing w:line="240" w:lineRule="auto"/>
                    <w:rPr>
                      <w:color w:val="auto"/>
                      <w:sz w:val="22"/>
                      <w:szCs w:val="22"/>
                    </w:rPr>
                  </w:pPr>
                  <w:r>
                    <w:rPr>
                      <w:rFonts w:hint="eastAsia"/>
                      <w:color w:val="auto"/>
                      <w:sz w:val="22"/>
                      <w:szCs w:val="22"/>
                    </w:rPr>
                    <w:t>可燃</w:t>
                  </w:r>
                </w:p>
              </w:tc>
              <w:tc>
                <w:tcPr>
                  <w:tcW w:w="700" w:type="pct"/>
                  <w:shd w:val="clear" w:color="auto" w:fill="auto"/>
                  <w:vAlign w:val="center"/>
                </w:tcPr>
                <w:p w14:paraId="073AF20A">
                  <w:pPr>
                    <w:pStyle w:val="41"/>
                    <w:spacing w:line="240" w:lineRule="auto"/>
                    <w:rPr>
                      <w:color w:val="auto"/>
                      <w:sz w:val="22"/>
                      <w:szCs w:val="22"/>
                    </w:rPr>
                  </w:pPr>
                  <w:r>
                    <w:rPr>
                      <w:rFonts w:hint="eastAsia"/>
                      <w:color w:val="auto"/>
                      <w:sz w:val="22"/>
                      <w:szCs w:val="22"/>
                    </w:rPr>
                    <w:t>泄漏/燃烧</w:t>
                  </w:r>
                </w:p>
              </w:tc>
              <w:tc>
                <w:tcPr>
                  <w:tcW w:w="1061" w:type="pct"/>
                  <w:shd w:val="clear" w:color="auto" w:fill="auto"/>
                  <w:vAlign w:val="center"/>
                </w:tcPr>
                <w:p w14:paraId="771DD8DE">
                  <w:pPr>
                    <w:pStyle w:val="41"/>
                    <w:spacing w:line="240" w:lineRule="auto"/>
                    <w:rPr>
                      <w:color w:val="auto"/>
                      <w:sz w:val="22"/>
                      <w:szCs w:val="22"/>
                    </w:rPr>
                  </w:pPr>
                  <w:r>
                    <w:rPr>
                      <w:rFonts w:hint="eastAsia"/>
                      <w:color w:val="auto"/>
                      <w:sz w:val="22"/>
                      <w:szCs w:val="22"/>
                    </w:rPr>
                    <w:t>大气环境</w:t>
                  </w:r>
                </w:p>
                <w:p w14:paraId="13666AD8">
                  <w:pPr>
                    <w:pStyle w:val="41"/>
                    <w:spacing w:line="240" w:lineRule="auto"/>
                    <w:rPr>
                      <w:color w:val="auto"/>
                      <w:sz w:val="22"/>
                      <w:szCs w:val="22"/>
                    </w:rPr>
                  </w:pPr>
                  <w:r>
                    <w:rPr>
                      <w:rFonts w:hint="eastAsia"/>
                      <w:color w:val="auto"/>
                      <w:sz w:val="22"/>
                      <w:szCs w:val="22"/>
                    </w:rPr>
                    <w:t>地表水环境</w:t>
                  </w:r>
                </w:p>
              </w:tc>
            </w:tr>
            <w:tr w14:paraId="7A3B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2" w:type="pct"/>
                  <w:shd w:val="clear" w:color="auto" w:fill="auto"/>
                  <w:vAlign w:val="center"/>
                </w:tcPr>
                <w:p w14:paraId="1330F6C5">
                  <w:pPr>
                    <w:pStyle w:val="41"/>
                    <w:spacing w:line="240" w:lineRule="auto"/>
                    <w:rPr>
                      <w:color w:val="auto"/>
                      <w:sz w:val="22"/>
                      <w:szCs w:val="22"/>
                    </w:rPr>
                  </w:pPr>
                  <w:r>
                    <w:rPr>
                      <w:rFonts w:hint="eastAsia"/>
                      <w:color w:val="auto"/>
                      <w:sz w:val="22"/>
                      <w:szCs w:val="22"/>
                    </w:rPr>
                    <w:t>危险品库</w:t>
                  </w:r>
                </w:p>
              </w:tc>
              <w:tc>
                <w:tcPr>
                  <w:tcW w:w="984" w:type="pct"/>
                  <w:shd w:val="clear" w:color="auto" w:fill="auto"/>
                  <w:vAlign w:val="center"/>
                </w:tcPr>
                <w:p w14:paraId="00B9476F">
                  <w:pPr>
                    <w:pStyle w:val="41"/>
                    <w:spacing w:line="320" w:lineRule="exact"/>
                    <w:rPr>
                      <w:color w:val="auto"/>
                      <w:sz w:val="22"/>
                      <w:szCs w:val="22"/>
                    </w:rPr>
                  </w:pPr>
                  <w:r>
                    <w:rPr>
                      <w:rFonts w:hint="eastAsia"/>
                      <w:color w:val="auto"/>
                      <w:sz w:val="22"/>
                      <w:szCs w:val="22"/>
                    </w:rPr>
                    <w:t>变速箱润滑油</w:t>
                  </w:r>
                </w:p>
              </w:tc>
              <w:tc>
                <w:tcPr>
                  <w:tcW w:w="710" w:type="pct"/>
                  <w:shd w:val="clear" w:color="auto" w:fill="auto"/>
                  <w:vAlign w:val="center"/>
                </w:tcPr>
                <w:p w14:paraId="6F6A28FD">
                  <w:pPr>
                    <w:pStyle w:val="41"/>
                    <w:spacing w:line="240" w:lineRule="auto"/>
                    <w:rPr>
                      <w:color w:val="auto"/>
                      <w:sz w:val="22"/>
                      <w:szCs w:val="22"/>
                    </w:rPr>
                  </w:pPr>
                  <w:r>
                    <w:rPr>
                      <w:rFonts w:hint="eastAsia"/>
                      <w:color w:val="auto"/>
                      <w:sz w:val="22"/>
                      <w:szCs w:val="22"/>
                    </w:rPr>
                    <w:t>油类物质</w:t>
                  </w:r>
                </w:p>
              </w:tc>
              <w:tc>
                <w:tcPr>
                  <w:tcW w:w="820" w:type="pct"/>
                  <w:shd w:val="clear" w:color="auto" w:fill="auto"/>
                  <w:vAlign w:val="center"/>
                </w:tcPr>
                <w:p w14:paraId="556186E2">
                  <w:pPr>
                    <w:pStyle w:val="41"/>
                    <w:spacing w:line="240" w:lineRule="auto"/>
                    <w:rPr>
                      <w:color w:val="auto"/>
                      <w:sz w:val="22"/>
                      <w:szCs w:val="22"/>
                    </w:rPr>
                  </w:pPr>
                  <w:r>
                    <w:rPr>
                      <w:rFonts w:hint="eastAsia"/>
                      <w:color w:val="auto"/>
                      <w:sz w:val="22"/>
                      <w:szCs w:val="22"/>
                    </w:rPr>
                    <w:t>可燃</w:t>
                  </w:r>
                </w:p>
              </w:tc>
              <w:tc>
                <w:tcPr>
                  <w:tcW w:w="700" w:type="pct"/>
                  <w:shd w:val="clear" w:color="auto" w:fill="auto"/>
                  <w:vAlign w:val="center"/>
                </w:tcPr>
                <w:p w14:paraId="280AAB85">
                  <w:pPr>
                    <w:pStyle w:val="41"/>
                    <w:spacing w:line="240" w:lineRule="auto"/>
                    <w:rPr>
                      <w:color w:val="auto"/>
                      <w:sz w:val="22"/>
                      <w:szCs w:val="22"/>
                    </w:rPr>
                  </w:pPr>
                  <w:r>
                    <w:rPr>
                      <w:rFonts w:hint="eastAsia"/>
                      <w:color w:val="auto"/>
                      <w:sz w:val="22"/>
                      <w:szCs w:val="22"/>
                    </w:rPr>
                    <w:t>泄漏/燃烧</w:t>
                  </w:r>
                </w:p>
              </w:tc>
              <w:tc>
                <w:tcPr>
                  <w:tcW w:w="1061" w:type="pct"/>
                  <w:shd w:val="clear" w:color="auto" w:fill="auto"/>
                  <w:vAlign w:val="center"/>
                </w:tcPr>
                <w:p w14:paraId="3BCE71DD">
                  <w:pPr>
                    <w:pStyle w:val="41"/>
                    <w:spacing w:line="240" w:lineRule="auto"/>
                    <w:rPr>
                      <w:color w:val="auto"/>
                      <w:sz w:val="22"/>
                      <w:szCs w:val="22"/>
                    </w:rPr>
                  </w:pPr>
                  <w:r>
                    <w:rPr>
                      <w:rFonts w:hint="eastAsia"/>
                      <w:color w:val="auto"/>
                      <w:sz w:val="22"/>
                      <w:szCs w:val="22"/>
                    </w:rPr>
                    <w:t>大气环境</w:t>
                  </w:r>
                </w:p>
                <w:p w14:paraId="1356252E">
                  <w:pPr>
                    <w:pStyle w:val="41"/>
                    <w:spacing w:line="240" w:lineRule="auto"/>
                    <w:rPr>
                      <w:color w:val="auto"/>
                      <w:sz w:val="22"/>
                      <w:szCs w:val="22"/>
                    </w:rPr>
                  </w:pPr>
                  <w:r>
                    <w:rPr>
                      <w:rFonts w:hint="eastAsia"/>
                      <w:color w:val="auto"/>
                      <w:sz w:val="22"/>
                      <w:szCs w:val="22"/>
                    </w:rPr>
                    <w:t>地表水环境</w:t>
                  </w:r>
                </w:p>
              </w:tc>
            </w:tr>
            <w:tr w14:paraId="79C1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2" w:type="pct"/>
                  <w:shd w:val="clear" w:color="auto" w:fill="auto"/>
                  <w:vAlign w:val="center"/>
                </w:tcPr>
                <w:p w14:paraId="543E44DD">
                  <w:pPr>
                    <w:pStyle w:val="41"/>
                    <w:spacing w:line="240" w:lineRule="auto"/>
                    <w:rPr>
                      <w:rFonts w:hint="eastAsia" w:eastAsia="宋体"/>
                      <w:color w:val="auto"/>
                      <w:sz w:val="22"/>
                      <w:szCs w:val="22"/>
                      <w:lang w:eastAsia="zh-CN"/>
                    </w:rPr>
                  </w:pPr>
                  <w:r>
                    <w:rPr>
                      <w:rFonts w:hint="eastAsia"/>
                      <w:color w:val="auto"/>
                      <w:sz w:val="22"/>
                      <w:szCs w:val="22"/>
                      <w:lang w:eastAsia="zh-CN"/>
                    </w:rPr>
                    <w:t>危废贮存库</w:t>
                  </w:r>
                </w:p>
              </w:tc>
              <w:tc>
                <w:tcPr>
                  <w:tcW w:w="984" w:type="pct"/>
                  <w:shd w:val="clear" w:color="auto" w:fill="auto"/>
                  <w:vAlign w:val="center"/>
                </w:tcPr>
                <w:p w14:paraId="57685602">
                  <w:pPr>
                    <w:pStyle w:val="41"/>
                    <w:spacing w:line="240" w:lineRule="auto"/>
                    <w:rPr>
                      <w:color w:val="auto"/>
                      <w:sz w:val="22"/>
                      <w:szCs w:val="22"/>
                    </w:rPr>
                  </w:pPr>
                  <w:r>
                    <w:rPr>
                      <w:rFonts w:hint="eastAsia"/>
                      <w:color w:val="auto"/>
                      <w:sz w:val="22"/>
                      <w:szCs w:val="22"/>
                    </w:rPr>
                    <w:t>废油</w:t>
                  </w:r>
                </w:p>
              </w:tc>
              <w:tc>
                <w:tcPr>
                  <w:tcW w:w="710" w:type="pct"/>
                  <w:shd w:val="clear" w:color="auto" w:fill="auto"/>
                  <w:vAlign w:val="center"/>
                </w:tcPr>
                <w:p w14:paraId="58FD38B9">
                  <w:pPr>
                    <w:pStyle w:val="41"/>
                    <w:spacing w:line="240" w:lineRule="auto"/>
                    <w:rPr>
                      <w:color w:val="auto"/>
                      <w:sz w:val="22"/>
                      <w:szCs w:val="22"/>
                    </w:rPr>
                  </w:pPr>
                  <w:r>
                    <w:rPr>
                      <w:rFonts w:hint="eastAsia"/>
                      <w:color w:val="auto"/>
                      <w:sz w:val="22"/>
                      <w:szCs w:val="22"/>
                    </w:rPr>
                    <w:t>油类物质</w:t>
                  </w:r>
                </w:p>
              </w:tc>
              <w:tc>
                <w:tcPr>
                  <w:tcW w:w="820" w:type="pct"/>
                  <w:shd w:val="clear" w:color="auto" w:fill="auto"/>
                  <w:vAlign w:val="center"/>
                </w:tcPr>
                <w:p w14:paraId="6097BD3C">
                  <w:pPr>
                    <w:pStyle w:val="41"/>
                    <w:spacing w:line="240" w:lineRule="auto"/>
                    <w:rPr>
                      <w:color w:val="auto"/>
                      <w:sz w:val="22"/>
                      <w:szCs w:val="22"/>
                    </w:rPr>
                  </w:pPr>
                  <w:r>
                    <w:rPr>
                      <w:rFonts w:hint="eastAsia"/>
                      <w:color w:val="auto"/>
                      <w:sz w:val="22"/>
                      <w:szCs w:val="22"/>
                    </w:rPr>
                    <w:t>可燃</w:t>
                  </w:r>
                </w:p>
              </w:tc>
              <w:tc>
                <w:tcPr>
                  <w:tcW w:w="700" w:type="pct"/>
                  <w:shd w:val="clear" w:color="auto" w:fill="auto"/>
                  <w:vAlign w:val="center"/>
                </w:tcPr>
                <w:p w14:paraId="24F1654E">
                  <w:pPr>
                    <w:pStyle w:val="41"/>
                    <w:spacing w:line="240" w:lineRule="auto"/>
                    <w:rPr>
                      <w:color w:val="auto"/>
                      <w:sz w:val="22"/>
                      <w:szCs w:val="22"/>
                    </w:rPr>
                  </w:pPr>
                  <w:r>
                    <w:rPr>
                      <w:rFonts w:hint="eastAsia"/>
                      <w:color w:val="auto"/>
                      <w:sz w:val="22"/>
                      <w:szCs w:val="22"/>
                    </w:rPr>
                    <w:t>泄漏/燃烧</w:t>
                  </w:r>
                </w:p>
              </w:tc>
              <w:tc>
                <w:tcPr>
                  <w:tcW w:w="1061" w:type="pct"/>
                  <w:shd w:val="clear" w:color="auto" w:fill="auto"/>
                  <w:vAlign w:val="center"/>
                </w:tcPr>
                <w:p w14:paraId="2FF942C6">
                  <w:pPr>
                    <w:pStyle w:val="41"/>
                    <w:spacing w:line="240" w:lineRule="auto"/>
                    <w:rPr>
                      <w:color w:val="auto"/>
                      <w:sz w:val="22"/>
                      <w:szCs w:val="22"/>
                    </w:rPr>
                  </w:pPr>
                  <w:r>
                    <w:rPr>
                      <w:rFonts w:hint="eastAsia"/>
                      <w:color w:val="auto"/>
                      <w:sz w:val="22"/>
                      <w:szCs w:val="22"/>
                    </w:rPr>
                    <w:t>大气环境</w:t>
                  </w:r>
                </w:p>
                <w:p w14:paraId="0027471A">
                  <w:pPr>
                    <w:pStyle w:val="41"/>
                    <w:spacing w:line="240" w:lineRule="auto"/>
                    <w:rPr>
                      <w:color w:val="auto"/>
                      <w:sz w:val="22"/>
                      <w:szCs w:val="22"/>
                    </w:rPr>
                  </w:pPr>
                  <w:r>
                    <w:rPr>
                      <w:rFonts w:hint="eastAsia"/>
                      <w:color w:val="auto"/>
                      <w:sz w:val="22"/>
                      <w:szCs w:val="22"/>
                    </w:rPr>
                    <w:t>地表水环境</w:t>
                  </w:r>
                </w:p>
              </w:tc>
            </w:tr>
          </w:tbl>
          <w:p w14:paraId="4D7924C2">
            <w:pPr>
              <w:pStyle w:val="82"/>
              <w:spacing w:line="460" w:lineRule="exact"/>
              <w:ind w:firstLine="520"/>
              <w:rPr>
                <w:color w:val="auto"/>
                <w:szCs w:val="26"/>
              </w:rPr>
            </w:pPr>
            <w:r>
              <w:rPr>
                <w:rFonts w:hint="eastAsia"/>
                <w:color w:val="auto"/>
                <w:szCs w:val="26"/>
              </w:rPr>
              <w:t>4</w:t>
            </w:r>
            <w:r>
              <w:rPr>
                <w:color w:val="auto"/>
                <w:szCs w:val="26"/>
              </w:rPr>
              <w:t>.2.</w:t>
            </w:r>
            <w:r>
              <w:rPr>
                <w:rFonts w:hint="eastAsia"/>
                <w:color w:val="auto"/>
                <w:szCs w:val="26"/>
              </w:rPr>
              <w:t>6</w:t>
            </w:r>
            <w:r>
              <w:rPr>
                <w:color w:val="auto"/>
                <w:szCs w:val="26"/>
              </w:rPr>
              <w:t>.3环境风险分析</w:t>
            </w:r>
          </w:p>
          <w:p w14:paraId="6DC0A0EF">
            <w:pPr>
              <w:pStyle w:val="82"/>
              <w:spacing w:line="460" w:lineRule="exact"/>
              <w:ind w:firstLine="520"/>
              <w:rPr>
                <w:color w:val="auto"/>
                <w:szCs w:val="26"/>
              </w:rPr>
            </w:pPr>
            <w:r>
              <w:rPr>
                <w:rFonts w:hint="eastAsia"/>
                <w:color w:val="auto"/>
                <w:szCs w:val="26"/>
              </w:rPr>
              <w:t>变速箱润滑油、电机润滑油</w:t>
            </w:r>
            <w:r>
              <w:rPr>
                <w:rFonts w:hint="eastAsia"/>
                <w:color w:val="auto"/>
                <w:szCs w:val="26"/>
                <w:lang w:eastAsia="zh-CN"/>
              </w:rPr>
              <w:t>、</w:t>
            </w:r>
            <w:r>
              <w:rPr>
                <w:rFonts w:hint="eastAsia"/>
                <w:color w:val="auto"/>
                <w:szCs w:val="26"/>
                <w:lang w:val="en-US" w:eastAsia="zh-CN"/>
              </w:rPr>
              <w:t>废油</w:t>
            </w:r>
            <w:r>
              <w:rPr>
                <w:rFonts w:hint="eastAsia"/>
                <w:color w:val="auto"/>
                <w:szCs w:val="26"/>
              </w:rPr>
              <w:t>等</w:t>
            </w:r>
            <w:r>
              <w:rPr>
                <w:color w:val="auto"/>
                <w:szCs w:val="26"/>
              </w:rPr>
              <w:t>具有</w:t>
            </w:r>
            <w:r>
              <w:rPr>
                <w:rFonts w:hint="eastAsia"/>
                <w:color w:val="auto"/>
                <w:szCs w:val="26"/>
              </w:rPr>
              <w:t>可燃。但厂区各处设置消防沙、灭火器、消防栓等消防设施，厂区配备消防水罐，润滑脂由500g罐原装密封阴凉储存，储存量仅有1.5kg，风险物质储存量和储存规格较小，</w:t>
            </w:r>
            <w:r>
              <w:rPr>
                <w:color w:val="auto"/>
                <w:szCs w:val="26"/>
              </w:rPr>
              <w:t>因此评价认为</w:t>
            </w:r>
            <w:r>
              <w:rPr>
                <w:rFonts w:hint="eastAsia"/>
                <w:color w:val="auto"/>
                <w:szCs w:val="26"/>
              </w:rPr>
              <w:t>本项目变速箱润滑油、电机润滑油</w:t>
            </w:r>
            <w:r>
              <w:rPr>
                <w:color w:val="auto"/>
                <w:szCs w:val="26"/>
              </w:rPr>
              <w:t>造成的泄漏、火灾风险是可控的。</w:t>
            </w:r>
          </w:p>
          <w:p w14:paraId="4C84FED4">
            <w:pPr>
              <w:pStyle w:val="82"/>
              <w:spacing w:line="460" w:lineRule="exact"/>
              <w:ind w:firstLine="520"/>
              <w:rPr>
                <w:color w:val="auto"/>
                <w:szCs w:val="26"/>
              </w:rPr>
            </w:pPr>
            <w:r>
              <w:rPr>
                <w:rFonts w:hint="eastAsia"/>
                <w:color w:val="auto"/>
                <w:szCs w:val="26"/>
              </w:rPr>
              <w:t>废油储存依托现有</w:t>
            </w:r>
            <w:r>
              <w:rPr>
                <w:rFonts w:hint="eastAsia"/>
                <w:color w:val="auto"/>
                <w:szCs w:val="26"/>
                <w:lang w:eastAsia="zh-CN"/>
              </w:rPr>
              <w:t>危废贮存库</w:t>
            </w:r>
            <w:r>
              <w:rPr>
                <w:rFonts w:hint="eastAsia"/>
                <w:color w:val="auto"/>
                <w:szCs w:val="26"/>
              </w:rPr>
              <w:t>，</w:t>
            </w:r>
            <w:r>
              <w:rPr>
                <w:rFonts w:hint="eastAsia"/>
                <w:color w:val="auto"/>
                <w:szCs w:val="26"/>
                <w:lang w:eastAsia="zh-CN"/>
              </w:rPr>
              <w:t>危废贮存库</w:t>
            </w:r>
            <w:r>
              <w:rPr>
                <w:rFonts w:hint="eastAsia"/>
                <w:color w:val="auto"/>
                <w:szCs w:val="26"/>
              </w:rPr>
              <w:t>地面及裙角采用耐腐蚀硬化处理，采取“四防”措施，防止液体危废泄漏渗透进入土壤。</w:t>
            </w:r>
            <w:r>
              <w:rPr>
                <w:rFonts w:hint="eastAsia"/>
                <w:color w:val="auto"/>
                <w:szCs w:val="26"/>
                <w:lang w:eastAsia="zh-CN"/>
              </w:rPr>
              <w:t>危废贮存库</w:t>
            </w:r>
            <w:r>
              <w:rPr>
                <w:rFonts w:hint="eastAsia"/>
                <w:color w:val="auto"/>
                <w:szCs w:val="26"/>
              </w:rPr>
              <w:t>远离火种、热源，严禁吸烟，配备了干粉灭火器、消防砂等消防器材等应急处理设备，采取以上措施后，评价认为废油泄漏造成的环境风险是可控的。</w:t>
            </w:r>
          </w:p>
          <w:p w14:paraId="1D8A6D86">
            <w:pPr>
              <w:pStyle w:val="82"/>
              <w:spacing w:line="460" w:lineRule="exact"/>
              <w:ind w:firstLine="520"/>
              <w:rPr>
                <w:color w:val="auto"/>
                <w:szCs w:val="26"/>
              </w:rPr>
            </w:pPr>
            <w:r>
              <w:rPr>
                <w:rFonts w:hint="eastAsia"/>
                <w:color w:val="auto"/>
                <w:szCs w:val="26"/>
              </w:rPr>
              <w:t>4</w:t>
            </w:r>
            <w:r>
              <w:rPr>
                <w:color w:val="auto"/>
                <w:szCs w:val="26"/>
              </w:rPr>
              <w:t>.2.</w:t>
            </w:r>
            <w:r>
              <w:rPr>
                <w:rFonts w:hint="eastAsia"/>
                <w:color w:val="auto"/>
                <w:szCs w:val="26"/>
              </w:rPr>
              <w:t>6</w:t>
            </w:r>
            <w:r>
              <w:rPr>
                <w:color w:val="auto"/>
                <w:szCs w:val="26"/>
              </w:rPr>
              <w:t>.4风险防范措施</w:t>
            </w:r>
          </w:p>
          <w:p w14:paraId="2BC3AC1F">
            <w:pPr>
              <w:pStyle w:val="82"/>
              <w:spacing w:line="460" w:lineRule="exact"/>
              <w:ind w:firstLine="520"/>
              <w:rPr>
                <w:color w:val="auto"/>
                <w:szCs w:val="26"/>
              </w:rPr>
            </w:pPr>
            <w:r>
              <w:rPr>
                <w:color w:val="auto"/>
                <w:szCs w:val="26"/>
              </w:rPr>
              <w:t>根据资料收集和现场踏勘情况，</w:t>
            </w:r>
            <w:r>
              <w:rPr>
                <w:rFonts w:hint="eastAsia"/>
                <w:color w:val="auto"/>
                <w:szCs w:val="26"/>
                <w:lang w:eastAsia="zh-Hans"/>
              </w:rPr>
              <w:t>现有</w:t>
            </w:r>
            <w:r>
              <w:rPr>
                <w:color w:val="auto"/>
                <w:szCs w:val="26"/>
              </w:rPr>
              <w:t>项目已采取了一定的</w:t>
            </w:r>
            <w:r>
              <w:rPr>
                <w:rFonts w:hint="eastAsia"/>
                <w:color w:val="auto"/>
                <w:szCs w:val="26"/>
                <w:lang w:eastAsia="zh-Hans"/>
              </w:rPr>
              <w:t>风险防范</w:t>
            </w:r>
            <w:r>
              <w:rPr>
                <w:color w:val="auto"/>
                <w:szCs w:val="26"/>
              </w:rPr>
              <w:t>措施，主要有：</w:t>
            </w:r>
          </w:p>
          <w:p w14:paraId="5E229347">
            <w:pPr>
              <w:pStyle w:val="82"/>
              <w:spacing w:line="460" w:lineRule="exact"/>
              <w:ind w:firstLine="520"/>
              <w:rPr>
                <w:color w:val="auto"/>
                <w:szCs w:val="26"/>
              </w:rPr>
            </w:pPr>
            <w:r>
              <w:rPr>
                <w:rFonts w:hint="eastAsia"/>
                <w:color w:val="auto"/>
                <w:szCs w:val="26"/>
              </w:rPr>
              <w:t>①在总平面布置上，各建筑单体之间应按有关设计规范要求，留有足够的防火间距，各原辅材料、危废废物分区独立储存。</w:t>
            </w:r>
          </w:p>
          <w:p w14:paraId="59718810">
            <w:pPr>
              <w:pStyle w:val="82"/>
              <w:spacing w:line="460" w:lineRule="exact"/>
              <w:ind w:firstLine="520"/>
              <w:rPr>
                <w:color w:val="auto"/>
                <w:szCs w:val="26"/>
              </w:rPr>
            </w:pPr>
            <w:r>
              <w:rPr>
                <w:rFonts w:hint="eastAsia"/>
                <w:color w:val="auto"/>
                <w:szCs w:val="26"/>
              </w:rPr>
              <w:t>②定期进行储存区安全检查，危险化学品按照《危险化学品安全管理条例》进行管理。配备符合生产或储存需要的管理和技术人员，制定健全的安全管理制度。</w:t>
            </w:r>
          </w:p>
          <w:p w14:paraId="3B1575ED">
            <w:pPr>
              <w:pStyle w:val="82"/>
              <w:spacing w:line="460" w:lineRule="exact"/>
              <w:ind w:firstLine="520"/>
              <w:rPr>
                <w:color w:val="auto"/>
                <w:szCs w:val="26"/>
              </w:rPr>
            </w:pPr>
            <w:r>
              <w:rPr>
                <w:rFonts w:hint="eastAsia"/>
                <w:color w:val="auto"/>
                <w:szCs w:val="26"/>
              </w:rPr>
              <w:t>③严格控制火种、热源，设置明显警示标志，设置消除静电装置等。</w:t>
            </w:r>
          </w:p>
          <w:p w14:paraId="086E2F35">
            <w:pPr>
              <w:pStyle w:val="82"/>
              <w:spacing w:line="460" w:lineRule="exact"/>
              <w:ind w:firstLine="520"/>
              <w:rPr>
                <w:color w:val="auto"/>
                <w:szCs w:val="26"/>
              </w:rPr>
            </w:pPr>
            <w:r>
              <w:rPr>
                <w:rFonts w:hint="eastAsia"/>
                <w:color w:val="auto"/>
                <w:szCs w:val="26"/>
              </w:rPr>
              <w:t>④配备齐全的消防器械和事故处理材料，有消防及火灾报警系统。</w:t>
            </w:r>
          </w:p>
          <w:p w14:paraId="50C0C358">
            <w:pPr>
              <w:pStyle w:val="82"/>
              <w:spacing w:line="460" w:lineRule="exact"/>
              <w:ind w:firstLine="520"/>
              <w:rPr>
                <w:color w:val="auto"/>
                <w:szCs w:val="26"/>
              </w:rPr>
            </w:pPr>
            <w:r>
              <w:rPr>
                <w:rFonts w:hint="eastAsia"/>
                <w:color w:val="auto"/>
                <w:szCs w:val="26"/>
              </w:rPr>
              <w:t>⑤加强设备的管理与维护，确保设备正常运行，杜绝出现跑、冒、滴、漏现象。</w:t>
            </w:r>
          </w:p>
          <w:p w14:paraId="0E3595DC">
            <w:pPr>
              <w:pStyle w:val="82"/>
              <w:spacing w:line="460" w:lineRule="exact"/>
              <w:ind w:firstLine="520"/>
              <w:rPr>
                <w:color w:val="auto"/>
                <w:szCs w:val="26"/>
              </w:rPr>
            </w:pPr>
            <w:r>
              <w:rPr>
                <w:rFonts w:hint="eastAsia"/>
                <w:color w:val="auto"/>
                <w:szCs w:val="26"/>
              </w:rPr>
              <w:t>⑥</w:t>
            </w:r>
            <w:r>
              <w:rPr>
                <w:rFonts w:hint="eastAsia"/>
                <w:color w:val="auto"/>
                <w:szCs w:val="26"/>
                <w:lang w:eastAsia="zh-Hans"/>
              </w:rPr>
              <w:t>加氢站</w:t>
            </w:r>
            <w:r>
              <w:rPr>
                <w:color w:val="auto"/>
                <w:szCs w:val="26"/>
              </w:rPr>
              <w:t>：</w:t>
            </w:r>
            <w:r>
              <w:rPr>
                <w:rFonts w:hint="eastAsia"/>
                <w:color w:val="auto"/>
                <w:szCs w:val="26"/>
              </w:rPr>
              <w:t>设置氢探头、氧探头、火灾报警器等装置，能快速监测可燃气体泄漏并报警。</w:t>
            </w:r>
          </w:p>
          <w:p w14:paraId="4A045C57">
            <w:pPr>
              <w:pStyle w:val="82"/>
              <w:spacing w:line="460" w:lineRule="exact"/>
              <w:ind w:firstLine="520"/>
              <w:rPr>
                <w:color w:val="auto"/>
                <w:szCs w:val="26"/>
                <w:lang w:eastAsia="zh-Hans"/>
              </w:rPr>
            </w:pPr>
            <w:r>
              <w:rPr>
                <w:rFonts w:hint="eastAsia"/>
                <w:color w:val="auto"/>
                <w:szCs w:val="26"/>
              </w:rPr>
              <w:t>⑦危险品库</w:t>
            </w:r>
            <w:r>
              <w:rPr>
                <w:color w:val="auto"/>
                <w:szCs w:val="26"/>
              </w:rPr>
              <w:t>：</w:t>
            </w:r>
            <w:r>
              <w:rPr>
                <w:rFonts w:hint="eastAsia"/>
                <w:color w:val="auto"/>
                <w:szCs w:val="26"/>
              </w:rPr>
              <w:t>四周及地面防腐防渗，并在液体</w:t>
            </w:r>
            <w:r>
              <w:rPr>
                <w:rFonts w:hint="eastAsia"/>
                <w:color w:val="auto"/>
                <w:szCs w:val="26"/>
                <w:lang w:eastAsia="zh-Hans"/>
              </w:rPr>
              <w:t>化学品</w:t>
            </w:r>
            <w:r>
              <w:rPr>
                <w:rFonts w:hint="eastAsia"/>
                <w:color w:val="auto"/>
                <w:szCs w:val="26"/>
              </w:rPr>
              <w:t>下方设置托盘</w:t>
            </w:r>
            <w:r>
              <w:rPr>
                <w:color w:val="auto"/>
                <w:szCs w:val="26"/>
              </w:rPr>
              <w:t>。</w:t>
            </w:r>
            <w:r>
              <w:rPr>
                <w:rFonts w:hint="eastAsia"/>
                <w:color w:val="auto"/>
                <w:szCs w:val="26"/>
                <w:lang w:eastAsia="zh-Hans"/>
              </w:rPr>
              <w:t>项目使用化学品等物料最大包装规格为</w:t>
            </w:r>
            <w:r>
              <w:rPr>
                <w:color w:val="auto"/>
                <w:szCs w:val="26"/>
              </w:rPr>
              <w:t>1kg/罐，</w:t>
            </w:r>
            <w:r>
              <w:rPr>
                <w:rFonts w:hint="eastAsia"/>
                <w:color w:val="auto"/>
                <w:szCs w:val="26"/>
                <w:lang w:eastAsia="zh-Hans"/>
              </w:rPr>
              <w:t>考虑一次最大泄漏</w:t>
            </w:r>
            <w:r>
              <w:rPr>
                <w:color w:val="auto"/>
                <w:szCs w:val="26"/>
                <w:lang w:eastAsia="zh-Hans"/>
              </w:rPr>
              <w:t>1</w:t>
            </w:r>
            <w:r>
              <w:rPr>
                <w:rFonts w:hint="eastAsia"/>
                <w:color w:val="auto"/>
                <w:szCs w:val="26"/>
                <w:lang w:eastAsia="zh-Hans"/>
              </w:rPr>
              <w:t>k</w:t>
            </w:r>
            <w:r>
              <w:rPr>
                <w:color w:val="auto"/>
                <w:szCs w:val="26"/>
                <w:lang w:eastAsia="zh-Hans"/>
              </w:rPr>
              <w:t>g，</w:t>
            </w:r>
            <w:r>
              <w:rPr>
                <w:rFonts w:hint="eastAsia"/>
                <w:color w:val="auto"/>
                <w:szCs w:val="26"/>
                <w:lang w:eastAsia="zh-Hans"/>
              </w:rPr>
              <w:t>其托盘容量可将泄漏物全部拦截</w:t>
            </w:r>
            <w:r>
              <w:rPr>
                <w:color w:val="auto"/>
                <w:szCs w:val="26"/>
                <w:lang w:eastAsia="zh-Hans"/>
              </w:rPr>
              <w:t>。</w:t>
            </w:r>
          </w:p>
          <w:p w14:paraId="01F94D57">
            <w:pPr>
              <w:pStyle w:val="82"/>
              <w:spacing w:line="460" w:lineRule="exact"/>
              <w:ind w:firstLine="520"/>
              <w:rPr>
                <w:color w:val="auto"/>
                <w:szCs w:val="26"/>
                <w:lang w:eastAsia="zh-Hans"/>
              </w:rPr>
            </w:pPr>
            <w:r>
              <w:rPr>
                <w:rFonts w:hint="eastAsia"/>
                <w:color w:val="auto"/>
                <w:szCs w:val="26"/>
              </w:rPr>
              <w:t>⑧</w:t>
            </w:r>
            <w:r>
              <w:rPr>
                <w:rFonts w:hint="eastAsia"/>
                <w:color w:val="auto"/>
                <w:szCs w:val="26"/>
                <w:lang w:eastAsia="zh-CN"/>
              </w:rPr>
              <w:t>危废贮存库</w:t>
            </w:r>
            <w:r>
              <w:rPr>
                <w:color w:val="auto"/>
                <w:szCs w:val="26"/>
              </w:rPr>
              <w:t>：</w:t>
            </w:r>
            <w:r>
              <w:rPr>
                <w:rFonts w:hint="eastAsia"/>
                <w:color w:val="auto"/>
                <w:szCs w:val="26"/>
              </w:rPr>
              <w:t>设置</w:t>
            </w:r>
            <w:r>
              <w:rPr>
                <w:rFonts w:hint="eastAsia"/>
                <w:color w:val="auto"/>
                <w:szCs w:val="26"/>
                <w:lang w:eastAsia="zh-Hans"/>
              </w:rPr>
              <w:t>托盘</w:t>
            </w:r>
            <w:r>
              <w:rPr>
                <w:color w:val="auto"/>
                <w:szCs w:val="26"/>
                <w:lang w:eastAsia="zh-Hans"/>
              </w:rPr>
              <w:t>、</w:t>
            </w:r>
            <w:r>
              <w:rPr>
                <w:rFonts w:hint="eastAsia"/>
                <w:color w:val="auto"/>
                <w:szCs w:val="26"/>
              </w:rPr>
              <w:t>收集沟、吸油棉、消防沙</w:t>
            </w:r>
            <w:r>
              <w:rPr>
                <w:color w:val="auto"/>
                <w:szCs w:val="26"/>
              </w:rPr>
              <w:t>，</w:t>
            </w:r>
            <w:r>
              <w:rPr>
                <w:rFonts w:hint="eastAsia"/>
                <w:color w:val="auto"/>
                <w:szCs w:val="26"/>
              </w:rPr>
              <w:t>可确保突发事故时可能产生的少量泄漏物能有效拦截。</w:t>
            </w:r>
            <w:r>
              <w:rPr>
                <w:rFonts w:hint="eastAsia"/>
                <w:color w:val="auto"/>
                <w:szCs w:val="26"/>
                <w:lang w:eastAsia="zh-CN"/>
              </w:rPr>
              <w:t>危废贮存库</w:t>
            </w:r>
            <w:r>
              <w:rPr>
                <w:rFonts w:hint="eastAsia"/>
                <w:color w:val="auto"/>
                <w:szCs w:val="26"/>
                <w:lang w:eastAsia="zh-Hans"/>
              </w:rPr>
              <w:t>储存的废油规格为</w:t>
            </w:r>
            <w:r>
              <w:rPr>
                <w:color w:val="auto"/>
                <w:szCs w:val="26"/>
                <w:lang w:eastAsia="zh-Hans"/>
              </w:rPr>
              <w:t>200</w:t>
            </w:r>
            <w:r>
              <w:rPr>
                <w:rFonts w:hint="eastAsia"/>
                <w:color w:val="auto"/>
                <w:szCs w:val="26"/>
                <w:lang w:eastAsia="zh-Hans"/>
              </w:rPr>
              <w:t>L</w:t>
            </w:r>
            <w:r>
              <w:rPr>
                <w:color w:val="auto"/>
                <w:szCs w:val="26"/>
                <w:lang w:eastAsia="zh-Hans"/>
              </w:rPr>
              <w:t>/</w:t>
            </w:r>
            <w:r>
              <w:rPr>
                <w:rFonts w:hint="eastAsia"/>
                <w:color w:val="auto"/>
                <w:szCs w:val="26"/>
                <w:lang w:eastAsia="zh-Hans"/>
              </w:rPr>
              <w:t>桶</w:t>
            </w:r>
            <w:r>
              <w:rPr>
                <w:color w:val="auto"/>
                <w:szCs w:val="26"/>
                <w:lang w:eastAsia="zh-Hans"/>
              </w:rPr>
              <w:t>，</w:t>
            </w:r>
            <w:r>
              <w:rPr>
                <w:rFonts w:hint="eastAsia"/>
                <w:color w:val="auto"/>
                <w:szCs w:val="26"/>
                <w:lang w:eastAsia="zh-Hans"/>
              </w:rPr>
              <w:t>其托盘容量可将泄漏物全部拦截</w:t>
            </w:r>
            <w:r>
              <w:rPr>
                <w:color w:val="auto"/>
                <w:szCs w:val="26"/>
                <w:lang w:eastAsia="zh-Hans"/>
              </w:rPr>
              <w:t>。</w:t>
            </w:r>
          </w:p>
          <w:p w14:paraId="02EBA034">
            <w:pPr>
              <w:pStyle w:val="82"/>
              <w:spacing w:line="460" w:lineRule="exact"/>
              <w:ind w:firstLine="520"/>
              <w:rPr>
                <w:color w:val="auto"/>
                <w:szCs w:val="26"/>
              </w:rPr>
            </w:pPr>
            <w:r>
              <w:rPr>
                <w:rFonts w:hint="eastAsia"/>
                <w:color w:val="auto"/>
                <w:szCs w:val="26"/>
              </w:rPr>
              <w:fldChar w:fldCharType="begin"/>
            </w:r>
            <w:r>
              <w:rPr>
                <w:rFonts w:hint="eastAsia"/>
                <w:color w:val="auto"/>
                <w:szCs w:val="26"/>
              </w:rPr>
              <w:instrText xml:space="preserve"> = 9 \* GB3 \* MERGEFORMAT </w:instrText>
            </w:r>
            <w:r>
              <w:rPr>
                <w:rFonts w:hint="eastAsia"/>
                <w:color w:val="auto"/>
                <w:szCs w:val="26"/>
              </w:rPr>
              <w:fldChar w:fldCharType="separate"/>
            </w:r>
            <w:r>
              <w:rPr>
                <w:color w:val="auto"/>
                <w:szCs w:val="26"/>
              </w:rPr>
              <w:t>⑨</w:t>
            </w:r>
            <w:r>
              <w:rPr>
                <w:rFonts w:hint="eastAsia"/>
                <w:color w:val="auto"/>
                <w:szCs w:val="26"/>
              </w:rPr>
              <w:fldChar w:fldCharType="end"/>
            </w:r>
            <w:r>
              <w:rPr>
                <w:rFonts w:hint="eastAsia"/>
                <w:color w:val="auto"/>
                <w:szCs w:val="26"/>
              </w:rPr>
              <w:t>采取分区防控措施。危险品库、</w:t>
            </w:r>
            <w:r>
              <w:rPr>
                <w:rFonts w:hint="eastAsia"/>
                <w:color w:val="auto"/>
                <w:szCs w:val="26"/>
                <w:lang w:eastAsia="zh-CN"/>
              </w:rPr>
              <w:t>危废贮存库</w:t>
            </w:r>
            <w:r>
              <w:rPr>
                <w:rFonts w:hint="eastAsia"/>
                <w:color w:val="auto"/>
                <w:szCs w:val="26"/>
              </w:rPr>
              <w:t>划分为重点防渗区，发动机生产车间气站、废水处理站、隔油池、</w:t>
            </w:r>
            <w:r>
              <w:rPr>
                <w:rFonts w:hint="eastAsia"/>
                <w:color w:val="auto"/>
                <w:szCs w:val="26"/>
                <w:lang w:eastAsia="zh-CN"/>
              </w:rPr>
              <w:t>化粪池</w:t>
            </w:r>
            <w:r>
              <w:rPr>
                <w:rFonts w:hint="eastAsia"/>
                <w:color w:val="auto"/>
                <w:szCs w:val="26"/>
              </w:rPr>
              <w:t>划分为一般防渗区，办公楼、食堂、门卫划为简单防渗区。</w:t>
            </w:r>
          </w:p>
          <w:p w14:paraId="2BD844D7">
            <w:pPr>
              <w:pStyle w:val="82"/>
              <w:spacing w:line="460" w:lineRule="exact"/>
              <w:ind w:firstLine="520"/>
              <w:rPr>
                <w:rFonts w:hint="eastAsia" w:ascii="Times New Roman" w:hAnsi="Times New Roman" w:eastAsia="宋体" w:cs="Times New Roman"/>
                <w:color w:val="auto"/>
                <w:szCs w:val="26"/>
              </w:rPr>
            </w:pPr>
            <w:r>
              <w:rPr>
                <w:rFonts w:hint="eastAsia" w:ascii="Times New Roman" w:hAnsi="Times New Roman" w:eastAsia="宋体" w:cs="Times New Roman"/>
                <w:color w:val="auto"/>
                <w:szCs w:val="26"/>
                <w:lang w:val="en-US" w:eastAsia="zh-CN"/>
              </w:rPr>
              <w:t>⑩</w:t>
            </w:r>
            <w:r>
              <w:rPr>
                <w:rFonts w:hint="eastAsia" w:ascii="Times New Roman" w:hAnsi="Times New Roman" w:eastAsia="宋体" w:cs="Times New Roman"/>
                <w:color w:val="auto"/>
                <w:szCs w:val="26"/>
              </w:rPr>
              <w:t>根据</w:t>
            </w:r>
            <w:r>
              <w:rPr>
                <w:rFonts w:hint="eastAsia" w:ascii="Times New Roman" w:hAnsi="Times New Roman" w:eastAsia="宋体" w:cs="Times New Roman"/>
                <w:color w:val="auto"/>
                <w:szCs w:val="26"/>
                <w:lang w:val="en-US" w:eastAsia="zh-CN"/>
              </w:rPr>
              <w:t>相关要求编制企业突发环境事件应急预案并进行应急演练</w:t>
            </w:r>
            <w:r>
              <w:rPr>
                <w:rFonts w:hint="eastAsia" w:ascii="Times New Roman" w:hAnsi="Times New Roman" w:eastAsia="宋体" w:cs="Times New Roman"/>
                <w:color w:val="auto"/>
                <w:szCs w:val="26"/>
              </w:rPr>
              <w:t>。</w:t>
            </w:r>
          </w:p>
          <w:p w14:paraId="217BF561">
            <w:pPr>
              <w:pStyle w:val="82"/>
              <w:spacing w:line="460" w:lineRule="exact"/>
              <w:ind w:firstLine="0" w:firstLineChars="0"/>
              <w:rPr>
                <w:color w:val="auto"/>
                <w:szCs w:val="26"/>
              </w:rPr>
            </w:pPr>
            <w:r>
              <w:rPr>
                <w:color w:val="auto"/>
                <w:szCs w:val="26"/>
              </w:rPr>
              <w:t>4.2.</w:t>
            </w:r>
            <w:r>
              <w:rPr>
                <w:rFonts w:hint="eastAsia"/>
                <w:color w:val="auto"/>
                <w:szCs w:val="26"/>
              </w:rPr>
              <w:t>6.5风险分析结论</w:t>
            </w:r>
          </w:p>
          <w:p w14:paraId="0E255C36">
            <w:pPr>
              <w:pStyle w:val="82"/>
              <w:spacing w:line="460" w:lineRule="exact"/>
              <w:ind w:firstLine="520"/>
              <w:rPr>
                <w:color w:val="auto"/>
                <w:szCs w:val="26"/>
              </w:rPr>
            </w:pPr>
            <w:r>
              <w:rPr>
                <w:rFonts w:hint="eastAsia"/>
                <w:color w:val="auto"/>
                <w:szCs w:val="26"/>
              </w:rPr>
              <w:t>项目已具备较为完善的风险事故防范措施，能有效预防事故的发生，工程建设、运营中的环境风险在可接受的范围内，建议项目建设运营中应加强管理。本评价认为该工程建设从环境风险的角度认为是可行的。</w:t>
            </w:r>
          </w:p>
          <w:p w14:paraId="257652CD">
            <w:pPr>
              <w:pStyle w:val="82"/>
              <w:spacing w:line="460" w:lineRule="exact"/>
              <w:ind w:firstLine="0" w:firstLineChars="0"/>
              <w:rPr>
                <w:b/>
                <w:bCs w:val="0"/>
                <w:color w:val="auto"/>
                <w:szCs w:val="26"/>
                <w:lang w:val="zh-CN"/>
              </w:rPr>
            </w:pPr>
            <w:r>
              <w:rPr>
                <w:rFonts w:hint="eastAsia"/>
                <w:b/>
                <w:bCs w:val="0"/>
                <w:color w:val="auto"/>
                <w:szCs w:val="26"/>
                <w:lang w:val="zh-CN"/>
              </w:rPr>
              <w:t>4</w:t>
            </w:r>
            <w:r>
              <w:rPr>
                <w:b/>
                <w:bCs w:val="0"/>
                <w:color w:val="auto"/>
                <w:szCs w:val="26"/>
                <w:lang w:val="zh-CN"/>
              </w:rPr>
              <w:t>.</w:t>
            </w:r>
            <w:r>
              <w:rPr>
                <w:rFonts w:hint="eastAsia"/>
                <w:b/>
                <w:bCs w:val="0"/>
                <w:color w:val="auto"/>
                <w:szCs w:val="26"/>
              </w:rPr>
              <w:t>3</w:t>
            </w:r>
            <w:r>
              <w:rPr>
                <w:rFonts w:hint="eastAsia"/>
                <w:b/>
                <w:bCs w:val="0"/>
                <w:color w:val="auto"/>
                <w:szCs w:val="26"/>
                <w:lang w:val="zh-CN"/>
              </w:rPr>
              <w:t>项目“三本账”核算</w:t>
            </w:r>
          </w:p>
          <w:p w14:paraId="49900EB6">
            <w:pPr>
              <w:pStyle w:val="82"/>
              <w:spacing w:line="460" w:lineRule="exact"/>
              <w:ind w:firstLine="520"/>
              <w:rPr>
                <w:color w:val="auto"/>
                <w:szCs w:val="26"/>
                <w:highlight w:val="yellow"/>
              </w:rPr>
            </w:pPr>
            <w:r>
              <w:rPr>
                <w:rFonts w:hint="eastAsia"/>
                <w:color w:val="auto"/>
                <w:szCs w:val="26"/>
              </w:rPr>
              <w:t>扩建前后“三本帐”汇总表见表4.3-1。</w:t>
            </w:r>
          </w:p>
          <w:p w14:paraId="501397FB">
            <w:pPr>
              <w:pStyle w:val="82"/>
              <w:spacing w:line="460" w:lineRule="exact"/>
              <w:ind w:firstLine="520"/>
              <w:rPr>
                <w:rFonts w:hint="eastAsia"/>
                <w:color w:val="auto"/>
                <w:szCs w:val="26"/>
              </w:rPr>
            </w:pPr>
            <w:r>
              <w:rPr>
                <w:rFonts w:hint="eastAsia"/>
                <w:color w:val="auto"/>
                <w:szCs w:val="26"/>
              </w:rPr>
              <w:t>项目建成前后“三本账”一览表统计如下。</w:t>
            </w:r>
          </w:p>
          <w:p w14:paraId="062819BC">
            <w:pPr>
              <w:pStyle w:val="82"/>
              <w:spacing w:line="440" w:lineRule="exact"/>
              <w:ind w:firstLine="520"/>
              <w:jc w:val="center"/>
              <w:rPr>
                <w:color w:val="auto"/>
                <w:szCs w:val="26"/>
              </w:rPr>
            </w:pPr>
            <w:r>
              <w:rPr>
                <w:rFonts w:hint="eastAsia"/>
                <w:color w:val="auto"/>
                <w:szCs w:val="26"/>
              </w:rPr>
              <w:t>表4</w:t>
            </w:r>
            <w:r>
              <w:rPr>
                <w:color w:val="auto"/>
                <w:szCs w:val="26"/>
              </w:rPr>
              <w:t>.3-1</w:t>
            </w:r>
            <w:r>
              <w:rPr>
                <w:rFonts w:hint="eastAsia"/>
                <w:color w:val="auto"/>
                <w:szCs w:val="26"/>
                <w:lang w:val="en-US" w:eastAsia="zh-CN"/>
              </w:rPr>
              <w:t xml:space="preserve">  </w:t>
            </w:r>
            <w:r>
              <w:rPr>
                <w:rFonts w:hint="eastAsia"/>
                <w:color w:val="auto"/>
                <w:szCs w:val="26"/>
              </w:rPr>
              <w:t>项目“三本账”一览表t/a</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83"/>
              <w:gridCol w:w="1311"/>
              <w:gridCol w:w="1196"/>
              <w:gridCol w:w="1075"/>
              <w:gridCol w:w="1210"/>
              <w:gridCol w:w="1302"/>
            </w:tblGrid>
            <w:tr w14:paraId="688C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07E9F97D">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类别</w:t>
                  </w:r>
                </w:p>
              </w:tc>
              <w:tc>
                <w:tcPr>
                  <w:tcW w:w="1583" w:type="dxa"/>
                  <w:tcBorders>
                    <w:top w:val="single" w:color="auto" w:sz="4" w:space="0"/>
                    <w:left w:val="single" w:color="auto" w:sz="4" w:space="0"/>
                    <w:bottom w:val="single" w:color="auto" w:sz="4" w:space="0"/>
                    <w:right w:val="single" w:color="auto" w:sz="4" w:space="0"/>
                  </w:tcBorders>
                  <w:vAlign w:val="center"/>
                </w:tcPr>
                <w:p w14:paraId="731E56F4">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污染物</w:t>
                  </w:r>
                </w:p>
              </w:tc>
              <w:tc>
                <w:tcPr>
                  <w:tcW w:w="1311" w:type="dxa"/>
                  <w:tcBorders>
                    <w:top w:val="single" w:color="auto" w:sz="4" w:space="0"/>
                    <w:left w:val="single" w:color="auto" w:sz="4" w:space="0"/>
                    <w:bottom w:val="single" w:color="auto" w:sz="4" w:space="0"/>
                    <w:right w:val="single" w:color="auto" w:sz="4" w:space="0"/>
                  </w:tcBorders>
                  <w:vAlign w:val="center"/>
                </w:tcPr>
                <w:p w14:paraId="1477E3C1">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现有工程排放量</w:t>
                  </w:r>
                </w:p>
              </w:tc>
              <w:tc>
                <w:tcPr>
                  <w:tcW w:w="1196" w:type="dxa"/>
                  <w:tcBorders>
                    <w:top w:val="single" w:color="auto" w:sz="4" w:space="0"/>
                    <w:left w:val="single" w:color="auto" w:sz="4" w:space="0"/>
                    <w:bottom w:val="single" w:color="auto" w:sz="4" w:space="0"/>
                    <w:right w:val="single" w:color="auto" w:sz="4" w:space="0"/>
                  </w:tcBorders>
                  <w:vAlign w:val="center"/>
                </w:tcPr>
                <w:p w14:paraId="183A1BAF">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项目建设后工程排放量</w:t>
                  </w:r>
                </w:p>
              </w:tc>
              <w:tc>
                <w:tcPr>
                  <w:tcW w:w="1075" w:type="dxa"/>
                  <w:tcBorders>
                    <w:top w:val="single" w:color="auto" w:sz="4" w:space="0"/>
                    <w:left w:val="single" w:color="auto" w:sz="4" w:space="0"/>
                    <w:bottom w:val="single" w:color="auto" w:sz="4" w:space="0"/>
                    <w:right w:val="single" w:color="auto" w:sz="4" w:space="0"/>
                  </w:tcBorders>
                  <w:vAlign w:val="center"/>
                </w:tcPr>
                <w:p w14:paraId="20AA70C5">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以新带老削减量</w:t>
                  </w:r>
                </w:p>
              </w:tc>
              <w:tc>
                <w:tcPr>
                  <w:tcW w:w="1210" w:type="dxa"/>
                  <w:tcBorders>
                    <w:top w:val="single" w:color="auto" w:sz="4" w:space="0"/>
                    <w:left w:val="single" w:color="auto" w:sz="4" w:space="0"/>
                    <w:bottom w:val="single" w:color="auto" w:sz="4" w:space="0"/>
                    <w:right w:val="single" w:color="auto" w:sz="4" w:space="0"/>
                  </w:tcBorders>
                  <w:vAlign w:val="center"/>
                </w:tcPr>
                <w:p w14:paraId="13D68A6A">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项目建设后全厂排放量</w:t>
                  </w:r>
                </w:p>
              </w:tc>
              <w:tc>
                <w:tcPr>
                  <w:tcW w:w="1302" w:type="dxa"/>
                  <w:tcBorders>
                    <w:top w:val="single" w:color="auto" w:sz="4" w:space="0"/>
                    <w:left w:val="single" w:color="auto" w:sz="4" w:space="0"/>
                    <w:bottom w:val="single" w:color="auto" w:sz="4" w:space="0"/>
                    <w:right w:val="single" w:color="auto" w:sz="4" w:space="0"/>
                  </w:tcBorders>
                  <w:vAlign w:val="center"/>
                </w:tcPr>
                <w:p w14:paraId="608E22EA">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排放增减量</w:t>
                  </w:r>
                </w:p>
              </w:tc>
            </w:tr>
            <w:tr w14:paraId="03EA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restart"/>
                  <w:tcBorders>
                    <w:top w:val="single" w:color="auto" w:sz="4" w:space="0"/>
                    <w:left w:val="single" w:color="auto" w:sz="4" w:space="0"/>
                    <w:right w:val="single" w:color="auto" w:sz="4" w:space="0"/>
                  </w:tcBorders>
                  <w:vAlign w:val="center"/>
                </w:tcPr>
                <w:p w14:paraId="30BBC35F">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废气</w:t>
                  </w:r>
                </w:p>
              </w:tc>
              <w:tc>
                <w:tcPr>
                  <w:tcW w:w="1583" w:type="dxa"/>
                  <w:tcBorders>
                    <w:top w:val="single" w:color="auto" w:sz="4" w:space="0"/>
                    <w:left w:val="single" w:color="auto" w:sz="4" w:space="0"/>
                    <w:bottom w:val="single" w:color="auto" w:sz="4" w:space="0"/>
                    <w:right w:val="single" w:color="auto" w:sz="4" w:space="0"/>
                  </w:tcBorders>
                  <w:vAlign w:val="center"/>
                </w:tcPr>
                <w:p w14:paraId="244A8E77">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颗粒物</w:t>
                  </w:r>
                </w:p>
              </w:tc>
              <w:tc>
                <w:tcPr>
                  <w:tcW w:w="1311" w:type="dxa"/>
                  <w:tcBorders>
                    <w:top w:val="single" w:color="auto" w:sz="4" w:space="0"/>
                    <w:left w:val="single" w:color="auto" w:sz="4" w:space="0"/>
                    <w:bottom w:val="single" w:color="auto" w:sz="4" w:space="0"/>
                    <w:right w:val="single" w:color="auto" w:sz="4" w:space="0"/>
                  </w:tcBorders>
                  <w:vAlign w:val="center"/>
                </w:tcPr>
                <w:p w14:paraId="3B01DF32">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0.003</w:t>
                  </w:r>
                </w:p>
              </w:tc>
              <w:tc>
                <w:tcPr>
                  <w:tcW w:w="1196" w:type="dxa"/>
                  <w:tcBorders>
                    <w:top w:val="single" w:color="auto" w:sz="4" w:space="0"/>
                    <w:left w:val="single" w:color="auto" w:sz="4" w:space="0"/>
                    <w:bottom w:val="single" w:color="auto" w:sz="4" w:space="0"/>
                    <w:right w:val="single" w:color="auto" w:sz="4" w:space="0"/>
                  </w:tcBorders>
                  <w:vAlign w:val="center"/>
                </w:tcPr>
                <w:p w14:paraId="19EE6129">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0.022</w:t>
                  </w:r>
                </w:p>
              </w:tc>
              <w:tc>
                <w:tcPr>
                  <w:tcW w:w="1075" w:type="dxa"/>
                  <w:tcBorders>
                    <w:top w:val="single" w:color="auto" w:sz="4" w:space="0"/>
                    <w:left w:val="single" w:color="auto" w:sz="4" w:space="0"/>
                    <w:bottom w:val="single" w:color="auto" w:sz="4" w:space="0"/>
                    <w:right w:val="single" w:color="auto" w:sz="4" w:space="0"/>
                  </w:tcBorders>
                  <w:vAlign w:val="center"/>
                </w:tcPr>
                <w:p w14:paraId="5169DEED">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1A140AA7">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0.025</w:t>
                  </w:r>
                </w:p>
              </w:tc>
              <w:tc>
                <w:tcPr>
                  <w:tcW w:w="1302" w:type="dxa"/>
                  <w:tcBorders>
                    <w:top w:val="single" w:color="auto" w:sz="4" w:space="0"/>
                    <w:left w:val="single" w:color="auto" w:sz="4" w:space="0"/>
                    <w:bottom w:val="single" w:color="auto" w:sz="4" w:space="0"/>
                    <w:right w:val="single" w:color="auto" w:sz="4" w:space="0"/>
                  </w:tcBorders>
                  <w:vAlign w:val="center"/>
                </w:tcPr>
                <w:p w14:paraId="52CB2730">
                  <w:pPr>
                    <w:keepNext w:val="0"/>
                    <w:keepLines w:val="0"/>
                    <w:widowControl/>
                    <w:suppressLineNumbers w:val="0"/>
                    <w:jc w:val="center"/>
                    <w:textAlignment w:val="center"/>
                    <w:rPr>
                      <w:color w:val="auto"/>
                      <w:sz w:val="22"/>
                      <w:szCs w:val="22"/>
                    </w:rPr>
                  </w:pP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0.022</w:t>
                  </w:r>
                </w:p>
              </w:tc>
            </w:tr>
            <w:tr w14:paraId="0616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tcBorders>
                    <w:left w:val="single" w:color="auto" w:sz="4" w:space="0"/>
                    <w:right w:val="single" w:color="auto" w:sz="4" w:space="0"/>
                  </w:tcBorders>
                  <w:vAlign w:val="center"/>
                </w:tcPr>
                <w:p w14:paraId="791513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83" w:type="dxa"/>
                  <w:tcBorders>
                    <w:top w:val="single" w:color="auto" w:sz="4" w:space="0"/>
                    <w:left w:val="single" w:color="auto" w:sz="4" w:space="0"/>
                    <w:bottom w:val="single" w:color="auto" w:sz="4" w:space="0"/>
                    <w:right w:val="single" w:color="auto" w:sz="4" w:space="0"/>
                  </w:tcBorders>
                  <w:vAlign w:val="center"/>
                </w:tcPr>
                <w:p w14:paraId="0F0EF46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非甲烷总烃</w:t>
                  </w:r>
                </w:p>
              </w:tc>
              <w:tc>
                <w:tcPr>
                  <w:tcW w:w="1311" w:type="dxa"/>
                  <w:tcBorders>
                    <w:top w:val="single" w:color="auto" w:sz="4" w:space="0"/>
                    <w:left w:val="single" w:color="auto" w:sz="4" w:space="0"/>
                    <w:bottom w:val="single" w:color="auto" w:sz="4" w:space="0"/>
                    <w:right w:val="single" w:color="auto" w:sz="4" w:space="0"/>
                  </w:tcBorders>
                  <w:vAlign w:val="center"/>
                </w:tcPr>
                <w:p w14:paraId="2290554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0</w:t>
                  </w:r>
                </w:p>
              </w:tc>
              <w:tc>
                <w:tcPr>
                  <w:tcW w:w="1196" w:type="dxa"/>
                  <w:tcBorders>
                    <w:top w:val="single" w:color="auto" w:sz="4" w:space="0"/>
                    <w:left w:val="single" w:color="auto" w:sz="4" w:space="0"/>
                    <w:bottom w:val="single" w:color="auto" w:sz="4" w:space="0"/>
                    <w:right w:val="single" w:color="auto" w:sz="4" w:space="0"/>
                  </w:tcBorders>
                  <w:vAlign w:val="center"/>
                </w:tcPr>
                <w:p w14:paraId="7D6E8E1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0.005</w:t>
                  </w:r>
                </w:p>
              </w:tc>
              <w:tc>
                <w:tcPr>
                  <w:tcW w:w="1075" w:type="dxa"/>
                  <w:tcBorders>
                    <w:top w:val="single" w:color="auto" w:sz="4" w:space="0"/>
                    <w:left w:val="single" w:color="auto" w:sz="4" w:space="0"/>
                    <w:bottom w:val="single" w:color="auto" w:sz="4" w:space="0"/>
                    <w:right w:val="single" w:color="auto" w:sz="4" w:space="0"/>
                  </w:tcBorders>
                  <w:vAlign w:val="center"/>
                </w:tcPr>
                <w:p w14:paraId="7F2F358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0BD4711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0.005</w:t>
                  </w:r>
                </w:p>
              </w:tc>
              <w:tc>
                <w:tcPr>
                  <w:tcW w:w="1302" w:type="dxa"/>
                  <w:tcBorders>
                    <w:top w:val="single" w:color="auto" w:sz="4" w:space="0"/>
                    <w:left w:val="single" w:color="auto" w:sz="4" w:space="0"/>
                    <w:bottom w:val="single" w:color="auto" w:sz="4" w:space="0"/>
                    <w:right w:val="single" w:color="auto" w:sz="4" w:space="0"/>
                  </w:tcBorders>
                  <w:vAlign w:val="center"/>
                </w:tcPr>
                <w:p w14:paraId="138EBC1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+0.005</w:t>
                  </w:r>
                </w:p>
              </w:tc>
            </w:tr>
            <w:tr w14:paraId="48CA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vMerge w:val="restart"/>
                  <w:tcBorders>
                    <w:left w:val="single" w:color="auto" w:sz="4" w:space="0"/>
                    <w:right w:val="single" w:color="auto" w:sz="4" w:space="0"/>
                  </w:tcBorders>
                  <w:vAlign w:val="center"/>
                </w:tcPr>
                <w:p w14:paraId="6BE66A60">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废水</w:t>
                  </w:r>
                </w:p>
              </w:tc>
              <w:tc>
                <w:tcPr>
                  <w:tcW w:w="1583" w:type="dxa"/>
                  <w:tcBorders>
                    <w:top w:val="single" w:color="auto" w:sz="4" w:space="0"/>
                    <w:left w:val="single" w:color="auto" w:sz="4" w:space="0"/>
                    <w:bottom w:val="single" w:color="auto" w:sz="4" w:space="0"/>
                    <w:right w:val="single" w:color="auto" w:sz="4" w:space="0"/>
                  </w:tcBorders>
                  <w:vAlign w:val="center"/>
                </w:tcPr>
                <w:p w14:paraId="3FA6BB1F">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废水量（万吨）</w:t>
                  </w:r>
                </w:p>
              </w:tc>
              <w:tc>
                <w:tcPr>
                  <w:tcW w:w="1311" w:type="dxa"/>
                  <w:tcBorders>
                    <w:top w:val="single" w:color="auto" w:sz="4" w:space="0"/>
                    <w:left w:val="single" w:color="auto" w:sz="4" w:space="0"/>
                    <w:bottom w:val="single" w:color="auto" w:sz="4" w:space="0"/>
                    <w:right w:val="single" w:color="auto" w:sz="4" w:space="0"/>
                  </w:tcBorders>
                  <w:vAlign w:val="center"/>
                </w:tcPr>
                <w:p w14:paraId="4FE864F8">
                  <w:pPr>
                    <w:keepNext w:val="0"/>
                    <w:keepLines w:val="0"/>
                    <w:widowControl/>
                    <w:suppressLineNumbers w:val="0"/>
                    <w:jc w:val="center"/>
                    <w:textAlignment w:val="center"/>
                    <w:rPr>
                      <w:rFonts w:hint="default"/>
                      <w:color w:val="auto"/>
                      <w:kern w:val="0"/>
                      <w:sz w:val="22"/>
                      <w:szCs w:val="22"/>
                      <w:lang w:val="en-US"/>
                    </w:rPr>
                  </w:pPr>
                  <w:r>
                    <w:rPr>
                      <w:rFonts w:hint="default" w:ascii="Times New Roman" w:hAnsi="Times New Roman" w:eastAsia="宋体" w:cs="Times New Roman"/>
                      <w:i w:val="0"/>
                      <w:iCs w:val="0"/>
                      <w:color w:val="auto"/>
                      <w:kern w:val="0"/>
                      <w:sz w:val="22"/>
                      <w:szCs w:val="22"/>
                      <w:u w:val="none"/>
                      <w:lang w:val="en-US" w:eastAsia="zh-CN" w:bidi="ar"/>
                    </w:rPr>
                    <w:t>1.</w:t>
                  </w:r>
                  <w:r>
                    <w:rPr>
                      <w:rFonts w:hint="eastAsia" w:cs="Times New Roman"/>
                      <w:i w:val="0"/>
                      <w:iCs w:val="0"/>
                      <w:color w:val="auto"/>
                      <w:kern w:val="0"/>
                      <w:sz w:val="22"/>
                      <w:szCs w:val="22"/>
                      <w:u w:val="none"/>
                      <w:lang w:val="en-US" w:eastAsia="zh-CN" w:bidi="ar"/>
                    </w:rPr>
                    <w:t>1957</w:t>
                  </w:r>
                </w:p>
              </w:tc>
              <w:tc>
                <w:tcPr>
                  <w:tcW w:w="1196" w:type="dxa"/>
                  <w:tcBorders>
                    <w:top w:val="single" w:color="auto" w:sz="4" w:space="0"/>
                    <w:left w:val="single" w:color="auto" w:sz="4" w:space="0"/>
                    <w:bottom w:val="single" w:color="auto" w:sz="4" w:space="0"/>
                    <w:right w:val="single" w:color="auto" w:sz="4" w:space="0"/>
                  </w:tcBorders>
                  <w:vAlign w:val="center"/>
                </w:tcPr>
                <w:p w14:paraId="2CC551BF">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r>
                    <w:rPr>
                      <w:rFonts w:hint="eastAsia" w:cs="Times New Roman"/>
                      <w:i w:val="0"/>
                      <w:iCs w:val="0"/>
                      <w:color w:val="auto"/>
                      <w:kern w:val="0"/>
                      <w:sz w:val="22"/>
                      <w:szCs w:val="22"/>
                      <w:u w:val="none"/>
                      <w:lang w:val="en-US" w:eastAsia="zh-CN" w:bidi="ar"/>
                    </w:rPr>
                    <w:t>4819</w:t>
                  </w:r>
                  <w:r>
                    <w:rPr>
                      <w:rFonts w:hint="default" w:ascii="Times New Roman" w:hAnsi="Times New Roman" w:eastAsia="宋体" w:cs="Times New Roman"/>
                      <w:i w:val="0"/>
                      <w:iCs w:val="0"/>
                      <w:color w:val="auto"/>
                      <w:kern w:val="0"/>
                      <w:sz w:val="22"/>
                      <w:szCs w:val="22"/>
                      <w:u w:val="none"/>
                      <w:lang w:val="en-US" w:eastAsia="zh-CN" w:bidi="ar"/>
                    </w:rPr>
                    <w:t xml:space="preserve"> </w:t>
                  </w:r>
                </w:p>
              </w:tc>
              <w:tc>
                <w:tcPr>
                  <w:tcW w:w="1075" w:type="dxa"/>
                  <w:tcBorders>
                    <w:top w:val="single" w:color="auto" w:sz="4" w:space="0"/>
                    <w:left w:val="single" w:color="auto" w:sz="4" w:space="0"/>
                    <w:bottom w:val="single" w:color="auto" w:sz="4" w:space="0"/>
                    <w:right w:val="single" w:color="auto" w:sz="4" w:space="0"/>
                  </w:tcBorders>
                  <w:vAlign w:val="center"/>
                </w:tcPr>
                <w:p w14:paraId="2EEB3E91">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22D99670">
                  <w:pPr>
                    <w:keepNext w:val="0"/>
                    <w:keepLines w:val="0"/>
                    <w:widowControl/>
                    <w:suppressLineNumbers w:val="0"/>
                    <w:jc w:val="center"/>
                    <w:textAlignment w:val="center"/>
                    <w:rPr>
                      <w:rFonts w:hint="default" w:cs="宋体"/>
                      <w:color w:val="auto"/>
                      <w:kern w:val="0"/>
                      <w:sz w:val="22"/>
                      <w:szCs w:val="22"/>
                      <w:lang w:val="en-US" w:bidi="ar"/>
                    </w:rPr>
                  </w:pPr>
                  <w:r>
                    <w:rPr>
                      <w:rFonts w:hint="eastAsia" w:cs="Times New Roman"/>
                      <w:i w:val="0"/>
                      <w:iCs w:val="0"/>
                      <w:color w:val="auto"/>
                      <w:kern w:val="0"/>
                      <w:sz w:val="22"/>
                      <w:szCs w:val="22"/>
                      <w:u w:val="none"/>
                      <w:lang w:val="en-US" w:eastAsia="zh-CN" w:bidi="ar"/>
                    </w:rPr>
                    <w:t>1.6776</w:t>
                  </w:r>
                </w:p>
              </w:tc>
              <w:tc>
                <w:tcPr>
                  <w:tcW w:w="1302" w:type="dxa"/>
                  <w:tcBorders>
                    <w:top w:val="single" w:color="auto" w:sz="4" w:space="0"/>
                    <w:left w:val="single" w:color="auto" w:sz="4" w:space="0"/>
                    <w:bottom w:val="single" w:color="auto" w:sz="4" w:space="0"/>
                    <w:right w:val="single" w:color="auto" w:sz="4" w:space="0"/>
                  </w:tcBorders>
                  <w:vAlign w:val="center"/>
                </w:tcPr>
                <w:p w14:paraId="6035B8E5">
                  <w:pPr>
                    <w:keepNext w:val="0"/>
                    <w:keepLines w:val="0"/>
                    <w:widowControl/>
                    <w:suppressLineNumbers w:val="0"/>
                    <w:jc w:val="center"/>
                    <w:textAlignment w:val="center"/>
                    <w:rPr>
                      <w:color w:val="auto"/>
                      <w:sz w:val="22"/>
                      <w:szCs w:val="22"/>
                    </w:rPr>
                  </w:pP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0.</w:t>
                  </w:r>
                  <w:r>
                    <w:rPr>
                      <w:rFonts w:hint="eastAsia" w:cs="Times New Roman"/>
                      <w:i w:val="0"/>
                      <w:iCs w:val="0"/>
                      <w:color w:val="auto"/>
                      <w:kern w:val="0"/>
                      <w:sz w:val="22"/>
                      <w:szCs w:val="22"/>
                      <w:u w:val="none"/>
                      <w:lang w:val="en-US" w:eastAsia="zh-CN" w:bidi="ar"/>
                    </w:rPr>
                    <w:t>4819</w:t>
                  </w:r>
                  <w:r>
                    <w:rPr>
                      <w:rFonts w:hint="default" w:ascii="Times New Roman" w:hAnsi="Times New Roman" w:eastAsia="宋体" w:cs="Times New Roman"/>
                      <w:i w:val="0"/>
                      <w:iCs w:val="0"/>
                      <w:color w:val="auto"/>
                      <w:kern w:val="0"/>
                      <w:sz w:val="22"/>
                      <w:szCs w:val="22"/>
                      <w:u w:val="none"/>
                      <w:lang w:val="en-US" w:eastAsia="zh-CN" w:bidi="ar"/>
                    </w:rPr>
                    <w:t xml:space="preserve"> </w:t>
                  </w:r>
                </w:p>
              </w:tc>
            </w:tr>
            <w:tr w14:paraId="0E48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vMerge w:val="continue"/>
                  <w:tcBorders>
                    <w:left w:val="single" w:color="auto" w:sz="4" w:space="0"/>
                    <w:right w:val="single" w:color="auto" w:sz="4" w:space="0"/>
                  </w:tcBorders>
                  <w:vAlign w:val="center"/>
                </w:tcPr>
                <w:p w14:paraId="535876C9">
                  <w:pPr>
                    <w:jc w:val="center"/>
                    <w:rPr>
                      <w:color w:val="auto"/>
                      <w:sz w:val="22"/>
                      <w:szCs w:val="22"/>
                    </w:rPr>
                  </w:pPr>
                </w:p>
              </w:tc>
              <w:tc>
                <w:tcPr>
                  <w:tcW w:w="1583" w:type="dxa"/>
                  <w:tcBorders>
                    <w:top w:val="single" w:color="auto" w:sz="4" w:space="0"/>
                    <w:left w:val="single" w:color="auto" w:sz="4" w:space="0"/>
                    <w:bottom w:val="single" w:color="auto" w:sz="4" w:space="0"/>
                    <w:right w:val="single" w:color="auto" w:sz="4" w:space="0"/>
                  </w:tcBorders>
                  <w:vAlign w:val="center"/>
                </w:tcPr>
                <w:p w14:paraId="68DAC3C1">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COD</w:t>
                  </w:r>
                </w:p>
              </w:tc>
              <w:tc>
                <w:tcPr>
                  <w:tcW w:w="1311" w:type="dxa"/>
                  <w:tcBorders>
                    <w:top w:val="single" w:color="auto" w:sz="4" w:space="0"/>
                    <w:left w:val="single" w:color="auto" w:sz="4" w:space="0"/>
                    <w:bottom w:val="single" w:color="auto" w:sz="4" w:space="0"/>
                    <w:right w:val="single" w:color="auto" w:sz="4" w:space="0"/>
                  </w:tcBorders>
                  <w:vAlign w:val="center"/>
                </w:tcPr>
                <w:p w14:paraId="44D0A92D">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 xml:space="preserve">5.978 </w:t>
                  </w:r>
                </w:p>
              </w:tc>
              <w:tc>
                <w:tcPr>
                  <w:tcW w:w="1196" w:type="dxa"/>
                  <w:tcBorders>
                    <w:top w:val="single" w:color="auto" w:sz="4" w:space="0"/>
                    <w:left w:val="single" w:color="auto" w:sz="4" w:space="0"/>
                    <w:bottom w:val="single" w:color="auto" w:sz="4" w:space="0"/>
                    <w:right w:val="single" w:color="auto" w:sz="4" w:space="0"/>
                  </w:tcBorders>
                  <w:vAlign w:val="center"/>
                </w:tcPr>
                <w:p w14:paraId="5C76E0E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2.410 </w:t>
                  </w:r>
                </w:p>
              </w:tc>
              <w:tc>
                <w:tcPr>
                  <w:tcW w:w="1075" w:type="dxa"/>
                  <w:tcBorders>
                    <w:top w:val="single" w:color="auto" w:sz="4" w:space="0"/>
                    <w:left w:val="single" w:color="auto" w:sz="4" w:space="0"/>
                    <w:bottom w:val="single" w:color="auto" w:sz="4" w:space="0"/>
                    <w:right w:val="single" w:color="auto" w:sz="4" w:space="0"/>
                  </w:tcBorders>
                  <w:vAlign w:val="center"/>
                </w:tcPr>
                <w:p w14:paraId="320B9C25">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2BCEFEE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8.388 </w:t>
                  </w:r>
                </w:p>
              </w:tc>
              <w:tc>
                <w:tcPr>
                  <w:tcW w:w="1302" w:type="dxa"/>
                  <w:tcBorders>
                    <w:top w:val="single" w:color="auto" w:sz="4" w:space="0"/>
                    <w:left w:val="single" w:color="auto" w:sz="4" w:space="0"/>
                    <w:bottom w:val="single" w:color="auto" w:sz="4" w:space="0"/>
                    <w:right w:val="single" w:color="auto" w:sz="4" w:space="0"/>
                  </w:tcBorders>
                  <w:vAlign w:val="center"/>
                </w:tcPr>
                <w:p w14:paraId="34D24D20">
                  <w:pPr>
                    <w:keepNext w:val="0"/>
                    <w:keepLines w:val="0"/>
                    <w:widowControl/>
                    <w:suppressLineNumbers w:val="0"/>
                    <w:jc w:val="center"/>
                    <w:textAlignment w:val="center"/>
                    <w:rPr>
                      <w:color w:val="auto"/>
                      <w:sz w:val="22"/>
                      <w:szCs w:val="22"/>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2.410 </w:t>
                  </w:r>
                </w:p>
              </w:tc>
            </w:tr>
            <w:tr w14:paraId="3C0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vMerge w:val="continue"/>
                  <w:tcBorders>
                    <w:left w:val="single" w:color="auto" w:sz="4" w:space="0"/>
                    <w:right w:val="single" w:color="auto" w:sz="4" w:space="0"/>
                  </w:tcBorders>
                  <w:vAlign w:val="center"/>
                </w:tcPr>
                <w:p w14:paraId="56D333C9">
                  <w:pPr>
                    <w:jc w:val="center"/>
                    <w:rPr>
                      <w:color w:val="auto"/>
                      <w:sz w:val="22"/>
                      <w:szCs w:val="22"/>
                    </w:rPr>
                  </w:pPr>
                </w:p>
              </w:tc>
              <w:tc>
                <w:tcPr>
                  <w:tcW w:w="1583" w:type="dxa"/>
                  <w:tcBorders>
                    <w:top w:val="single" w:color="auto" w:sz="4" w:space="0"/>
                    <w:left w:val="single" w:color="auto" w:sz="4" w:space="0"/>
                    <w:bottom w:val="single" w:color="auto" w:sz="4" w:space="0"/>
                    <w:right w:val="single" w:color="auto" w:sz="4" w:space="0"/>
                  </w:tcBorders>
                  <w:vAlign w:val="center"/>
                </w:tcPr>
                <w:p w14:paraId="2B7DE81A">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BOD</w:t>
                  </w:r>
                  <w:r>
                    <w:rPr>
                      <w:rFonts w:hint="default" w:ascii="Times New Roman" w:hAnsi="Times New Roman" w:eastAsia="宋体" w:cs="Times New Roman"/>
                      <w:i w:val="0"/>
                      <w:iCs w:val="0"/>
                      <w:color w:val="auto"/>
                      <w:kern w:val="0"/>
                      <w:sz w:val="22"/>
                      <w:szCs w:val="22"/>
                      <w:u w:val="none"/>
                      <w:vertAlign w:val="subscript"/>
                      <w:lang w:val="en-US" w:eastAsia="zh-CN" w:bidi="ar"/>
                    </w:rPr>
                    <w:t>5</w:t>
                  </w:r>
                </w:p>
              </w:tc>
              <w:tc>
                <w:tcPr>
                  <w:tcW w:w="1311" w:type="dxa"/>
                  <w:tcBorders>
                    <w:top w:val="single" w:color="auto" w:sz="4" w:space="0"/>
                    <w:left w:val="single" w:color="auto" w:sz="4" w:space="0"/>
                    <w:bottom w:val="single" w:color="auto" w:sz="4" w:space="0"/>
                    <w:right w:val="single" w:color="auto" w:sz="4" w:space="0"/>
                  </w:tcBorders>
                  <w:vAlign w:val="center"/>
                </w:tcPr>
                <w:p w14:paraId="75A85289">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 xml:space="preserve">3.587 </w:t>
                  </w:r>
                </w:p>
              </w:tc>
              <w:tc>
                <w:tcPr>
                  <w:tcW w:w="1196" w:type="dxa"/>
                  <w:tcBorders>
                    <w:top w:val="single" w:color="auto" w:sz="4" w:space="0"/>
                    <w:left w:val="single" w:color="auto" w:sz="4" w:space="0"/>
                    <w:bottom w:val="single" w:color="auto" w:sz="4" w:space="0"/>
                    <w:right w:val="single" w:color="auto" w:sz="4" w:space="0"/>
                  </w:tcBorders>
                  <w:vAlign w:val="center"/>
                </w:tcPr>
                <w:p w14:paraId="1C15871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1.446 </w:t>
                  </w:r>
                </w:p>
              </w:tc>
              <w:tc>
                <w:tcPr>
                  <w:tcW w:w="1075" w:type="dxa"/>
                  <w:tcBorders>
                    <w:top w:val="single" w:color="auto" w:sz="4" w:space="0"/>
                    <w:left w:val="single" w:color="auto" w:sz="4" w:space="0"/>
                    <w:bottom w:val="single" w:color="auto" w:sz="4" w:space="0"/>
                    <w:right w:val="single" w:color="auto" w:sz="4" w:space="0"/>
                  </w:tcBorders>
                  <w:vAlign w:val="center"/>
                </w:tcPr>
                <w:p w14:paraId="4F2033FD">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7717A20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5.033 </w:t>
                  </w:r>
                </w:p>
              </w:tc>
              <w:tc>
                <w:tcPr>
                  <w:tcW w:w="1302" w:type="dxa"/>
                  <w:tcBorders>
                    <w:top w:val="single" w:color="auto" w:sz="4" w:space="0"/>
                    <w:left w:val="single" w:color="auto" w:sz="4" w:space="0"/>
                    <w:bottom w:val="single" w:color="auto" w:sz="4" w:space="0"/>
                    <w:right w:val="single" w:color="auto" w:sz="4" w:space="0"/>
                  </w:tcBorders>
                  <w:vAlign w:val="center"/>
                </w:tcPr>
                <w:p w14:paraId="1422ED41">
                  <w:pPr>
                    <w:keepNext w:val="0"/>
                    <w:keepLines w:val="0"/>
                    <w:widowControl/>
                    <w:suppressLineNumbers w:val="0"/>
                    <w:jc w:val="center"/>
                    <w:textAlignment w:val="center"/>
                    <w:rPr>
                      <w:color w:val="auto"/>
                      <w:sz w:val="22"/>
                      <w:szCs w:val="22"/>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1.446 </w:t>
                  </w:r>
                </w:p>
              </w:tc>
            </w:tr>
            <w:tr w14:paraId="2641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vMerge w:val="continue"/>
                  <w:tcBorders>
                    <w:left w:val="single" w:color="auto" w:sz="4" w:space="0"/>
                    <w:right w:val="single" w:color="auto" w:sz="4" w:space="0"/>
                  </w:tcBorders>
                  <w:vAlign w:val="center"/>
                </w:tcPr>
                <w:p w14:paraId="2584CA50">
                  <w:pPr>
                    <w:jc w:val="center"/>
                    <w:rPr>
                      <w:color w:val="auto"/>
                      <w:sz w:val="22"/>
                      <w:szCs w:val="22"/>
                    </w:rPr>
                  </w:pPr>
                </w:p>
              </w:tc>
              <w:tc>
                <w:tcPr>
                  <w:tcW w:w="1583" w:type="dxa"/>
                  <w:tcBorders>
                    <w:top w:val="single" w:color="auto" w:sz="4" w:space="0"/>
                    <w:left w:val="single" w:color="auto" w:sz="4" w:space="0"/>
                    <w:bottom w:val="single" w:color="auto" w:sz="4" w:space="0"/>
                    <w:right w:val="single" w:color="auto" w:sz="4" w:space="0"/>
                  </w:tcBorders>
                  <w:vAlign w:val="center"/>
                </w:tcPr>
                <w:p w14:paraId="3AC78237">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SS</w:t>
                  </w:r>
                </w:p>
              </w:tc>
              <w:tc>
                <w:tcPr>
                  <w:tcW w:w="1311" w:type="dxa"/>
                  <w:tcBorders>
                    <w:top w:val="single" w:color="auto" w:sz="4" w:space="0"/>
                    <w:left w:val="single" w:color="auto" w:sz="4" w:space="0"/>
                    <w:bottom w:val="single" w:color="auto" w:sz="4" w:space="0"/>
                    <w:right w:val="single" w:color="auto" w:sz="4" w:space="0"/>
                  </w:tcBorders>
                  <w:vAlign w:val="center"/>
                </w:tcPr>
                <w:p w14:paraId="08713454">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 xml:space="preserve">4.783 </w:t>
                  </w:r>
                </w:p>
              </w:tc>
              <w:tc>
                <w:tcPr>
                  <w:tcW w:w="1196" w:type="dxa"/>
                  <w:tcBorders>
                    <w:top w:val="single" w:color="auto" w:sz="4" w:space="0"/>
                    <w:left w:val="single" w:color="auto" w:sz="4" w:space="0"/>
                    <w:bottom w:val="single" w:color="auto" w:sz="4" w:space="0"/>
                    <w:right w:val="single" w:color="auto" w:sz="4" w:space="0"/>
                  </w:tcBorders>
                  <w:vAlign w:val="center"/>
                </w:tcPr>
                <w:p w14:paraId="5D04775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1.928 </w:t>
                  </w:r>
                </w:p>
              </w:tc>
              <w:tc>
                <w:tcPr>
                  <w:tcW w:w="1075" w:type="dxa"/>
                  <w:tcBorders>
                    <w:top w:val="single" w:color="auto" w:sz="4" w:space="0"/>
                    <w:left w:val="single" w:color="auto" w:sz="4" w:space="0"/>
                    <w:bottom w:val="single" w:color="auto" w:sz="4" w:space="0"/>
                    <w:right w:val="single" w:color="auto" w:sz="4" w:space="0"/>
                  </w:tcBorders>
                  <w:vAlign w:val="center"/>
                </w:tcPr>
                <w:p w14:paraId="7709489D">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3FA0F55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6.710 </w:t>
                  </w:r>
                </w:p>
              </w:tc>
              <w:tc>
                <w:tcPr>
                  <w:tcW w:w="1302" w:type="dxa"/>
                  <w:tcBorders>
                    <w:top w:val="single" w:color="auto" w:sz="4" w:space="0"/>
                    <w:left w:val="single" w:color="auto" w:sz="4" w:space="0"/>
                    <w:bottom w:val="single" w:color="auto" w:sz="4" w:space="0"/>
                    <w:right w:val="single" w:color="auto" w:sz="4" w:space="0"/>
                  </w:tcBorders>
                  <w:vAlign w:val="center"/>
                </w:tcPr>
                <w:p w14:paraId="2134B33A">
                  <w:pPr>
                    <w:keepNext w:val="0"/>
                    <w:keepLines w:val="0"/>
                    <w:widowControl/>
                    <w:suppressLineNumbers w:val="0"/>
                    <w:jc w:val="center"/>
                    <w:textAlignment w:val="center"/>
                    <w:rPr>
                      <w:color w:val="auto"/>
                      <w:sz w:val="22"/>
                      <w:szCs w:val="22"/>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1.928 </w:t>
                  </w:r>
                </w:p>
              </w:tc>
            </w:tr>
            <w:tr w14:paraId="2E93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89" w:type="dxa"/>
                  <w:vMerge w:val="continue"/>
                  <w:tcBorders>
                    <w:left w:val="single" w:color="auto" w:sz="4" w:space="0"/>
                    <w:right w:val="single" w:color="auto" w:sz="4" w:space="0"/>
                  </w:tcBorders>
                  <w:vAlign w:val="center"/>
                </w:tcPr>
                <w:p w14:paraId="40AF97FE">
                  <w:pPr>
                    <w:jc w:val="center"/>
                    <w:rPr>
                      <w:color w:val="auto"/>
                      <w:sz w:val="22"/>
                      <w:szCs w:val="22"/>
                    </w:rPr>
                  </w:pPr>
                </w:p>
              </w:tc>
              <w:tc>
                <w:tcPr>
                  <w:tcW w:w="1583" w:type="dxa"/>
                  <w:tcBorders>
                    <w:top w:val="single" w:color="auto" w:sz="4" w:space="0"/>
                    <w:left w:val="single" w:color="auto" w:sz="4" w:space="0"/>
                    <w:bottom w:val="single" w:color="auto" w:sz="4" w:space="0"/>
                    <w:right w:val="single" w:color="auto" w:sz="4" w:space="0"/>
                  </w:tcBorders>
                  <w:vAlign w:val="center"/>
                </w:tcPr>
                <w:p w14:paraId="4DEDDA93">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NH</w:t>
                  </w:r>
                  <w:r>
                    <w:rPr>
                      <w:rFonts w:hint="default" w:ascii="Times New Roman" w:hAnsi="Times New Roman" w:eastAsia="宋体" w:cs="Times New Roman"/>
                      <w:i w:val="0"/>
                      <w:iCs w:val="0"/>
                      <w:color w:val="auto"/>
                      <w:kern w:val="0"/>
                      <w:sz w:val="22"/>
                      <w:szCs w:val="22"/>
                      <w:u w:val="none"/>
                      <w:vertAlign w:val="subscript"/>
                      <w:lang w:val="en-US" w:eastAsia="zh-CN" w:bidi="ar"/>
                    </w:rPr>
                    <w:t>3</w:t>
                  </w:r>
                  <w:r>
                    <w:rPr>
                      <w:rFonts w:hint="default" w:ascii="Times New Roman" w:hAnsi="Times New Roman" w:eastAsia="宋体" w:cs="Times New Roman"/>
                      <w:i w:val="0"/>
                      <w:iCs w:val="0"/>
                      <w:color w:val="auto"/>
                      <w:kern w:val="0"/>
                      <w:sz w:val="22"/>
                      <w:szCs w:val="22"/>
                      <w:u w:val="none"/>
                      <w:lang w:val="en-US" w:eastAsia="zh-CN" w:bidi="ar"/>
                    </w:rPr>
                    <w:t>-N</w:t>
                  </w:r>
                </w:p>
              </w:tc>
              <w:tc>
                <w:tcPr>
                  <w:tcW w:w="1311" w:type="dxa"/>
                  <w:tcBorders>
                    <w:top w:val="single" w:color="auto" w:sz="4" w:space="0"/>
                    <w:left w:val="single" w:color="auto" w:sz="4" w:space="0"/>
                    <w:bottom w:val="single" w:color="auto" w:sz="4" w:space="0"/>
                    <w:right w:val="single" w:color="auto" w:sz="4" w:space="0"/>
                  </w:tcBorders>
                  <w:vAlign w:val="center"/>
                </w:tcPr>
                <w:p w14:paraId="4444698D">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 xml:space="preserve">0.538 </w:t>
                  </w:r>
                </w:p>
              </w:tc>
              <w:tc>
                <w:tcPr>
                  <w:tcW w:w="1196" w:type="dxa"/>
                  <w:tcBorders>
                    <w:top w:val="single" w:color="auto" w:sz="4" w:space="0"/>
                    <w:left w:val="single" w:color="auto" w:sz="4" w:space="0"/>
                    <w:bottom w:val="single" w:color="auto" w:sz="4" w:space="0"/>
                    <w:right w:val="single" w:color="auto" w:sz="4" w:space="0"/>
                  </w:tcBorders>
                  <w:vAlign w:val="center"/>
                </w:tcPr>
                <w:p w14:paraId="0F90325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0.217 </w:t>
                  </w:r>
                </w:p>
              </w:tc>
              <w:tc>
                <w:tcPr>
                  <w:tcW w:w="1075" w:type="dxa"/>
                  <w:tcBorders>
                    <w:top w:val="single" w:color="auto" w:sz="4" w:space="0"/>
                    <w:left w:val="single" w:color="auto" w:sz="4" w:space="0"/>
                    <w:bottom w:val="single" w:color="auto" w:sz="4" w:space="0"/>
                    <w:right w:val="single" w:color="auto" w:sz="4" w:space="0"/>
                  </w:tcBorders>
                  <w:vAlign w:val="center"/>
                </w:tcPr>
                <w:p w14:paraId="5E0D33FA">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61A1678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0.755 </w:t>
                  </w:r>
                </w:p>
              </w:tc>
              <w:tc>
                <w:tcPr>
                  <w:tcW w:w="1302" w:type="dxa"/>
                  <w:tcBorders>
                    <w:top w:val="single" w:color="auto" w:sz="4" w:space="0"/>
                    <w:left w:val="single" w:color="auto" w:sz="4" w:space="0"/>
                    <w:bottom w:val="single" w:color="auto" w:sz="4" w:space="0"/>
                    <w:right w:val="single" w:color="auto" w:sz="4" w:space="0"/>
                  </w:tcBorders>
                  <w:vAlign w:val="center"/>
                </w:tcPr>
                <w:p w14:paraId="6B3C366C">
                  <w:pPr>
                    <w:keepNext w:val="0"/>
                    <w:keepLines w:val="0"/>
                    <w:widowControl/>
                    <w:suppressLineNumbers w:val="0"/>
                    <w:jc w:val="center"/>
                    <w:textAlignment w:val="center"/>
                    <w:rPr>
                      <w:color w:val="auto"/>
                      <w:sz w:val="22"/>
                      <w:szCs w:val="22"/>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0.217 </w:t>
                  </w:r>
                </w:p>
              </w:tc>
            </w:tr>
            <w:tr w14:paraId="2B36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vMerge w:val="continue"/>
                  <w:tcBorders>
                    <w:left w:val="single" w:color="auto" w:sz="4" w:space="0"/>
                    <w:bottom w:val="single" w:color="auto" w:sz="4" w:space="0"/>
                    <w:right w:val="single" w:color="auto" w:sz="4" w:space="0"/>
                  </w:tcBorders>
                  <w:vAlign w:val="center"/>
                </w:tcPr>
                <w:p w14:paraId="5D7BCE4E">
                  <w:pPr>
                    <w:jc w:val="center"/>
                    <w:rPr>
                      <w:color w:val="auto"/>
                      <w:sz w:val="22"/>
                      <w:szCs w:val="22"/>
                    </w:rPr>
                  </w:pPr>
                </w:p>
              </w:tc>
              <w:tc>
                <w:tcPr>
                  <w:tcW w:w="1583" w:type="dxa"/>
                  <w:tcBorders>
                    <w:top w:val="single" w:color="auto" w:sz="4" w:space="0"/>
                    <w:left w:val="single" w:color="auto" w:sz="4" w:space="0"/>
                    <w:bottom w:val="single" w:color="auto" w:sz="4" w:space="0"/>
                    <w:right w:val="single" w:color="auto" w:sz="4" w:space="0"/>
                  </w:tcBorders>
                  <w:vAlign w:val="center"/>
                </w:tcPr>
                <w:p w14:paraId="5DABFFD2">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动植物油</w:t>
                  </w:r>
                </w:p>
              </w:tc>
              <w:tc>
                <w:tcPr>
                  <w:tcW w:w="1311" w:type="dxa"/>
                  <w:tcBorders>
                    <w:top w:val="single" w:color="auto" w:sz="4" w:space="0"/>
                    <w:left w:val="single" w:color="auto" w:sz="4" w:space="0"/>
                    <w:bottom w:val="single" w:color="auto" w:sz="4" w:space="0"/>
                    <w:right w:val="single" w:color="auto" w:sz="4" w:space="0"/>
                  </w:tcBorders>
                  <w:vAlign w:val="center"/>
                </w:tcPr>
                <w:p w14:paraId="128646FB">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 xml:space="preserve">0.418 </w:t>
                  </w:r>
                </w:p>
              </w:tc>
              <w:tc>
                <w:tcPr>
                  <w:tcW w:w="1196" w:type="dxa"/>
                  <w:tcBorders>
                    <w:top w:val="single" w:color="auto" w:sz="4" w:space="0"/>
                    <w:left w:val="single" w:color="auto" w:sz="4" w:space="0"/>
                    <w:bottom w:val="single" w:color="auto" w:sz="4" w:space="0"/>
                    <w:right w:val="single" w:color="auto" w:sz="4" w:space="0"/>
                  </w:tcBorders>
                  <w:vAlign w:val="center"/>
                </w:tcPr>
                <w:p w14:paraId="32E47498">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0.169 </w:t>
                  </w:r>
                </w:p>
              </w:tc>
              <w:tc>
                <w:tcPr>
                  <w:tcW w:w="1075" w:type="dxa"/>
                  <w:tcBorders>
                    <w:top w:val="single" w:color="auto" w:sz="4" w:space="0"/>
                    <w:left w:val="single" w:color="auto" w:sz="4" w:space="0"/>
                    <w:bottom w:val="single" w:color="auto" w:sz="4" w:space="0"/>
                    <w:right w:val="single" w:color="auto" w:sz="4" w:space="0"/>
                  </w:tcBorders>
                  <w:vAlign w:val="center"/>
                </w:tcPr>
                <w:p w14:paraId="5A39F0B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0390EE9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0.587 </w:t>
                  </w:r>
                </w:p>
              </w:tc>
              <w:tc>
                <w:tcPr>
                  <w:tcW w:w="1302" w:type="dxa"/>
                  <w:tcBorders>
                    <w:top w:val="single" w:color="auto" w:sz="4" w:space="0"/>
                    <w:left w:val="single" w:color="auto" w:sz="4" w:space="0"/>
                    <w:bottom w:val="single" w:color="auto" w:sz="4" w:space="0"/>
                    <w:right w:val="single" w:color="auto" w:sz="4" w:space="0"/>
                  </w:tcBorders>
                  <w:vAlign w:val="center"/>
                </w:tcPr>
                <w:p w14:paraId="3D7898F9">
                  <w:pPr>
                    <w:keepNext w:val="0"/>
                    <w:keepLines w:val="0"/>
                    <w:widowControl/>
                    <w:suppressLineNumbers w:val="0"/>
                    <w:jc w:val="center"/>
                    <w:textAlignment w:val="center"/>
                    <w:rPr>
                      <w:color w:val="auto"/>
                      <w:sz w:val="22"/>
                      <w:szCs w:val="22"/>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0.169 </w:t>
                  </w:r>
                </w:p>
              </w:tc>
            </w:tr>
            <w:tr w14:paraId="04E2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vMerge w:val="restart"/>
                  <w:tcBorders>
                    <w:top w:val="single" w:color="auto" w:sz="4" w:space="0"/>
                    <w:left w:val="single" w:color="auto" w:sz="4" w:space="0"/>
                    <w:right w:val="single" w:color="auto" w:sz="4" w:space="0"/>
                  </w:tcBorders>
                  <w:vAlign w:val="center"/>
                </w:tcPr>
                <w:p w14:paraId="4E4BD43B">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固废（产生量）</w:t>
                  </w:r>
                </w:p>
              </w:tc>
              <w:tc>
                <w:tcPr>
                  <w:tcW w:w="1583" w:type="dxa"/>
                  <w:tcBorders>
                    <w:top w:val="single" w:color="auto" w:sz="4" w:space="0"/>
                    <w:left w:val="single" w:color="auto" w:sz="4" w:space="0"/>
                    <w:bottom w:val="single" w:color="auto" w:sz="4" w:space="0"/>
                    <w:right w:val="single" w:color="auto" w:sz="4" w:space="0"/>
                  </w:tcBorders>
                  <w:vAlign w:val="center"/>
                </w:tcPr>
                <w:p w14:paraId="6A9980F3">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一般工业固废</w:t>
                  </w:r>
                </w:p>
              </w:tc>
              <w:tc>
                <w:tcPr>
                  <w:tcW w:w="1311" w:type="dxa"/>
                  <w:tcBorders>
                    <w:top w:val="single" w:color="auto" w:sz="4" w:space="0"/>
                    <w:left w:val="single" w:color="auto" w:sz="4" w:space="0"/>
                    <w:bottom w:val="single" w:color="auto" w:sz="4" w:space="0"/>
                    <w:right w:val="single" w:color="auto" w:sz="4" w:space="0"/>
                  </w:tcBorders>
                  <w:vAlign w:val="center"/>
                </w:tcPr>
                <w:p w14:paraId="20AD7DD4">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43.8</w:t>
                  </w:r>
                </w:p>
              </w:tc>
              <w:tc>
                <w:tcPr>
                  <w:tcW w:w="1196" w:type="dxa"/>
                  <w:tcBorders>
                    <w:top w:val="single" w:color="auto" w:sz="4" w:space="0"/>
                    <w:left w:val="single" w:color="auto" w:sz="4" w:space="0"/>
                    <w:bottom w:val="single" w:color="auto" w:sz="4" w:space="0"/>
                    <w:right w:val="single" w:color="auto" w:sz="4" w:space="0"/>
                  </w:tcBorders>
                  <w:vAlign w:val="center"/>
                </w:tcPr>
                <w:p w14:paraId="6708F744">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43</w:t>
                  </w:r>
                </w:p>
              </w:tc>
              <w:tc>
                <w:tcPr>
                  <w:tcW w:w="1075" w:type="dxa"/>
                  <w:tcBorders>
                    <w:top w:val="single" w:color="auto" w:sz="4" w:space="0"/>
                    <w:left w:val="single" w:color="auto" w:sz="4" w:space="0"/>
                    <w:bottom w:val="single" w:color="auto" w:sz="4" w:space="0"/>
                    <w:right w:val="single" w:color="auto" w:sz="4" w:space="0"/>
                  </w:tcBorders>
                  <w:vAlign w:val="center"/>
                </w:tcPr>
                <w:p w14:paraId="79BFC74B">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7AF15DFF">
                  <w:pPr>
                    <w:keepNext w:val="0"/>
                    <w:keepLines w:val="0"/>
                    <w:widowControl/>
                    <w:suppressLineNumbers w:val="0"/>
                    <w:jc w:val="center"/>
                    <w:textAlignment w:val="center"/>
                    <w:rPr>
                      <w:rFonts w:hint="eastAsia"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86.8</w:t>
                  </w:r>
                </w:p>
              </w:tc>
              <w:tc>
                <w:tcPr>
                  <w:tcW w:w="1302" w:type="dxa"/>
                  <w:tcBorders>
                    <w:top w:val="single" w:color="auto" w:sz="4" w:space="0"/>
                    <w:left w:val="single" w:color="auto" w:sz="4" w:space="0"/>
                    <w:bottom w:val="single" w:color="auto" w:sz="4" w:space="0"/>
                    <w:right w:val="single" w:color="auto" w:sz="4" w:space="0"/>
                  </w:tcBorders>
                  <w:vAlign w:val="center"/>
                </w:tcPr>
                <w:p w14:paraId="29066E18">
                  <w:pPr>
                    <w:keepNext w:val="0"/>
                    <w:keepLines w:val="0"/>
                    <w:widowControl/>
                    <w:suppressLineNumbers w:val="0"/>
                    <w:jc w:val="center"/>
                    <w:textAlignment w:val="center"/>
                    <w:rPr>
                      <w:rFonts w:hint="eastAsia"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43</w:t>
                  </w:r>
                </w:p>
              </w:tc>
            </w:tr>
            <w:tr w14:paraId="5697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vMerge w:val="continue"/>
                  <w:tcBorders>
                    <w:left w:val="single" w:color="auto" w:sz="4" w:space="0"/>
                    <w:right w:val="single" w:color="auto" w:sz="4" w:space="0"/>
                  </w:tcBorders>
                  <w:vAlign w:val="center"/>
                </w:tcPr>
                <w:p w14:paraId="0665B926">
                  <w:pPr>
                    <w:jc w:val="center"/>
                    <w:rPr>
                      <w:color w:val="auto"/>
                      <w:sz w:val="22"/>
                      <w:szCs w:val="22"/>
                    </w:rPr>
                  </w:pPr>
                </w:p>
              </w:tc>
              <w:tc>
                <w:tcPr>
                  <w:tcW w:w="1583" w:type="dxa"/>
                  <w:tcBorders>
                    <w:top w:val="single" w:color="auto" w:sz="4" w:space="0"/>
                    <w:left w:val="single" w:color="auto" w:sz="4" w:space="0"/>
                    <w:bottom w:val="single" w:color="auto" w:sz="4" w:space="0"/>
                    <w:right w:val="single" w:color="auto" w:sz="4" w:space="0"/>
                  </w:tcBorders>
                  <w:vAlign w:val="center"/>
                </w:tcPr>
                <w:p w14:paraId="0C233459">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危险废物</w:t>
                  </w:r>
                </w:p>
              </w:tc>
              <w:tc>
                <w:tcPr>
                  <w:tcW w:w="1311" w:type="dxa"/>
                  <w:tcBorders>
                    <w:top w:val="single" w:color="auto" w:sz="4" w:space="0"/>
                    <w:left w:val="single" w:color="auto" w:sz="4" w:space="0"/>
                    <w:bottom w:val="single" w:color="auto" w:sz="4" w:space="0"/>
                    <w:right w:val="single" w:color="auto" w:sz="4" w:space="0"/>
                  </w:tcBorders>
                  <w:vAlign w:val="center"/>
                </w:tcPr>
                <w:p w14:paraId="21DBA274">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29.536</w:t>
                  </w:r>
                </w:p>
              </w:tc>
              <w:tc>
                <w:tcPr>
                  <w:tcW w:w="1196" w:type="dxa"/>
                  <w:tcBorders>
                    <w:top w:val="single" w:color="auto" w:sz="4" w:space="0"/>
                    <w:left w:val="single" w:color="auto" w:sz="4" w:space="0"/>
                    <w:bottom w:val="single" w:color="auto" w:sz="4" w:space="0"/>
                    <w:right w:val="single" w:color="auto" w:sz="4" w:space="0"/>
                  </w:tcBorders>
                  <w:vAlign w:val="center"/>
                </w:tcPr>
                <w:p w14:paraId="52D1121A">
                  <w:pPr>
                    <w:keepNext w:val="0"/>
                    <w:keepLines w:val="0"/>
                    <w:widowControl/>
                    <w:suppressLineNumbers w:val="0"/>
                    <w:jc w:val="center"/>
                    <w:textAlignment w:val="center"/>
                    <w:rPr>
                      <w:rFonts w:hint="default" w:eastAsia="宋体"/>
                      <w:color w:val="auto"/>
                      <w:sz w:val="22"/>
                      <w:szCs w:val="22"/>
                      <w:lang w:val="en-US" w:eastAsia="zh-CN"/>
                    </w:rPr>
                  </w:pPr>
                  <w:r>
                    <w:rPr>
                      <w:rFonts w:hint="eastAsia" w:cs="Times New Roman"/>
                      <w:i w:val="0"/>
                      <w:iCs w:val="0"/>
                      <w:color w:val="auto"/>
                      <w:kern w:val="0"/>
                      <w:sz w:val="22"/>
                      <w:szCs w:val="22"/>
                      <w:u w:val="none"/>
                      <w:lang w:val="en-US" w:eastAsia="zh-CN" w:bidi="ar"/>
                    </w:rPr>
                    <w:t>270</w:t>
                  </w:r>
                </w:p>
              </w:tc>
              <w:tc>
                <w:tcPr>
                  <w:tcW w:w="1075" w:type="dxa"/>
                  <w:tcBorders>
                    <w:top w:val="single" w:color="auto" w:sz="4" w:space="0"/>
                    <w:left w:val="single" w:color="auto" w:sz="4" w:space="0"/>
                    <w:bottom w:val="single" w:color="auto" w:sz="4" w:space="0"/>
                    <w:right w:val="single" w:color="auto" w:sz="4" w:space="0"/>
                  </w:tcBorders>
                  <w:vAlign w:val="center"/>
                </w:tcPr>
                <w:p w14:paraId="05EDF791">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2FE716E9">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299.536</w:t>
                  </w:r>
                </w:p>
              </w:tc>
              <w:tc>
                <w:tcPr>
                  <w:tcW w:w="1302" w:type="dxa"/>
                  <w:tcBorders>
                    <w:top w:val="single" w:color="auto" w:sz="4" w:space="0"/>
                    <w:left w:val="single" w:color="auto" w:sz="4" w:space="0"/>
                    <w:bottom w:val="single" w:color="auto" w:sz="4" w:space="0"/>
                    <w:right w:val="single" w:color="auto" w:sz="4" w:space="0"/>
                  </w:tcBorders>
                  <w:vAlign w:val="center"/>
                </w:tcPr>
                <w:p w14:paraId="4092F99D">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+270</w:t>
                  </w:r>
                </w:p>
              </w:tc>
            </w:tr>
            <w:tr w14:paraId="5B01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vMerge w:val="continue"/>
                  <w:tcBorders>
                    <w:left w:val="single" w:color="auto" w:sz="4" w:space="0"/>
                    <w:right w:val="single" w:color="auto" w:sz="4" w:space="0"/>
                  </w:tcBorders>
                  <w:vAlign w:val="center"/>
                </w:tcPr>
                <w:p w14:paraId="73FE064C">
                  <w:pPr>
                    <w:jc w:val="center"/>
                    <w:rPr>
                      <w:color w:val="auto"/>
                      <w:sz w:val="22"/>
                      <w:szCs w:val="22"/>
                    </w:rPr>
                  </w:pPr>
                </w:p>
              </w:tc>
              <w:tc>
                <w:tcPr>
                  <w:tcW w:w="1583" w:type="dxa"/>
                  <w:tcBorders>
                    <w:top w:val="single" w:color="auto" w:sz="4" w:space="0"/>
                    <w:left w:val="single" w:color="auto" w:sz="4" w:space="0"/>
                    <w:bottom w:val="single" w:color="auto" w:sz="4" w:space="0"/>
                    <w:right w:val="single" w:color="auto" w:sz="4" w:space="0"/>
                  </w:tcBorders>
                  <w:vAlign w:val="center"/>
                </w:tcPr>
                <w:p w14:paraId="1D800CBC">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生活垃圾</w:t>
                  </w:r>
                </w:p>
              </w:tc>
              <w:tc>
                <w:tcPr>
                  <w:tcW w:w="1311" w:type="dxa"/>
                  <w:tcBorders>
                    <w:top w:val="single" w:color="auto" w:sz="4" w:space="0"/>
                    <w:left w:val="single" w:color="auto" w:sz="4" w:space="0"/>
                    <w:bottom w:val="single" w:color="auto" w:sz="4" w:space="0"/>
                    <w:right w:val="single" w:color="auto" w:sz="4" w:space="0"/>
                  </w:tcBorders>
                  <w:vAlign w:val="center"/>
                </w:tcPr>
                <w:p w14:paraId="3FD805A2">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27.75</w:t>
                  </w:r>
                </w:p>
              </w:tc>
              <w:tc>
                <w:tcPr>
                  <w:tcW w:w="1196" w:type="dxa"/>
                  <w:tcBorders>
                    <w:top w:val="single" w:color="auto" w:sz="4" w:space="0"/>
                    <w:left w:val="single" w:color="auto" w:sz="4" w:space="0"/>
                    <w:bottom w:val="single" w:color="auto" w:sz="4" w:space="0"/>
                    <w:right w:val="single" w:color="auto" w:sz="4" w:space="0"/>
                  </w:tcBorders>
                  <w:vAlign w:val="center"/>
                </w:tcPr>
                <w:p w14:paraId="01A28EA0">
                  <w:pPr>
                    <w:keepNext w:val="0"/>
                    <w:keepLines w:val="0"/>
                    <w:widowControl/>
                    <w:suppressLineNumbers w:val="0"/>
                    <w:jc w:val="center"/>
                    <w:textAlignment w:val="center"/>
                    <w:rPr>
                      <w:rFonts w:hint="default" w:eastAsia="宋体"/>
                      <w:color w:val="auto"/>
                      <w:sz w:val="22"/>
                      <w:szCs w:val="22"/>
                      <w:lang w:val="en-US" w:eastAsia="zh-CN"/>
                    </w:rPr>
                  </w:pPr>
                  <w:r>
                    <w:rPr>
                      <w:rFonts w:hint="default" w:ascii="Times New Roman" w:hAnsi="Times New Roman" w:eastAsia="宋体" w:cs="Times New Roman"/>
                      <w:i w:val="0"/>
                      <w:iCs w:val="0"/>
                      <w:color w:val="auto"/>
                      <w:kern w:val="0"/>
                      <w:sz w:val="22"/>
                      <w:szCs w:val="22"/>
                      <w:u w:val="none"/>
                      <w:lang w:val="en-US" w:eastAsia="zh-CN" w:bidi="ar"/>
                    </w:rPr>
                    <w:t>10.5</w:t>
                  </w:r>
                </w:p>
              </w:tc>
              <w:tc>
                <w:tcPr>
                  <w:tcW w:w="1075" w:type="dxa"/>
                  <w:tcBorders>
                    <w:top w:val="single" w:color="auto" w:sz="4" w:space="0"/>
                    <w:left w:val="single" w:color="auto" w:sz="4" w:space="0"/>
                    <w:bottom w:val="single" w:color="auto" w:sz="4" w:space="0"/>
                    <w:right w:val="single" w:color="auto" w:sz="4" w:space="0"/>
                  </w:tcBorders>
                  <w:vAlign w:val="center"/>
                </w:tcPr>
                <w:p w14:paraId="559ECAB4">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735A2CFB">
                  <w:pPr>
                    <w:keepNext w:val="0"/>
                    <w:keepLines w:val="0"/>
                    <w:widowControl/>
                    <w:suppressLineNumbers w:val="0"/>
                    <w:jc w:val="center"/>
                    <w:textAlignment w:val="center"/>
                    <w:rPr>
                      <w:rFonts w:hint="eastAsia"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38.25</w:t>
                  </w:r>
                </w:p>
              </w:tc>
              <w:tc>
                <w:tcPr>
                  <w:tcW w:w="1302" w:type="dxa"/>
                  <w:tcBorders>
                    <w:top w:val="single" w:color="auto" w:sz="4" w:space="0"/>
                    <w:left w:val="single" w:color="auto" w:sz="4" w:space="0"/>
                    <w:bottom w:val="single" w:color="auto" w:sz="4" w:space="0"/>
                    <w:right w:val="single" w:color="auto" w:sz="4" w:space="0"/>
                  </w:tcBorders>
                  <w:vAlign w:val="center"/>
                </w:tcPr>
                <w:p w14:paraId="4C981342">
                  <w:pPr>
                    <w:keepNext w:val="0"/>
                    <w:keepLines w:val="0"/>
                    <w:widowControl/>
                    <w:suppressLineNumbers w:val="0"/>
                    <w:jc w:val="center"/>
                    <w:textAlignment w:val="center"/>
                    <w:rPr>
                      <w:rFonts w:hint="eastAsia"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10.5</w:t>
                  </w:r>
                </w:p>
              </w:tc>
            </w:tr>
            <w:tr w14:paraId="18D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9" w:type="dxa"/>
                  <w:vMerge w:val="continue"/>
                  <w:tcBorders>
                    <w:left w:val="single" w:color="auto" w:sz="4" w:space="0"/>
                    <w:bottom w:val="single" w:color="auto" w:sz="4" w:space="0"/>
                    <w:right w:val="single" w:color="auto" w:sz="4" w:space="0"/>
                  </w:tcBorders>
                  <w:vAlign w:val="center"/>
                </w:tcPr>
                <w:p w14:paraId="593B061F">
                  <w:pPr>
                    <w:jc w:val="center"/>
                    <w:rPr>
                      <w:color w:val="auto"/>
                      <w:sz w:val="22"/>
                      <w:szCs w:val="22"/>
                    </w:rPr>
                  </w:pPr>
                </w:p>
              </w:tc>
              <w:tc>
                <w:tcPr>
                  <w:tcW w:w="1583" w:type="dxa"/>
                  <w:tcBorders>
                    <w:top w:val="single" w:color="auto" w:sz="4" w:space="0"/>
                    <w:left w:val="single" w:color="auto" w:sz="4" w:space="0"/>
                    <w:bottom w:val="single" w:color="auto" w:sz="4" w:space="0"/>
                    <w:right w:val="single" w:color="auto" w:sz="4" w:space="0"/>
                  </w:tcBorders>
                  <w:vAlign w:val="center"/>
                </w:tcPr>
                <w:p w14:paraId="309CD23F">
                  <w:pPr>
                    <w:keepNext w:val="0"/>
                    <w:keepLines w:val="0"/>
                    <w:widowControl/>
                    <w:suppressLineNumbers w:val="0"/>
                    <w:jc w:val="center"/>
                    <w:textAlignment w:val="center"/>
                    <w:rPr>
                      <w:color w:val="auto"/>
                      <w:sz w:val="22"/>
                      <w:szCs w:val="22"/>
                    </w:rPr>
                  </w:pPr>
                  <w:r>
                    <w:rPr>
                      <w:rFonts w:hint="eastAsia" w:ascii="宋体" w:hAnsi="宋体" w:eastAsia="宋体" w:cs="宋体"/>
                      <w:i w:val="0"/>
                      <w:iCs w:val="0"/>
                      <w:color w:val="auto"/>
                      <w:kern w:val="0"/>
                      <w:sz w:val="22"/>
                      <w:szCs w:val="22"/>
                      <w:u w:val="none"/>
                      <w:lang w:val="en-US" w:eastAsia="zh-CN" w:bidi="ar"/>
                    </w:rPr>
                    <w:t>餐厨垃圾</w:t>
                  </w:r>
                </w:p>
              </w:tc>
              <w:tc>
                <w:tcPr>
                  <w:tcW w:w="1311" w:type="dxa"/>
                  <w:tcBorders>
                    <w:top w:val="single" w:color="auto" w:sz="4" w:space="0"/>
                    <w:left w:val="single" w:color="auto" w:sz="4" w:space="0"/>
                    <w:bottom w:val="single" w:color="auto" w:sz="4" w:space="0"/>
                    <w:right w:val="single" w:color="auto" w:sz="4" w:space="0"/>
                  </w:tcBorders>
                  <w:vAlign w:val="center"/>
                </w:tcPr>
                <w:p w14:paraId="44F82735">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23.625</w:t>
                  </w:r>
                </w:p>
              </w:tc>
              <w:tc>
                <w:tcPr>
                  <w:tcW w:w="1196" w:type="dxa"/>
                  <w:tcBorders>
                    <w:top w:val="single" w:color="auto" w:sz="4" w:space="0"/>
                    <w:left w:val="single" w:color="auto" w:sz="4" w:space="0"/>
                    <w:bottom w:val="single" w:color="auto" w:sz="4" w:space="0"/>
                    <w:right w:val="single" w:color="auto" w:sz="4" w:space="0"/>
                  </w:tcBorders>
                  <w:vAlign w:val="center"/>
                </w:tcPr>
                <w:p w14:paraId="6D020A91">
                  <w:pPr>
                    <w:keepNext w:val="0"/>
                    <w:keepLines w:val="0"/>
                    <w:widowControl/>
                    <w:suppressLineNumbers w:val="0"/>
                    <w:jc w:val="center"/>
                    <w:textAlignment w:val="center"/>
                    <w:rPr>
                      <w:rFonts w:hint="default" w:eastAsia="宋体"/>
                      <w:color w:val="auto"/>
                      <w:sz w:val="22"/>
                      <w:szCs w:val="22"/>
                      <w:lang w:val="en-US" w:eastAsia="zh-CN"/>
                    </w:rPr>
                  </w:pPr>
                  <w:r>
                    <w:rPr>
                      <w:rFonts w:hint="default" w:ascii="Times New Roman" w:hAnsi="Times New Roman" w:eastAsia="宋体" w:cs="Times New Roman"/>
                      <w:i w:val="0"/>
                      <w:iCs w:val="0"/>
                      <w:color w:val="auto"/>
                      <w:kern w:val="0"/>
                      <w:sz w:val="22"/>
                      <w:szCs w:val="22"/>
                      <w:u w:val="none"/>
                      <w:lang w:val="en-US" w:eastAsia="zh-CN" w:bidi="ar"/>
                    </w:rPr>
                    <w:t>5.25</w:t>
                  </w:r>
                </w:p>
              </w:tc>
              <w:tc>
                <w:tcPr>
                  <w:tcW w:w="1075" w:type="dxa"/>
                  <w:tcBorders>
                    <w:top w:val="single" w:color="auto" w:sz="4" w:space="0"/>
                    <w:left w:val="single" w:color="auto" w:sz="4" w:space="0"/>
                    <w:bottom w:val="single" w:color="auto" w:sz="4" w:space="0"/>
                    <w:right w:val="single" w:color="auto" w:sz="4" w:space="0"/>
                  </w:tcBorders>
                  <w:vAlign w:val="center"/>
                </w:tcPr>
                <w:p w14:paraId="7FFF5FDA">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iCs w:val="0"/>
                      <w:color w:val="auto"/>
                      <w:kern w:val="0"/>
                      <w:sz w:val="22"/>
                      <w:szCs w:val="22"/>
                      <w:u w:val="none"/>
                      <w:lang w:val="en-US" w:eastAsia="zh-CN" w:bidi="ar"/>
                    </w:rPr>
                    <w:t>0</w:t>
                  </w:r>
                </w:p>
              </w:tc>
              <w:tc>
                <w:tcPr>
                  <w:tcW w:w="1210" w:type="dxa"/>
                  <w:tcBorders>
                    <w:top w:val="single" w:color="auto" w:sz="4" w:space="0"/>
                    <w:left w:val="single" w:color="auto" w:sz="4" w:space="0"/>
                    <w:bottom w:val="single" w:color="auto" w:sz="4" w:space="0"/>
                    <w:right w:val="single" w:color="auto" w:sz="4" w:space="0"/>
                  </w:tcBorders>
                  <w:vAlign w:val="center"/>
                </w:tcPr>
                <w:p w14:paraId="2D40460F">
                  <w:pPr>
                    <w:keepNext w:val="0"/>
                    <w:keepLines w:val="0"/>
                    <w:widowControl/>
                    <w:suppressLineNumbers w:val="0"/>
                    <w:jc w:val="center"/>
                    <w:textAlignment w:val="center"/>
                    <w:rPr>
                      <w:rFonts w:hint="eastAsia"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28.875</w:t>
                  </w:r>
                </w:p>
              </w:tc>
              <w:tc>
                <w:tcPr>
                  <w:tcW w:w="1302" w:type="dxa"/>
                  <w:tcBorders>
                    <w:top w:val="single" w:color="auto" w:sz="4" w:space="0"/>
                    <w:left w:val="single" w:color="auto" w:sz="4" w:space="0"/>
                    <w:bottom w:val="single" w:color="auto" w:sz="4" w:space="0"/>
                    <w:right w:val="single" w:color="auto" w:sz="4" w:space="0"/>
                  </w:tcBorders>
                  <w:vAlign w:val="center"/>
                </w:tcPr>
                <w:p w14:paraId="60128921">
                  <w:pPr>
                    <w:keepNext w:val="0"/>
                    <w:keepLines w:val="0"/>
                    <w:widowControl/>
                    <w:suppressLineNumbers w:val="0"/>
                    <w:jc w:val="center"/>
                    <w:textAlignment w:val="center"/>
                    <w:rPr>
                      <w:rFonts w:hint="eastAsia"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5.25</w:t>
                  </w:r>
                </w:p>
              </w:tc>
            </w:tr>
          </w:tbl>
          <w:p w14:paraId="589971C0">
            <w:pPr>
              <w:adjustRightInd w:val="0"/>
              <w:snapToGrid w:val="0"/>
              <w:spacing w:line="460" w:lineRule="exact"/>
              <w:rPr>
                <w:color w:val="auto"/>
                <w:sz w:val="26"/>
                <w:szCs w:val="26"/>
              </w:rPr>
            </w:pPr>
          </w:p>
        </w:tc>
      </w:tr>
      <w:tr w14:paraId="6EC2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Pr>
          <w:p w14:paraId="59AC928F">
            <w:pPr>
              <w:adjustRightInd w:val="0"/>
              <w:snapToGrid w:val="0"/>
              <w:spacing w:line="360" w:lineRule="auto"/>
              <w:rPr>
                <w:rFonts w:ascii="宋体" w:cs="宋体"/>
                <w:b/>
                <w:kern w:val="0"/>
                <w:sz w:val="28"/>
                <w:szCs w:val="28"/>
              </w:rPr>
            </w:pPr>
          </w:p>
        </w:tc>
        <w:tc>
          <w:tcPr>
            <w:tcW w:w="8592" w:type="dxa"/>
          </w:tcPr>
          <w:p w14:paraId="1755D75C">
            <w:pPr>
              <w:adjustRightInd w:val="0"/>
              <w:snapToGrid w:val="0"/>
              <w:spacing w:line="460" w:lineRule="exact"/>
              <w:rPr>
                <w:sz w:val="26"/>
                <w:szCs w:val="26"/>
              </w:rPr>
            </w:pPr>
          </w:p>
        </w:tc>
      </w:tr>
    </w:tbl>
    <w:p w14:paraId="143C4A8D">
      <w:pPr>
        <w:adjustRightInd w:val="0"/>
        <w:snapToGrid w:val="0"/>
        <w:spacing w:line="360" w:lineRule="auto"/>
        <w:rPr>
          <w:rFonts w:ascii="宋体" w:cs="宋体"/>
          <w:b/>
          <w:kern w:val="0"/>
          <w:sz w:val="28"/>
          <w:szCs w:val="28"/>
        </w:rPr>
      </w:pPr>
    </w:p>
    <w:p w14:paraId="488D2B48">
      <w:pPr>
        <w:adjustRightInd w:val="0"/>
        <w:snapToGrid w:val="0"/>
        <w:spacing w:line="360" w:lineRule="auto"/>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F4D20F1">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7" w:name="_Hlk54167917"/>
      <w:r>
        <w:rPr>
          <w:rFonts w:hint="eastAsia" w:ascii="黑体" w:hAnsi="黑体" w:eastAsia="黑体"/>
          <w:snapToGrid w:val="0"/>
          <w:sz w:val="30"/>
          <w:szCs w:val="30"/>
        </w:rPr>
        <w:t>环境保护措施监督检查清单</w:t>
      </w:r>
      <w:bookmarkEnd w:id="7"/>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559"/>
        <w:gridCol w:w="1134"/>
        <w:gridCol w:w="2126"/>
        <w:gridCol w:w="2585"/>
      </w:tblGrid>
      <w:tr w14:paraId="3E486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tcBorders>
              <w:tl2br w:val="single" w:color="auto" w:sz="4" w:space="0"/>
            </w:tcBorders>
          </w:tcPr>
          <w:p w14:paraId="7681C042">
            <w:pPr>
              <w:pStyle w:val="41"/>
              <w:spacing w:line="320" w:lineRule="exact"/>
              <w:rPr>
                <w:sz w:val="22"/>
                <w:szCs w:val="22"/>
              </w:rPr>
            </w:pPr>
            <w:r>
              <w:rPr>
                <w:rFonts w:hint="eastAsia"/>
                <w:sz w:val="22"/>
                <w:szCs w:val="22"/>
              </w:rPr>
              <w:t>内容</w:t>
            </w:r>
          </w:p>
          <w:p w14:paraId="748AE077">
            <w:pPr>
              <w:pStyle w:val="41"/>
              <w:spacing w:line="320" w:lineRule="exact"/>
              <w:jc w:val="both"/>
              <w:rPr>
                <w:sz w:val="22"/>
                <w:szCs w:val="22"/>
              </w:rPr>
            </w:pPr>
            <w:r>
              <w:rPr>
                <w:rFonts w:hint="eastAsia"/>
                <w:sz w:val="22"/>
                <w:szCs w:val="22"/>
              </w:rPr>
              <w:t>要素</w:t>
            </w:r>
          </w:p>
        </w:tc>
        <w:tc>
          <w:tcPr>
            <w:tcW w:w="1559" w:type="dxa"/>
            <w:vAlign w:val="center"/>
          </w:tcPr>
          <w:p w14:paraId="15E48600">
            <w:pPr>
              <w:pStyle w:val="41"/>
              <w:spacing w:line="320" w:lineRule="exact"/>
              <w:rPr>
                <w:sz w:val="22"/>
                <w:szCs w:val="22"/>
              </w:rPr>
            </w:pPr>
            <w:r>
              <w:rPr>
                <w:rFonts w:hint="eastAsia"/>
                <w:sz w:val="22"/>
                <w:szCs w:val="22"/>
              </w:rPr>
              <w:t>排放口(编号、</w:t>
            </w:r>
          </w:p>
          <w:p w14:paraId="704388BA">
            <w:pPr>
              <w:pStyle w:val="41"/>
              <w:spacing w:line="320" w:lineRule="exact"/>
              <w:rPr>
                <w:sz w:val="22"/>
                <w:szCs w:val="22"/>
              </w:rPr>
            </w:pPr>
            <w:r>
              <w:rPr>
                <w:rFonts w:hint="eastAsia"/>
                <w:sz w:val="22"/>
                <w:szCs w:val="22"/>
              </w:rPr>
              <w:t>名称)/污染源</w:t>
            </w:r>
          </w:p>
        </w:tc>
        <w:tc>
          <w:tcPr>
            <w:tcW w:w="1134" w:type="dxa"/>
            <w:vAlign w:val="center"/>
          </w:tcPr>
          <w:p w14:paraId="7B3B8A3B">
            <w:pPr>
              <w:pStyle w:val="41"/>
              <w:spacing w:line="320" w:lineRule="exact"/>
              <w:rPr>
                <w:sz w:val="22"/>
                <w:szCs w:val="22"/>
              </w:rPr>
            </w:pPr>
            <w:r>
              <w:rPr>
                <w:rFonts w:hint="eastAsia"/>
                <w:sz w:val="22"/>
                <w:szCs w:val="22"/>
              </w:rPr>
              <w:t>污染物项目</w:t>
            </w:r>
          </w:p>
        </w:tc>
        <w:tc>
          <w:tcPr>
            <w:tcW w:w="2126" w:type="dxa"/>
            <w:vAlign w:val="center"/>
          </w:tcPr>
          <w:p w14:paraId="686895D6">
            <w:pPr>
              <w:pStyle w:val="41"/>
              <w:spacing w:line="320" w:lineRule="exact"/>
              <w:rPr>
                <w:sz w:val="22"/>
                <w:szCs w:val="22"/>
              </w:rPr>
            </w:pPr>
            <w:r>
              <w:rPr>
                <w:rFonts w:hint="eastAsia"/>
                <w:sz w:val="22"/>
                <w:szCs w:val="22"/>
              </w:rPr>
              <w:t>环境保护措施</w:t>
            </w:r>
          </w:p>
        </w:tc>
        <w:tc>
          <w:tcPr>
            <w:tcW w:w="2585" w:type="dxa"/>
            <w:vAlign w:val="center"/>
          </w:tcPr>
          <w:p w14:paraId="7629E2C4">
            <w:pPr>
              <w:pStyle w:val="41"/>
              <w:spacing w:line="320" w:lineRule="exact"/>
              <w:rPr>
                <w:sz w:val="22"/>
                <w:szCs w:val="22"/>
              </w:rPr>
            </w:pPr>
            <w:r>
              <w:rPr>
                <w:rFonts w:hint="eastAsia"/>
                <w:sz w:val="22"/>
                <w:szCs w:val="22"/>
              </w:rPr>
              <w:t>执行标准</w:t>
            </w:r>
          </w:p>
        </w:tc>
      </w:tr>
      <w:tr w14:paraId="2B0F29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96" w:type="dxa"/>
            <w:vMerge w:val="restart"/>
            <w:vAlign w:val="center"/>
          </w:tcPr>
          <w:p w14:paraId="7B7F4EA2">
            <w:pPr>
              <w:pStyle w:val="41"/>
              <w:spacing w:line="320" w:lineRule="exact"/>
              <w:rPr>
                <w:sz w:val="22"/>
                <w:szCs w:val="22"/>
              </w:rPr>
            </w:pPr>
            <w:r>
              <w:rPr>
                <w:rFonts w:hint="eastAsia"/>
                <w:sz w:val="22"/>
                <w:szCs w:val="22"/>
              </w:rPr>
              <w:t>大气环境</w:t>
            </w:r>
          </w:p>
        </w:tc>
        <w:tc>
          <w:tcPr>
            <w:tcW w:w="1559" w:type="dxa"/>
            <w:vAlign w:val="center"/>
          </w:tcPr>
          <w:p w14:paraId="5036BD59">
            <w:pPr>
              <w:pStyle w:val="41"/>
              <w:spacing w:line="320" w:lineRule="exact"/>
              <w:rPr>
                <w:sz w:val="22"/>
                <w:szCs w:val="22"/>
              </w:rPr>
            </w:pPr>
            <w:r>
              <w:rPr>
                <w:rFonts w:hint="eastAsia"/>
                <w:sz w:val="22"/>
                <w:szCs w:val="22"/>
              </w:rPr>
              <w:t>打标机</w:t>
            </w:r>
          </w:p>
        </w:tc>
        <w:tc>
          <w:tcPr>
            <w:tcW w:w="1134" w:type="dxa"/>
            <w:vAlign w:val="center"/>
          </w:tcPr>
          <w:p w14:paraId="5B981AFC">
            <w:pPr>
              <w:pStyle w:val="41"/>
              <w:spacing w:line="320" w:lineRule="exact"/>
              <w:rPr>
                <w:sz w:val="22"/>
                <w:szCs w:val="22"/>
              </w:rPr>
            </w:pPr>
            <w:r>
              <w:rPr>
                <w:rFonts w:hint="eastAsia"/>
                <w:sz w:val="22"/>
                <w:szCs w:val="22"/>
              </w:rPr>
              <w:t>颗粒物</w:t>
            </w:r>
          </w:p>
        </w:tc>
        <w:tc>
          <w:tcPr>
            <w:tcW w:w="2126" w:type="dxa"/>
            <w:vAlign w:val="center"/>
          </w:tcPr>
          <w:p w14:paraId="667744F6">
            <w:pPr>
              <w:pStyle w:val="41"/>
              <w:spacing w:line="320" w:lineRule="exact"/>
              <w:rPr>
                <w:sz w:val="22"/>
                <w:szCs w:val="22"/>
              </w:rPr>
            </w:pPr>
            <w:r>
              <w:rPr>
                <w:sz w:val="22"/>
                <w:szCs w:val="22"/>
              </w:rPr>
              <w:t>颗粒物经</w:t>
            </w:r>
            <w:r>
              <w:rPr>
                <w:rFonts w:hint="eastAsia"/>
                <w:sz w:val="22"/>
                <w:szCs w:val="22"/>
                <w:lang w:val="en-US" w:eastAsia="zh-CN"/>
              </w:rPr>
              <w:t>干式</w:t>
            </w:r>
            <w:r>
              <w:rPr>
                <w:sz w:val="22"/>
                <w:szCs w:val="22"/>
              </w:rPr>
              <w:t>过滤器处理后无组织形式排放</w:t>
            </w:r>
          </w:p>
        </w:tc>
        <w:tc>
          <w:tcPr>
            <w:tcW w:w="2585" w:type="dxa"/>
            <w:tcBorders>
              <w:bottom w:val="single" w:color="auto" w:sz="4" w:space="0"/>
            </w:tcBorders>
            <w:vAlign w:val="center"/>
          </w:tcPr>
          <w:p w14:paraId="39527707">
            <w:pPr>
              <w:pStyle w:val="41"/>
              <w:spacing w:line="320" w:lineRule="exact"/>
              <w:rPr>
                <w:sz w:val="22"/>
                <w:szCs w:val="22"/>
              </w:rPr>
            </w:pPr>
            <w:r>
              <w:rPr>
                <w:sz w:val="22"/>
                <w:szCs w:val="22"/>
              </w:rPr>
              <w:t>《大气污染物综合排放标准》(DB50/418-2016)颗粒物无组织排放浓度≤1.0mg/m</w:t>
            </w:r>
            <w:r>
              <w:rPr>
                <w:sz w:val="22"/>
                <w:szCs w:val="22"/>
                <w:vertAlign w:val="superscript"/>
              </w:rPr>
              <w:t>3</w:t>
            </w:r>
          </w:p>
        </w:tc>
      </w:tr>
      <w:tr w14:paraId="7207B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96" w:type="dxa"/>
            <w:vMerge w:val="continue"/>
            <w:vAlign w:val="center"/>
          </w:tcPr>
          <w:p w14:paraId="190E0EA8">
            <w:pPr>
              <w:pStyle w:val="41"/>
              <w:spacing w:line="320" w:lineRule="exact"/>
              <w:rPr>
                <w:rFonts w:hint="eastAsia"/>
                <w:sz w:val="22"/>
                <w:szCs w:val="22"/>
              </w:rPr>
            </w:pPr>
          </w:p>
        </w:tc>
        <w:tc>
          <w:tcPr>
            <w:tcW w:w="1559" w:type="dxa"/>
            <w:vAlign w:val="center"/>
          </w:tcPr>
          <w:p w14:paraId="578C9927">
            <w:pPr>
              <w:pStyle w:val="41"/>
              <w:spacing w:line="320" w:lineRule="exact"/>
              <w:rPr>
                <w:rFonts w:hint="default" w:eastAsia="宋体"/>
                <w:sz w:val="22"/>
                <w:szCs w:val="22"/>
                <w:lang w:val="en-US" w:eastAsia="zh-CN"/>
              </w:rPr>
            </w:pPr>
            <w:r>
              <w:rPr>
                <w:rFonts w:hint="eastAsia"/>
                <w:sz w:val="22"/>
                <w:szCs w:val="22"/>
                <w:lang w:val="en-US" w:eastAsia="zh-CN"/>
              </w:rPr>
              <w:t>螺纹胶挥发废气</w:t>
            </w:r>
          </w:p>
        </w:tc>
        <w:tc>
          <w:tcPr>
            <w:tcW w:w="1134" w:type="dxa"/>
            <w:vAlign w:val="center"/>
          </w:tcPr>
          <w:p w14:paraId="77826748">
            <w:pPr>
              <w:pStyle w:val="41"/>
              <w:spacing w:line="320" w:lineRule="exact"/>
              <w:rPr>
                <w:rFonts w:hint="eastAsia" w:eastAsia="宋体"/>
                <w:sz w:val="22"/>
                <w:szCs w:val="22"/>
                <w:lang w:val="en-US" w:eastAsia="zh-CN"/>
              </w:rPr>
            </w:pPr>
            <w:r>
              <w:rPr>
                <w:rFonts w:hint="eastAsia"/>
                <w:sz w:val="22"/>
                <w:szCs w:val="22"/>
                <w:lang w:val="en-US" w:eastAsia="zh-CN"/>
              </w:rPr>
              <w:t>非甲烷总烃</w:t>
            </w:r>
          </w:p>
        </w:tc>
        <w:tc>
          <w:tcPr>
            <w:tcW w:w="2126" w:type="dxa"/>
            <w:vAlign w:val="center"/>
          </w:tcPr>
          <w:p w14:paraId="15B80C97">
            <w:pPr>
              <w:pStyle w:val="41"/>
              <w:spacing w:line="320" w:lineRule="exact"/>
              <w:rPr>
                <w:rFonts w:hint="default" w:eastAsia="宋体"/>
                <w:sz w:val="22"/>
                <w:szCs w:val="22"/>
                <w:lang w:val="en-US" w:eastAsia="zh-CN"/>
              </w:rPr>
            </w:pPr>
            <w:r>
              <w:rPr>
                <w:rFonts w:hint="eastAsia"/>
                <w:sz w:val="22"/>
                <w:szCs w:val="22"/>
                <w:lang w:val="en-US" w:eastAsia="zh-CN"/>
              </w:rPr>
              <w:t>车间无组织排放</w:t>
            </w:r>
          </w:p>
        </w:tc>
        <w:tc>
          <w:tcPr>
            <w:tcW w:w="2585" w:type="dxa"/>
            <w:tcBorders>
              <w:bottom w:val="single" w:color="auto" w:sz="4" w:space="0"/>
            </w:tcBorders>
            <w:vAlign w:val="center"/>
          </w:tcPr>
          <w:p w14:paraId="3B1753C8">
            <w:pPr>
              <w:pStyle w:val="41"/>
              <w:spacing w:line="320" w:lineRule="exact"/>
              <w:rPr>
                <w:sz w:val="22"/>
                <w:szCs w:val="22"/>
              </w:rPr>
            </w:pPr>
            <w:r>
              <w:rPr>
                <w:sz w:val="22"/>
                <w:szCs w:val="22"/>
              </w:rPr>
              <w:t>《大气污染物综合排放标准》(DB50/418-2016)</w:t>
            </w:r>
            <w:r>
              <w:rPr>
                <w:rFonts w:hint="eastAsia"/>
                <w:sz w:val="22"/>
                <w:szCs w:val="22"/>
                <w:lang w:val="en-US" w:eastAsia="zh-CN"/>
              </w:rPr>
              <w:t>非甲烷总烃</w:t>
            </w:r>
            <w:r>
              <w:rPr>
                <w:sz w:val="22"/>
                <w:szCs w:val="22"/>
              </w:rPr>
              <w:t>无组织排放浓度≤</w:t>
            </w:r>
            <w:r>
              <w:rPr>
                <w:rFonts w:hint="eastAsia"/>
                <w:sz w:val="22"/>
                <w:szCs w:val="22"/>
              </w:rPr>
              <w:t>4</w:t>
            </w:r>
            <w:r>
              <w:rPr>
                <w:sz w:val="22"/>
                <w:szCs w:val="22"/>
              </w:rPr>
              <w:t>.0mg/m</w:t>
            </w:r>
            <w:r>
              <w:rPr>
                <w:sz w:val="22"/>
                <w:szCs w:val="22"/>
                <w:vertAlign w:val="superscript"/>
              </w:rPr>
              <w:t>3</w:t>
            </w:r>
          </w:p>
        </w:tc>
      </w:tr>
      <w:tr w14:paraId="51223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96" w:type="dxa"/>
            <w:vMerge w:val="restart"/>
            <w:vAlign w:val="center"/>
          </w:tcPr>
          <w:p w14:paraId="521F48B3">
            <w:pPr>
              <w:pStyle w:val="41"/>
              <w:spacing w:line="320" w:lineRule="exact"/>
              <w:rPr>
                <w:sz w:val="22"/>
                <w:szCs w:val="22"/>
              </w:rPr>
            </w:pPr>
            <w:r>
              <w:rPr>
                <w:rFonts w:hint="eastAsia"/>
                <w:sz w:val="22"/>
                <w:szCs w:val="22"/>
              </w:rPr>
              <w:t>地表水环境</w:t>
            </w:r>
          </w:p>
        </w:tc>
        <w:tc>
          <w:tcPr>
            <w:tcW w:w="1559" w:type="dxa"/>
            <w:vAlign w:val="center"/>
          </w:tcPr>
          <w:p w14:paraId="4CCFEA58">
            <w:pPr>
              <w:pStyle w:val="41"/>
              <w:spacing w:line="320" w:lineRule="exact"/>
              <w:rPr>
                <w:sz w:val="22"/>
                <w:szCs w:val="22"/>
              </w:rPr>
            </w:pPr>
            <w:r>
              <w:rPr>
                <w:rFonts w:hint="eastAsia"/>
                <w:sz w:val="22"/>
                <w:szCs w:val="22"/>
              </w:rPr>
              <w:t>东地块</w:t>
            </w:r>
            <w:r>
              <w:rPr>
                <w:rFonts w:hint="eastAsia"/>
                <w:sz w:val="22"/>
                <w:szCs w:val="22"/>
                <w:lang w:eastAsia="zh-CN"/>
              </w:rPr>
              <w:t>化粪池</w:t>
            </w:r>
            <w:r>
              <w:rPr>
                <w:rFonts w:hint="eastAsia"/>
                <w:sz w:val="22"/>
                <w:szCs w:val="22"/>
              </w:rPr>
              <w:t>排放口（DW001）</w:t>
            </w:r>
          </w:p>
        </w:tc>
        <w:tc>
          <w:tcPr>
            <w:tcW w:w="1134" w:type="dxa"/>
            <w:vAlign w:val="center"/>
          </w:tcPr>
          <w:p w14:paraId="407C5A18">
            <w:pPr>
              <w:pStyle w:val="41"/>
              <w:spacing w:line="320" w:lineRule="exact"/>
              <w:rPr>
                <w:sz w:val="22"/>
                <w:szCs w:val="22"/>
              </w:rPr>
            </w:pPr>
            <w:r>
              <w:rPr>
                <w:rFonts w:hint="eastAsia"/>
                <w:sz w:val="22"/>
                <w:szCs w:val="22"/>
              </w:rPr>
              <w:t>COD、B</w:t>
            </w:r>
            <w:r>
              <w:rPr>
                <w:sz w:val="22"/>
                <w:szCs w:val="22"/>
              </w:rPr>
              <w:t>OD</w:t>
            </w:r>
            <w:r>
              <w:rPr>
                <w:sz w:val="22"/>
                <w:szCs w:val="22"/>
                <w:vertAlign w:val="subscript"/>
              </w:rPr>
              <w:t>5</w:t>
            </w:r>
            <w:r>
              <w:rPr>
                <w:rFonts w:hint="eastAsia"/>
                <w:sz w:val="22"/>
                <w:szCs w:val="22"/>
              </w:rPr>
              <w:t>、SS、氨氮、动植物油</w:t>
            </w:r>
          </w:p>
        </w:tc>
        <w:tc>
          <w:tcPr>
            <w:tcW w:w="2126" w:type="dxa"/>
            <w:vAlign w:val="center"/>
          </w:tcPr>
          <w:p w14:paraId="168823DD">
            <w:pPr>
              <w:pStyle w:val="41"/>
              <w:spacing w:line="320" w:lineRule="exact"/>
              <w:rPr>
                <w:sz w:val="22"/>
                <w:szCs w:val="22"/>
              </w:rPr>
            </w:pPr>
            <w:r>
              <w:rPr>
                <w:rFonts w:hint="eastAsia"/>
                <w:sz w:val="22"/>
                <w:szCs w:val="22"/>
              </w:rPr>
              <w:t>依托现有工程建设的隔油池1座、</w:t>
            </w:r>
            <w:r>
              <w:rPr>
                <w:rFonts w:hint="eastAsia"/>
                <w:sz w:val="22"/>
                <w:szCs w:val="22"/>
                <w:lang w:eastAsia="zh-CN"/>
              </w:rPr>
              <w:t>化粪池</w:t>
            </w:r>
            <w:r>
              <w:rPr>
                <w:rFonts w:hint="eastAsia"/>
                <w:sz w:val="22"/>
                <w:szCs w:val="22"/>
              </w:rPr>
              <w:t>1座（设计处理能力</w:t>
            </w:r>
            <w:r>
              <w:rPr>
                <w:rFonts w:hint="eastAsia"/>
                <w:sz w:val="22"/>
                <w:szCs w:val="22"/>
                <w:lang w:val="en-US" w:eastAsia="zh-CN"/>
              </w:rPr>
              <w:t>50</w:t>
            </w:r>
            <w:r>
              <w:rPr>
                <w:rFonts w:hint="eastAsia"/>
                <w:sz w:val="22"/>
                <w:szCs w:val="22"/>
              </w:rPr>
              <w:t>m</w:t>
            </w:r>
            <w:r>
              <w:rPr>
                <w:rFonts w:hint="eastAsia"/>
                <w:sz w:val="22"/>
                <w:szCs w:val="22"/>
                <w:vertAlign w:val="superscript"/>
              </w:rPr>
              <w:t>3</w:t>
            </w:r>
            <w:r>
              <w:rPr>
                <w:rFonts w:hint="eastAsia"/>
                <w:sz w:val="22"/>
                <w:szCs w:val="22"/>
              </w:rPr>
              <w:t>/d），食堂废水经隔油池处理后，同生活污水一起进入</w:t>
            </w:r>
            <w:r>
              <w:rPr>
                <w:rFonts w:hint="eastAsia"/>
                <w:sz w:val="22"/>
                <w:szCs w:val="22"/>
                <w:lang w:eastAsia="zh-CN"/>
              </w:rPr>
              <w:t>化粪池</w:t>
            </w:r>
            <w:r>
              <w:rPr>
                <w:rFonts w:hint="eastAsia"/>
                <w:sz w:val="22"/>
                <w:szCs w:val="22"/>
              </w:rPr>
              <w:t>进一步处理，处理后的污水经园区污水管网排入陶家工业污水处理厂进行进一步集中处理。</w:t>
            </w:r>
          </w:p>
        </w:tc>
        <w:tc>
          <w:tcPr>
            <w:tcW w:w="2585" w:type="dxa"/>
            <w:vAlign w:val="center"/>
          </w:tcPr>
          <w:p w14:paraId="2642FBBD">
            <w:pPr>
              <w:pStyle w:val="41"/>
              <w:spacing w:line="320" w:lineRule="exact"/>
              <w:rPr>
                <w:sz w:val="22"/>
                <w:szCs w:val="22"/>
              </w:rPr>
            </w:pPr>
            <w:r>
              <w:rPr>
                <w:rFonts w:hint="eastAsia"/>
                <w:sz w:val="22"/>
                <w:szCs w:val="22"/>
              </w:rPr>
              <w:t>《污水综合排放标准》（GB8978-1996）三级标准，氨氮执行</w:t>
            </w:r>
            <w:r>
              <w:rPr>
                <w:rFonts w:hint="eastAsia" w:cs="宋体"/>
                <w:kern w:val="0"/>
                <w:sz w:val="22"/>
                <w:szCs w:val="22"/>
              </w:rPr>
              <w:t>《污水排入城镇下水道水质标准》（</w:t>
            </w:r>
            <w:r>
              <w:rPr>
                <w:kern w:val="0"/>
                <w:sz w:val="22"/>
                <w:szCs w:val="22"/>
              </w:rPr>
              <w:t>GB/T31962-2015</w:t>
            </w:r>
            <w:r>
              <w:rPr>
                <w:rFonts w:hint="eastAsia" w:cs="宋体"/>
                <w:kern w:val="0"/>
                <w:sz w:val="22"/>
                <w:szCs w:val="22"/>
              </w:rPr>
              <w:t>）</w:t>
            </w:r>
          </w:p>
        </w:tc>
      </w:tr>
      <w:tr w14:paraId="32423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96" w:type="dxa"/>
            <w:vMerge w:val="continue"/>
            <w:vAlign w:val="center"/>
          </w:tcPr>
          <w:p w14:paraId="00256633">
            <w:pPr>
              <w:pStyle w:val="41"/>
              <w:spacing w:line="320" w:lineRule="exact"/>
              <w:rPr>
                <w:rFonts w:hint="eastAsia"/>
                <w:sz w:val="22"/>
                <w:szCs w:val="22"/>
              </w:rPr>
            </w:pPr>
          </w:p>
        </w:tc>
        <w:tc>
          <w:tcPr>
            <w:tcW w:w="1559" w:type="dxa"/>
            <w:vAlign w:val="center"/>
          </w:tcPr>
          <w:p w14:paraId="02E66442">
            <w:pPr>
              <w:pStyle w:val="41"/>
              <w:spacing w:line="320" w:lineRule="exact"/>
              <w:rPr>
                <w:rFonts w:hint="eastAsia"/>
                <w:sz w:val="22"/>
                <w:szCs w:val="22"/>
              </w:rPr>
            </w:pPr>
            <w:r>
              <w:rPr>
                <w:rFonts w:hint="eastAsia"/>
                <w:sz w:val="22"/>
                <w:szCs w:val="22"/>
                <w:lang w:val="en-US" w:eastAsia="zh-CN"/>
              </w:rPr>
              <w:t>西</w:t>
            </w:r>
            <w:r>
              <w:rPr>
                <w:rFonts w:hint="eastAsia"/>
                <w:sz w:val="22"/>
                <w:szCs w:val="22"/>
              </w:rPr>
              <w:t>地块</w:t>
            </w:r>
            <w:r>
              <w:rPr>
                <w:rFonts w:hint="eastAsia"/>
                <w:sz w:val="22"/>
                <w:szCs w:val="22"/>
                <w:lang w:eastAsia="zh-CN"/>
              </w:rPr>
              <w:t>化粪池</w:t>
            </w:r>
            <w:r>
              <w:rPr>
                <w:rFonts w:hint="eastAsia"/>
                <w:sz w:val="22"/>
                <w:szCs w:val="22"/>
              </w:rPr>
              <w:t>排放口（DW00</w:t>
            </w:r>
            <w:r>
              <w:rPr>
                <w:rFonts w:hint="eastAsia"/>
                <w:sz w:val="22"/>
                <w:szCs w:val="22"/>
                <w:lang w:val="en-US" w:eastAsia="zh-CN"/>
              </w:rPr>
              <w:t>2</w:t>
            </w:r>
            <w:r>
              <w:rPr>
                <w:rFonts w:hint="eastAsia"/>
                <w:sz w:val="22"/>
                <w:szCs w:val="22"/>
              </w:rPr>
              <w:t>）</w:t>
            </w:r>
          </w:p>
        </w:tc>
        <w:tc>
          <w:tcPr>
            <w:tcW w:w="1134" w:type="dxa"/>
            <w:vAlign w:val="center"/>
          </w:tcPr>
          <w:p w14:paraId="55F049FE">
            <w:pPr>
              <w:pStyle w:val="41"/>
              <w:spacing w:line="320" w:lineRule="exact"/>
              <w:rPr>
                <w:rFonts w:hint="eastAsia"/>
                <w:sz w:val="22"/>
                <w:szCs w:val="22"/>
              </w:rPr>
            </w:pPr>
            <w:r>
              <w:rPr>
                <w:rFonts w:hint="eastAsia"/>
                <w:sz w:val="22"/>
                <w:szCs w:val="22"/>
              </w:rPr>
              <w:t>COD、B</w:t>
            </w:r>
            <w:r>
              <w:rPr>
                <w:sz w:val="22"/>
                <w:szCs w:val="22"/>
              </w:rPr>
              <w:t>OD</w:t>
            </w:r>
            <w:r>
              <w:rPr>
                <w:sz w:val="22"/>
                <w:szCs w:val="22"/>
                <w:vertAlign w:val="subscript"/>
              </w:rPr>
              <w:t>5</w:t>
            </w:r>
            <w:r>
              <w:rPr>
                <w:rFonts w:hint="eastAsia"/>
                <w:sz w:val="22"/>
                <w:szCs w:val="22"/>
              </w:rPr>
              <w:t>、SS、氨氮、动植物油</w:t>
            </w:r>
          </w:p>
        </w:tc>
        <w:tc>
          <w:tcPr>
            <w:tcW w:w="2126" w:type="dxa"/>
            <w:vAlign w:val="center"/>
          </w:tcPr>
          <w:p w14:paraId="05E95C30">
            <w:pPr>
              <w:pStyle w:val="41"/>
              <w:spacing w:line="320" w:lineRule="exact"/>
              <w:rPr>
                <w:rFonts w:hint="eastAsia"/>
                <w:sz w:val="22"/>
                <w:szCs w:val="22"/>
              </w:rPr>
            </w:pPr>
            <w:r>
              <w:rPr>
                <w:rFonts w:hint="eastAsia"/>
                <w:sz w:val="22"/>
                <w:szCs w:val="22"/>
              </w:rPr>
              <w:t>依托现有工程建设的</w:t>
            </w:r>
            <w:r>
              <w:rPr>
                <w:rFonts w:hint="eastAsia"/>
                <w:sz w:val="22"/>
                <w:szCs w:val="22"/>
                <w:lang w:eastAsia="zh-CN"/>
              </w:rPr>
              <w:t>化粪池</w:t>
            </w:r>
            <w:r>
              <w:rPr>
                <w:rFonts w:hint="eastAsia"/>
                <w:sz w:val="22"/>
                <w:szCs w:val="22"/>
              </w:rPr>
              <w:t>1座（设计处理能力</w:t>
            </w:r>
            <w:r>
              <w:rPr>
                <w:rFonts w:hint="eastAsia"/>
                <w:sz w:val="22"/>
                <w:szCs w:val="22"/>
                <w:lang w:val="en-US" w:eastAsia="zh-CN"/>
              </w:rPr>
              <w:t>40</w:t>
            </w:r>
            <w:r>
              <w:rPr>
                <w:rFonts w:hint="eastAsia"/>
                <w:sz w:val="22"/>
                <w:szCs w:val="22"/>
              </w:rPr>
              <w:t>m</w:t>
            </w:r>
            <w:r>
              <w:rPr>
                <w:rFonts w:hint="eastAsia"/>
                <w:sz w:val="22"/>
                <w:szCs w:val="22"/>
                <w:vertAlign w:val="superscript"/>
              </w:rPr>
              <w:t>3</w:t>
            </w:r>
            <w:r>
              <w:rPr>
                <w:rFonts w:hint="eastAsia"/>
                <w:sz w:val="22"/>
                <w:szCs w:val="22"/>
              </w:rPr>
              <w:t>/d），生活污水进入</w:t>
            </w:r>
            <w:r>
              <w:rPr>
                <w:rFonts w:hint="eastAsia"/>
                <w:sz w:val="22"/>
                <w:szCs w:val="22"/>
                <w:lang w:eastAsia="zh-CN"/>
              </w:rPr>
              <w:t>化粪池</w:t>
            </w:r>
            <w:r>
              <w:rPr>
                <w:rFonts w:hint="eastAsia"/>
                <w:sz w:val="22"/>
                <w:szCs w:val="22"/>
              </w:rPr>
              <w:t>处理，处理后的污水经园区污水管网排入陶家工业污水处理厂进行进一步集中处理。</w:t>
            </w:r>
          </w:p>
        </w:tc>
        <w:tc>
          <w:tcPr>
            <w:tcW w:w="2585" w:type="dxa"/>
            <w:vAlign w:val="center"/>
          </w:tcPr>
          <w:p w14:paraId="7E5609C7">
            <w:pPr>
              <w:pStyle w:val="41"/>
              <w:spacing w:line="320" w:lineRule="exact"/>
              <w:rPr>
                <w:rFonts w:hint="eastAsia"/>
                <w:sz w:val="22"/>
                <w:szCs w:val="22"/>
              </w:rPr>
            </w:pPr>
            <w:r>
              <w:rPr>
                <w:rFonts w:hint="eastAsia"/>
                <w:sz w:val="22"/>
                <w:szCs w:val="22"/>
              </w:rPr>
              <w:t>《污水综合排放标准》（GB8978-1996）三级标准，氨氮执行</w:t>
            </w:r>
            <w:r>
              <w:rPr>
                <w:rFonts w:hint="eastAsia" w:cs="宋体"/>
                <w:kern w:val="0"/>
                <w:sz w:val="22"/>
                <w:szCs w:val="22"/>
              </w:rPr>
              <w:t>《污水排入城镇下水道水质标准》（</w:t>
            </w:r>
            <w:r>
              <w:rPr>
                <w:kern w:val="0"/>
                <w:sz w:val="22"/>
                <w:szCs w:val="22"/>
              </w:rPr>
              <w:t>GB/T31962-2015</w:t>
            </w:r>
            <w:r>
              <w:rPr>
                <w:rFonts w:hint="eastAsia" w:cs="宋体"/>
                <w:kern w:val="0"/>
                <w:sz w:val="22"/>
                <w:szCs w:val="22"/>
              </w:rPr>
              <w:t>）</w:t>
            </w:r>
          </w:p>
        </w:tc>
      </w:tr>
      <w:tr w14:paraId="22B8E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vAlign w:val="center"/>
          </w:tcPr>
          <w:p w14:paraId="14E44B7F">
            <w:pPr>
              <w:pStyle w:val="41"/>
              <w:spacing w:line="320" w:lineRule="exact"/>
              <w:rPr>
                <w:sz w:val="22"/>
                <w:szCs w:val="22"/>
              </w:rPr>
            </w:pPr>
            <w:r>
              <w:rPr>
                <w:rFonts w:hint="eastAsia"/>
                <w:sz w:val="22"/>
                <w:szCs w:val="22"/>
              </w:rPr>
              <w:t>声环境</w:t>
            </w:r>
          </w:p>
        </w:tc>
        <w:tc>
          <w:tcPr>
            <w:tcW w:w="1559" w:type="dxa"/>
            <w:vAlign w:val="center"/>
          </w:tcPr>
          <w:p w14:paraId="2728B343">
            <w:pPr>
              <w:pStyle w:val="41"/>
              <w:spacing w:line="320" w:lineRule="exact"/>
              <w:rPr>
                <w:sz w:val="22"/>
                <w:szCs w:val="22"/>
              </w:rPr>
            </w:pPr>
            <w:r>
              <w:rPr>
                <w:rFonts w:hint="eastAsia"/>
                <w:sz w:val="22"/>
                <w:szCs w:val="22"/>
              </w:rPr>
              <w:t>生产设备噪声</w:t>
            </w:r>
          </w:p>
        </w:tc>
        <w:tc>
          <w:tcPr>
            <w:tcW w:w="1134" w:type="dxa"/>
            <w:vAlign w:val="center"/>
          </w:tcPr>
          <w:p w14:paraId="5DDF59AF">
            <w:pPr>
              <w:pStyle w:val="41"/>
              <w:spacing w:line="320" w:lineRule="exact"/>
              <w:rPr>
                <w:sz w:val="22"/>
                <w:szCs w:val="22"/>
              </w:rPr>
            </w:pPr>
            <w:r>
              <w:rPr>
                <w:sz w:val="22"/>
                <w:szCs w:val="22"/>
              </w:rPr>
              <w:t>等效A声级</w:t>
            </w:r>
          </w:p>
        </w:tc>
        <w:tc>
          <w:tcPr>
            <w:tcW w:w="2126" w:type="dxa"/>
            <w:vAlign w:val="center"/>
          </w:tcPr>
          <w:p w14:paraId="3A06EB97">
            <w:pPr>
              <w:pStyle w:val="41"/>
              <w:spacing w:line="320" w:lineRule="exact"/>
              <w:rPr>
                <w:sz w:val="22"/>
                <w:szCs w:val="22"/>
              </w:rPr>
            </w:pPr>
            <w:r>
              <w:rPr>
                <w:rFonts w:hint="eastAsia"/>
                <w:sz w:val="22"/>
                <w:szCs w:val="22"/>
              </w:rPr>
              <w:t>选用低噪声设备，采取基础减震、建筑隔声等；</w:t>
            </w:r>
          </w:p>
        </w:tc>
        <w:tc>
          <w:tcPr>
            <w:tcW w:w="2585" w:type="dxa"/>
            <w:vAlign w:val="center"/>
          </w:tcPr>
          <w:p w14:paraId="1D9ADA3E">
            <w:pPr>
              <w:pStyle w:val="41"/>
              <w:spacing w:line="320" w:lineRule="exact"/>
              <w:rPr>
                <w:sz w:val="22"/>
                <w:szCs w:val="22"/>
              </w:rPr>
            </w:pPr>
            <w:r>
              <w:rPr>
                <w:rFonts w:hint="eastAsia"/>
                <w:sz w:val="22"/>
                <w:szCs w:val="22"/>
              </w:rPr>
              <w:t>《工业企业厂界环境噪声排放标准》(GB12348-2008)</w:t>
            </w:r>
            <w:r>
              <w:rPr>
                <w:sz w:val="22"/>
                <w:szCs w:val="22"/>
              </w:rPr>
              <w:t>3</w:t>
            </w:r>
            <w:r>
              <w:rPr>
                <w:rFonts w:hint="eastAsia"/>
                <w:sz w:val="22"/>
                <w:szCs w:val="22"/>
              </w:rPr>
              <w:t>类标准，昼间65dB，夜间55dB</w:t>
            </w:r>
          </w:p>
        </w:tc>
      </w:tr>
      <w:tr w14:paraId="1C7F5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vAlign w:val="center"/>
          </w:tcPr>
          <w:p w14:paraId="151C7F16">
            <w:pPr>
              <w:pStyle w:val="41"/>
              <w:spacing w:line="320" w:lineRule="exact"/>
              <w:rPr>
                <w:sz w:val="22"/>
                <w:szCs w:val="22"/>
              </w:rPr>
            </w:pPr>
            <w:r>
              <w:rPr>
                <w:rFonts w:hint="eastAsia"/>
                <w:sz w:val="22"/>
                <w:szCs w:val="22"/>
              </w:rPr>
              <w:t>电磁辐射</w:t>
            </w:r>
          </w:p>
        </w:tc>
        <w:tc>
          <w:tcPr>
            <w:tcW w:w="1559" w:type="dxa"/>
            <w:vAlign w:val="center"/>
          </w:tcPr>
          <w:p w14:paraId="2D556153">
            <w:pPr>
              <w:pStyle w:val="41"/>
              <w:spacing w:line="320" w:lineRule="exact"/>
              <w:rPr>
                <w:sz w:val="22"/>
                <w:szCs w:val="22"/>
              </w:rPr>
            </w:pPr>
            <w:r>
              <w:rPr>
                <w:rFonts w:hint="eastAsia"/>
                <w:sz w:val="22"/>
                <w:szCs w:val="22"/>
              </w:rPr>
              <w:t>/</w:t>
            </w:r>
          </w:p>
        </w:tc>
        <w:tc>
          <w:tcPr>
            <w:tcW w:w="1134" w:type="dxa"/>
            <w:vAlign w:val="center"/>
          </w:tcPr>
          <w:p w14:paraId="7F05DC70">
            <w:pPr>
              <w:pStyle w:val="41"/>
              <w:spacing w:line="320" w:lineRule="exact"/>
              <w:rPr>
                <w:sz w:val="22"/>
                <w:szCs w:val="22"/>
              </w:rPr>
            </w:pPr>
            <w:r>
              <w:rPr>
                <w:rFonts w:hint="eastAsia"/>
                <w:sz w:val="22"/>
                <w:szCs w:val="22"/>
              </w:rPr>
              <w:t>/</w:t>
            </w:r>
          </w:p>
        </w:tc>
        <w:tc>
          <w:tcPr>
            <w:tcW w:w="2126" w:type="dxa"/>
            <w:vAlign w:val="center"/>
          </w:tcPr>
          <w:p w14:paraId="780200FD">
            <w:pPr>
              <w:pStyle w:val="41"/>
              <w:spacing w:line="320" w:lineRule="exact"/>
              <w:rPr>
                <w:sz w:val="22"/>
                <w:szCs w:val="22"/>
              </w:rPr>
            </w:pPr>
            <w:r>
              <w:rPr>
                <w:rFonts w:hint="eastAsia"/>
                <w:sz w:val="22"/>
                <w:szCs w:val="22"/>
              </w:rPr>
              <w:t>/</w:t>
            </w:r>
          </w:p>
        </w:tc>
        <w:tc>
          <w:tcPr>
            <w:tcW w:w="2585" w:type="dxa"/>
            <w:vAlign w:val="center"/>
          </w:tcPr>
          <w:p w14:paraId="30DF2BF7">
            <w:pPr>
              <w:pStyle w:val="41"/>
              <w:spacing w:line="320" w:lineRule="exact"/>
              <w:rPr>
                <w:sz w:val="22"/>
                <w:szCs w:val="22"/>
              </w:rPr>
            </w:pPr>
            <w:r>
              <w:rPr>
                <w:rFonts w:hint="eastAsia"/>
                <w:sz w:val="22"/>
                <w:szCs w:val="22"/>
              </w:rPr>
              <w:t>/</w:t>
            </w:r>
          </w:p>
        </w:tc>
      </w:tr>
      <w:tr w14:paraId="0D122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396" w:type="dxa"/>
            <w:vAlign w:val="center"/>
          </w:tcPr>
          <w:p w14:paraId="6805B10A">
            <w:pPr>
              <w:pStyle w:val="41"/>
              <w:spacing w:line="320" w:lineRule="exact"/>
              <w:rPr>
                <w:sz w:val="22"/>
                <w:szCs w:val="22"/>
              </w:rPr>
            </w:pPr>
            <w:r>
              <w:rPr>
                <w:rFonts w:hint="eastAsia"/>
                <w:sz w:val="22"/>
                <w:szCs w:val="22"/>
              </w:rPr>
              <w:t>固体废物</w:t>
            </w:r>
          </w:p>
        </w:tc>
        <w:tc>
          <w:tcPr>
            <w:tcW w:w="7404" w:type="dxa"/>
            <w:gridSpan w:val="4"/>
            <w:vAlign w:val="center"/>
          </w:tcPr>
          <w:p w14:paraId="3E2E90BB">
            <w:pPr>
              <w:pStyle w:val="82"/>
              <w:spacing w:line="320" w:lineRule="exact"/>
              <w:ind w:firstLine="440"/>
              <w:rPr>
                <w:bCs w:val="0"/>
                <w:sz w:val="22"/>
                <w:szCs w:val="22"/>
              </w:rPr>
            </w:pPr>
            <w:r>
              <w:rPr>
                <w:rFonts w:hint="eastAsia"/>
                <w:bCs w:val="0"/>
                <w:sz w:val="22"/>
                <w:szCs w:val="22"/>
              </w:rPr>
              <w:t>一般工业固废：依托现有一般工业固废暂存区2处，1处位于东地块动力中心064内，建筑面积约20m</w:t>
            </w:r>
            <w:r>
              <w:rPr>
                <w:rFonts w:hint="eastAsia"/>
                <w:bCs w:val="0"/>
                <w:sz w:val="22"/>
                <w:szCs w:val="22"/>
                <w:vertAlign w:val="superscript"/>
              </w:rPr>
              <w:t>2</w:t>
            </w:r>
            <w:r>
              <w:rPr>
                <w:rFonts w:hint="eastAsia"/>
                <w:bCs w:val="0"/>
                <w:sz w:val="22"/>
                <w:szCs w:val="22"/>
              </w:rPr>
              <w:t>；另一处设置于西地块，建筑面积约20m</w:t>
            </w:r>
            <w:r>
              <w:rPr>
                <w:rFonts w:hint="eastAsia"/>
                <w:bCs w:val="0"/>
                <w:sz w:val="22"/>
                <w:szCs w:val="22"/>
                <w:vertAlign w:val="superscript"/>
              </w:rPr>
              <w:t>2</w:t>
            </w:r>
            <w:r>
              <w:rPr>
                <w:rFonts w:hint="eastAsia"/>
                <w:bCs w:val="0"/>
                <w:sz w:val="22"/>
                <w:szCs w:val="22"/>
              </w:rPr>
              <w:t>，一般工业固废主要包括废包装材料、废零部件、废填料等，经固废暂存后定期外售资源回收公司。</w:t>
            </w:r>
          </w:p>
          <w:p w14:paraId="65EC9BFD">
            <w:pPr>
              <w:pStyle w:val="82"/>
              <w:spacing w:line="320" w:lineRule="exact"/>
              <w:ind w:firstLine="440"/>
              <w:rPr>
                <w:sz w:val="22"/>
                <w:szCs w:val="22"/>
              </w:rPr>
            </w:pPr>
            <w:r>
              <w:rPr>
                <w:rFonts w:hint="eastAsia"/>
                <w:bCs w:val="0"/>
                <w:sz w:val="22"/>
                <w:szCs w:val="22"/>
              </w:rPr>
              <w:t>危险废物：依托现有</w:t>
            </w:r>
            <w:r>
              <w:rPr>
                <w:rFonts w:hint="eastAsia"/>
                <w:bCs w:val="0"/>
                <w:sz w:val="22"/>
                <w:szCs w:val="22"/>
                <w:lang w:eastAsia="zh-CN"/>
              </w:rPr>
              <w:t>危废贮存库</w:t>
            </w:r>
            <w:r>
              <w:rPr>
                <w:rFonts w:hint="eastAsia"/>
                <w:bCs w:val="0"/>
                <w:sz w:val="22"/>
                <w:szCs w:val="22"/>
              </w:rPr>
              <w:t>2处，1布置于东地块危险品库内，约30m</w:t>
            </w:r>
            <w:r>
              <w:rPr>
                <w:rFonts w:hint="eastAsia"/>
                <w:bCs w:val="0"/>
                <w:sz w:val="22"/>
                <w:szCs w:val="22"/>
                <w:vertAlign w:val="superscript"/>
              </w:rPr>
              <w:t>2</w:t>
            </w:r>
            <w:r>
              <w:rPr>
                <w:rFonts w:hint="eastAsia"/>
                <w:bCs w:val="0"/>
                <w:sz w:val="22"/>
                <w:szCs w:val="22"/>
              </w:rPr>
              <w:t>，布置于西地块动力中心内，1F，面积约30m</w:t>
            </w:r>
            <w:r>
              <w:rPr>
                <w:rFonts w:hint="eastAsia"/>
                <w:bCs w:val="0"/>
                <w:sz w:val="22"/>
                <w:szCs w:val="22"/>
                <w:vertAlign w:val="superscript"/>
              </w:rPr>
              <w:t>2</w:t>
            </w:r>
            <w:r>
              <w:rPr>
                <w:rFonts w:hint="eastAsia"/>
                <w:bCs w:val="0"/>
                <w:sz w:val="22"/>
                <w:szCs w:val="22"/>
              </w:rPr>
              <w:t>，危险废物主要包括废防冻液、废机油、化学品沾染物等，危废暂存区已设置“六防”措施（防风、防晒、防雨、防漏、防渗、防腐）等措施，经暂存区暂存后交由有资质的单位处理。</w:t>
            </w:r>
          </w:p>
        </w:tc>
      </w:tr>
      <w:tr w14:paraId="2D276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96" w:type="dxa"/>
            <w:vAlign w:val="center"/>
          </w:tcPr>
          <w:p w14:paraId="6960D1A0">
            <w:pPr>
              <w:pStyle w:val="82"/>
              <w:spacing w:line="320" w:lineRule="exact"/>
              <w:ind w:firstLine="0" w:firstLineChars="0"/>
              <w:rPr>
                <w:sz w:val="22"/>
                <w:szCs w:val="22"/>
              </w:rPr>
            </w:pPr>
            <w:r>
              <w:rPr>
                <w:rFonts w:hint="eastAsia"/>
                <w:sz w:val="22"/>
                <w:szCs w:val="22"/>
              </w:rPr>
              <w:t>土壤及地下水污染防治措施</w:t>
            </w:r>
          </w:p>
        </w:tc>
        <w:tc>
          <w:tcPr>
            <w:tcW w:w="7404" w:type="dxa"/>
            <w:gridSpan w:val="4"/>
            <w:vAlign w:val="center"/>
          </w:tcPr>
          <w:p w14:paraId="1E537A05">
            <w:pPr>
              <w:pStyle w:val="82"/>
              <w:spacing w:line="320" w:lineRule="exact"/>
              <w:ind w:firstLine="440"/>
              <w:rPr>
                <w:sz w:val="22"/>
                <w:szCs w:val="22"/>
                <w:highlight w:val="yellow"/>
              </w:rPr>
            </w:pPr>
            <w:r>
              <w:rPr>
                <w:rFonts w:hint="eastAsia"/>
                <w:sz w:val="22"/>
                <w:szCs w:val="22"/>
              </w:rPr>
              <w:t>（1）依托现有工程的危险品库、</w:t>
            </w:r>
            <w:r>
              <w:rPr>
                <w:rFonts w:hint="eastAsia"/>
                <w:sz w:val="22"/>
                <w:szCs w:val="22"/>
                <w:lang w:eastAsia="zh-CN"/>
              </w:rPr>
              <w:t>危废贮存库</w:t>
            </w:r>
            <w:r>
              <w:rPr>
                <w:rFonts w:hint="eastAsia"/>
                <w:sz w:val="22"/>
                <w:szCs w:val="22"/>
              </w:rPr>
              <w:t>均已进行重点防渗，防渗技术要求为：等效粘土防渗层Mb≥6.0m，K≤1×10</w:t>
            </w:r>
            <w:r>
              <w:rPr>
                <w:rFonts w:hint="eastAsia"/>
                <w:sz w:val="22"/>
                <w:szCs w:val="22"/>
                <w:vertAlign w:val="superscript"/>
              </w:rPr>
              <w:t>-7</w:t>
            </w:r>
            <w:r>
              <w:rPr>
                <w:rFonts w:hint="eastAsia"/>
                <w:sz w:val="22"/>
                <w:szCs w:val="22"/>
              </w:rPr>
              <w:t>cm/s；或参照GB18598执行；（2）依托现有工程发动机生产车间、动力中心、气站、废水处理站、隔油池、</w:t>
            </w:r>
            <w:r>
              <w:rPr>
                <w:rFonts w:hint="eastAsia"/>
                <w:sz w:val="22"/>
                <w:szCs w:val="22"/>
                <w:lang w:eastAsia="zh-CN"/>
              </w:rPr>
              <w:t>化粪池</w:t>
            </w:r>
            <w:r>
              <w:rPr>
                <w:rFonts w:hint="eastAsia"/>
                <w:sz w:val="22"/>
                <w:szCs w:val="22"/>
              </w:rPr>
              <w:t>、垃圾站等均已进行一般防渗，防渗技术要求为：等效粘土防渗层Mb≥1.5m，K≤1×10</w:t>
            </w:r>
            <w:r>
              <w:rPr>
                <w:rFonts w:hint="eastAsia"/>
                <w:sz w:val="22"/>
                <w:szCs w:val="22"/>
                <w:vertAlign w:val="superscript"/>
              </w:rPr>
              <w:t>-7</w:t>
            </w:r>
            <w:r>
              <w:rPr>
                <w:rFonts w:hint="eastAsia"/>
                <w:sz w:val="22"/>
                <w:szCs w:val="22"/>
              </w:rPr>
              <w:t>cm/s；或参照GB16889执行；（3）依托现有工程已对办公楼、食堂、门卫等进行一般地面硬化。</w:t>
            </w:r>
          </w:p>
        </w:tc>
      </w:tr>
      <w:tr w14:paraId="7BD52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96" w:type="dxa"/>
            <w:vAlign w:val="center"/>
          </w:tcPr>
          <w:p w14:paraId="65CCFF93">
            <w:pPr>
              <w:pStyle w:val="41"/>
              <w:spacing w:line="320" w:lineRule="exact"/>
              <w:rPr>
                <w:sz w:val="22"/>
                <w:szCs w:val="22"/>
              </w:rPr>
            </w:pPr>
            <w:r>
              <w:rPr>
                <w:rFonts w:hint="eastAsia"/>
                <w:sz w:val="22"/>
                <w:szCs w:val="22"/>
              </w:rPr>
              <w:t>生态保护措施</w:t>
            </w:r>
          </w:p>
        </w:tc>
        <w:tc>
          <w:tcPr>
            <w:tcW w:w="7404" w:type="dxa"/>
            <w:gridSpan w:val="4"/>
            <w:vAlign w:val="center"/>
          </w:tcPr>
          <w:p w14:paraId="68785CC3">
            <w:pPr>
              <w:pStyle w:val="82"/>
              <w:spacing w:line="320" w:lineRule="exact"/>
              <w:ind w:firstLine="440"/>
              <w:jc w:val="left"/>
              <w:rPr>
                <w:sz w:val="22"/>
                <w:szCs w:val="22"/>
              </w:rPr>
            </w:pPr>
            <w:r>
              <w:rPr>
                <w:rFonts w:hint="eastAsia"/>
                <w:bCs w:val="0"/>
                <w:sz w:val="22"/>
                <w:szCs w:val="22"/>
              </w:rPr>
              <w:t>项目实施过程不新增用地，仅在现有地块新增设备生产，因此，项目建设对区域生态环境影响较小。</w:t>
            </w:r>
          </w:p>
        </w:tc>
      </w:tr>
      <w:tr w14:paraId="2DD11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96" w:type="dxa"/>
            <w:vAlign w:val="center"/>
          </w:tcPr>
          <w:p w14:paraId="04FC34F8">
            <w:pPr>
              <w:pStyle w:val="41"/>
              <w:spacing w:line="320" w:lineRule="exact"/>
              <w:rPr>
                <w:spacing w:val="-8"/>
                <w:sz w:val="22"/>
                <w:szCs w:val="22"/>
              </w:rPr>
            </w:pPr>
            <w:r>
              <w:rPr>
                <w:rFonts w:hint="eastAsia"/>
                <w:spacing w:val="-8"/>
                <w:sz w:val="22"/>
                <w:szCs w:val="22"/>
              </w:rPr>
              <w:t>环境风险</w:t>
            </w:r>
          </w:p>
          <w:p w14:paraId="4C95B5F2">
            <w:pPr>
              <w:pStyle w:val="41"/>
              <w:spacing w:line="320" w:lineRule="exact"/>
              <w:rPr>
                <w:spacing w:val="-8"/>
                <w:sz w:val="22"/>
                <w:szCs w:val="22"/>
              </w:rPr>
            </w:pPr>
            <w:r>
              <w:rPr>
                <w:rFonts w:hint="eastAsia"/>
                <w:spacing w:val="-8"/>
                <w:sz w:val="22"/>
                <w:szCs w:val="22"/>
              </w:rPr>
              <w:t>防范措施</w:t>
            </w:r>
          </w:p>
        </w:tc>
        <w:tc>
          <w:tcPr>
            <w:tcW w:w="7404" w:type="dxa"/>
            <w:gridSpan w:val="4"/>
            <w:vAlign w:val="center"/>
          </w:tcPr>
          <w:p w14:paraId="093F7FFA">
            <w:pPr>
              <w:pStyle w:val="82"/>
              <w:spacing w:line="320" w:lineRule="exact"/>
              <w:ind w:firstLine="440"/>
              <w:rPr>
                <w:sz w:val="22"/>
                <w:szCs w:val="22"/>
              </w:rPr>
            </w:pPr>
            <w:r>
              <w:rPr>
                <w:rFonts w:hint="eastAsia"/>
                <w:sz w:val="22"/>
                <w:szCs w:val="22"/>
                <w:lang w:eastAsia="zh-Hans"/>
              </w:rPr>
              <w:t>加氢站</w:t>
            </w:r>
            <w:r>
              <w:rPr>
                <w:sz w:val="22"/>
                <w:szCs w:val="22"/>
              </w:rPr>
              <w:t>：</w:t>
            </w:r>
            <w:r>
              <w:rPr>
                <w:rFonts w:hint="eastAsia"/>
                <w:sz w:val="22"/>
                <w:szCs w:val="22"/>
              </w:rPr>
              <w:t>设置氢探头、氧探头、火灾报警器等装置，能快速监测可燃气体泄漏并报警。</w:t>
            </w:r>
          </w:p>
          <w:p w14:paraId="4DC66528">
            <w:pPr>
              <w:pStyle w:val="82"/>
              <w:spacing w:line="320" w:lineRule="exact"/>
              <w:ind w:firstLine="440"/>
              <w:rPr>
                <w:sz w:val="22"/>
                <w:szCs w:val="22"/>
              </w:rPr>
            </w:pPr>
            <w:r>
              <w:rPr>
                <w:rFonts w:hint="eastAsia"/>
                <w:sz w:val="22"/>
                <w:szCs w:val="22"/>
              </w:rPr>
              <w:t>危险品库</w:t>
            </w:r>
            <w:r>
              <w:rPr>
                <w:sz w:val="22"/>
                <w:szCs w:val="22"/>
              </w:rPr>
              <w:t>：</w:t>
            </w:r>
            <w:r>
              <w:rPr>
                <w:rFonts w:hint="eastAsia"/>
                <w:sz w:val="22"/>
                <w:szCs w:val="22"/>
              </w:rPr>
              <w:t>四周及地面防腐防渗，并在液体</w:t>
            </w:r>
            <w:r>
              <w:rPr>
                <w:rFonts w:hint="eastAsia"/>
                <w:sz w:val="22"/>
                <w:szCs w:val="22"/>
                <w:lang w:eastAsia="zh-Hans"/>
              </w:rPr>
              <w:t>化学品</w:t>
            </w:r>
            <w:r>
              <w:rPr>
                <w:rFonts w:hint="eastAsia"/>
                <w:sz w:val="22"/>
                <w:szCs w:val="22"/>
              </w:rPr>
              <w:t>下方设置托盘</w:t>
            </w:r>
            <w:r>
              <w:rPr>
                <w:sz w:val="22"/>
                <w:szCs w:val="22"/>
              </w:rPr>
              <w:t>。</w:t>
            </w:r>
          </w:p>
          <w:p w14:paraId="489C60ED">
            <w:pPr>
              <w:pStyle w:val="82"/>
              <w:spacing w:line="320" w:lineRule="exact"/>
              <w:ind w:firstLine="440"/>
              <w:rPr>
                <w:sz w:val="22"/>
                <w:szCs w:val="22"/>
              </w:rPr>
            </w:pPr>
            <w:r>
              <w:rPr>
                <w:rFonts w:hint="eastAsia"/>
                <w:sz w:val="22"/>
                <w:szCs w:val="22"/>
                <w:lang w:eastAsia="zh-CN"/>
              </w:rPr>
              <w:t>危废贮存库</w:t>
            </w:r>
            <w:r>
              <w:rPr>
                <w:sz w:val="22"/>
                <w:szCs w:val="22"/>
              </w:rPr>
              <w:t>：</w:t>
            </w:r>
            <w:r>
              <w:rPr>
                <w:rFonts w:hint="eastAsia"/>
                <w:sz w:val="22"/>
                <w:szCs w:val="22"/>
              </w:rPr>
              <w:t>设置</w:t>
            </w:r>
            <w:r>
              <w:rPr>
                <w:rFonts w:hint="eastAsia"/>
                <w:sz w:val="22"/>
                <w:szCs w:val="22"/>
                <w:lang w:eastAsia="zh-Hans"/>
              </w:rPr>
              <w:t>托盘</w:t>
            </w:r>
            <w:r>
              <w:rPr>
                <w:sz w:val="22"/>
                <w:szCs w:val="22"/>
                <w:lang w:eastAsia="zh-Hans"/>
              </w:rPr>
              <w:t>、</w:t>
            </w:r>
            <w:r>
              <w:rPr>
                <w:rFonts w:hint="eastAsia"/>
                <w:sz w:val="22"/>
                <w:szCs w:val="22"/>
              </w:rPr>
              <w:t>收集沟、吸油棉、消防沙</w:t>
            </w:r>
            <w:r>
              <w:rPr>
                <w:sz w:val="22"/>
                <w:szCs w:val="22"/>
              </w:rPr>
              <w:t>，</w:t>
            </w:r>
            <w:r>
              <w:rPr>
                <w:rFonts w:hint="eastAsia"/>
                <w:sz w:val="22"/>
                <w:szCs w:val="22"/>
              </w:rPr>
              <w:t>可确保突发事故时可能产生的少量泄漏物能有效拦截。</w:t>
            </w:r>
          </w:p>
        </w:tc>
      </w:tr>
      <w:tr w14:paraId="27BE7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96" w:type="dxa"/>
            <w:vAlign w:val="center"/>
          </w:tcPr>
          <w:p w14:paraId="538BEF15">
            <w:pPr>
              <w:pStyle w:val="41"/>
              <w:spacing w:line="320" w:lineRule="exact"/>
              <w:rPr>
                <w:spacing w:val="-8"/>
                <w:sz w:val="22"/>
                <w:szCs w:val="22"/>
              </w:rPr>
            </w:pPr>
            <w:r>
              <w:rPr>
                <w:rFonts w:hint="eastAsia"/>
                <w:spacing w:val="-8"/>
                <w:sz w:val="22"/>
                <w:szCs w:val="22"/>
              </w:rPr>
              <w:t>其他环境</w:t>
            </w:r>
          </w:p>
          <w:p w14:paraId="6006F29E">
            <w:pPr>
              <w:pStyle w:val="41"/>
              <w:spacing w:line="320" w:lineRule="exact"/>
              <w:rPr>
                <w:spacing w:val="-8"/>
                <w:sz w:val="22"/>
                <w:szCs w:val="22"/>
              </w:rPr>
            </w:pPr>
            <w:r>
              <w:rPr>
                <w:rFonts w:hint="eastAsia"/>
                <w:spacing w:val="-8"/>
                <w:sz w:val="22"/>
                <w:szCs w:val="22"/>
              </w:rPr>
              <w:t>管理要求</w:t>
            </w:r>
          </w:p>
        </w:tc>
        <w:tc>
          <w:tcPr>
            <w:tcW w:w="7404" w:type="dxa"/>
            <w:gridSpan w:val="4"/>
            <w:vAlign w:val="center"/>
          </w:tcPr>
          <w:p w14:paraId="37941CA6">
            <w:pPr>
              <w:pStyle w:val="41"/>
              <w:spacing w:line="320" w:lineRule="exact"/>
              <w:rPr>
                <w:sz w:val="22"/>
                <w:szCs w:val="22"/>
              </w:rPr>
            </w:pPr>
            <w:r>
              <w:rPr>
                <w:rFonts w:hint="eastAsia"/>
                <w:sz w:val="22"/>
                <w:szCs w:val="22"/>
              </w:rPr>
              <w:t>根据《固定污染源排污许可分类管理名录》（2019年版）拟建项目属于：三十一、汽车制造业36中的</w:t>
            </w:r>
            <w:r>
              <w:rPr>
                <w:rFonts w:hint="eastAsia"/>
                <w:sz w:val="22"/>
                <w:szCs w:val="22"/>
                <w:lang w:val="en-US" w:eastAsia="zh-CN"/>
              </w:rPr>
              <w:t>登记</w:t>
            </w:r>
            <w:r>
              <w:rPr>
                <w:rFonts w:hint="eastAsia"/>
                <w:sz w:val="22"/>
                <w:szCs w:val="22"/>
              </w:rPr>
              <w:t>管理类别，实行排污许可</w:t>
            </w:r>
            <w:r>
              <w:rPr>
                <w:rFonts w:hint="eastAsia"/>
                <w:sz w:val="22"/>
                <w:szCs w:val="22"/>
                <w:lang w:val="en-US" w:eastAsia="zh-CN"/>
              </w:rPr>
              <w:t>登记</w:t>
            </w:r>
            <w:r>
              <w:rPr>
                <w:rFonts w:hint="eastAsia"/>
                <w:sz w:val="22"/>
                <w:szCs w:val="22"/>
              </w:rPr>
              <w:t>管理。</w:t>
            </w:r>
          </w:p>
        </w:tc>
      </w:tr>
    </w:tbl>
    <w:p w14:paraId="3A8B8097">
      <w:pPr>
        <w:pStyle w:val="27"/>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8140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ED2DF02">
            <w:pPr>
              <w:pStyle w:val="82"/>
              <w:ind w:firstLine="520"/>
            </w:pPr>
            <w:r>
              <w:rPr>
                <w:rFonts w:hint="eastAsia"/>
              </w:rPr>
              <w:t>博世氢动力系统（重庆）有</w:t>
            </w:r>
            <w:r>
              <w:rPr>
                <w:rFonts w:hint="eastAsia"/>
                <w:color w:val="auto"/>
              </w:rPr>
              <w:t>限公司拟建设的重型电驱桥项目</w:t>
            </w:r>
            <w:r>
              <w:rPr>
                <w:rFonts w:hint="eastAsia"/>
                <w:color w:val="auto"/>
                <w:lang w:eastAsia="zh-CN"/>
              </w:rPr>
              <w:t>（</w:t>
            </w:r>
            <w:r>
              <w:rPr>
                <w:rFonts w:hint="eastAsia"/>
                <w:color w:val="auto"/>
                <w:lang w:val="en-US" w:eastAsia="zh-CN"/>
              </w:rPr>
              <w:t>二期</w:t>
            </w:r>
            <w:r>
              <w:rPr>
                <w:rFonts w:hint="eastAsia"/>
                <w:color w:val="auto"/>
                <w:lang w:eastAsia="zh-CN"/>
              </w:rPr>
              <w:t>）、</w:t>
            </w:r>
            <w:r>
              <w:rPr>
                <w:rFonts w:hint="eastAsia"/>
                <w:color w:val="auto"/>
              </w:rPr>
              <w:t>氢瓶瓶口阀瓶底阀项目符合国家产业政策，</w:t>
            </w:r>
            <w:r>
              <w:rPr>
                <w:rFonts w:hint="eastAsia"/>
              </w:rPr>
              <w:t>符合园区产业发展规划，评价范围内无自然保护区及文物设施、风景名胜区、森林公园等敏感区分布，选址合理，不存在重大环境制约因素，环境影响可接受，环境风险可控，环境保护措施满足长期稳定达标要求，从环境影响角度分析，项目在拟选位置实施可行。</w:t>
            </w:r>
          </w:p>
        </w:tc>
      </w:tr>
    </w:tbl>
    <w:p w14:paraId="4A18161F">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3FBCA4A9">
      <w:pPr>
        <w:pStyle w:val="27"/>
        <w:adjustRightInd w:val="0"/>
        <w:snapToGrid w:val="0"/>
        <w:spacing w:before="0" w:beforeAutospacing="0" w:after="0" w:afterAutospacing="0"/>
        <w:outlineLvl w:val="0"/>
        <w:rPr>
          <w:rFonts w:ascii="黑体" w:hAnsi="黑体" w:eastAsia="黑体"/>
          <w:snapToGrid w:val="0"/>
          <w:sz w:val="32"/>
          <w:szCs w:val="32"/>
        </w:rPr>
      </w:pPr>
      <w:r>
        <w:rPr>
          <w:rFonts w:hint="eastAsia" w:ascii="黑体" w:hAnsi="黑体" w:eastAsia="黑体"/>
          <w:snapToGrid w:val="0"/>
          <w:sz w:val="32"/>
          <w:szCs w:val="32"/>
        </w:rPr>
        <w:t>附表</w:t>
      </w:r>
    </w:p>
    <w:p w14:paraId="22EC7693">
      <w:pPr>
        <w:pStyle w:val="27"/>
        <w:adjustRightInd w:val="0"/>
        <w:snapToGrid w:val="0"/>
        <w:spacing w:before="0" w:beforeAutospacing="0" w:after="0" w:afterAutospacing="0" w:line="460" w:lineRule="exact"/>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30"/>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145"/>
        <w:gridCol w:w="1625"/>
        <w:gridCol w:w="1438"/>
        <w:gridCol w:w="1675"/>
        <w:gridCol w:w="1625"/>
        <w:gridCol w:w="1587"/>
        <w:gridCol w:w="1513"/>
        <w:gridCol w:w="1020"/>
      </w:tblGrid>
      <w:tr w14:paraId="584D5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tcBorders>
              <w:tl2br w:val="single" w:color="auto" w:sz="4" w:space="0"/>
            </w:tcBorders>
            <w:tcMar>
              <w:left w:w="28" w:type="dxa"/>
              <w:right w:w="28" w:type="dxa"/>
            </w:tcMar>
            <w:vAlign w:val="center"/>
          </w:tcPr>
          <w:p w14:paraId="04B679DE">
            <w:pPr>
              <w:pStyle w:val="41"/>
              <w:spacing w:line="240" w:lineRule="auto"/>
              <w:rPr>
                <w:snapToGrid w:val="0"/>
                <w:color w:val="auto"/>
                <w:sz w:val="22"/>
                <w:szCs w:val="22"/>
              </w:rPr>
            </w:pPr>
            <w:r>
              <w:rPr>
                <w:rFonts w:hint="eastAsia"/>
                <w:snapToGrid w:val="0"/>
                <w:color w:val="auto"/>
                <w:sz w:val="22"/>
                <w:szCs w:val="22"/>
              </w:rPr>
              <w:t>项目</w:t>
            </w:r>
          </w:p>
          <w:p w14:paraId="3E5A78E2">
            <w:pPr>
              <w:pStyle w:val="41"/>
              <w:spacing w:line="240" w:lineRule="auto"/>
              <w:ind w:firstLine="220" w:firstLineChars="100"/>
              <w:jc w:val="both"/>
              <w:rPr>
                <w:snapToGrid w:val="0"/>
                <w:color w:val="auto"/>
                <w:sz w:val="22"/>
                <w:szCs w:val="22"/>
              </w:rPr>
            </w:pPr>
            <w:r>
              <w:rPr>
                <w:rFonts w:hint="eastAsia"/>
                <w:snapToGrid w:val="0"/>
                <w:color w:val="auto"/>
                <w:sz w:val="22"/>
                <w:szCs w:val="22"/>
              </w:rPr>
              <w:t>分类</w:t>
            </w:r>
          </w:p>
        </w:tc>
        <w:tc>
          <w:tcPr>
            <w:tcW w:w="2145" w:type="dxa"/>
            <w:tcMar>
              <w:left w:w="28" w:type="dxa"/>
              <w:right w:w="28" w:type="dxa"/>
            </w:tcMar>
            <w:vAlign w:val="center"/>
          </w:tcPr>
          <w:p w14:paraId="7F41D81C">
            <w:pPr>
              <w:pStyle w:val="41"/>
              <w:spacing w:line="240" w:lineRule="auto"/>
              <w:rPr>
                <w:snapToGrid w:val="0"/>
                <w:color w:val="auto"/>
                <w:sz w:val="22"/>
                <w:szCs w:val="22"/>
              </w:rPr>
            </w:pPr>
            <w:r>
              <w:rPr>
                <w:rFonts w:hint="eastAsia"/>
                <w:snapToGrid w:val="0"/>
                <w:color w:val="auto"/>
                <w:sz w:val="22"/>
                <w:szCs w:val="22"/>
              </w:rPr>
              <w:t>污染物名称</w:t>
            </w:r>
          </w:p>
        </w:tc>
        <w:tc>
          <w:tcPr>
            <w:tcW w:w="1625" w:type="dxa"/>
            <w:tcMar>
              <w:left w:w="28" w:type="dxa"/>
              <w:right w:w="28" w:type="dxa"/>
            </w:tcMar>
            <w:vAlign w:val="center"/>
          </w:tcPr>
          <w:p w14:paraId="0915BA8E">
            <w:pPr>
              <w:pStyle w:val="41"/>
              <w:spacing w:line="240" w:lineRule="auto"/>
              <w:rPr>
                <w:snapToGrid w:val="0"/>
                <w:color w:val="auto"/>
                <w:sz w:val="22"/>
                <w:szCs w:val="22"/>
              </w:rPr>
            </w:pPr>
            <w:r>
              <w:rPr>
                <w:snapToGrid w:val="0"/>
                <w:color w:val="auto"/>
                <w:sz w:val="22"/>
                <w:szCs w:val="22"/>
              </w:rPr>
              <w:t>现有工程</w:t>
            </w:r>
          </w:p>
          <w:p w14:paraId="3DFF637D">
            <w:pPr>
              <w:pStyle w:val="41"/>
              <w:spacing w:line="240" w:lineRule="auto"/>
              <w:rPr>
                <w:snapToGrid w:val="0"/>
                <w:color w:val="auto"/>
                <w:sz w:val="22"/>
                <w:szCs w:val="22"/>
              </w:rPr>
            </w:pPr>
            <w:r>
              <w:rPr>
                <w:snapToGrid w:val="0"/>
                <w:color w:val="auto"/>
                <w:sz w:val="22"/>
                <w:szCs w:val="22"/>
              </w:rPr>
              <w:t>排放量（固</w:t>
            </w:r>
            <w:r>
              <w:rPr>
                <w:rFonts w:hint="eastAsia"/>
                <w:snapToGrid w:val="0"/>
                <w:color w:val="auto"/>
                <w:sz w:val="22"/>
                <w:szCs w:val="22"/>
              </w:rPr>
              <w:t>体</w:t>
            </w:r>
            <w:r>
              <w:rPr>
                <w:snapToGrid w:val="0"/>
                <w:color w:val="auto"/>
                <w:sz w:val="22"/>
                <w:szCs w:val="22"/>
              </w:rPr>
              <w:t>废</w:t>
            </w:r>
            <w:r>
              <w:rPr>
                <w:rFonts w:hint="eastAsia"/>
                <w:snapToGrid w:val="0"/>
                <w:color w:val="auto"/>
                <w:sz w:val="22"/>
                <w:szCs w:val="22"/>
              </w:rPr>
              <w:t>物</w:t>
            </w:r>
            <w:r>
              <w:rPr>
                <w:snapToGrid w:val="0"/>
                <w:color w:val="auto"/>
                <w:sz w:val="22"/>
                <w:szCs w:val="22"/>
              </w:rPr>
              <w:t>产生量）</w:t>
            </w:r>
            <w:r>
              <w:rPr>
                <w:snapToGrid w:val="0"/>
                <w:color w:val="auto"/>
                <w:sz w:val="22"/>
                <w:szCs w:val="22"/>
              </w:rPr>
              <w:fldChar w:fldCharType="begin"/>
            </w:r>
            <w:r>
              <w:rPr>
                <w:snapToGrid w:val="0"/>
                <w:color w:val="auto"/>
                <w:sz w:val="22"/>
                <w:szCs w:val="22"/>
              </w:rPr>
              <w:instrText xml:space="preserve"> = 1 \* GB3 \* MERGEFORMAT </w:instrText>
            </w:r>
            <w:r>
              <w:rPr>
                <w:snapToGrid w:val="0"/>
                <w:color w:val="auto"/>
                <w:sz w:val="22"/>
                <w:szCs w:val="22"/>
              </w:rPr>
              <w:fldChar w:fldCharType="separate"/>
            </w:r>
            <w:r>
              <w:rPr>
                <w:rFonts w:hint="eastAsia"/>
                <w:color w:val="auto"/>
                <w:sz w:val="22"/>
                <w:szCs w:val="22"/>
              </w:rPr>
              <w:t>①</w:t>
            </w:r>
            <w:r>
              <w:rPr>
                <w:snapToGrid w:val="0"/>
                <w:color w:val="auto"/>
                <w:sz w:val="22"/>
                <w:szCs w:val="22"/>
              </w:rPr>
              <w:fldChar w:fldCharType="end"/>
            </w:r>
          </w:p>
        </w:tc>
        <w:tc>
          <w:tcPr>
            <w:tcW w:w="1438" w:type="dxa"/>
            <w:tcMar>
              <w:left w:w="28" w:type="dxa"/>
              <w:right w:w="28" w:type="dxa"/>
            </w:tcMar>
            <w:vAlign w:val="center"/>
          </w:tcPr>
          <w:p w14:paraId="0B027270">
            <w:pPr>
              <w:pStyle w:val="41"/>
              <w:spacing w:line="240" w:lineRule="auto"/>
              <w:rPr>
                <w:snapToGrid w:val="0"/>
                <w:color w:val="auto"/>
                <w:sz w:val="22"/>
                <w:szCs w:val="22"/>
              </w:rPr>
            </w:pPr>
            <w:r>
              <w:rPr>
                <w:snapToGrid w:val="0"/>
                <w:color w:val="auto"/>
                <w:sz w:val="22"/>
                <w:szCs w:val="22"/>
              </w:rPr>
              <w:t>现有工程</w:t>
            </w:r>
          </w:p>
          <w:p w14:paraId="62CA9432">
            <w:pPr>
              <w:pStyle w:val="41"/>
              <w:spacing w:line="240" w:lineRule="auto"/>
              <w:rPr>
                <w:snapToGrid w:val="0"/>
                <w:color w:val="auto"/>
                <w:sz w:val="22"/>
                <w:szCs w:val="22"/>
              </w:rPr>
            </w:pPr>
            <w:r>
              <w:rPr>
                <w:snapToGrid w:val="0"/>
                <w:color w:val="auto"/>
                <w:sz w:val="22"/>
                <w:szCs w:val="22"/>
              </w:rPr>
              <w:t>许可排放量</w:t>
            </w:r>
          </w:p>
          <w:p w14:paraId="339BB05A">
            <w:pPr>
              <w:pStyle w:val="41"/>
              <w:spacing w:line="240" w:lineRule="auto"/>
              <w:rPr>
                <w:snapToGrid w:val="0"/>
                <w:color w:val="auto"/>
                <w:sz w:val="22"/>
                <w:szCs w:val="22"/>
              </w:rPr>
            </w:pPr>
            <w:r>
              <w:rPr>
                <w:snapToGrid w:val="0"/>
                <w:color w:val="auto"/>
                <w:sz w:val="22"/>
                <w:szCs w:val="22"/>
              </w:rPr>
              <w:fldChar w:fldCharType="begin"/>
            </w:r>
            <w:r>
              <w:rPr>
                <w:snapToGrid w:val="0"/>
                <w:color w:val="auto"/>
                <w:sz w:val="22"/>
                <w:szCs w:val="22"/>
              </w:rPr>
              <w:instrText xml:space="preserve"> = 2 \* GB3 \* MERGEFORMAT </w:instrText>
            </w:r>
            <w:r>
              <w:rPr>
                <w:snapToGrid w:val="0"/>
                <w:color w:val="auto"/>
                <w:sz w:val="22"/>
                <w:szCs w:val="22"/>
              </w:rPr>
              <w:fldChar w:fldCharType="separate"/>
            </w:r>
            <w:r>
              <w:rPr>
                <w:rFonts w:hint="eastAsia"/>
                <w:snapToGrid w:val="0"/>
                <w:color w:val="auto"/>
                <w:sz w:val="22"/>
                <w:szCs w:val="22"/>
              </w:rPr>
              <w:t>②</w:t>
            </w:r>
            <w:r>
              <w:rPr>
                <w:snapToGrid w:val="0"/>
                <w:color w:val="auto"/>
                <w:sz w:val="22"/>
                <w:szCs w:val="22"/>
              </w:rPr>
              <w:fldChar w:fldCharType="end"/>
            </w:r>
          </w:p>
        </w:tc>
        <w:tc>
          <w:tcPr>
            <w:tcW w:w="1675" w:type="dxa"/>
            <w:tcMar>
              <w:left w:w="28" w:type="dxa"/>
              <w:right w:w="28" w:type="dxa"/>
            </w:tcMar>
            <w:vAlign w:val="center"/>
          </w:tcPr>
          <w:p w14:paraId="5CF89028">
            <w:pPr>
              <w:pStyle w:val="41"/>
              <w:spacing w:line="240" w:lineRule="auto"/>
              <w:rPr>
                <w:snapToGrid w:val="0"/>
                <w:color w:val="auto"/>
                <w:sz w:val="22"/>
                <w:szCs w:val="22"/>
              </w:rPr>
            </w:pPr>
            <w:r>
              <w:rPr>
                <w:snapToGrid w:val="0"/>
                <w:color w:val="auto"/>
                <w:sz w:val="22"/>
                <w:szCs w:val="22"/>
              </w:rPr>
              <w:t>在建工程</w:t>
            </w:r>
          </w:p>
          <w:p w14:paraId="0AF8DC85">
            <w:pPr>
              <w:pStyle w:val="41"/>
              <w:spacing w:line="240" w:lineRule="auto"/>
              <w:rPr>
                <w:snapToGrid w:val="0"/>
                <w:color w:val="auto"/>
                <w:sz w:val="22"/>
                <w:szCs w:val="22"/>
              </w:rPr>
            </w:pPr>
            <w:r>
              <w:rPr>
                <w:snapToGrid w:val="0"/>
                <w:color w:val="auto"/>
                <w:sz w:val="22"/>
                <w:szCs w:val="22"/>
              </w:rPr>
              <w:t>排放量（固</w:t>
            </w:r>
            <w:r>
              <w:rPr>
                <w:rFonts w:hint="eastAsia"/>
                <w:snapToGrid w:val="0"/>
                <w:color w:val="auto"/>
                <w:sz w:val="22"/>
                <w:szCs w:val="22"/>
              </w:rPr>
              <w:t>体</w:t>
            </w:r>
            <w:r>
              <w:rPr>
                <w:snapToGrid w:val="0"/>
                <w:color w:val="auto"/>
                <w:sz w:val="22"/>
                <w:szCs w:val="22"/>
              </w:rPr>
              <w:t>废</w:t>
            </w:r>
            <w:r>
              <w:rPr>
                <w:rFonts w:hint="eastAsia"/>
                <w:snapToGrid w:val="0"/>
                <w:color w:val="auto"/>
                <w:sz w:val="22"/>
                <w:szCs w:val="22"/>
              </w:rPr>
              <w:t>物</w:t>
            </w:r>
            <w:r>
              <w:rPr>
                <w:snapToGrid w:val="0"/>
                <w:color w:val="auto"/>
                <w:sz w:val="22"/>
                <w:szCs w:val="22"/>
              </w:rPr>
              <w:t>产生量）</w:t>
            </w:r>
            <w:r>
              <w:rPr>
                <w:snapToGrid w:val="0"/>
                <w:color w:val="auto"/>
                <w:sz w:val="22"/>
                <w:szCs w:val="22"/>
              </w:rPr>
              <w:fldChar w:fldCharType="begin"/>
            </w:r>
            <w:r>
              <w:rPr>
                <w:snapToGrid w:val="0"/>
                <w:color w:val="auto"/>
                <w:sz w:val="22"/>
                <w:szCs w:val="22"/>
              </w:rPr>
              <w:instrText xml:space="preserve"> = 3 \* GB3 \* MERGEFORMAT </w:instrText>
            </w:r>
            <w:r>
              <w:rPr>
                <w:snapToGrid w:val="0"/>
                <w:color w:val="auto"/>
                <w:sz w:val="22"/>
                <w:szCs w:val="22"/>
              </w:rPr>
              <w:fldChar w:fldCharType="separate"/>
            </w:r>
            <w:r>
              <w:rPr>
                <w:rFonts w:hint="eastAsia"/>
                <w:color w:val="auto"/>
                <w:sz w:val="22"/>
                <w:szCs w:val="22"/>
              </w:rPr>
              <w:t>③</w:t>
            </w:r>
            <w:r>
              <w:rPr>
                <w:snapToGrid w:val="0"/>
                <w:color w:val="auto"/>
                <w:sz w:val="22"/>
                <w:szCs w:val="22"/>
              </w:rPr>
              <w:fldChar w:fldCharType="end"/>
            </w:r>
          </w:p>
        </w:tc>
        <w:tc>
          <w:tcPr>
            <w:tcW w:w="1625" w:type="dxa"/>
            <w:tcMar>
              <w:left w:w="28" w:type="dxa"/>
              <w:right w:w="28" w:type="dxa"/>
            </w:tcMar>
            <w:vAlign w:val="center"/>
          </w:tcPr>
          <w:p w14:paraId="652EE6FC">
            <w:pPr>
              <w:pStyle w:val="41"/>
              <w:spacing w:line="240" w:lineRule="auto"/>
              <w:rPr>
                <w:snapToGrid w:val="0"/>
                <w:color w:val="auto"/>
                <w:sz w:val="22"/>
                <w:szCs w:val="22"/>
              </w:rPr>
            </w:pPr>
            <w:r>
              <w:rPr>
                <w:snapToGrid w:val="0"/>
                <w:color w:val="auto"/>
                <w:sz w:val="22"/>
                <w:szCs w:val="22"/>
              </w:rPr>
              <w:t>本项目</w:t>
            </w:r>
          </w:p>
          <w:p w14:paraId="687F33E2">
            <w:pPr>
              <w:pStyle w:val="41"/>
              <w:spacing w:line="240" w:lineRule="auto"/>
              <w:rPr>
                <w:snapToGrid w:val="0"/>
                <w:color w:val="auto"/>
                <w:sz w:val="22"/>
                <w:szCs w:val="22"/>
              </w:rPr>
            </w:pPr>
            <w:r>
              <w:rPr>
                <w:snapToGrid w:val="0"/>
                <w:color w:val="auto"/>
                <w:sz w:val="22"/>
                <w:szCs w:val="22"/>
              </w:rPr>
              <w:t>排放量（固</w:t>
            </w:r>
            <w:r>
              <w:rPr>
                <w:rFonts w:hint="eastAsia"/>
                <w:snapToGrid w:val="0"/>
                <w:color w:val="auto"/>
                <w:sz w:val="22"/>
                <w:szCs w:val="22"/>
              </w:rPr>
              <w:t>体</w:t>
            </w:r>
            <w:r>
              <w:rPr>
                <w:snapToGrid w:val="0"/>
                <w:color w:val="auto"/>
                <w:sz w:val="22"/>
                <w:szCs w:val="22"/>
              </w:rPr>
              <w:t>废</w:t>
            </w:r>
            <w:r>
              <w:rPr>
                <w:rFonts w:hint="eastAsia"/>
                <w:snapToGrid w:val="0"/>
                <w:color w:val="auto"/>
                <w:sz w:val="22"/>
                <w:szCs w:val="22"/>
              </w:rPr>
              <w:t>物</w:t>
            </w:r>
            <w:r>
              <w:rPr>
                <w:snapToGrid w:val="0"/>
                <w:color w:val="auto"/>
                <w:sz w:val="22"/>
                <w:szCs w:val="22"/>
              </w:rPr>
              <w:t>产生量）</w:t>
            </w:r>
            <w:r>
              <w:rPr>
                <w:snapToGrid w:val="0"/>
                <w:color w:val="auto"/>
                <w:sz w:val="22"/>
                <w:szCs w:val="22"/>
              </w:rPr>
              <w:fldChar w:fldCharType="begin"/>
            </w:r>
            <w:r>
              <w:rPr>
                <w:snapToGrid w:val="0"/>
                <w:color w:val="auto"/>
                <w:sz w:val="22"/>
                <w:szCs w:val="22"/>
              </w:rPr>
              <w:instrText xml:space="preserve"> = 4 \* GB3 \* MERGEFORMAT </w:instrText>
            </w:r>
            <w:r>
              <w:rPr>
                <w:snapToGrid w:val="0"/>
                <w:color w:val="auto"/>
                <w:sz w:val="22"/>
                <w:szCs w:val="22"/>
              </w:rPr>
              <w:fldChar w:fldCharType="separate"/>
            </w:r>
            <w:r>
              <w:rPr>
                <w:rFonts w:hint="eastAsia"/>
                <w:color w:val="auto"/>
                <w:sz w:val="22"/>
                <w:szCs w:val="22"/>
              </w:rPr>
              <w:t>④</w:t>
            </w:r>
            <w:r>
              <w:rPr>
                <w:snapToGrid w:val="0"/>
                <w:color w:val="auto"/>
                <w:sz w:val="22"/>
                <w:szCs w:val="22"/>
              </w:rPr>
              <w:fldChar w:fldCharType="end"/>
            </w:r>
          </w:p>
        </w:tc>
        <w:tc>
          <w:tcPr>
            <w:tcW w:w="1587" w:type="dxa"/>
            <w:tcMar>
              <w:left w:w="28" w:type="dxa"/>
              <w:right w:w="28" w:type="dxa"/>
            </w:tcMar>
            <w:vAlign w:val="center"/>
          </w:tcPr>
          <w:p w14:paraId="405FC5F3">
            <w:pPr>
              <w:pStyle w:val="41"/>
              <w:spacing w:line="240" w:lineRule="auto"/>
              <w:rPr>
                <w:snapToGrid w:val="0"/>
                <w:color w:val="auto"/>
                <w:spacing w:val="-16"/>
                <w:sz w:val="22"/>
                <w:szCs w:val="22"/>
              </w:rPr>
            </w:pPr>
            <w:r>
              <w:rPr>
                <w:snapToGrid w:val="0"/>
                <w:color w:val="auto"/>
                <w:spacing w:val="-16"/>
                <w:sz w:val="22"/>
                <w:szCs w:val="22"/>
              </w:rPr>
              <w:t>以新带老削减量</w:t>
            </w:r>
          </w:p>
          <w:p w14:paraId="4AACBAC1">
            <w:pPr>
              <w:pStyle w:val="41"/>
              <w:spacing w:line="240" w:lineRule="auto"/>
              <w:rPr>
                <w:snapToGrid w:val="0"/>
                <w:color w:val="auto"/>
                <w:spacing w:val="-16"/>
                <w:sz w:val="22"/>
                <w:szCs w:val="22"/>
              </w:rPr>
            </w:pPr>
            <w:r>
              <w:rPr>
                <w:snapToGrid w:val="0"/>
                <w:color w:val="auto"/>
                <w:spacing w:val="-16"/>
                <w:sz w:val="22"/>
                <w:szCs w:val="22"/>
              </w:rPr>
              <w:t>（新建项目不填）</w:t>
            </w:r>
            <w:r>
              <w:rPr>
                <w:snapToGrid w:val="0"/>
                <w:color w:val="auto"/>
                <w:spacing w:val="-16"/>
                <w:sz w:val="22"/>
                <w:szCs w:val="22"/>
              </w:rPr>
              <w:fldChar w:fldCharType="begin"/>
            </w:r>
            <w:r>
              <w:rPr>
                <w:snapToGrid w:val="0"/>
                <w:color w:val="auto"/>
                <w:spacing w:val="-16"/>
                <w:sz w:val="22"/>
                <w:szCs w:val="22"/>
              </w:rPr>
              <w:instrText xml:space="preserve"> = 5 \* GB3 \* MERGEFORMAT </w:instrText>
            </w:r>
            <w:r>
              <w:rPr>
                <w:snapToGrid w:val="0"/>
                <w:color w:val="auto"/>
                <w:spacing w:val="-16"/>
                <w:sz w:val="22"/>
                <w:szCs w:val="22"/>
              </w:rPr>
              <w:fldChar w:fldCharType="separate"/>
            </w:r>
            <w:r>
              <w:rPr>
                <w:rFonts w:hint="eastAsia"/>
                <w:color w:val="auto"/>
                <w:sz w:val="22"/>
                <w:szCs w:val="22"/>
              </w:rPr>
              <w:t>⑤</w:t>
            </w:r>
            <w:r>
              <w:rPr>
                <w:snapToGrid w:val="0"/>
                <w:color w:val="auto"/>
                <w:spacing w:val="-16"/>
                <w:sz w:val="22"/>
                <w:szCs w:val="22"/>
              </w:rPr>
              <w:fldChar w:fldCharType="end"/>
            </w:r>
          </w:p>
        </w:tc>
        <w:tc>
          <w:tcPr>
            <w:tcW w:w="1513" w:type="dxa"/>
            <w:tcMar>
              <w:left w:w="28" w:type="dxa"/>
              <w:right w:w="28" w:type="dxa"/>
            </w:tcMar>
            <w:vAlign w:val="center"/>
          </w:tcPr>
          <w:p w14:paraId="061EB3D1">
            <w:pPr>
              <w:pStyle w:val="41"/>
              <w:spacing w:line="240" w:lineRule="auto"/>
              <w:rPr>
                <w:snapToGrid w:val="0"/>
                <w:color w:val="auto"/>
                <w:spacing w:val="-16"/>
                <w:sz w:val="22"/>
                <w:szCs w:val="22"/>
              </w:rPr>
            </w:pPr>
            <w:r>
              <w:rPr>
                <w:snapToGrid w:val="0"/>
                <w:color w:val="auto"/>
                <w:spacing w:val="-16"/>
                <w:sz w:val="22"/>
                <w:szCs w:val="22"/>
              </w:rPr>
              <w:t>本项目建成后</w:t>
            </w:r>
          </w:p>
          <w:p w14:paraId="087A4582">
            <w:pPr>
              <w:pStyle w:val="41"/>
              <w:spacing w:line="240" w:lineRule="auto"/>
              <w:rPr>
                <w:snapToGrid w:val="0"/>
                <w:color w:val="auto"/>
                <w:spacing w:val="-16"/>
                <w:sz w:val="22"/>
                <w:szCs w:val="22"/>
              </w:rPr>
            </w:pPr>
            <w:r>
              <w:rPr>
                <w:rFonts w:hint="eastAsia"/>
                <w:snapToGrid w:val="0"/>
                <w:color w:val="auto"/>
                <w:spacing w:val="-16"/>
                <w:sz w:val="22"/>
                <w:szCs w:val="22"/>
              </w:rPr>
              <w:t>全厂</w:t>
            </w:r>
            <w:r>
              <w:rPr>
                <w:snapToGrid w:val="0"/>
                <w:color w:val="auto"/>
                <w:spacing w:val="-16"/>
                <w:sz w:val="22"/>
                <w:szCs w:val="22"/>
              </w:rPr>
              <w:t>排放量（固</w:t>
            </w:r>
            <w:r>
              <w:rPr>
                <w:rFonts w:hint="eastAsia"/>
                <w:snapToGrid w:val="0"/>
                <w:color w:val="auto"/>
                <w:spacing w:val="-16"/>
                <w:sz w:val="22"/>
                <w:szCs w:val="22"/>
              </w:rPr>
              <w:t>体</w:t>
            </w:r>
            <w:r>
              <w:rPr>
                <w:snapToGrid w:val="0"/>
                <w:color w:val="auto"/>
                <w:spacing w:val="-16"/>
                <w:sz w:val="22"/>
                <w:szCs w:val="22"/>
              </w:rPr>
              <w:t>废</w:t>
            </w:r>
            <w:r>
              <w:rPr>
                <w:rFonts w:hint="eastAsia"/>
                <w:snapToGrid w:val="0"/>
                <w:color w:val="auto"/>
                <w:spacing w:val="-16"/>
                <w:sz w:val="22"/>
                <w:szCs w:val="22"/>
              </w:rPr>
              <w:t>物</w:t>
            </w:r>
            <w:r>
              <w:rPr>
                <w:snapToGrid w:val="0"/>
                <w:color w:val="auto"/>
                <w:spacing w:val="-16"/>
                <w:sz w:val="22"/>
                <w:szCs w:val="22"/>
              </w:rPr>
              <w:t>产生量）</w:t>
            </w:r>
            <w:r>
              <w:rPr>
                <w:snapToGrid w:val="0"/>
                <w:color w:val="auto"/>
                <w:spacing w:val="-16"/>
                <w:sz w:val="22"/>
                <w:szCs w:val="22"/>
              </w:rPr>
              <w:fldChar w:fldCharType="begin"/>
            </w:r>
            <w:r>
              <w:rPr>
                <w:snapToGrid w:val="0"/>
                <w:color w:val="auto"/>
                <w:spacing w:val="-16"/>
                <w:sz w:val="22"/>
                <w:szCs w:val="22"/>
              </w:rPr>
              <w:instrText xml:space="preserve"> = 6 \* GB3 \* MERGEFORMAT </w:instrText>
            </w:r>
            <w:r>
              <w:rPr>
                <w:snapToGrid w:val="0"/>
                <w:color w:val="auto"/>
                <w:spacing w:val="-16"/>
                <w:sz w:val="22"/>
                <w:szCs w:val="22"/>
              </w:rPr>
              <w:fldChar w:fldCharType="separate"/>
            </w:r>
            <w:r>
              <w:rPr>
                <w:rFonts w:hint="eastAsia"/>
                <w:color w:val="auto"/>
                <w:sz w:val="22"/>
                <w:szCs w:val="22"/>
              </w:rPr>
              <w:t>⑥</w:t>
            </w:r>
            <w:r>
              <w:rPr>
                <w:snapToGrid w:val="0"/>
                <w:color w:val="auto"/>
                <w:spacing w:val="-16"/>
                <w:sz w:val="22"/>
                <w:szCs w:val="22"/>
              </w:rPr>
              <w:fldChar w:fldCharType="end"/>
            </w:r>
          </w:p>
        </w:tc>
        <w:tc>
          <w:tcPr>
            <w:tcW w:w="1020" w:type="dxa"/>
            <w:tcMar>
              <w:left w:w="28" w:type="dxa"/>
              <w:right w:w="28" w:type="dxa"/>
            </w:tcMar>
            <w:vAlign w:val="center"/>
          </w:tcPr>
          <w:p w14:paraId="77806F49">
            <w:pPr>
              <w:pStyle w:val="41"/>
              <w:spacing w:line="240" w:lineRule="auto"/>
              <w:rPr>
                <w:snapToGrid w:val="0"/>
                <w:color w:val="auto"/>
                <w:sz w:val="22"/>
                <w:szCs w:val="22"/>
              </w:rPr>
            </w:pPr>
            <w:r>
              <w:rPr>
                <w:snapToGrid w:val="0"/>
                <w:color w:val="auto"/>
                <w:sz w:val="22"/>
                <w:szCs w:val="22"/>
              </w:rPr>
              <w:t>变化量</w:t>
            </w:r>
          </w:p>
          <w:p w14:paraId="5CD94389">
            <w:pPr>
              <w:pStyle w:val="41"/>
              <w:spacing w:line="240" w:lineRule="auto"/>
              <w:rPr>
                <w:snapToGrid w:val="0"/>
                <w:color w:val="auto"/>
                <w:sz w:val="22"/>
                <w:szCs w:val="22"/>
              </w:rPr>
            </w:pPr>
            <w:r>
              <w:rPr>
                <w:snapToGrid w:val="0"/>
                <w:color w:val="auto"/>
                <w:sz w:val="22"/>
                <w:szCs w:val="22"/>
              </w:rPr>
              <w:fldChar w:fldCharType="begin"/>
            </w:r>
            <w:r>
              <w:rPr>
                <w:snapToGrid w:val="0"/>
                <w:color w:val="auto"/>
                <w:sz w:val="22"/>
                <w:szCs w:val="22"/>
              </w:rPr>
              <w:instrText xml:space="preserve"> = 7 \* GB3 \* MERGEFORMAT </w:instrText>
            </w:r>
            <w:r>
              <w:rPr>
                <w:snapToGrid w:val="0"/>
                <w:color w:val="auto"/>
                <w:sz w:val="22"/>
                <w:szCs w:val="22"/>
              </w:rPr>
              <w:fldChar w:fldCharType="separate"/>
            </w:r>
            <w:r>
              <w:rPr>
                <w:rFonts w:hint="eastAsia"/>
                <w:color w:val="auto"/>
                <w:sz w:val="22"/>
                <w:szCs w:val="22"/>
              </w:rPr>
              <w:t>⑦</w:t>
            </w:r>
            <w:r>
              <w:rPr>
                <w:snapToGrid w:val="0"/>
                <w:color w:val="auto"/>
                <w:sz w:val="22"/>
                <w:szCs w:val="22"/>
              </w:rPr>
              <w:fldChar w:fldCharType="end"/>
            </w:r>
          </w:p>
        </w:tc>
      </w:tr>
      <w:tr w14:paraId="715D7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0" w:type="dxa"/>
            <w:vMerge w:val="restart"/>
            <w:vAlign w:val="center"/>
          </w:tcPr>
          <w:p w14:paraId="06961357">
            <w:pPr>
              <w:pStyle w:val="41"/>
              <w:spacing w:line="240" w:lineRule="auto"/>
              <w:rPr>
                <w:rFonts w:hAnsi="宋体"/>
                <w:snapToGrid w:val="0"/>
                <w:color w:val="auto"/>
                <w:sz w:val="22"/>
                <w:szCs w:val="22"/>
              </w:rPr>
            </w:pPr>
            <w:r>
              <w:rPr>
                <w:rFonts w:hint="eastAsia" w:hAnsi="宋体"/>
                <w:snapToGrid w:val="0"/>
                <w:color w:val="auto"/>
                <w:sz w:val="22"/>
                <w:szCs w:val="22"/>
              </w:rPr>
              <w:t>废气</w:t>
            </w:r>
          </w:p>
        </w:tc>
        <w:tc>
          <w:tcPr>
            <w:tcW w:w="2145" w:type="dxa"/>
            <w:vAlign w:val="center"/>
          </w:tcPr>
          <w:p w14:paraId="2755F219">
            <w:pPr>
              <w:pStyle w:val="41"/>
              <w:spacing w:line="240" w:lineRule="auto"/>
              <w:rPr>
                <w:rFonts w:hAnsi="宋体"/>
                <w:snapToGrid w:val="0"/>
                <w:color w:val="auto"/>
                <w:sz w:val="22"/>
                <w:szCs w:val="22"/>
              </w:rPr>
            </w:pPr>
            <w:r>
              <w:rPr>
                <w:rFonts w:hint="eastAsia" w:hAnsi="宋体"/>
                <w:snapToGrid w:val="0"/>
                <w:color w:val="auto"/>
                <w:sz w:val="22"/>
                <w:szCs w:val="22"/>
              </w:rPr>
              <w:t>颗粒物</w:t>
            </w:r>
          </w:p>
        </w:tc>
        <w:tc>
          <w:tcPr>
            <w:tcW w:w="1625" w:type="dxa"/>
            <w:vAlign w:val="center"/>
          </w:tcPr>
          <w:p w14:paraId="43E16471">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color w:val="auto"/>
                <w:kern w:val="0"/>
                <w:sz w:val="22"/>
                <w:szCs w:val="22"/>
                <w:lang w:val="en-US" w:eastAsia="zh-CN" w:bidi="ar"/>
              </w:rPr>
              <w:t>0.003</w:t>
            </w:r>
          </w:p>
        </w:tc>
        <w:tc>
          <w:tcPr>
            <w:tcW w:w="1438" w:type="dxa"/>
            <w:vAlign w:val="center"/>
          </w:tcPr>
          <w:p w14:paraId="196B8473">
            <w:pPr>
              <w:widowControl/>
              <w:jc w:val="center"/>
              <w:textAlignment w:val="center"/>
              <w:rPr>
                <w:rFonts w:hint="eastAsia" w:ascii="Times New Roman" w:hAnsi="Times New Roman" w:eastAsia="宋体" w:cs="Times New Roman"/>
                <w:color w:val="auto"/>
                <w:kern w:val="0"/>
                <w:sz w:val="22"/>
                <w:szCs w:val="22"/>
                <w:lang w:eastAsia="zh-CN" w:bidi="ar"/>
              </w:rPr>
            </w:pPr>
            <w:r>
              <w:rPr>
                <w:rFonts w:hint="eastAsia" w:cs="Times New Roman"/>
                <w:color w:val="auto"/>
                <w:kern w:val="0"/>
                <w:sz w:val="22"/>
                <w:szCs w:val="22"/>
                <w:lang w:val="en-US" w:eastAsia="zh-CN" w:bidi="ar"/>
              </w:rPr>
              <w:t>/</w:t>
            </w:r>
          </w:p>
        </w:tc>
        <w:tc>
          <w:tcPr>
            <w:tcW w:w="1675" w:type="dxa"/>
            <w:vAlign w:val="center"/>
          </w:tcPr>
          <w:p w14:paraId="6065BEA0">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04DEC520">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0.022</w:t>
            </w:r>
          </w:p>
        </w:tc>
        <w:tc>
          <w:tcPr>
            <w:tcW w:w="1587" w:type="dxa"/>
            <w:vAlign w:val="center"/>
          </w:tcPr>
          <w:p w14:paraId="2C5ED15B">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0</w:t>
            </w:r>
          </w:p>
        </w:tc>
        <w:tc>
          <w:tcPr>
            <w:tcW w:w="1513" w:type="dxa"/>
            <w:vAlign w:val="center"/>
          </w:tcPr>
          <w:p w14:paraId="02DA2695">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0.025</w:t>
            </w:r>
          </w:p>
        </w:tc>
        <w:tc>
          <w:tcPr>
            <w:tcW w:w="1020" w:type="dxa"/>
            <w:vAlign w:val="center"/>
          </w:tcPr>
          <w:p w14:paraId="06C71BEA">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+0.022</w:t>
            </w:r>
          </w:p>
        </w:tc>
      </w:tr>
      <w:tr w14:paraId="4C798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0" w:type="dxa"/>
            <w:vMerge w:val="continue"/>
            <w:vAlign w:val="center"/>
          </w:tcPr>
          <w:p w14:paraId="0A95DCF3">
            <w:pPr>
              <w:pStyle w:val="41"/>
              <w:spacing w:line="240" w:lineRule="auto"/>
              <w:rPr>
                <w:rFonts w:hint="eastAsia" w:hAnsi="宋体"/>
                <w:snapToGrid w:val="0"/>
                <w:color w:val="auto"/>
                <w:sz w:val="22"/>
                <w:szCs w:val="22"/>
              </w:rPr>
            </w:pPr>
          </w:p>
        </w:tc>
        <w:tc>
          <w:tcPr>
            <w:tcW w:w="2145" w:type="dxa"/>
            <w:vAlign w:val="center"/>
          </w:tcPr>
          <w:p w14:paraId="59D876D6">
            <w:pPr>
              <w:pStyle w:val="41"/>
              <w:spacing w:line="240" w:lineRule="auto"/>
              <w:rPr>
                <w:rFonts w:hint="eastAsia" w:hAnsi="宋体" w:eastAsia="宋体"/>
                <w:snapToGrid w:val="0"/>
                <w:color w:val="auto"/>
                <w:sz w:val="22"/>
                <w:szCs w:val="22"/>
                <w:lang w:val="en-US" w:eastAsia="zh-CN"/>
              </w:rPr>
            </w:pPr>
            <w:r>
              <w:rPr>
                <w:rFonts w:hint="eastAsia" w:hAnsi="宋体"/>
                <w:snapToGrid w:val="0"/>
                <w:color w:val="auto"/>
                <w:sz w:val="22"/>
                <w:szCs w:val="22"/>
                <w:lang w:val="en-US" w:eastAsia="zh-CN"/>
              </w:rPr>
              <w:t>非甲烷总烃</w:t>
            </w:r>
          </w:p>
        </w:tc>
        <w:tc>
          <w:tcPr>
            <w:tcW w:w="1625" w:type="dxa"/>
            <w:vAlign w:val="center"/>
          </w:tcPr>
          <w:p w14:paraId="216958E9">
            <w:pPr>
              <w:widowControl/>
              <w:jc w:val="center"/>
              <w:textAlignment w:val="center"/>
              <w:rPr>
                <w:rFonts w:hint="default" w:cs="Times New Roman"/>
                <w:color w:val="auto"/>
                <w:kern w:val="0"/>
                <w:sz w:val="22"/>
                <w:szCs w:val="22"/>
                <w:lang w:val="en-US" w:eastAsia="zh-CN" w:bidi="ar"/>
              </w:rPr>
            </w:pPr>
            <w:r>
              <w:rPr>
                <w:rFonts w:hint="eastAsia" w:cs="Times New Roman"/>
                <w:color w:val="auto"/>
                <w:kern w:val="0"/>
                <w:sz w:val="22"/>
                <w:szCs w:val="22"/>
                <w:lang w:val="en-US" w:eastAsia="zh-CN" w:bidi="ar"/>
              </w:rPr>
              <w:t>/</w:t>
            </w:r>
          </w:p>
        </w:tc>
        <w:tc>
          <w:tcPr>
            <w:tcW w:w="1438" w:type="dxa"/>
            <w:vAlign w:val="center"/>
          </w:tcPr>
          <w:p w14:paraId="1F4B1A9A">
            <w:pPr>
              <w:widowControl/>
              <w:jc w:val="center"/>
              <w:textAlignment w:val="center"/>
              <w:rPr>
                <w:rFonts w:hint="default" w:cs="Times New Roman"/>
                <w:color w:val="auto"/>
                <w:kern w:val="0"/>
                <w:sz w:val="22"/>
                <w:szCs w:val="22"/>
                <w:lang w:val="en-US" w:eastAsia="zh-CN" w:bidi="ar"/>
              </w:rPr>
            </w:pPr>
            <w:r>
              <w:rPr>
                <w:rFonts w:hint="eastAsia" w:cs="Times New Roman"/>
                <w:color w:val="auto"/>
                <w:kern w:val="0"/>
                <w:sz w:val="22"/>
                <w:szCs w:val="22"/>
                <w:lang w:val="en-US" w:eastAsia="zh-CN" w:bidi="ar"/>
              </w:rPr>
              <w:t>0.154</w:t>
            </w:r>
          </w:p>
        </w:tc>
        <w:tc>
          <w:tcPr>
            <w:tcW w:w="1675" w:type="dxa"/>
            <w:vAlign w:val="center"/>
          </w:tcPr>
          <w:p w14:paraId="5E12AE3E">
            <w:pPr>
              <w:widowControl/>
              <w:jc w:val="center"/>
              <w:textAlignment w:val="center"/>
              <w:rPr>
                <w:rFonts w:hint="eastAsia" w:ascii="Times New Roman" w:hAnsi="Times New Roman" w:eastAsia="宋体" w:cs="Times New Roman"/>
                <w:color w:val="auto"/>
                <w:kern w:val="0"/>
                <w:sz w:val="22"/>
                <w:szCs w:val="22"/>
                <w:lang w:val="en-US" w:eastAsia="zh-CN" w:bidi="ar"/>
              </w:rPr>
            </w:pPr>
            <w:r>
              <w:rPr>
                <w:rFonts w:hint="eastAsia" w:cs="Times New Roman"/>
                <w:color w:val="auto"/>
                <w:kern w:val="0"/>
                <w:sz w:val="22"/>
                <w:szCs w:val="22"/>
                <w:lang w:val="en-US" w:eastAsia="zh-CN" w:bidi="ar"/>
              </w:rPr>
              <w:t>/</w:t>
            </w:r>
          </w:p>
        </w:tc>
        <w:tc>
          <w:tcPr>
            <w:tcW w:w="1625" w:type="dxa"/>
            <w:vAlign w:val="center"/>
          </w:tcPr>
          <w:p w14:paraId="5C1D3019">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color w:val="auto"/>
                <w:kern w:val="0"/>
                <w:sz w:val="22"/>
                <w:szCs w:val="22"/>
                <w:lang w:val="en-US" w:eastAsia="zh-CN" w:bidi="ar"/>
              </w:rPr>
              <w:t>0.005</w:t>
            </w:r>
          </w:p>
        </w:tc>
        <w:tc>
          <w:tcPr>
            <w:tcW w:w="1587" w:type="dxa"/>
            <w:vAlign w:val="center"/>
          </w:tcPr>
          <w:p w14:paraId="64B09BC8">
            <w:pPr>
              <w:widowControl/>
              <w:jc w:val="center"/>
              <w:textAlignment w:val="center"/>
              <w:rPr>
                <w:rFonts w:hint="eastAsia" w:ascii="Times New Roman" w:hAnsi="Times New Roman" w:eastAsia="宋体" w:cs="Times New Roman"/>
                <w:color w:val="auto"/>
                <w:kern w:val="0"/>
                <w:sz w:val="22"/>
                <w:szCs w:val="22"/>
                <w:lang w:val="en-US" w:eastAsia="zh-CN" w:bidi="ar"/>
              </w:rPr>
            </w:pPr>
            <w:r>
              <w:rPr>
                <w:rFonts w:hint="eastAsia" w:cs="Times New Roman"/>
                <w:color w:val="auto"/>
                <w:kern w:val="0"/>
                <w:sz w:val="22"/>
                <w:szCs w:val="22"/>
                <w:lang w:val="en-US" w:eastAsia="zh-CN" w:bidi="ar"/>
              </w:rPr>
              <w:t>0</w:t>
            </w:r>
          </w:p>
        </w:tc>
        <w:tc>
          <w:tcPr>
            <w:tcW w:w="1513" w:type="dxa"/>
            <w:vAlign w:val="center"/>
          </w:tcPr>
          <w:p w14:paraId="7698084D">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color w:val="auto"/>
                <w:kern w:val="0"/>
                <w:sz w:val="22"/>
                <w:szCs w:val="22"/>
                <w:lang w:val="en-US" w:eastAsia="zh-CN" w:bidi="ar"/>
              </w:rPr>
              <w:t>0.005</w:t>
            </w:r>
          </w:p>
        </w:tc>
        <w:tc>
          <w:tcPr>
            <w:tcW w:w="1020" w:type="dxa"/>
            <w:vAlign w:val="center"/>
          </w:tcPr>
          <w:p w14:paraId="6CC591A9">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color w:val="auto"/>
                <w:kern w:val="0"/>
                <w:sz w:val="22"/>
                <w:szCs w:val="22"/>
                <w:lang w:val="en-US" w:eastAsia="zh-CN" w:bidi="ar"/>
              </w:rPr>
              <w:t>+0.005</w:t>
            </w:r>
          </w:p>
        </w:tc>
      </w:tr>
      <w:tr w14:paraId="292DE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restart"/>
            <w:vAlign w:val="center"/>
          </w:tcPr>
          <w:p w14:paraId="0B3EBF1C">
            <w:pPr>
              <w:pStyle w:val="41"/>
              <w:spacing w:line="240" w:lineRule="auto"/>
              <w:rPr>
                <w:rFonts w:hAnsi="宋体"/>
                <w:snapToGrid w:val="0"/>
                <w:color w:val="auto"/>
                <w:sz w:val="22"/>
                <w:szCs w:val="22"/>
              </w:rPr>
            </w:pPr>
            <w:r>
              <w:rPr>
                <w:rFonts w:hint="eastAsia" w:hAnsi="宋体"/>
                <w:snapToGrid w:val="0"/>
                <w:color w:val="auto"/>
                <w:sz w:val="22"/>
                <w:szCs w:val="22"/>
              </w:rPr>
              <w:t>废水</w:t>
            </w:r>
          </w:p>
        </w:tc>
        <w:tc>
          <w:tcPr>
            <w:tcW w:w="2145" w:type="dxa"/>
            <w:vAlign w:val="center"/>
          </w:tcPr>
          <w:p w14:paraId="76275EAA">
            <w:pPr>
              <w:widowControl/>
              <w:jc w:val="center"/>
              <w:textAlignment w:val="center"/>
              <w:rPr>
                <w:color w:val="auto"/>
                <w:sz w:val="22"/>
                <w:szCs w:val="22"/>
              </w:rPr>
            </w:pPr>
            <w:r>
              <w:rPr>
                <w:rFonts w:hint="eastAsia"/>
                <w:color w:val="auto"/>
                <w:kern w:val="0"/>
                <w:sz w:val="22"/>
                <w:szCs w:val="22"/>
                <w:lang w:bidi="ar"/>
              </w:rPr>
              <w:t>废水量</w:t>
            </w:r>
          </w:p>
        </w:tc>
        <w:tc>
          <w:tcPr>
            <w:tcW w:w="1625" w:type="dxa"/>
            <w:vAlign w:val="center"/>
          </w:tcPr>
          <w:p w14:paraId="2F41EEC4">
            <w:pPr>
              <w:keepNext w:val="0"/>
              <w:keepLines w:val="0"/>
              <w:widowControl/>
              <w:suppressLineNumbers w:val="0"/>
              <w:jc w:val="center"/>
              <w:textAlignment w:val="center"/>
              <w:rPr>
                <w:rFonts w:ascii="Times New Roman" w:hAnsi="Times New Roman" w:eastAsia="宋体" w:cs="Times New Roman"/>
                <w:color w:val="auto"/>
                <w:kern w:val="0"/>
                <w:sz w:val="22"/>
                <w:szCs w:val="22"/>
                <w:lang w:bidi="ar"/>
              </w:rPr>
            </w:pPr>
            <w:r>
              <w:rPr>
                <w:rFonts w:hint="default" w:ascii="Times New Roman" w:hAnsi="Times New Roman" w:eastAsia="宋体" w:cs="Times New Roman"/>
                <w:i w:val="0"/>
                <w:iCs w:val="0"/>
                <w:color w:val="auto"/>
                <w:kern w:val="0"/>
                <w:sz w:val="22"/>
                <w:szCs w:val="22"/>
                <w:u w:val="none"/>
                <w:lang w:val="en-US" w:eastAsia="zh-CN" w:bidi="ar"/>
              </w:rPr>
              <w:t>1.</w:t>
            </w:r>
            <w:r>
              <w:rPr>
                <w:rFonts w:hint="eastAsia" w:cs="Times New Roman"/>
                <w:i w:val="0"/>
                <w:iCs w:val="0"/>
                <w:color w:val="auto"/>
                <w:kern w:val="0"/>
                <w:sz w:val="22"/>
                <w:szCs w:val="22"/>
                <w:u w:val="none"/>
                <w:lang w:val="en-US" w:eastAsia="zh-CN" w:bidi="ar"/>
              </w:rPr>
              <w:t>1957</w:t>
            </w:r>
          </w:p>
        </w:tc>
        <w:tc>
          <w:tcPr>
            <w:tcW w:w="1438" w:type="dxa"/>
            <w:vAlign w:val="center"/>
          </w:tcPr>
          <w:p w14:paraId="74EA5E44">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75" w:type="dxa"/>
            <w:vAlign w:val="center"/>
          </w:tcPr>
          <w:p w14:paraId="500D48DE">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1E7A6358">
            <w:pPr>
              <w:keepNext w:val="0"/>
              <w:keepLines w:val="0"/>
              <w:widowControl/>
              <w:suppressLineNumbers w:val="0"/>
              <w:jc w:val="center"/>
              <w:textAlignment w:val="center"/>
              <w:rPr>
                <w:rFonts w:ascii="Times New Roman" w:hAnsi="Times New Roman" w:eastAsia="宋体" w:cs="Times New Roman"/>
                <w:color w:val="auto"/>
                <w:kern w:val="0"/>
                <w:sz w:val="22"/>
                <w:szCs w:val="22"/>
                <w:lang w:bidi="ar"/>
              </w:rPr>
            </w:pPr>
            <w:r>
              <w:rPr>
                <w:rFonts w:hint="default" w:ascii="Times New Roman" w:hAnsi="Times New Roman" w:eastAsia="宋体" w:cs="Times New Roman"/>
                <w:i w:val="0"/>
                <w:iCs w:val="0"/>
                <w:color w:val="auto"/>
                <w:kern w:val="0"/>
                <w:sz w:val="22"/>
                <w:szCs w:val="22"/>
                <w:u w:val="none"/>
                <w:lang w:val="en-US" w:eastAsia="zh-CN" w:bidi="ar"/>
              </w:rPr>
              <w:t>0.</w:t>
            </w:r>
            <w:r>
              <w:rPr>
                <w:rFonts w:hint="eastAsia" w:cs="Times New Roman"/>
                <w:i w:val="0"/>
                <w:iCs w:val="0"/>
                <w:color w:val="auto"/>
                <w:kern w:val="0"/>
                <w:sz w:val="22"/>
                <w:szCs w:val="22"/>
                <w:u w:val="none"/>
                <w:lang w:val="en-US" w:eastAsia="zh-CN" w:bidi="ar"/>
              </w:rPr>
              <w:t>4819</w:t>
            </w:r>
            <w:r>
              <w:rPr>
                <w:rFonts w:hint="default" w:ascii="Times New Roman" w:hAnsi="Times New Roman" w:eastAsia="宋体" w:cs="Times New Roman"/>
                <w:i w:val="0"/>
                <w:iCs w:val="0"/>
                <w:color w:val="auto"/>
                <w:kern w:val="0"/>
                <w:sz w:val="22"/>
                <w:szCs w:val="22"/>
                <w:u w:val="none"/>
                <w:lang w:val="en-US" w:eastAsia="zh-CN" w:bidi="ar"/>
              </w:rPr>
              <w:t xml:space="preserve"> </w:t>
            </w:r>
          </w:p>
        </w:tc>
        <w:tc>
          <w:tcPr>
            <w:tcW w:w="1587" w:type="dxa"/>
            <w:vAlign w:val="center"/>
          </w:tcPr>
          <w:p w14:paraId="7A4AE4DD">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0</w:t>
            </w:r>
          </w:p>
        </w:tc>
        <w:tc>
          <w:tcPr>
            <w:tcW w:w="1513" w:type="dxa"/>
            <w:vAlign w:val="center"/>
          </w:tcPr>
          <w:p w14:paraId="536F4664">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1.6776</w:t>
            </w:r>
          </w:p>
        </w:tc>
        <w:tc>
          <w:tcPr>
            <w:tcW w:w="1020" w:type="dxa"/>
            <w:vAlign w:val="center"/>
          </w:tcPr>
          <w:p w14:paraId="6E35FCA8">
            <w:pPr>
              <w:keepNext w:val="0"/>
              <w:keepLines w:val="0"/>
              <w:widowControl/>
              <w:suppressLineNumbers w:val="0"/>
              <w:jc w:val="center"/>
              <w:textAlignment w:val="center"/>
              <w:rPr>
                <w:rFonts w:ascii="Times New Roman" w:hAnsi="Times New Roman" w:eastAsia="宋体" w:cs="Times New Roman"/>
                <w:color w:val="auto"/>
                <w:kern w:val="0"/>
                <w:sz w:val="22"/>
                <w:szCs w:val="22"/>
                <w:lang w:bidi="ar"/>
              </w:rPr>
            </w:pP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0.</w:t>
            </w:r>
            <w:r>
              <w:rPr>
                <w:rFonts w:hint="eastAsia" w:cs="Times New Roman"/>
                <w:i w:val="0"/>
                <w:iCs w:val="0"/>
                <w:color w:val="auto"/>
                <w:kern w:val="0"/>
                <w:sz w:val="22"/>
                <w:szCs w:val="22"/>
                <w:u w:val="none"/>
                <w:lang w:val="en-US" w:eastAsia="zh-CN" w:bidi="ar"/>
              </w:rPr>
              <w:t>4819</w:t>
            </w:r>
            <w:r>
              <w:rPr>
                <w:rFonts w:hint="default" w:ascii="Times New Roman" w:hAnsi="Times New Roman" w:eastAsia="宋体" w:cs="Times New Roman"/>
                <w:i w:val="0"/>
                <w:iCs w:val="0"/>
                <w:color w:val="auto"/>
                <w:kern w:val="0"/>
                <w:sz w:val="22"/>
                <w:szCs w:val="22"/>
                <w:u w:val="none"/>
                <w:lang w:val="en-US" w:eastAsia="zh-CN" w:bidi="ar"/>
              </w:rPr>
              <w:t xml:space="preserve"> </w:t>
            </w:r>
          </w:p>
        </w:tc>
      </w:tr>
      <w:tr w14:paraId="7AE1D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continue"/>
            <w:vAlign w:val="center"/>
          </w:tcPr>
          <w:p w14:paraId="66F5637D">
            <w:pPr>
              <w:pStyle w:val="41"/>
              <w:spacing w:line="240" w:lineRule="auto"/>
              <w:rPr>
                <w:rFonts w:hAnsi="宋体"/>
                <w:snapToGrid w:val="0"/>
                <w:color w:val="auto"/>
                <w:sz w:val="22"/>
                <w:szCs w:val="22"/>
              </w:rPr>
            </w:pPr>
          </w:p>
        </w:tc>
        <w:tc>
          <w:tcPr>
            <w:tcW w:w="2145" w:type="dxa"/>
            <w:vAlign w:val="center"/>
          </w:tcPr>
          <w:p w14:paraId="7AC3447F">
            <w:pPr>
              <w:widowControl/>
              <w:jc w:val="center"/>
              <w:textAlignment w:val="center"/>
              <w:rPr>
                <w:color w:val="auto"/>
                <w:kern w:val="0"/>
                <w:sz w:val="22"/>
                <w:szCs w:val="22"/>
                <w:lang w:bidi="ar"/>
              </w:rPr>
            </w:pPr>
            <w:r>
              <w:rPr>
                <w:color w:val="auto"/>
                <w:kern w:val="0"/>
                <w:sz w:val="22"/>
                <w:szCs w:val="22"/>
                <w:lang w:bidi="ar"/>
              </w:rPr>
              <w:t>COD</w:t>
            </w:r>
          </w:p>
        </w:tc>
        <w:tc>
          <w:tcPr>
            <w:tcW w:w="1625" w:type="dxa"/>
            <w:vAlign w:val="center"/>
          </w:tcPr>
          <w:p w14:paraId="196CE90C">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default" w:ascii="Times New Roman" w:hAnsi="Times New Roman" w:eastAsia="宋体" w:cs="Times New Roman"/>
                <w:i w:val="0"/>
                <w:iCs w:val="0"/>
                <w:color w:val="auto"/>
                <w:kern w:val="0"/>
                <w:sz w:val="22"/>
                <w:szCs w:val="22"/>
                <w:u w:val="none"/>
                <w:lang w:val="en-US" w:eastAsia="zh-CN" w:bidi="ar"/>
              </w:rPr>
              <w:t xml:space="preserve">5.978 </w:t>
            </w:r>
          </w:p>
        </w:tc>
        <w:tc>
          <w:tcPr>
            <w:tcW w:w="1438" w:type="dxa"/>
            <w:vAlign w:val="center"/>
          </w:tcPr>
          <w:p w14:paraId="2DCB5464">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color w:val="auto"/>
                <w:kern w:val="0"/>
                <w:sz w:val="22"/>
                <w:szCs w:val="22"/>
                <w:lang w:val="en-US" w:eastAsia="zh-CN" w:bidi="ar"/>
              </w:rPr>
              <w:t>6.207</w:t>
            </w:r>
          </w:p>
        </w:tc>
        <w:tc>
          <w:tcPr>
            <w:tcW w:w="1675" w:type="dxa"/>
            <w:vAlign w:val="center"/>
          </w:tcPr>
          <w:p w14:paraId="283D3056">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049E7333">
            <w:pPr>
              <w:keepNext w:val="0"/>
              <w:keepLines w:val="0"/>
              <w:widowControl/>
              <w:suppressLineNumbers w:val="0"/>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i w:val="0"/>
                <w:iCs w:val="0"/>
                <w:color w:val="auto"/>
                <w:kern w:val="0"/>
                <w:sz w:val="22"/>
                <w:szCs w:val="22"/>
                <w:u w:val="none"/>
                <w:lang w:val="en-US" w:eastAsia="zh-CN" w:bidi="ar"/>
              </w:rPr>
              <w:t xml:space="preserve">2.410 </w:t>
            </w:r>
          </w:p>
        </w:tc>
        <w:tc>
          <w:tcPr>
            <w:tcW w:w="1587" w:type="dxa"/>
            <w:vAlign w:val="center"/>
          </w:tcPr>
          <w:p w14:paraId="15E9B5B6">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0</w:t>
            </w:r>
          </w:p>
        </w:tc>
        <w:tc>
          <w:tcPr>
            <w:tcW w:w="1513" w:type="dxa"/>
            <w:vAlign w:val="center"/>
          </w:tcPr>
          <w:p w14:paraId="6AB7921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8.388 </w:t>
            </w:r>
          </w:p>
        </w:tc>
        <w:tc>
          <w:tcPr>
            <w:tcW w:w="1020" w:type="dxa"/>
            <w:vAlign w:val="center"/>
          </w:tcPr>
          <w:p w14:paraId="67D7E60D">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2.410 </w:t>
            </w:r>
          </w:p>
        </w:tc>
      </w:tr>
      <w:tr w14:paraId="339F8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continue"/>
            <w:vAlign w:val="center"/>
          </w:tcPr>
          <w:p w14:paraId="1417D94B">
            <w:pPr>
              <w:pStyle w:val="41"/>
              <w:spacing w:line="240" w:lineRule="auto"/>
              <w:rPr>
                <w:rFonts w:hAnsi="宋体"/>
                <w:snapToGrid w:val="0"/>
                <w:color w:val="auto"/>
                <w:sz w:val="22"/>
                <w:szCs w:val="22"/>
              </w:rPr>
            </w:pPr>
          </w:p>
        </w:tc>
        <w:tc>
          <w:tcPr>
            <w:tcW w:w="2145" w:type="dxa"/>
            <w:vAlign w:val="center"/>
          </w:tcPr>
          <w:p w14:paraId="0A8FD369">
            <w:pPr>
              <w:widowControl/>
              <w:jc w:val="center"/>
              <w:textAlignment w:val="center"/>
              <w:rPr>
                <w:color w:val="auto"/>
                <w:sz w:val="22"/>
                <w:szCs w:val="22"/>
              </w:rPr>
            </w:pPr>
            <w:r>
              <w:rPr>
                <w:color w:val="auto"/>
                <w:kern w:val="0"/>
                <w:sz w:val="22"/>
                <w:szCs w:val="22"/>
                <w:lang w:bidi="ar"/>
              </w:rPr>
              <w:t>BOD</w:t>
            </w:r>
            <w:r>
              <w:rPr>
                <w:color w:val="auto"/>
                <w:kern w:val="0"/>
                <w:sz w:val="22"/>
                <w:szCs w:val="22"/>
                <w:vertAlign w:val="subscript"/>
                <w:lang w:bidi="ar"/>
              </w:rPr>
              <w:t>5</w:t>
            </w:r>
          </w:p>
        </w:tc>
        <w:tc>
          <w:tcPr>
            <w:tcW w:w="1625" w:type="dxa"/>
            <w:vAlign w:val="center"/>
          </w:tcPr>
          <w:p w14:paraId="05020B38">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default" w:ascii="Times New Roman" w:hAnsi="Times New Roman" w:eastAsia="宋体" w:cs="Times New Roman"/>
                <w:i w:val="0"/>
                <w:iCs w:val="0"/>
                <w:color w:val="auto"/>
                <w:kern w:val="0"/>
                <w:sz w:val="22"/>
                <w:szCs w:val="22"/>
                <w:u w:val="none"/>
                <w:lang w:val="en-US" w:eastAsia="zh-CN" w:bidi="ar"/>
              </w:rPr>
              <w:t xml:space="preserve">3.587 </w:t>
            </w:r>
          </w:p>
        </w:tc>
        <w:tc>
          <w:tcPr>
            <w:tcW w:w="1438" w:type="dxa"/>
            <w:vAlign w:val="center"/>
          </w:tcPr>
          <w:p w14:paraId="08B3718C">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w:t>
            </w:r>
          </w:p>
        </w:tc>
        <w:tc>
          <w:tcPr>
            <w:tcW w:w="1675" w:type="dxa"/>
            <w:vAlign w:val="center"/>
          </w:tcPr>
          <w:p w14:paraId="39CEFF59">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754DE5C6">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eastAsia" w:ascii="Times New Roman" w:hAnsi="Times New Roman" w:eastAsia="宋体" w:cs="Times New Roman"/>
                <w:i w:val="0"/>
                <w:iCs w:val="0"/>
                <w:color w:val="auto"/>
                <w:kern w:val="0"/>
                <w:sz w:val="22"/>
                <w:szCs w:val="22"/>
                <w:u w:val="none"/>
                <w:lang w:val="en-US" w:eastAsia="zh-CN" w:bidi="ar"/>
              </w:rPr>
              <w:t xml:space="preserve">1.446 </w:t>
            </w:r>
          </w:p>
        </w:tc>
        <w:tc>
          <w:tcPr>
            <w:tcW w:w="1587" w:type="dxa"/>
            <w:vAlign w:val="center"/>
          </w:tcPr>
          <w:p w14:paraId="27CCEDC0">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0</w:t>
            </w:r>
          </w:p>
        </w:tc>
        <w:tc>
          <w:tcPr>
            <w:tcW w:w="1513" w:type="dxa"/>
            <w:vAlign w:val="center"/>
          </w:tcPr>
          <w:p w14:paraId="61C6671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5.033 </w:t>
            </w:r>
          </w:p>
        </w:tc>
        <w:tc>
          <w:tcPr>
            <w:tcW w:w="1020" w:type="dxa"/>
            <w:vAlign w:val="center"/>
          </w:tcPr>
          <w:p w14:paraId="166F1B3E">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1.446 </w:t>
            </w:r>
          </w:p>
        </w:tc>
      </w:tr>
      <w:tr w14:paraId="3C074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continue"/>
            <w:vAlign w:val="center"/>
          </w:tcPr>
          <w:p w14:paraId="03E1F3CB">
            <w:pPr>
              <w:pStyle w:val="41"/>
              <w:spacing w:line="240" w:lineRule="auto"/>
              <w:rPr>
                <w:rFonts w:hAnsi="宋体"/>
                <w:snapToGrid w:val="0"/>
                <w:color w:val="auto"/>
                <w:sz w:val="22"/>
                <w:szCs w:val="22"/>
              </w:rPr>
            </w:pPr>
          </w:p>
        </w:tc>
        <w:tc>
          <w:tcPr>
            <w:tcW w:w="2145" w:type="dxa"/>
            <w:vAlign w:val="center"/>
          </w:tcPr>
          <w:p w14:paraId="0842C36F">
            <w:pPr>
              <w:widowControl/>
              <w:jc w:val="center"/>
              <w:textAlignment w:val="center"/>
              <w:rPr>
                <w:color w:val="auto"/>
                <w:sz w:val="22"/>
                <w:szCs w:val="22"/>
              </w:rPr>
            </w:pPr>
            <w:r>
              <w:rPr>
                <w:color w:val="auto"/>
                <w:kern w:val="0"/>
                <w:sz w:val="22"/>
                <w:szCs w:val="22"/>
                <w:lang w:bidi="ar"/>
              </w:rPr>
              <w:t>SS</w:t>
            </w:r>
          </w:p>
        </w:tc>
        <w:tc>
          <w:tcPr>
            <w:tcW w:w="1625" w:type="dxa"/>
            <w:vAlign w:val="center"/>
          </w:tcPr>
          <w:p w14:paraId="53D18D51">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default" w:ascii="Times New Roman" w:hAnsi="Times New Roman" w:eastAsia="宋体" w:cs="Times New Roman"/>
                <w:i w:val="0"/>
                <w:iCs w:val="0"/>
                <w:color w:val="auto"/>
                <w:kern w:val="0"/>
                <w:sz w:val="22"/>
                <w:szCs w:val="22"/>
                <w:u w:val="none"/>
                <w:lang w:val="en-US" w:eastAsia="zh-CN" w:bidi="ar"/>
              </w:rPr>
              <w:t xml:space="preserve">4.783 </w:t>
            </w:r>
          </w:p>
        </w:tc>
        <w:tc>
          <w:tcPr>
            <w:tcW w:w="1438" w:type="dxa"/>
            <w:vAlign w:val="center"/>
          </w:tcPr>
          <w:p w14:paraId="196BEAF0">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w:t>
            </w:r>
          </w:p>
        </w:tc>
        <w:tc>
          <w:tcPr>
            <w:tcW w:w="1675" w:type="dxa"/>
            <w:vAlign w:val="center"/>
          </w:tcPr>
          <w:p w14:paraId="40DBC6AC">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48B185F8">
            <w:pPr>
              <w:keepNext w:val="0"/>
              <w:keepLines w:val="0"/>
              <w:widowControl/>
              <w:suppressLineNumbers w:val="0"/>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i w:val="0"/>
                <w:iCs w:val="0"/>
                <w:color w:val="auto"/>
                <w:kern w:val="0"/>
                <w:sz w:val="22"/>
                <w:szCs w:val="22"/>
                <w:u w:val="none"/>
                <w:lang w:val="en-US" w:eastAsia="zh-CN" w:bidi="ar"/>
              </w:rPr>
              <w:t xml:space="preserve">1.928 </w:t>
            </w:r>
          </w:p>
        </w:tc>
        <w:tc>
          <w:tcPr>
            <w:tcW w:w="1587" w:type="dxa"/>
            <w:vAlign w:val="center"/>
          </w:tcPr>
          <w:p w14:paraId="6CABAAB0">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0</w:t>
            </w:r>
          </w:p>
        </w:tc>
        <w:tc>
          <w:tcPr>
            <w:tcW w:w="1513" w:type="dxa"/>
            <w:vAlign w:val="center"/>
          </w:tcPr>
          <w:p w14:paraId="035105E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6.710 </w:t>
            </w:r>
          </w:p>
        </w:tc>
        <w:tc>
          <w:tcPr>
            <w:tcW w:w="1020" w:type="dxa"/>
            <w:vAlign w:val="center"/>
          </w:tcPr>
          <w:p w14:paraId="12FBF4E9">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1.928 </w:t>
            </w:r>
          </w:p>
        </w:tc>
      </w:tr>
      <w:tr w14:paraId="38316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continue"/>
            <w:vAlign w:val="center"/>
          </w:tcPr>
          <w:p w14:paraId="7DBF767B">
            <w:pPr>
              <w:pStyle w:val="41"/>
              <w:spacing w:line="240" w:lineRule="auto"/>
              <w:rPr>
                <w:rFonts w:hAnsi="宋体"/>
                <w:snapToGrid w:val="0"/>
                <w:color w:val="auto"/>
                <w:sz w:val="22"/>
                <w:szCs w:val="22"/>
              </w:rPr>
            </w:pPr>
          </w:p>
        </w:tc>
        <w:tc>
          <w:tcPr>
            <w:tcW w:w="2145" w:type="dxa"/>
            <w:vAlign w:val="center"/>
          </w:tcPr>
          <w:p w14:paraId="610BB045">
            <w:pPr>
              <w:widowControl/>
              <w:jc w:val="center"/>
              <w:textAlignment w:val="center"/>
              <w:rPr>
                <w:color w:val="auto"/>
                <w:sz w:val="22"/>
                <w:szCs w:val="22"/>
              </w:rPr>
            </w:pPr>
            <w:r>
              <w:rPr>
                <w:color w:val="auto"/>
                <w:kern w:val="0"/>
                <w:sz w:val="22"/>
                <w:szCs w:val="22"/>
                <w:lang w:bidi="ar"/>
              </w:rPr>
              <w:t>NH</w:t>
            </w:r>
            <w:r>
              <w:rPr>
                <w:color w:val="auto"/>
                <w:kern w:val="0"/>
                <w:sz w:val="22"/>
                <w:szCs w:val="22"/>
                <w:vertAlign w:val="subscript"/>
                <w:lang w:bidi="ar"/>
              </w:rPr>
              <w:t>3</w:t>
            </w:r>
            <w:r>
              <w:rPr>
                <w:color w:val="auto"/>
                <w:kern w:val="0"/>
                <w:sz w:val="22"/>
                <w:szCs w:val="22"/>
                <w:lang w:bidi="ar"/>
              </w:rPr>
              <w:t>-N</w:t>
            </w:r>
          </w:p>
        </w:tc>
        <w:tc>
          <w:tcPr>
            <w:tcW w:w="1625" w:type="dxa"/>
            <w:vAlign w:val="center"/>
          </w:tcPr>
          <w:p w14:paraId="377B0E8D">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default" w:ascii="Times New Roman" w:hAnsi="Times New Roman" w:eastAsia="宋体" w:cs="Times New Roman"/>
                <w:i w:val="0"/>
                <w:iCs w:val="0"/>
                <w:color w:val="auto"/>
                <w:kern w:val="0"/>
                <w:sz w:val="22"/>
                <w:szCs w:val="22"/>
                <w:u w:val="none"/>
                <w:lang w:val="en-US" w:eastAsia="zh-CN" w:bidi="ar"/>
              </w:rPr>
              <w:t xml:space="preserve">0.538 </w:t>
            </w:r>
          </w:p>
        </w:tc>
        <w:tc>
          <w:tcPr>
            <w:tcW w:w="1438" w:type="dxa"/>
            <w:vAlign w:val="center"/>
          </w:tcPr>
          <w:p w14:paraId="6CF647B9">
            <w:pPr>
              <w:widowControl/>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color w:val="auto"/>
                <w:kern w:val="0"/>
                <w:sz w:val="22"/>
                <w:szCs w:val="22"/>
                <w:lang w:val="en-US" w:eastAsia="zh-CN" w:bidi="ar"/>
              </w:rPr>
              <w:t>0.559</w:t>
            </w:r>
          </w:p>
        </w:tc>
        <w:tc>
          <w:tcPr>
            <w:tcW w:w="1675" w:type="dxa"/>
            <w:vAlign w:val="center"/>
          </w:tcPr>
          <w:p w14:paraId="1C613827">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0873B3D4">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eastAsia" w:ascii="Times New Roman" w:hAnsi="Times New Roman" w:eastAsia="宋体" w:cs="Times New Roman"/>
                <w:i w:val="0"/>
                <w:iCs w:val="0"/>
                <w:color w:val="auto"/>
                <w:kern w:val="0"/>
                <w:sz w:val="22"/>
                <w:szCs w:val="22"/>
                <w:u w:val="none"/>
                <w:lang w:val="en-US" w:eastAsia="zh-CN" w:bidi="ar"/>
              </w:rPr>
              <w:t xml:space="preserve">0.217 </w:t>
            </w:r>
          </w:p>
        </w:tc>
        <w:tc>
          <w:tcPr>
            <w:tcW w:w="1587" w:type="dxa"/>
            <w:vAlign w:val="center"/>
          </w:tcPr>
          <w:p w14:paraId="23CAD8A3">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0</w:t>
            </w:r>
          </w:p>
        </w:tc>
        <w:tc>
          <w:tcPr>
            <w:tcW w:w="1513" w:type="dxa"/>
            <w:vAlign w:val="center"/>
          </w:tcPr>
          <w:p w14:paraId="5DC5D94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0.755 </w:t>
            </w:r>
          </w:p>
        </w:tc>
        <w:tc>
          <w:tcPr>
            <w:tcW w:w="1020" w:type="dxa"/>
            <w:vAlign w:val="center"/>
          </w:tcPr>
          <w:p w14:paraId="3CB06037">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0.217 </w:t>
            </w:r>
          </w:p>
        </w:tc>
      </w:tr>
      <w:tr w14:paraId="77CC8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continue"/>
            <w:vAlign w:val="center"/>
          </w:tcPr>
          <w:p w14:paraId="200B8203">
            <w:pPr>
              <w:pStyle w:val="41"/>
              <w:spacing w:line="240" w:lineRule="auto"/>
              <w:rPr>
                <w:rFonts w:hAnsi="宋体"/>
                <w:snapToGrid w:val="0"/>
                <w:color w:val="auto"/>
                <w:sz w:val="22"/>
                <w:szCs w:val="22"/>
              </w:rPr>
            </w:pPr>
          </w:p>
        </w:tc>
        <w:tc>
          <w:tcPr>
            <w:tcW w:w="2145" w:type="dxa"/>
            <w:vAlign w:val="center"/>
          </w:tcPr>
          <w:p w14:paraId="2A58ECA8">
            <w:pPr>
              <w:widowControl/>
              <w:jc w:val="center"/>
              <w:textAlignment w:val="center"/>
              <w:rPr>
                <w:color w:val="auto"/>
                <w:sz w:val="22"/>
                <w:szCs w:val="22"/>
              </w:rPr>
            </w:pPr>
            <w:r>
              <w:rPr>
                <w:rFonts w:hint="eastAsia" w:cs="宋体"/>
                <w:color w:val="auto"/>
                <w:kern w:val="0"/>
                <w:sz w:val="22"/>
                <w:szCs w:val="22"/>
                <w:lang w:bidi="ar"/>
              </w:rPr>
              <w:t>动植物油</w:t>
            </w:r>
          </w:p>
        </w:tc>
        <w:tc>
          <w:tcPr>
            <w:tcW w:w="1625" w:type="dxa"/>
            <w:vAlign w:val="center"/>
          </w:tcPr>
          <w:p w14:paraId="26EBAB6E">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default" w:ascii="Times New Roman" w:hAnsi="Times New Roman" w:eastAsia="宋体" w:cs="Times New Roman"/>
                <w:i w:val="0"/>
                <w:iCs w:val="0"/>
                <w:color w:val="auto"/>
                <w:kern w:val="0"/>
                <w:sz w:val="22"/>
                <w:szCs w:val="22"/>
                <w:u w:val="none"/>
                <w:lang w:val="en-US" w:eastAsia="zh-CN" w:bidi="ar"/>
              </w:rPr>
              <w:t xml:space="preserve">0.418 </w:t>
            </w:r>
          </w:p>
        </w:tc>
        <w:tc>
          <w:tcPr>
            <w:tcW w:w="1438" w:type="dxa"/>
            <w:vAlign w:val="center"/>
          </w:tcPr>
          <w:p w14:paraId="3F2449DB">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w:t>
            </w:r>
          </w:p>
        </w:tc>
        <w:tc>
          <w:tcPr>
            <w:tcW w:w="1675" w:type="dxa"/>
            <w:vAlign w:val="center"/>
          </w:tcPr>
          <w:p w14:paraId="15D6B40C">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11F6C386">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eastAsia" w:ascii="Times New Roman" w:hAnsi="Times New Roman" w:eastAsia="宋体" w:cs="Times New Roman"/>
                <w:i w:val="0"/>
                <w:iCs w:val="0"/>
                <w:color w:val="auto"/>
                <w:kern w:val="0"/>
                <w:sz w:val="22"/>
                <w:szCs w:val="22"/>
                <w:u w:val="none"/>
                <w:lang w:val="en-US" w:eastAsia="zh-CN" w:bidi="ar"/>
              </w:rPr>
              <w:t xml:space="preserve">0.169 </w:t>
            </w:r>
          </w:p>
        </w:tc>
        <w:tc>
          <w:tcPr>
            <w:tcW w:w="1587" w:type="dxa"/>
            <w:vAlign w:val="center"/>
          </w:tcPr>
          <w:p w14:paraId="277201F5">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0</w:t>
            </w:r>
          </w:p>
        </w:tc>
        <w:tc>
          <w:tcPr>
            <w:tcW w:w="1513" w:type="dxa"/>
            <w:vAlign w:val="center"/>
          </w:tcPr>
          <w:p w14:paraId="66DE855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0.587 </w:t>
            </w:r>
          </w:p>
        </w:tc>
        <w:tc>
          <w:tcPr>
            <w:tcW w:w="1020" w:type="dxa"/>
            <w:vAlign w:val="center"/>
          </w:tcPr>
          <w:p w14:paraId="38689563">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bidi="ar"/>
              </w:rPr>
            </w:pPr>
            <w:r>
              <w:rPr>
                <w:rFonts w:hint="eastAsia" w:cs="Times New Roman"/>
                <w:i w:val="0"/>
                <w:iCs w:val="0"/>
                <w:color w:val="auto"/>
                <w:kern w:val="0"/>
                <w:sz w:val="22"/>
                <w:szCs w:val="22"/>
                <w:u w:val="none"/>
                <w:lang w:val="en-US" w:eastAsia="zh-CN" w:bidi="ar"/>
              </w:rPr>
              <w:t>+</w:t>
            </w:r>
            <w:r>
              <w:rPr>
                <w:rFonts w:hint="eastAsia" w:ascii="Times New Roman" w:hAnsi="Times New Roman" w:eastAsia="宋体" w:cs="Times New Roman"/>
                <w:i w:val="0"/>
                <w:iCs w:val="0"/>
                <w:color w:val="auto"/>
                <w:kern w:val="0"/>
                <w:sz w:val="22"/>
                <w:szCs w:val="22"/>
                <w:u w:val="none"/>
                <w:lang w:val="en-US" w:eastAsia="zh-CN" w:bidi="ar"/>
              </w:rPr>
              <w:t xml:space="preserve">0.169 </w:t>
            </w:r>
          </w:p>
        </w:tc>
      </w:tr>
      <w:tr w14:paraId="277B5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restart"/>
            <w:vAlign w:val="center"/>
          </w:tcPr>
          <w:p w14:paraId="1ABF45AF">
            <w:pPr>
              <w:pStyle w:val="41"/>
              <w:spacing w:line="240" w:lineRule="auto"/>
              <w:rPr>
                <w:rFonts w:hAnsi="宋体"/>
                <w:snapToGrid w:val="0"/>
                <w:color w:val="auto"/>
                <w:sz w:val="22"/>
                <w:szCs w:val="22"/>
              </w:rPr>
            </w:pPr>
            <w:r>
              <w:rPr>
                <w:rFonts w:hint="eastAsia" w:hAnsi="宋体"/>
                <w:snapToGrid w:val="0"/>
                <w:color w:val="auto"/>
                <w:sz w:val="22"/>
                <w:szCs w:val="22"/>
              </w:rPr>
              <w:t>固废</w:t>
            </w:r>
          </w:p>
        </w:tc>
        <w:tc>
          <w:tcPr>
            <w:tcW w:w="2145" w:type="dxa"/>
            <w:vAlign w:val="center"/>
          </w:tcPr>
          <w:p w14:paraId="6AF434E5">
            <w:pPr>
              <w:adjustRightInd w:val="0"/>
              <w:snapToGrid w:val="0"/>
              <w:jc w:val="center"/>
              <w:rPr>
                <w:bCs/>
                <w:color w:val="auto"/>
                <w:kern w:val="0"/>
                <w:sz w:val="22"/>
                <w:szCs w:val="22"/>
              </w:rPr>
            </w:pPr>
            <w:r>
              <w:rPr>
                <w:color w:val="auto"/>
                <w:sz w:val="22"/>
                <w:szCs w:val="22"/>
              </w:rPr>
              <w:t>一般工业固废</w:t>
            </w:r>
            <w:r>
              <w:rPr>
                <w:rFonts w:hint="eastAsia"/>
                <w:color w:val="auto"/>
                <w:sz w:val="22"/>
                <w:szCs w:val="22"/>
              </w:rPr>
              <w:t>（包括劳保用品、废包装材料、废零部件、活性炭、高效活性炭、废RO膜、废填料等）</w:t>
            </w:r>
          </w:p>
        </w:tc>
        <w:tc>
          <w:tcPr>
            <w:tcW w:w="1625" w:type="dxa"/>
            <w:vAlign w:val="center"/>
          </w:tcPr>
          <w:p w14:paraId="08AA81E8">
            <w:pPr>
              <w:keepNext w:val="0"/>
              <w:keepLines w:val="0"/>
              <w:widowControl/>
              <w:suppressLineNumbers w:val="0"/>
              <w:jc w:val="center"/>
              <w:textAlignment w:val="center"/>
              <w:rPr>
                <w:rFonts w:ascii="Times New Roman" w:hAnsi="Times New Roman" w:eastAsia="宋体" w:cs="Times New Roman"/>
                <w:color w:val="auto"/>
                <w:kern w:val="0"/>
                <w:sz w:val="22"/>
                <w:szCs w:val="22"/>
                <w:lang w:bidi="ar"/>
              </w:rPr>
            </w:pPr>
            <w:r>
              <w:rPr>
                <w:rFonts w:hint="default" w:ascii="Times New Roman" w:hAnsi="Times New Roman" w:eastAsia="宋体" w:cs="Times New Roman"/>
                <w:i w:val="0"/>
                <w:iCs w:val="0"/>
                <w:color w:val="auto"/>
                <w:kern w:val="0"/>
                <w:sz w:val="22"/>
                <w:szCs w:val="22"/>
                <w:u w:val="none"/>
                <w:lang w:val="en-US" w:eastAsia="zh-CN" w:bidi="ar"/>
              </w:rPr>
              <w:t>43.8</w:t>
            </w:r>
          </w:p>
        </w:tc>
        <w:tc>
          <w:tcPr>
            <w:tcW w:w="1438" w:type="dxa"/>
            <w:vAlign w:val="center"/>
          </w:tcPr>
          <w:p w14:paraId="1F547449">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75" w:type="dxa"/>
            <w:vAlign w:val="center"/>
          </w:tcPr>
          <w:p w14:paraId="65A0224C">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39947011">
            <w:pPr>
              <w:widowControl/>
              <w:jc w:val="center"/>
              <w:textAlignment w:val="center"/>
              <w:rPr>
                <w:rFonts w:hint="eastAsia"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val="en-US" w:eastAsia="zh-CN" w:bidi="ar"/>
              </w:rPr>
              <w:t>43</w:t>
            </w:r>
          </w:p>
        </w:tc>
        <w:tc>
          <w:tcPr>
            <w:tcW w:w="1587" w:type="dxa"/>
            <w:vAlign w:val="center"/>
          </w:tcPr>
          <w:p w14:paraId="6DAA0D26">
            <w:pPr>
              <w:widowControl/>
              <w:jc w:val="center"/>
              <w:textAlignment w:val="center"/>
              <w:rPr>
                <w:rFonts w:hint="eastAsia"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val="en-US" w:eastAsia="zh-CN" w:bidi="ar"/>
              </w:rPr>
              <w:t>0</w:t>
            </w:r>
          </w:p>
        </w:tc>
        <w:tc>
          <w:tcPr>
            <w:tcW w:w="1513" w:type="dxa"/>
            <w:vAlign w:val="center"/>
          </w:tcPr>
          <w:p w14:paraId="7B70EE25">
            <w:pPr>
              <w:widowControl/>
              <w:jc w:val="center"/>
              <w:textAlignment w:val="center"/>
              <w:rPr>
                <w:rFonts w:hint="eastAsia"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val="en-US" w:eastAsia="zh-CN" w:bidi="ar"/>
              </w:rPr>
              <w:t xml:space="preserve">86.8 </w:t>
            </w:r>
          </w:p>
        </w:tc>
        <w:tc>
          <w:tcPr>
            <w:tcW w:w="1020" w:type="dxa"/>
            <w:vAlign w:val="center"/>
          </w:tcPr>
          <w:p w14:paraId="351D933D">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w:t>
            </w:r>
            <w:r>
              <w:rPr>
                <w:rFonts w:hint="default" w:ascii="Times New Roman" w:hAnsi="Times New Roman" w:eastAsia="宋体" w:cs="Times New Roman"/>
                <w:color w:val="auto"/>
                <w:kern w:val="0"/>
                <w:sz w:val="22"/>
                <w:szCs w:val="22"/>
                <w:lang w:val="en-US" w:eastAsia="zh-CN" w:bidi="ar"/>
              </w:rPr>
              <w:t>43</w:t>
            </w:r>
          </w:p>
        </w:tc>
      </w:tr>
      <w:tr w14:paraId="3DC69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continue"/>
            <w:vAlign w:val="center"/>
          </w:tcPr>
          <w:p w14:paraId="21310B0F">
            <w:pPr>
              <w:pStyle w:val="41"/>
              <w:spacing w:line="240" w:lineRule="auto"/>
              <w:rPr>
                <w:rFonts w:hAnsi="宋体"/>
                <w:snapToGrid w:val="0"/>
                <w:color w:val="auto"/>
                <w:sz w:val="22"/>
                <w:szCs w:val="22"/>
              </w:rPr>
            </w:pPr>
          </w:p>
        </w:tc>
        <w:tc>
          <w:tcPr>
            <w:tcW w:w="2145" w:type="dxa"/>
            <w:vAlign w:val="center"/>
          </w:tcPr>
          <w:p w14:paraId="0AEAEA37">
            <w:pPr>
              <w:adjustRightInd w:val="0"/>
              <w:snapToGrid w:val="0"/>
              <w:jc w:val="center"/>
              <w:rPr>
                <w:bCs/>
                <w:color w:val="auto"/>
                <w:kern w:val="0"/>
                <w:sz w:val="22"/>
                <w:szCs w:val="22"/>
              </w:rPr>
            </w:pPr>
            <w:r>
              <w:rPr>
                <w:color w:val="auto"/>
                <w:sz w:val="22"/>
                <w:szCs w:val="22"/>
              </w:rPr>
              <w:t>危险废物</w:t>
            </w:r>
            <w:r>
              <w:rPr>
                <w:rFonts w:hint="eastAsia"/>
                <w:color w:val="auto"/>
                <w:sz w:val="22"/>
                <w:szCs w:val="22"/>
              </w:rPr>
              <w:t>（化学品沾染物、废机油、废油桶、废蓄电池、废灯管、废防冻液等）</w:t>
            </w:r>
          </w:p>
        </w:tc>
        <w:tc>
          <w:tcPr>
            <w:tcW w:w="1625" w:type="dxa"/>
            <w:vAlign w:val="center"/>
          </w:tcPr>
          <w:p w14:paraId="756561AF">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default" w:ascii="Times New Roman" w:hAnsi="Times New Roman" w:eastAsia="宋体" w:cs="Times New Roman"/>
                <w:i w:val="0"/>
                <w:iCs w:val="0"/>
                <w:color w:val="auto"/>
                <w:kern w:val="0"/>
                <w:sz w:val="22"/>
                <w:szCs w:val="22"/>
                <w:u w:val="none"/>
                <w:lang w:val="en-US" w:eastAsia="zh-CN" w:bidi="ar"/>
              </w:rPr>
              <w:t>29.5</w:t>
            </w:r>
            <w:r>
              <w:rPr>
                <w:rFonts w:hint="eastAsia" w:cs="Times New Roman"/>
                <w:i w:val="0"/>
                <w:iCs w:val="0"/>
                <w:color w:val="auto"/>
                <w:kern w:val="0"/>
                <w:sz w:val="22"/>
                <w:szCs w:val="22"/>
                <w:u w:val="none"/>
                <w:lang w:val="en-US" w:eastAsia="zh-CN" w:bidi="ar"/>
              </w:rPr>
              <w:t>4</w:t>
            </w:r>
          </w:p>
        </w:tc>
        <w:tc>
          <w:tcPr>
            <w:tcW w:w="1438" w:type="dxa"/>
            <w:vAlign w:val="center"/>
          </w:tcPr>
          <w:p w14:paraId="41983EED">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75" w:type="dxa"/>
            <w:vAlign w:val="center"/>
          </w:tcPr>
          <w:p w14:paraId="1301F6EB">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5B33F333">
            <w:pPr>
              <w:widowControl/>
              <w:jc w:val="center"/>
              <w:textAlignment w:val="center"/>
              <w:rPr>
                <w:rFonts w:hint="default" w:ascii="Times New Roman" w:hAnsi="Times New Roman" w:eastAsia="宋体" w:cs="Times New Roman"/>
                <w:color w:val="auto"/>
                <w:kern w:val="0"/>
                <w:sz w:val="22"/>
                <w:szCs w:val="22"/>
                <w:lang w:val="en-US" w:bidi="ar"/>
              </w:rPr>
            </w:pPr>
            <w:r>
              <w:rPr>
                <w:rFonts w:hint="eastAsia" w:cs="Times New Roman"/>
                <w:color w:val="auto"/>
                <w:kern w:val="0"/>
                <w:sz w:val="22"/>
                <w:szCs w:val="22"/>
                <w:lang w:val="en-US" w:eastAsia="zh-CN" w:bidi="ar"/>
              </w:rPr>
              <w:t>270</w:t>
            </w:r>
          </w:p>
        </w:tc>
        <w:tc>
          <w:tcPr>
            <w:tcW w:w="1587" w:type="dxa"/>
            <w:vAlign w:val="center"/>
          </w:tcPr>
          <w:p w14:paraId="59BBE506">
            <w:pPr>
              <w:widowControl/>
              <w:jc w:val="center"/>
              <w:textAlignment w:val="center"/>
              <w:rPr>
                <w:rFonts w:hint="eastAsia"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val="en-US" w:eastAsia="zh-CN" w:bidi="ar"/>
              </w:rPr>
              <w:t>0</w:t>
            </w:r>
          </w:p>
        </w:tc>
        <w:tc>
          <w:tcPr>
            <w:tcW w:w="1513" w:type="dxa"/>
            <w:vAlign w:val="center"/>
          </w:tcPr>
          <w:p w14:paraId="36FA584A">
            <w:pPr>
              <w:widowControl/>
              <w:jc w:val="center"/>
              <w:textAlignment w:val="center"/>
              <w:rPr>
                <w:rFonts w:hint="default" w:ascii="Times New Roman" w:hAnsi="Times New Roman" w:eastAsia="宋体" w:cs="Times New Roman"/>
                <w:color w:val="auto"/>
                <w:kern w:val="0"/>
                <w:sz w:val="22"/>
                <w:szCs w:val="22"/>
                <w:lang w:val="en-US" w:bidi="ar"/>
              </w:rPr>
            </w:pPr>
            <w:r>
              <w:rPr>
                <w:rFonts w:hint="eastAsia" w:cs="Times New Roman"/>
                <w:color w:val="auto"/>
                <w:kern w:val="0"/>
                <w:sz w:val="22"/>
                <w:szCs w:val="22"/>
                <w:lang w:val="en-US" w:eastAsia="zh-CN" w:bidi="ar"/>
              </w:rPr>
              <w:t>299.54</w:t>
            </w:r>
          </w:p>
        </w:tc>
        <w:tc>
          <w:tcPr>
            <w:tcW w:w="1020" w:type="dxa"/>
            <w:vAlign w:val="center"/>
          </w:tcPr>
          <w:p w14:paraId="77BD9E7E">
            <w:pPr>
              <w:widowControl/>
              <w:jc w:val="center"/>
              <w:textAlignment w:val="center"/>
              <w:rPr>
                <w:rFonts w:hint="default" w:ascii="Times New Roman" w:hAnsi="Times New Roman" w:eastAsia="宋体" w:cs="Times New Roman"/>
                <w:color w:val="auto"/>
                <w:kern w:val="0"/>
                <w:sz w:val="22"/>
                <w:szCs w:val="22"/>
                <w:lang w:val="en-US" w:bidi="ar"/>
              </w:rPr>
            </w:pPr>
            <w:r>
              <w:rPr>
                <w:rFonts w:hint="eastAsia" w:ascii="Times New Roman" w:hAnsi="Times New Roman" w:eastAsia="宋体" w:cs="Times New Roman"/>
                <w:color w:val="auto"/>
                <w:kern w:val="0"/>
                <w:sz w:val="22"/>
                <w:szCs w:val="22"/>
                <w:lang w:val="en-US" w:eastAsia="zh-CN" w:bidi="ar"/>
              </w:rPr>
              <w:t>+</w:t>
            </w:r>
            <w:r>
              <w:rPr>
                <w:rFonts w:hint="eastAsia" w:cs="Times New Roman"/>
                <w:color w:val="auto"/>
                <w:kern w:val="0"/>
                <w:sz w:val="22"/>
                <w:szCs w:val="22"/>
                <w:lang w:val="en-US" w:eastAsia="zh-CN" w:bidi="ar"/>
              </w:rPr>
              <w:t>270</w:t>
            </w:r>
          </w:p>
        </w:tc>
      </w:tr>
      <w:tr w14:paraId="546E4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continue"/>
            <w:vAlign w:val="center"/>
          </w:tcPr>
          <w:p w14:paraId="096F5AC8">
            <w:pPr>
              <w:pStyle w:val="41"/>
              <w:spacing w:line="240" w:lineRule="auto"/>
              <w:rPr>
                <w:rFonts w:hAnsi="宋体"/>
                <w:snapToGrid w:val="0"/>
                <w:color w:val="auto"/>
                <w:sz w:val="22"/>
                <w:szCs w:val="22"/>
              </w:rPr>
            </w:pPr>
          </w:p>
        </w:tc>
        <w:tc>
          <w:tcPr>
            <w:tcW w:w="2145" w:type="dxa"/>
            <w:vAlign w:val="center"/>
          </w:tcPr>
          <w:p w14:paraId="6CEC5C5E">
            <w:pPr>
              <w:adjustRightInd w:val="0"/>
              <w:snapToGrid w:val="0"/>
              <w:jc w:val="center"/>
              <w:rPr>
                <w:color w:val="auto"/>
                <w:sz w:val="22"/>
                <w:szCs w:val="22"/>
              </w:rPr>
            </w:pPr>
            <w:r>
              <w:rPr>
                <w:color w:val="auto"/>
                <w:sz w:val="22"/>
                <w:szCs w:val="22"/>
              </w:rPr>
              <w:t>生活垃圾</w:t>
            </w:r>
          </w:p>
        </w:tc>
        <w:tc>
          <w:tcPr>
            <w:tcW w:w="1625" w:type="dxa"/>
            <w:vAlign w:val="center"/>
          </w:tcPr>
          <w:p w14:paraId="57237A24">
            <w:pPr>
              <w:keepNext w:val="0"/>
              <w:keepLines w:val="0"/>
              <w:widowControl/>
              <w:suppressLineNumbers w:val="0"/>
              <w:jc w:val="center"/>
              <w:textAlignment w:val="center"/>
              <w:rPr>
                <w:rFonts w:ascii="Times New Roman" w:hAnsi="Times New Roman" w:eastAsia="宋体" w:cs="Times New Roman"/>
                <w:color w:val="auto"/>
                <w:kern w:val="0"/>
                <w:sz w:val="22"/>
                <w:szCs w:val="22"/>
                <w:lang w:bidi="ar"/>
              </w:rPr>
            </w:pPr>
            <w:r>
              <w:rPr>
                <w:rFonts w:hint="default" w:ascii="Times New Roman" w:hAnsi="Times New Roman" w:eastAsia="宋体" w:cs="Times New Roman"/>
                <w:i w:val="0"/>
                <w:iCs w:val="0"/>
                <w:color w:val="auto"/>
                <w:kern w:val="0"/>
                <w:sz w:val="22"/>
                <w:szCs w:val="22"/>
                <w:u w:val="none"/>
                <w:lang w:val="en-US" w:eastAsia="zh-CN" w:bidi="ar"/>
              </w:rPr>
              <w:t>27.75</w:t>
            </w:r>
          </w:p>
        </w:tc>
        <w:tc>
          <w:tcPr>
            <w:tcW w:w="1438" w:type="dxa"/>
            <w:vAlign w:val="center"/>
          </w:tcPr>
          <w:p w14:paraId="67FEDE1F">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75" w:type="dxa"/>
            <w:vAlign w:val="center"/>
          </w:tcPr>
          <w:p w14:paraId="677CF29B">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65ECF876">
            <w:pPr>
              <w:widowControl/>
              <w:jc w:val="center"/>
              <w:textAlignment w:val="center"/>
              <w:rPr>
                <w:rFonts w:hint="eastAsia"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val="en-US" w:eastAsia="zh-CN" w:bidi="ar"/>
              </w:rPr>
              <w:t>10.5</w:t>
            </w:r>
          </w:p>
        </w:tc>
        <w:tc>
          <w:tcPr>
            <w:tcW w:w="1587" w:type="dxa"/>
            <w:vAlign w:val="center"/>
          </w:tcPr>
          <w:p w14:paraId="5174DC1B">
            <w:pPr>
              <w:widowControl/>
              <w:jc w:val="center"/>
              <w:textAlignment w:val="center"/>
              <w:rPr>
                <w:rFonts w:hint="eastAsia"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val="en-US" w:eastAsia="zh-CN" w:bidi="ar"/>
              </w:rPr>
              <w:t>0</w:t>
            </w:r>
          </w:p>
        </w:tc>
        <w:tc>
          <w:tcPr>
            <w:tcW w:w="1513" w:type="dxa"/>
            <w:vAlign w:val="center"/>
          </w:tcPr>
          <w:p w14:paraId="124A05F3">
            <w:pPr>
              <w:widowControl/>
              <w:jc w:val="center"/>
              <w:textAlignment w:val="center"/>
              <w:rPr>
                <w:rFonts w:hint="eastAsia"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val="en-US" w:eastAsia="zh-CN" w:bidi="ar"/>
              </w:rPr>
              <w:t>38.25</w:t>
            </w:r>
          </w:p>
        </w:tc>
        <w:tc>
          <w:tcPr>
            <w:tcW w:w="1020" w:type="dxa"/>
            <w:vAlign w:val="center"/>
          </w:tcPr>
          <w:p w14:paraId="16A0068A">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w:t>
            </w:r>
            <w:r>
              <w:rPr>
                <w:rFonts w:hint="default" w:ascii="Times New Roman" w:hAnsi="Times New Roman" w:eastAsia="宋体" w:cs="Times New Roman"/>
                <w:color w:val="auto"/>
                <w:kern w:val="0"/>
                <w:sz w:val="22"/>
                <w:szCs w:val="22"/>
                <w:lang w:val="en-US" w:eastAsia="zh-CN" w:bidi="ar"/>
              </w:rPr>
              <w:t>10.5</w:t>
            </w:r>
          </w:p>
        </w:tc>
      </w:tr>
      <w:tr w14:paraId="38FDE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60" w:type="dxa"/>
            <w:vMerge w:val="continue"/>
            <w:vAlign w:val="center"/>
          </w:tcPr>
          <w:p w14:paraId="0031D35B">
            <w:pPr>
              <w:pStyle w:val="41"/>
              <w:spacing w:line="240" w:lineRule="auto"/>
              <w:rPr>
                <w:rFonts w:hAnsi="宋体"/>
                <w:snapToGrid w:val="0"/>
                <w:color w:val="auto"/>
                <w:sz w:val="22"/>
                <w:szCs w:val="22"/>
              </w:rPr>
            </w:pPr>
          </w:p>
        </w:tc>
        <w:tc>
          <w:tcPr>
            <w:tcW w:w="2145" w:type="dxa"/>
            <w:vAlign w:val="center"/>
          </w:tcPr>
          <w:p w14:paraId="207E2969">
            <w:pPr>
              <w:widowControl/>
              <w:jc w:val="center"/>
              <w:rPr>
                <w:color w:val="auto"/>
                <w:sz w:val="22"/>
                <w:szCs w:val="22"/>
              </w:rPr>
            </w:pPr>
            <w:r>
              <w:rPr>
                <w:rFonts w:hint="eastAsia"/>
                <w:bCs/>
                <w:color w:val="auto"/>
                <w:kern w:val="0"/>
                <w:sz w:val="22"/>
                <w:szCs w:val="22"/>
              </w:rPr>
              <w:t>餐厨垃圾</w:t>
            </w:r>
          </w:p>
        </w:tc>
        <w:tc>
          <w:tcPr>
            <w:tcW w:w="1625" w:type="dxa"/>
            <w:vAlign w:val="center"/>
          </w:tcPr>
          <w:p w14:paraId="5D76883C">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bidi="ar"/>
              </w:rPr>
            </w:pPr>
            <w:r>
              <w:rPr>
                <w:rFonts w:hint="default" w:ascii="Times New Roman" w:hAnsi="Times New Roman" w:eastAsia="宋体" w:cs="Times New Roman"/>
                <w:i w:val="0"/>
                <w:iCs w:val="0"/>
                <w:color w:val="auto"/>
                <w:kern w:val="0"/>
                <w:sz w:val="22"/>
                <w:szCs w:val="22"/>
                <w:u w:val="none"/>
                <w:lang w:val="en-US" w:eastAsia="zh-CN" w:bidi="ar"/>
              </w:rPr>
              <w:t>23.6</w:t>
            </w:r>
            <w:r>
              <w:rPr>
                <w:rFonts w:hint="eastAsia" w:cs="Times New Roman"/>
                <w:i w:val="0"/>
                <w:iCs w:val="0"/>
                <w:color w:val="auto"/>
                <w:kern w:val="0"/>
                <w:sz w:val="22"/>
                <w:szCs w:val="22"/>
                <w:u w:val="none"/>
                <w:lang w:val="en-US" w:eastAsia="zh-CN" w:bidi="ar"/>
              </w:rPr>
              <w:t>3</w:t>
            </w:r>
          </w:p>
        </w:tc>
        <w:tc>
          <w:tcPr>
            <w:tcW w:w="1438" w:type="dxa"/>
            <w:vAlign w:val="center"/>
          </w:tcPr>
          <w:p w14:paraId="4196316E">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75" w:type="dxa"/>
            <w:vAlign w:val="center"/>
          </w:tcPr>
          <w:p w14:paraId="15504CE6">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bidi="ar"/>
              </w:rPr>
              <w:t>/</w:t>
            </w:r>
          </w:p>
        </w:tc>
        <w:tc>
          <w:tcPr>
            <w:tcW w:w="1625" w:type="dxa"/>
            <w:vAlign w:val="center"/>
          </w:tcPr>
          <w:p w14:paraId="4A9981EB">
            <w:pPr>
              <w:widowControl/>
              <w:jc w:val="center"/>
              <w:textAlignment w:val="center"/>
              <w:rPr>
                <w:rFonts w:hint="eastAsia"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val="en-US" w:eastAsia="zh-CN" w:bidi="ar"/>
              </w:rPr>
              <w:t>5.25</w:t>
            </w:r>
          </w:p>
        </w:tc>
        <w:tc>
          <w:tcPr>
            <w:tcW w:w="1587" w:type="dxa"/>
            <w:vAlign w:val="center"/>
          </w:tcPr>
          <w:p w14:paraId="7CD653DB">
            <w:pPr>
              <w:widowControl/>
              <w:jc w:val="center"/>
              <w:textAlignment w:val="center"/>
              <w:rPr>
                <w:rFonts w:hint="eastAsia"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val="en-US" w:eastAsia="zh-CN" w:bidi="ar"/>
              </w:rPr>
              <w:t>0</w:t>
            </w:r>
          </w:p>
        </w:tc>
        <w:tc>
          <w:tcPr>
            <w:tcW w:w="1513" w:type="dxa"/>
            <w:vAlign w:val="center"/>
          </w:tcPr>
          <w:p w14:paraId="175552EE">
            <w:pPr>
              <w:widowControl/>
              <w:jc w:val="center"/>
              <w:textAlignment w:val="center"/>
              <w:rPr>
                <w:rFonts w:hint="default" w:ascii="Times New Roman" w:hAnsi="Times New Roman" w:eastAsia="宋体" w:cs="Times New Roman"/>
                <w:color w:val="auto"/>
                <w:kern w:val="0"/>
                <w:sz w:val="22"/>
                <w:szCs w:val="22"/>
                <w:lang w:val="en-US" w:bidi="ar"/>
              </w:rPr>
            </w:pPr>
            <w:r>
              <w:rPr>
                <w:rFonts w:hint="default" w:ascii="Times New Roman" w:hAnsi="Times New Roman" w:eastAsia="宋体" w:cs="Times New Roman"/>
                <w:color w:val="auto"/>
                <w:kern w:val="0"/>
                <w:sz w:val="22"/>
                <w:szCs w:val="22"/>
                <w:lang w:val="en-US" w:eastAsia="zh-CN" w:bidi="ar"/>
              </w:rPr>
              <w:t>28.8</w:t>
            </w:r>
            <w:r>
              <w:rPr>
                <w:rFonts w:hint="eastAsia" w:cs="Times New Roman"/>
                <w:color w:val="auto"/>
                <w:kern w:val="0"/>
                <w:sz w:val="22"/>
                <w:szCs w:val="22"/>
                <w:lang w:val="en-US" w:eastAsia="zh-CN" w:bidi="ar"/>
              </w:rPr>
              <w:t>8</w:t>
            </w:r>
          </w:p>
        </w:tc>
        <w:tc>
          <w:tcPr>
            <w:tcW w:w="1020" w:type="dxa"/>
            <w:vAlign w:val="center"/>
          </w:tcPr>
          <w:p w14:paraId="7F258BC7">
            <w:pPr>
              <w:widowControl/>
              <w:jc w:val="center"/>
              <w:textAlignment w:val="center"/>
              <w:rPr>
                <w:rFonts w:hint="eastAsia"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w:t>
            </w:r>
            <w:r>
              <w:rPr>
                <w:rFonts w:hint="default" w:ascii="Times New Roman" w:hAnsi="Times New Roman" w:eastAsia="宋体" w:cs="Times New Roman"/>
                <w:color w:val="auto"/>
                <w:kern w:val="0"/>
                <w:sz w:val="22"/>
                <w:szCs w:val="22"/>
                <w:lang w:val="en-US" w:eastAsia="zh-CN" w:bidi="ar"/>
              </w:rPr>
              <w:t>5.25</w:t>
            </w:r>
          </w:p>
        </w:tc>
      </w:tr>
    </w:tbl>
    <w:p w14:paraId="675DC784">
      <w:pPr>
        <w:pStyle w:val="65"/>
        <w:spacing w:before="192" w:beforeLines="80" w:after="24"/>
        <w:jc w:val="left"/>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STFangsong">
    <w:altName w:val="宋体"/>
    <w:panose1 w:val="00000000000000000000"/>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A78C">
    <w:pPr>
      <w:pStyle w:val="2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4821">
    <w:pPr>
      <w:pStyle w:val="2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51873">
                          <w:pPr>
                            <w:pStyle w:val="23"/>
                            <w:rPr>
                              <w:rStyle w:val="34"/>
                              <w:rFonts w:ascii="宋体" w:hAnsi="宋体"/>
                              <w:sz w:val="28"/>
                              <w:szCs w:val="28"/>
                            </w:rPr>
                          </w:pPr>
                          <w:r>
                            <w:rPr>
                              <w:rStyle w:val="34"/>
                              <w:rFonts w:hint="eastAsia" w:ascii="宋体" w:hAnsi="宋体"/>
                              <w:sz w:val="28"/>
                              <w:szCs w:val="28"/>
                            </w:rPr>
                            <w:t>—</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17</w:t>
                          </w:r>
                          <w:r>
                            <w:rPr>
                              <w:rStyle w:val="34"/>
                              <w:rFonts w:ascii="宋体" w:hAnsi="宋体"/>
                              <w:sz w:val="26"/>
                              <w:szCs w:val="26"/>
                            </w:rPr>
                            <w:fldChar w:fldCharType="end"/>
                          </w:r>
                          <w:r>
                            <w:rPr>
                              <w:rStyle w:val="3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551873">
                    <w:pPr>
                      <w:pStyle w:val="23"/>
                      <w:rPr>
                        <w:rStyle w:val="34"/>
                        <w:rFonts w:ascii="宋体" w:hAnsi="宋体"/>
                        <w:sz w:val="28"/>
                        <w:szCs w:val="28"/>
                      </w:rPr>
                    </w:pPr>
                    <w:r>
                      <w:rPr>
                        <w:rStyle w:val="34"/>
                        <w:rFonts w:hint="eastAsia" w:ascii="宋体" w:hAnsi="宋体"/>
                        <w:sz w:val="28"/>
                        <w:szCs w:val="28"/>
                      </w:rPr>
                      <w:t>—</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17</w:t>
                    </w:r>
                    <w:r>
                      <w:rPr>
                        <w:rStyle w:val="34"/>
                        <w:rFonts w:ascii="宋体" w:hAnsi="宋体"/>
                        <w:sz w:val="26"/>
                        <w:szCs w:val="26"/>
                      </w:rPr>
                      <w:fldChar w:fldCharType="end"/>
                    </w:r>
                    <w:r>
                      <w:rPr>
                        <w:rStyle w:val="34"/>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201C">
    <w:pPr>
      <w:pStyle w:val="2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A13BC">
                          <w:pPr>
                            <w:pStyle w:val="23"/>
                            <w:rPr>
                              <w:rStyle w:val="34"/>
                              <w:rFonts w:ascii="宋体" w:hAnsi="宋体"/>
                              <w:sz w:val="28"/>
                              <w:szCs w:val="28"/>
                            </w:rPr>
                          </w:pPr>
                          <w:r>
                            <w:rPr>
                              <w:rStyle w:val="34"/>
                              <w:rFonts w:hint="eastAsia" w:ascii="宋体" w:hAnsi="宋体"/>
                              <w:sz w:val="28"/>
                              <w:szCs w:val="28"/>
                            </w:rPr>
                            <w:t>—</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17</w:t>
                          </w:r>
                          <w:r>
                            <w:rPr>
                              <w:rStyle w:val="34"/>
                              <w:rFonts w:ascii="宋体" w:hAnsi="宋体"/>
                              <w:sz w:val="26"/>
                              <w:szCs w:val="26"/>
                            </w:rPr>
                            <w:fldChar w:fldCharType="end"/>
                          </w:r>
                          <w:r>
                            <w:rPr>
                              <w:rStyle w:val="3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3A13BC">
                    <w:pPr>
                      <w:pStyle w:val="23"/>
                      <w:rPr>
                        <w:rStyle w:val="34"/>
                        <w:rFonts w:ascii="宋体" w:hAnsi="宋体"/>
                        <w:sz w:val="28"/>
                        <w:szCs w:val="28"/>
                      </w:rPr>
                    </w:pPr>
                    <w:r>
                      <w:rPr>
                        <w:rStyle w:val="34"/>
                        <w:rFonts w:hint="eastAsia" w:ascii="宋体" w:hAnsi="宋体"/>
                        <w:sz w:val="28"/>
                        <w:szCs w:val="28"/>
                      </w:rPr>
                      <w:t>—</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17</w:t>
                    </w:r>
                    <w:r>
                      <w:rPr>
                        <w:rStyle w:val="34"/>
                        <w:rFonts w:ascii="宋体" w:hAnsi="宋体"/>
                        <w:sz w:val="26"/>
                        <w:szCs w:val="26"/>
                      </w:rPr>
                      <w:fldChar w:fldCharType="end"/>
                    </w:r>
                    <w:r>
                      <w:rPr>
                        <w:rStyle w:val="34"/>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2952C">
    <w:pPr>
      <w:pStyle w:val="23"/>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2FD1B">
                          <w:pPr>
                            <w:pStyle w:val="23"/>
                            <w:rPr>
                              <w:rStyle w:val="34"/>
                              <w:rFonts w:ascii="宋体" w:hAnsi="宋体"/>
                              <w:sz w:val="28"/>
                              <w:szCs w:val="28"/>
                            </w:rPr>
                          </w:pPr>
                          <w:r>
                            <w:rPr>
                              <w:rStyle w:val="34"/>
                              <w:rFonts w:hint="eastAsia" w:ascii="宋体" w:hAnsi="宋体"/>
                              <w:sz w:val="28"/>
                              <w:szCs w:val="28"/>
                            </w:rPr>
                            <w:t>—</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78</w:t>
                          </w:r>
                          <w:r>
                            <w:rPr>
                              <w:rStyle w:val="34"/>
                              <w:rFonts w:ascii="宋体" w:hAnsi="宋体"/>
                              <w:sz w:val="26"/>
                              <w:szCs w:val="26"/>
                            </w:rPr>
                            <w:fldChar w:fldCharType="end"/>
                          </w:r>
                          <w:r>
                            <w:rPr>
                              <w:rStyle w:val="3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F2FD1B">
                    <w:pPr>
                      <w:pStyle w:val="23"/>
                      <w:rPr>
                        <w:rStyle w:val="34"/>
                        <w:rFonts w:ascii="宋体" w:hAnsi="宋体"/>
                        <w:sz w:val="28"/>
                        <w:szCs w:val="28"/>
                      </w:rPr>
                    </w:pPr>
                    <w:r>
                      <w:rPr>
                        <w:rStyle w:val="34"/>
                        <w:rFonts w:hint="eastAsia" w:ascii="宋体" w:hAnsi="宋体"/>
                        <w:sz w:val="28"/>
                        <w:szCs w:val="28"/>
                      </w:rPr>
                      <w:t>—</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78</w:t>
                    </w:r>
                    <w:r>
                      <w:rPr>
                        <w:rStyle w:val="34"/>
                        <w:rFonts w:ascii="宋体" w:hAnsi="宋体"/>
                        <w:sz w:val="26"/>
                        <w:szCs w:val="26"/>
                      </w:rPr>
                      <w:fldChar w:fldCharType="end"/>
                    </w:r>
                    <w:r>
                      <w:rPr>
                        <w:rStyle w:val="34"/>
                        <w:rFonts w:hint="eastAsia" w:ascii="宋体" w:hAnsi="宋体"/>
                        <w:sz w:val="28"/>
                        <w:szCs w:val="28"/>
                      </w:rPr>
                      <w:t>—</w:t>
                    </w:r>
                  </w:p>
                </w:txbxContent>
              </v:textbox>
            </v:shape>
          </w:pict>
        </mc:Fallback>
      </mc:AlternateContent>
    </w:r>
  </w:p>
  <w:p w14:paraId="282B80A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BF85E"/>
    <w:multiLevelType w:val="singleLevel"/>
    <w:tmpl w:val="C4FBF85E"/>
    <w:lvl w:ilvl="0" w:tentative="0">
      <w:start w:val="1"/>
      <w:numFmt w:val="decimal"/>
      <w:suff w:val="nothing"/>
      <w:lvlText w:val="（%1）"/>
      <w:lvlJc w:val="left"/>
    </w:lvl>
  </w:abstractNum>
  <w:abstractNum w:abstractNumId="1">
    <w:nsid w:val="E04A50A0"/>
    <w:multiLevelType w:val="singleLevel"/>
    <w:tmpl w:val="E04A50A0"/>
    <w:lvl w:ilvl="0" w:tentative="0">
      <w:start w:val="1"/>
      <w:numFmt w:val="decimal"/>
      <w:suff w:val="nothing"/>
      <w:lvlText w:val="%1）"/>
      <w:lvlJc w:val="left"/>
    </w:lvl>
  </w:abstractNum>
  <w:abstractNum w:abstractNumId="2">
    <w:nsid w:val="08B04781"/>
    <w:multiLevelType w:val="singleLevel"/>
    <w:tmpl w:val="08B04781"/>
    <w:lvl w:ilvl="0" w:tentative="0">
      <w:start w:val="1"/>
      <w:numFmt w:val="decimal"/>
      <w:suff w:val="nothing"/>
      <w:lvlText w:val="（%1）"/>
      <w:lvlJc w:val="left"/>
    </w:lvl>
  </w:abstractNum>
  <w:abstractNum w:abstractNumId="3">
    <w:nsid w:val="08B08892"/>
    <w:multiLevelType w:val="singleLevel"/>
    <w:tmpl w:val="08B08892"/>
    <w:lvl w:ilvl="0" w:tentative="0">
      <w:start w:val="1"/>
      <w:numFmt w:val="decimal"/>
      <w:suff w:val="nothing"/>
      <w:lvlText w:val="（%1）"/>
      <w:lvlJc w:val="left"/>
    </w:lvl>
  </w:abstractNum>
  <w:abstractNum w:abstractNumId="4">
    <w:nsid w:val="1163F2A4"/>
    <w:multiLevelType w:val="singleLevel"/>
    <w:tmpl w:val="1163F2A4"/>
    <w:lvl w:ilvl="0" w:tentative="0">
      <w:start w:val="1"/>
      <w:numFmt w:val="bullet"/>
      <w:pStyle w:val="20"/>
      <w:lvlText w:val=""/>
      <w:lvlJc w:val="left"/>
      <w:pPr>
        <w:tabs>
          <w:tab w:val="left" w:pos="2040"/>
        </w:tabs>
        <w:ind w:left="2040" w:hanging="360"/>
      </w:pPr>
      <w:rPr>
        <w:rFonts w:hint="default" w:ascii="Wingdings" w:hAnsi="Wingdings"/>
      </w:rPr>
    </w:lvl>
  </w:abstractNum>
  <w:abstractNum w:abstractNumId="5">
    <w:nsid w:val="48C8D46D"/>
    <w:multiLevelType w:val="singleLevel"/>
    <w:tmpl w:val="48C8D46D"/>
    <w:lvl w:ilvl="0" w:tentative="0">
      <w:start w:val="1"/>
      <w:numFmt w:val="decimal"/>
      <w:suff w:val="nothing"/>
      <w:lvlText w:val="（%1）"/>
      <w:lvlJc w:val="left"/>
    </w:lvl>
  </w:abstractNum>
  <w:abstractNum w:abstractNumId="6">
    <w:nsid w:val="4E6548B4"/>
    <w:multiLevelType w:val="singleLevel"/>
    <w:tmpl w:val="4E6548B4"/>
    <w:lvl w:ilvl="0" w:tentative="0">
      <w:start w:val="1"/>
      <w:numFmt w:val="decimal"/>
      <w:suff w:val="nothing"/>
      <w:lvlText w:val="%1）"/>
      <w:lvlJc w:val="left"/>
    </w:lvl>
  </w:abstractNum>
  <w:abstractNum w:abstractNumId="7">
    <w:nsid w:val="540643FC"/>
    <w:multiLevelType w:val="multilevel"/>
    <w:tmpl w:val="540643FC"/>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69399E85"/>
    <w:multiLevelType w:val="singleLevel"/>
    <w:tmpl w:val="69399E85"/>
    <w:lvl w:ilvl="0" w:tentative="0">
      <w:start w:val="1"/>
      <w:numFmt w:val="decimal"/>
      <w:suff w:val="nothing"/>
      <w:lvlText w:val="（%1）"/>
      <w:lvlJc w:val="left"/>
    </w:lvl>
  </w:abstractNum>
  <w:abstractNum w:abstractNumId="9">
    <w:nsid w:val="74E60B3F"/>
    <w:multiLevelType w:val="singleLevel"/>
    <w:tmpl w:val="74E60B3F"/>
    <w:lvl w:ilvl="0" w:tentative="0">
      <w:start w:val="1"/>
      <w:numFmt w:val="decimal"/>
      <w:suff w:val="nothing"/>
      <w:lvlText w:val="（%1）"/>
      <w:lvlJc w:val="left"/>
    </w:lvl>
  </w:abstractNum>
  <w:abstractNum w:abstractNumId="10">
    <w:nsid w:val="7F879377"/>
    <w:multiLevelType w:val="singleLevel"/>
    <w:tmpl w:val="7F879377"/>
    <w:lvl w:ilvl="0" w:tentative="0">
      <w:start w:val="1"/>
      <w:numFmt w:val="decimal"/>
      <w:suff w:val="nothing"/>
      <w:lvlText w:val="%1）"/>
      <w:lvlJc w:val="left"/>
      <w:rPr>
        <w:rFonts w:hint="default" w:ascii="Times New Roman" w:hAnsi="Times New Roman" w:eastAsia="宋体" w:cs="Times New Roman"/>
        <w:sz w:val="26"/>
        <w:szCs w:val="26"/>
      </w:rPr>
    </w:lvl>
  </w:abstractNum>
  <w:num w:numId="1">
    <w:abstractNumId w:val="7"/>
  </w:num>
  <w:num w:numId="2">
    <w:abstractNumId w:val="4"/>
  </w:num>
  <w:num w:numId="3">
    <w:abstractNumId w:val="2"/>
  </w:num>
  <w:num w:numId="4">
    <w:abstractNumId w:val="5"/>
  </w:num>
  <w:num w:numId="5">
    <w:abstractNumId w:val="8"/>
  </w:num>
  <w:num w:numId="6">
    <w:abstractNumId w:val="0"/>
  </w:num>
  <w:num w:numId="7">
    <w:abstractNumId w:val="9"/>
  </w:num>
  <w:num w:numId="8">
    <w:abstractNumId w:val="3"/>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ThiNTI2MTk1MDFiMTM0YzNlZTIyZWUxMjQzNmUifQ=="/>
  </w:docVars>
  <w:rsids>
    <w:rsidRoot w:val="00172A27"/>
    <w:rsid w:val="000000C1"/>
    <w:rsid w:val="0000108C"/>
    <w:rsid w:val="00001ED5"/>
    <w:rsid w:val="000040CF"/>
    <w:rsid w:val="000051B8"/>
    <w:rsid w:val="00027B18"/>
    <w:rsid w:val="00040D9C"/>
    <w:rsid w:val="00043A20"/>
    <w:rsid w:val="00047B44"/>
    <w:rsid w:val="000550B4"/>
    <w:rsid w:val="000560E7"/>
    <w:rsid w:val="00061547"/>
    <w:rsid w:val="0006545D"/>
    <w:rsid w:val="000742FF"/>
    <w:rsid w:val="00076084"/>
    <w:rsid w:val="00080121"/>
    <w:rsid w:val="000830AE"/>
    <w:rsid w:val="00083E57"/>
    <w:rsid w:val="00084746"/>
    <w:rsid w:val="00090334"/>
    <w:rsid w:val="00090E1D"/>
    <w:rsid w:val="00095FBE"/>
    <w:rsid w:val="000A0A94"/>
    <w:rsid w:val="000A3125"/>
    <w:rsid w:val="000B44D3"/>
    <w:rsid w:val="000B621E"/>
    <w:rsid w:val="000C3608"/>
    <w:rsid w:val="000C39EB"/>
    <w:rsid w:val="000C5F14"/>
    <w:rsid w:val="000C75F6"/>
    <w:rsid w:val="000D1507"/>
    <w:rsid w:val="000E1AB8"/>
    <w:rsid w:val="000E270D"/>
    <w:rsid w:val="000F2E9E"/>
    <w:rsid w:val="000F4800"/>
    <w:rsid w:val="000F5FCE"/>
    <w:rsid w:val="000F7753"/>
    <w:rsid w:val="001059CA"/>
    <w:rsid w:val="00115D04"/>
    <w:rsid w:val="00127E5A"/>
    <w:rsid w:val="00134A19"/>
    <w:rsid w:val="00135826"/>
    <w:rsid w:val="00137D34"/>
    <w:rsid w:val="00144793"/>
    <w:rsid w:val="00145AB0"/>
    <w:rsid w:val="00147273"/>
    <w:rsid w:val="001510B0"/>
    <w:rsid w:val="00155B4C"/>
    <w:rsid w:val="001567BC"/>
    <w:rsid w:val="00162A75"/>
    <w:rsid w:val="00172A27"/>
    <w:rsid w:val="00177CF7"/>
    <w:rsid w:val="00185AFA"/>
    <w:rsid w:val="0019541A"/>
    <w:rsid w:val="001A138B"/>
    <w:rsid w:val="001A6624"/>
    <w:rsid w:val="001B0EAB"/>
    <w:rsid w:val="001B6D1E"/>
    <w:rsid w:val="001B76BA"/>
    <w:rsid w:val="001C3B6E"/>
    <w:rsid w:val="001C558E"/>
    <w:rsid w:val="001C65EB"/>
    <w:rsid w:val="001C78F0"/>
    <w:rsid w:val="001D1EE2"/>
    <w:rsid w:val="001D5703"/>
    <w:rsid w:val="001D6B84"/>
    <w:rsid w:val="001E7484"/>
    <w:rsid w:val="001F29F3"/>
    <w:rsid w:val="001F2BCE"/>
    <w:rsid w:val="001F5FA6"/>
    <w:rsid w:val="001F7000"/>
    <w:rsid w:val="00201480"/>
    <w:rsid w:val="00212A5E"/>
    <w:rsid w:val="00212B54"/>
    <w:rsid w:val="00212B66"/>
    <w:rsid w:val="00213D8A"/>
    <w:rsid w:val="00217971"/>
    <w:rsid w:val="002250D3"/>
    <w:rsid w:val="00225472"/>
    <w:rsid w:val="00231E96"/>
    <w:rsid w:val="0024583B"/>
    <w:rsid w:val="002542AC"/>
    <w:rsid w:val="00255A76"/>
    <w:rsid w:val="002633BA"/>
    <w:rsid w:val="002671D3"/>
    <w:rsid w:val="0027035C"/>
    <w:rsid w:val="00270BE1"/>
    <w:rsid w:val="00272984"/>
    <w:rsid w:val="00292C6F"/>
    <w:rsid w:val="0029662F"/>
    <w:rsid w:val="002A0CDC"/>
    <w:rsid w:val="002B0DC8"/>
    <w:rsid w:val="002B43D4"/>
    <w:rsid w:val="002B511B"/>
    <w:rsid w:val="002B6BA3"/>
    <w:rsid w:val="002C4B89"/>
    <w:rsid w:val="002D46D7"/>
    <w:rsid w:val="002D56A1"/>
    <w:rsid w:val="002D74DB"/>
    <w:rsid w:val="002E05B1"/>
    <w:rsid w:val="002E2496"/>
    <w:rsid w:val="002E5C30"/>
    <w:rsid w:val="002E68E5"/>
    <w:rsid w:val="002F2FDE"/>
    <w:rsid w:val="002F5F47"/>
    <w:rsid w:val="003019EE"/>
    <w:rsid w:val="00301FF1"/>
    <w:rsid w:val="00302AB2"/>
    <w:rsid w:val="0030578E"/>
    <w:rsid w:val="00313C7C"/>
    <w:rsid w:val="0032069E"/>
    <w:rsid w:val="00320A6B"/>
    <w:rsid w:val="003312A9"/>
    <w:rsid w:val="00332380"/>
    <w:rsid w:val="00333CE0"/>
    <w:rsid w:val="00333F3E"/>
    <w:rsid w:val="00334874"/>
    <w:rsid w:val="00342C0F"/>
    <w:rsid w:val="00345904"/>
    <w:rsid w:val="00346A56"/>
    <w:rsid w:val="00351289"/>
    <w:rsid w:val="003629DF"/>
    <w:rsid w:val="00363438"/>
    <w:rsid w:val="00365EB2"/>
    <w:rsid w:val="0037041F"/>
    <w:rsid w:val="00373CDA"/>
    <w:rsid w:val="00377A49"/>
    <w:rsid w:val="00384163"/>
    <w:rsid w:val="00387FE8"/>
    <w:rsid w:val="00396837"/>
    <w:rsid w:val="003976F3"/>
    <w:rsid w:val="003B3B4E"/>
    <w:rsid w:val="003B3C77"/>
    <w:rsid w:val="003B4DC3"/>
    <w:rsid w:val="003B7B00"/>
    <w:rsid w:val="003C1C4B"/>
    <w:rsid w:val="003D21BA"/>
    <w:rsid w:val="003D5C8E"/>
    <w:rsid w:val="003D706A"/>
    <w:rsid w:val="003D7532"/>
    <w:rsid w:val="003E23E6"/>
    <w:rsid w:val="003E2A47"/>
    <w:rsid w:val="003F1AEA"/>
    <w:rsid w:val="003F39DF"/>
    <w:rsid w:val="003F4763"/>
    <w:rsid w:val="003F537E"/>
    <w:rsid w:val="004046DC"/>
    <w:rsid w:val="0041101C"/>
    <w:rsid w:val="00413DA4"/>
    <w:rsid w:val="00413EB9"/>
    <w:rsid w:val="0041738D"/>
    <w:rsid w:val="00420D77"/>
    <w:rsid w:val="0042162E"/>
    <w:rsid w:val="00422592"/>
    <w:rsid w:val="00436F7E"/>
    <w:rsid w:val="00443E4F"/>
    <w:rsid w:val="004448CF"/>
    <w:rsid w:val="00455FCC"/>
    <w:rsid w:val="00461ADE"/>
    <w:rsid w:val="0046732E"/>
    <w:rsid w:val="004731C4"/>
    <w:rsid w:val="004755BF"/>
    <w:rsid w:val="0049470E"/>
    <w:rsid w:val="00496554"/>
    <w:rsid w:val="00496863"/>
    <w:rsid w:val="004A3223"/>
    <w:rsid w:val="004A48AD"/>
    <w:rsid w:val="004A4A3B"/>
    <w:rsid w:val="004A5FDB"/>
    <w:rsid w:val="004A7351"/>
    <w:rsid w:val="004A7586"/>
    <w:rsid w:val="004B7DE2"/>
    <w:rsid w:val="004C4B03"/>
    <w:rsid w:val="004C6AA3"/>
    <w:rsid w:val="004C735A"/>
    <w:rsid w:val="004D115C"/>
    <w:rsid w:val="004D294C"/>
    <w:rsid w:val="004E11F0"/>
    <w:rsid w:val="004E13D2"/>
    <w:rsid w:val="004E3738"/>
    <w:rsid w:val="004E3C8A"/>
    <w:rsid w:val="004E6A71"/>
    <w:rsid w:val="004F013C"/>
    <w:rsid w:val="004F1183"/>
    <w:rsid w:val="004F52ED"/>
    <w:rsid w:val="004F54B3"/>
    <w:rsid w:val="004F55E9"/>
    <w:rsid w:val="004F7DA7"/>
    <w:rsid w:val="00500459"/>
    <w:rsid w:val="00506B25"/>
    <w:rsid w:val="00510DAC"/>
    <w:rsid w:val="00513B72"/>
    <w:rsid w:val="0051723B"/>
    <w:rsid w:val="00517345"/>
    <w:rsid w:val="00522F20"/>
    <w:rsid w:val="0052671D"/>
    <w:rsid w:val="00532B08"/>
    <w:rsid w:val="00532BA2"/>
    <w:rsid w:val="00537EF0"/>
    <w:rsid w:val="00540B70"/>
    <w:rsid w:val="00541FAE"/>
    <w:rsid w:val="00542FDA"/>
    <w:rsid w:val="005451F8"/>
    <w:rsid w:val="00547EDB"/>
    <w:rsid w:val="00557D39"/>
    <w:rsid w:val="0056035B"/>
    <w:rsid w:val="005635A5"/>
    <w:rsid w:val="005648D5"/>
    <w:rsid w:val="0056634A"/>
    <w:rsid w:val="0057309C"/>
    <w:rsid w:val="00584F4E"/>
    <w:rsid w:val="00587A5F"/>
    <w:rsid w:val="005924E1"/>
    <w:rsid w:val="00595526"/>
    <w:rsid w:val="00597479"/>
    <w:rsid w:val="005B24AD"/>
    <w:rsid w:val="005B5407"/>
    <w:rsid w:val="005C11E6"/>
    <w:rsid w:val="005C1E06"/>
    <w:rsid w:val="005D0EBD"/>
    <w:rsid w:val="005D7A57"/>
    <w:rsid w:val="005E1560"/>
    <w:rsid w:val="005E6441"/>
    <w:rsid w:val="005E6DFB"/>
    <w:rsid w:val="005F1876"/>
    <w:rsid w:val="005F5279"/>
    <w:rsid w:val="00607CAE"/>
    <w:rsid w:val="00611465"/>
    <w:rsid w:val="0061342E"/>
    <w:rsid w:val="00615887"/>
    <w:rsid w:val="00620762"/>
    <w:rsid w:val="00620816"/>
    <w:rsid w:val="00622773"/>
    <w:rsid w:val="00622D98"/>
    <w:rsid w:val="00631276"/>
    <w:rsid w:val="00634A21"/>
    <w:rsid w:val="006377C6"/>
    <w:rsid w:val="006400E3"/>
    <w:rsid w:val="00643064"/>
    <w:rsid w:val="00647E41"/>
    <w:rsid w:val="006516F4"/>
    <w:rsid w:val="0065383C"/>
    <w:rsid w:val="006548E9"/>
    <w:rsid w:val="006559DB"/>
    <w:rsid w:val="00662763"/>
    <w:rsid w:val="00662980"/>
    <w:rsid w:val="00666A73"/>
    <w:rsid w:val="00667A52"/>
    <w:rsid w:val="00673C9E"/>
    <w:rsid w:val="00675654"/>
    <w:rsid w:val="00691EF3"/>
    <w:rsid w:val="006943C0"/>
    <w:rsid w:val="006A75DC"/>
    <w:rsid w:val="006B1283"/>
    <w:rsid w:val="006B42F7"/>
    <w:rsid w:val="006B5764"/>
    <w:rsid w:val="006C1F81"/>
    <w:rsid w:val="006D7BBE"/>
    <w:rsid w:val="006E3950"/>
    <w:rsid w:val="006F0149"/>
    <w:rsid w:val="006F3237"/>
    <w:rsid w:val="006F347B"/>
    <w:rsid w:val="006F4C07"/>
    <w:rsid w:val="0071063A"/>
    <w:rsid w:val="00710DA6"/>
    <w:rsid w:val="00712238"/>
    <w:rsid w:val="007167E4"/>
    <w:rsid w:val="00732951"/>
    <w:rsid w:val="00740BBC"/>
    <w:rsid w:val="00741749"/>
    <w:rsid w:val="00743307"/>
    <w:rsid w:val="00750B74"/>
    <w:rsid w:val="007527F9"/>
    <w:rsid w:val="00756337"/>
    <w:rsid w:val="00756D7E"/>
    <w:rsid w:val="0075751B"/>
    <w:rsid w:val="00771788"/>
    <w:rsid w:val="00771859"/>
    <w:rsid w:val="0077406F"/>
    <w:rsid w:val="00780E6E"/>
    <w:rsid w:val="00781B13"/>
    <w:rsid w:val="00784741"/>
    <w:rsid w:val="00786FAC"/>
    <w:rsid w:val="00792F3A"/>
    <w:rsid w:val="007951A0"/>
    <w:rsid w:val="007A057B"/>
    <w:rsid w:val="007A2A65"/>
    <w:rsid w:val="007A4BD0"/>
    <w:rsid w:val="007B27BB"/>
    <w:rsid w:val="007B4B9F"/>
    <w:rsid w:val="007C1B7A"/>
    <w:rsid w:val="007C2C86"/>
    <w:rsid w:val="007C3A2F"/>
    <w:rsid w:val="007D5AC9"/>
    <w:rsid w:val="007E1BED"/>
    <w:rsid w:val="007E3884"/>
    <w:rsid w:val="007F655C"/>
    <w:rsid w:val="00801883"/>
    <w:rsid w:val="00801A78"/>
    <w:rsid w:val="00801B25"/>
    <w:rsid w:val="00803824"/>
    <w:rsid w:val="0080652A"/>
    <w:rsid w:val="008113F7"/>
    <w:rsid w:val="008129E0"/>
    <w:rsid w:val="00814EE7"/>
    <w:rsid w:val="00823FA5"/>
    <w:rsid w:val="00831F31"/>
    <w:rsid w:val="00832DEC"/>
    <w:rsid w:val="00835F37"/>
    <w:rsid w:val="00836BB3"/>
    <w:rsid w:val="00847DB9"/>
    <w:rsid w:val="008515A4"/>
    <w:rsid w:val="00881153"/>
    <w:rsid w:val="00882256"/>
    <w:rsid w:val="0088751F"/>
    <w:rsid w:val="0088753C"/>
    <w:rsid w:val="00893383"/>
    <w:rsid w:val="00895F48"/>
    <w:rsid w:val="008974E2"/>
    <w:rsid w:val="008A123A"/>
    <w:rsid w:val="008A5F87"/>
    <w:rsid w:val="008B2876"/>
    <w:rsid w:val="008B5E2F"/>
    <w:rsid w:val="008C3EB9"/>
    <w:rsid w:val="008D2928"/>
    <w:rsid w:val="008D352E"/>
    <w:rsid w:val="008D3BE0"/>
    <w:rsid w:val="008E129C"/>
    <w:rsid w:val="008E2290"/>
    <w:rsid w:val="008E55AA"/>
    <w:rsid w:val="008F6B5F"/>
    <w:rsid w:val="009020EB"/>
    <w:rsid w:val="009142F8"/>
    <w:rsid w:val="009262AF"/>
    <w:rsid w:val="00927B59"/>
    <w:rsid w:val="009308D0"/>
    <w:rsid w:val="0093303F"/>
    <w:rsid w:val="009406DE"/>
    <w:rsid w:val="009455C4"/>
    <w:rsid w:val="0094709E"/>
    <w:rsid w:val="00961F2C"/>
    <w:rsid w:val="00964CA0"/>
    <w:rsid w:val="00983C56"/>
    <w:rsid w:val="00997B96"/>
    <w:rsid w:val="009B024C"/>
    <w:rsid w:val="009B49FE"/>
    <w:rsid w:val="009B50B5"/>
    <w:rsid w:val="009B6113"/>
    <w:rsid w:val="009B7671"/>
    <w:rsid w:val="009D086E"/>
    <w:rsid w:val="009D5F8C"/>
    <w:rsid w:val="009D6425"/>
    <w:rsid w:val="009D75B9"/>
    <w:rsid w:val="009E08D9"/>
    <w:rsid w:val="009E2DC6"/>
    <w:rsid w:val="009F096A"/>
    <w:rsid w:val="009F13E1"/>
    <w:rsid w:val="009F3ECD"/>
    <w:rsid w:val="009F4C1B"/>
    <w:rsid w:val="009F4D67"/>
    <w:rsid w:val="009F676D"/>
    <w:rsid w:val="009F7E51"/>
    <w:rsid w:val="00A00B65"/>
    <w:rsid w:val="00A03A3F"/>
    <w:rsid w:val="00A06EDB"/>
    <w:rsid w:val="00A15710"/>
    <w:rsid w:val="00A20F3C"/>
    <w:rsid w:val="00A25E21"/>
    <w:rsid w:val="00A260EE"/>
    <w:rsid w:val="00A277AB"/>
    <w:rsid w:val="00A3140E"/>
    <w:rsid w:val="00A32D41"/>
    <w:rsid w:val="00A36254"/>
    <w:rsid w:val="00A42D31"/>
    <w:rsid w:val="00A44D8B"/>
    <w:rsid w:val="00A472DF"/>
    <w:rsid w:val="00A522E7"/>
    <w:rsid w:val="00A6021C"/>
    <w:rsid w:val="00A62154"/>
    <w:rsid w:val="00A66D0F"/>
    <w:rsid w:val="00A77778"/>
    <w:rsid w:val="00A80F2E"/>
    <w:rsid w:val="00A81759"/>
    <w:rsid w:val="00A91841"/>
    <w:rsid w:val="00AA1C19"/>
    <w:rsid w:val="00AA63CF"/>
    <w:rsid w:val="00AB5375"/>
    <w:rsid w:val="00AC04CD"/>
    <w:rsid w:val="00AC3705"/>
    <w:rsid w:val="00AD1A62"/>
    <w:rsid w:val="00AE53D2"/>
    <w:rsid w:val="00AF016F"/>
    <w:rsid w:val="00AF0687"/>
    <w:rsid w:val="00AF41B6"/>
    <w:rsid w:val="00AF5591"/>
    <w:rsid w:val="00B23B69"/>
    <w:rsid w:val="00B325F6"/>
    <w:rsid w:val="00B37554"/>
    <w:rsid w:val="00B432B6"/>
    <w:rsid w:val="00B46BCE"/>
    <w:rsid w:val="00B47AA7"/>
    <w:rsid w:val="00B55ABE"/>
    <w:rsid w:val="00B62BA1"/>
    <w:rsid w:val="00B66DF7"/>
    <w:rsid w:val="00B700EC"/>
    <w:rsid w:val="00B73E5C"/>
    <w:rsid w:val="00B77C0E"/>
    <w:rsid w:val="00B823F8"/>
    <w:rsid w:val="00B838FC"/>
    <w:rsid w:val="00B86C67"/>
    <w:rsid w:val="00B9125C"/>
    <w:rsid w:val="00BA7210"/>
    <w:rsid w:val="00BB2B0C"/>
    <w:rsid w:val="00BB3178"/>
    <w:rsid w:val="00BB7A2E"/>
    <w:rsid w:val="00BB7BB0"/>
    <w:rsid w:val="00BC002B"/>
    <w:rsid w:val="00BC1FC5"/>
    <w:rsid w:val="00BC4B48"/>
    <w:rsid w:val="00BC4E6D"/>
    <w:rsid w:val="00BD3921"/>
    <w:rsid w:val="00BD53E0"/>
    <w:rsid w:val="00BE138D"/>
    <w:rsid w:val="00BE13C1"/>
    <w:rsid w:val="00BE1544"/>
    <w:rsid w:val="00BE66C9"/>
    <w:rsid w:val="00BF19F7"/>
    <w:rsid w:val="00BF31DB"/>
    <w:rsid w:val="00C0522B"/>
    <w:rsid w:val="00C05B85"/>
    <w:rsid w:val="00C12333"/>
    <w:rsid w:val="00C13BB6"/>
    <w:rsid w:val="00C14B00"/>
    <w:rsid w:val="00C158FC"/>
    <w:rsid w:val="00C21B46"/>
    <w:rsid w:val="00C21C09"/>
    <w:rsid w:val="00C22055"/>
    <w:rsid w:val="00C23D61"/>
    <w:rsid w:val="00C2707C"/>
    <w:rsid w:val="00C41D68"/>
    <w:rsid w:val="00C509B4"/>
    <w:rsid w:val="00C51C1C"/>
    <w:rsid w:val="00C52873"/>
    <w:rsid w:val="00C55C62"/>
    <w:rsid w:val="00C61368"/>
    <w:rsid w:val="00C6158C"/>
    <w:rsid w:val="00C617C4"/>
    <w:rsid w:val="00C6214D"/>
    <w:rsid w:val="00C62F92"/>
    <w:rsid w:val="00C67420"/>
    <w:rsid w:val="00C75AC7"/>
    <w:rsid w:val="00C7798A"/>
    <w:rsid w:val="00C77DF9"/>
    <w:rsid w:val="00C8140B"/>
    <w:rsid w:val="00C8179F"/>
    <w:rsid w:val="00C82781"/>
    <w:rsid w:val="00C83D11"/>
    <w:rsid w:val="00C90D26"/>
    <w:rsid w:val="00C93E3B"/>
    <w:rsid w:val="00C94E03"/>
    <w:rsid w:val="00C96E0D"/>
    <w:rsid w:val="00CA23FC"/>
    <w:rsid w:val="00CB7053"/>
    <w:rsid w:val="00CC4815"/>
    <w:rsid w:val="00CD06B5"/>
    <w:rsid w:val="00CD2F72"/>
    <w:rsid w:val="00CD5C80"/>
    <w:rsid w:val="00CD6CAF"/>
    <w:rsid w:val="00CE1CAA"/>
    <w:rsid w:val="00D01BD2"/>
    <w:rsid w:val="00D02A29"/>
    <w:rsid w:val="00D03E17"/>
    <w:rsid w:val="00D06B9D"/>
    <w:rsid w:val="00D079EC"/>
    <w:rsid w:val="00D1152D"/>
    <w:rsid w:val="00D13334"/>
    <w:rsid w:val="00D141C6"/>
    <w:rsid w:val="00D1683F"/>
    <w:rsid w:val="00D30340"/>
    <w:rsid w:val="00D328FA"/>
    <w:rsid w:val="00D33D51"/>
    <w:rsid w:val="00D354B3"/>
    <w:rsid w:val="00D41868"/>
    <w:rsid w:val="00D45AF8"/>
    <w:rsid w:val="00D464C7"/>
    <w:rsid w:val="00D5357A"/>
    <w:rsid w:val="00D615CD"/>
    <w:rsid w:val="00D61983"/>
    <w:rsid w:val="00D63FCA"/>
    <w:rsid w:val="00D6512A"/>
    <w:rsid w:val="00D65C59"/>
    <w:rsid w:val="00D720F5"/>
    <w:rsid w:val="00D7508E"/>
    <w:rsid w:val="00D804B8"/>
    <w:rsid w:val="00D93B07"/>
    <w:rsid w:val="00D971BC"/>
    <w:rsid w:val="00DA1576"/>
    <w:rsid w:val="00DA433E"/>
    <w:rsid w:val="00DA76A8"/>
    <w:rsid w:val="00DB72A8"/>
    <w:rsid w:val="00DC0F61"/>
    <w:rsid w:val="00DC10B6"/>
    <w:rsid w:val="00DC31E1"/>
    <w:rsid w:val="00DC4C0D"/>
    <w:rsid w:val="00DE4D23"/>
    <w:rsid w:val="00DE62A7"/>
    <w:rsid w:val="00DF1DD0"/>
    <w:rsid w:val="00DF4710"/>
    <w:rsid w:val="00E0072A"/>
    <w:rsid w:val="00E01D1E"/>
    <w:rsid w:val="00E0589E"/>
    <w:rsid w:val="00E05F8C"/>
    <w:rsid w:val="00E14B47"/>
    <w:rsid w:val="00E155B4"/>
    <w:rsid w:val="00E207FF"/>
    <w:rsid w:val="00E216F5"/>
    <w:rsid w:val="00E24FEB"/>
    <w:rsid w:val="00E25683"/>
    <w:rsid w:val="00E26C2D"/>
    <w:rsid w:val="00E3207F"/>
    <w:rsid w:val="00E3303E"/>
    <w:rsid w:val="00E36E42"/>
    <w:rsid w:val="00E36F3B"/>
    <w:rsid w:val="00E404A6"/>
    <w:rsid w:val="00E44EAE"/>
    <w:rsid w:val="00E50EE5"/>
    <w:rsid w:val="00E54AA5"/>
    <w:rsid w:val="00E70049"/>
    <w:rsid w:val="00E74151"/>
    <w:rsid w:val="00E744C3"/>
    <w:rsid w:val="00E8047E"/>
    <w:rsid w:val="00E806D9"/>
    <w:rsid w:val="00E8110B"/>
    <w:rsid w:val="00E908BC"/>
    <w:rsid w:val="00E93798"/>
    <w:rsid w:val="00E93A4C"/>
    <w:rsid w:val="00E93D97"/>
    <w:rsid w:val="00E95A27"/>
    <w:rsid w:val="00EA3500"/>
    <w:rsid w:val="00EA6510"/>
    <w:rsid w:val="00EA6FE3"/>
    <w:rsid w:val="00EB2869"/>
    <w:rsid w:val="00EB3E97"/>
    <w:rsid w:val="00EB57E3"/>
    <w:rsid w:val="00EB77C3"/>
    <w:rsid w:val="00EB7D36"/>
    <w:rsid w:val="00EC1464"/>
    <w:rsid w:val="00EC3861"/>
    <w:rsid w:val="00EC5142"/>
    <w:rsid w:val="00EC72CC"/>
    <w:rsid w:val="00ED792C"/>
    <w:rsid w:val="00EE08A3"/>
    <w:rsid w:val="00EE5AE6"/>
    <w:rsid w:val="00EF0527"/>
    <w:rsid w:val="00F03979"/>
    <w:rsid w:val="00F17205"/>
    <w:rsid w:val="00F20CFF"/>
    <w:rsid w:val="00F326C4"/>
    <w:rsid w:val="00F353E7"/>
    <w:rsid w:val="00F367BD"/>
    <w:rsid w:val="00F377DE"/>
    <w:rsid w:val="00F42011"/>
    <w:rsid w:val="00F505CF"/>
    <w:rsid w:val="00F66073"/>
    <w:rsid w:val="00F6753C"/>
    <w:rsid w:val="00F77D11"/>
    <w:rsid w:val="00F80E92"/>
    <w:rsid w:val="00F85643"/>
    <w:rsid w:val="00F86941"/>
    <w:rsid w:val="00F87FAC"/>
    <w:rsid w:val="00F91F55"/>
    <w:rsid w:val="00F9300D"/>
    <w:rsid w:val="00F960B5"/>
    <w:rsid w:val="00FA01B9"/>
    <w:rsid w:val="00FA47F3"/>
    <w:rsid w:val="00FA6CE1"/>
    <w:rsid w:val="00FB2C69"/>
    <w:rsid w:val="00FB3FC1"/>
    <w:rsid w:val="00FC10EF"/>
    <w:rsid w:val="00FC1973"/>
    <w:rsid w:val="00FC4134"/>
    <w:rsid w:val="00FD1E95"/>
    <w:rsid w:val="00FD3114"/>
    <w:rsid w:val="00FD5A6E"/>
    <w:rsid w:val="00FD6BC6"/>
    <w:rsid w:val="00FE2624"/>
    <w:rsid w:val="00FE7B94"/>
    <w:rsid w:val="00FF2BAB"/>
    <w:rsid w:val="00FF584D"/>
    <w:rsid w:val="01317F69"/>
    <w:rsid w:val="016A6FD7"/>
    <w:rsid w:val="017D1AFD"/>
    <w:rsid w:val="01AE15BA"/>
    <w:rsid w:val="01BB7833"/>
    <w:rsid w:val="0200793B"/>
    <w:rsid w:val="02181129"/>
    <w:rsid w:val="023352E2"/>
    <w:rsid w:val="02377801"/>
    <w:rsid w:val="023A1706"/>
    <w:rsid w:val="028045E8"/>
    <w:rsid w:val="02A604E3"/>
    <w:rsid w:val="02AD71AB"/>
    <w:rsid w:val="02CB619B"/>
    <w:rsid w:val="03007FE3"/>
    <w:rsid w:val="03555A65"/>
    <w:rsid w:val="03630182"/>
    <w:rsid w:val="03A072B9"/>
    <w:rsid w:val="03BD4889"/>
    <w:rsid w:val="03BE7AAE"/>
    <w:rsid w:val="04163446"/>
    <w:rsid w:val="04223B99"/>
    <w:rsid w:val="0425775F"/>
    <w:rsid w:val="045301F6"/>
    <w:rsid w:val="045D72C7"/>
    <w:rsid w:val="04711DEA"/>
    <w:rsid w:val="047F723D"/>
    <w:rsid w:val="048D0C34"/>
    <w:rsid w:val="04FB49DA"/>
    <w:rsid w:val="052B4CCF"/>
    <w:rsid w:val="05437D95"/>
    <w:rsid w:val="054B5371"/>
    <w:rsid w:val="0580326D"/>
    <w:rsid w:val="05B37D1B"/>
    <w:rsid w:val="05BC6246"/>
    <w:rsid w:val="05D819A9"/>
    <w:rsid w:val="05D9297D"/>
    <w:rsid w:val="05DA73A4"/>
    <w:rsid w:val="05F477B7"/>
    <w:rsid w:val="06007F0A"/>
    <w:rsid w:val="061F13E4"/>
    <w:rsid w:val="06410F72"/>
    <w:rsid w:val="065C327F"/>
    <w:rsid w:val="0661309E"/>
    <w:rsid w:val="066E070B"/>
    <w:rsid w:val="06764670"/>
    <w:rsid w:val="068B4169"/>
    <w:rsid w:val="06F85F55"/>
    <w:rsid w:val="070103DE"/>
    <w:rsid w:val="071C2CE9"/>
    <w:rsid w:val="071D159D"/>
    <w:rsid w:val="071D4AEC"/>
    <w:rsid w:val="07320597"/>
    <w:rsid w:val="073929FB"/>
    <w:rsid w:val="073E6F3C"/>
    <w:rsid w:val="07603356"/>
    <w:rsid w:val="076646E5"/>
    <w:rsid w:val="077A1F3E"/>
    <w:rsid w:val="077A3CEC"/>
    <w:rsid w:val="07E636A3"/>
    <w:rsid w:val="07F41CF0"/>
    <w:rsid w:val="0822410A"/>
    <w:rsid w:val="08381BDD"/>
    <w:rsid w:val="08CB4946"/>
    <w:rsid w:val="08D1220A"/>
    <w:rsid w:val="09042E47"/>
    <w:rsid w:val="09420839"/>
    <w:rsid w:val="09A42EA5"/>
    <w:rsid w:val="09C81F70"/>
    <w:rsid w:val="09DB6CB5"/>
    <w:rsid w:val="09F63AFE"/>
    <w:rsid w:val="0AAF177B"/>
    <w:rsid w:val="0AC54EB6"/>
    <w:rsid w:val="0AF105E4"/>
    <w:rsid w:val="0B224DC6"/>
    <w:rsid w:val="0B2C354F"/>
    <w:rsid w:val="0B6952F2"/>
    <w:rsid w:val="0B7B3BDB"/>
    <w:rsid w:val="0BD035F6"/>
    <w:rsid w:val="0BF4406D"/>
    <w:rsid w:val="0C376F4C"/>
    <w:rsid w:val="0C661B33"/>
    <w:rsid w:val="0C69170C"/>
    <w:rsid w:val="0C9E222B"/>
    <w:rsid w:val="0CD347F0"/>
    <w:rsid w:val="0CD67C16"/>
    <w:rsid w:val="0D0774A0"/>
    <w:rsid w:val="0D2F2183"/>
    <w:rsid w:val="0D305579"/>
    <w:rsid w:val="0D562B05"/>
    <w:rsid w:val="0D8763A9"/>
    <w:rsid w:val="0D8839C7"/>
    <w:rsid w:val="0D9F31D6"/>
    <w:rsid w:val="0DC14423"/>
    <w:rsid w:val="0DFD53D6"/>
    <w:rsid w:val="0E0277C6"/>
    <w:rsid w:val="0E176739"/>
    <w:rsid w:val="0E3D64F8"/>
    <w:rsid w:val="0E4C5A3B"/>
    <w:rsid w:val="0E6A6F68"/>
    <w:rsid w:val="0E6C4ADF"/>
    <w:rsid w:val="0EEF4FBF"/>
    <w:rsid w:val="0F15006F"/>
    <w:rsid w:val="0F2C7FC2"/>
    <w:rsid w:val="0F2E3D3A"/>
    <w:rsid w:val="0F4075C9"/>
    <w:rsid w:val="0F783207"/>
    <w:rsid w:val="0F8B4CE8"/>
    <w:rsid w:val="0FB3423F"/>
    <w:rsid w:val="0FC621C4"/>
    <w:rsid w:val="0FE31F1B"/>
    <w:rsid w:val="100D7DF3"/>
    <w:rsid w:val="101A2FB2"/>
    <w:rsid w:val="101F3682"/>
    <w:rsid w:val="10233173"/>
    <w:rsid w:val="106D2640"/>
    <w:rsid w:val="108D683E"/>
    <w:rsid w:val="10AA73F0"/>
    <w:rsid w:val="10B712EA"/>
    <w:rsid w:val="10B77AB1"/>
    <w:rsid w:val="110C3C07"/>
    <w:rsid w:val="111B6540"/>
    <w:rsid w:val="112A2534"/>
    <w:rsid w:val="11765524"/>
    <w:rsid w:val="11916802"/>
    <w:rsid w:val="11F50B3F"/>
    <w:rsid w:val="11FE6D0A"/>
    <w:rsid w:val="12212CC5"/>
    <w:rsid w:val="12555A81"/>
    <w:rsid w:val="12635AA8"/>
    <w:rsid w:val="129C0FBA"/>
    <w:rsid w:val="12BB4758"/>
    <w:rsid w:val="12DE2F20"/>
    <w:rsid w:val="12F76F4F"/>
    <w:rsid w:val="12F9465F"/>
    <w:rsid w:val="1346220A"/>
    <w:rsid w:val="134B0ECF"/>
    <w:rsid w:val="135E7EDE"/>
    <w:rsid w:val="1390458D"/>
    <w:rsid w:val="1399371F"/>
    <w:rsid w:val="13CE0261"/>
    <w:rsid w:val="13D6674E"/>
    <w:rsid w:val="13D677FE"/>
    <w:rsid w:val="140B07D0"/>
    <w:rsid w:val="142768E1"/>
    <w:rsid w:val="14467430"/>
    <w:rsid w:val="149D0C6F"/>
    <w:rsid w:val="14A5684C"/>
    <w:rsid w:val="14A8633C"/>
    <w:rsid w:val="14E801EF"/>
    <w:rsid w:val="150225FF"/>
    <w:rsid w:val="15076265"/>
    <w:rsid w:val="154C4F1A"/>
    <w:rsid w:val="154E72C7"/>
    <w:rsid w:val="154F0566"/>
    <w:rsid w:val="155D7127"/>
    <w:rsid w:val="15740A41"/>
    <w:rsid w:val="158E10A8"/>
    <w:rsid w:val="15A558D2"/>
    <w:rsid w:val="1600747E"/>
    <w:rsid w:val="164F3055"/>
    <w:rsid w:val="167E55A7"/>
    <w:rsid w:val="168E3310"/>
    <w:rsid w:val="169A3A63"/>
    <w:rsid w:val="16A14DF1"/>
    <w:rsid w:val="16E11692"/>
    <w:rsid w:val="171F0963"/>
    <w:rsid w:val="17263548"/>
    <w:rsid w:val="1740285C"/>
    <w:rsid w:val="17542EBD"/>
    <w:rsid w:val="17850760"/>
    <w:rsid w:val="17B57220"/>
    <w:rsid w:val="17C90AA4"/>
    <w:rsid w:val="17E22AF6"/>
    <w:rsid w:val="17E67153"/>
    <w:rsid w:val="17ED7C2D"/>
    <w:rsid w:val="17FE022C"/>
    <w:rsid w:val="1807337A"/>
    <w:rsid w:val="181C3077"/>
    <w:rsid w:val="18341D3F"/>
    <w:rsid w:val="183C4BA9"/>
    <w:rsid w:val="1840063A"/>
    <w:rsid w:val="18431570"/>
    <w:rsid w:val="18725A08"/>
    <w:rsid w:val="18770500"/>
    <w:rsid w:val="18C81F75"/>
    <w:rsid w:val="18CF58DF"/>
    <w:rsid w:val="18E266CB"/>
    <w:rsid w:val="18F169BC"/>
    <w:rsid w:val="191775ED"/>
    <w:rsid w:val="191B7A61"/>
    <w:rsid w:val="192F0DDA"/>
    <w:rsid w:val="1935655D"/>
    <w:rsid w:val="19637B36"/>
    <w:rsid w:val="198729C4"/>
    <w:rsid w:val="19923117"/>
    <w:rsid w:val="19955C20"/>
    <w:rsid w:val="19DD5A5C"/>
    <w:rsid w:val="1A0907FE"/>
    <w:rsid w:val="1A143B2C"/>
    <w:rsid w:val="1A270D78"/>
    <w:rsid w:val="1A365248"/>
    <w:rsid w:val="1A5A11AA"/>
    <w:rsid w:val="1A5F749D"/>
    <w:rsid w:val="1A700611"/>
    <w:rsid w:val="1A8C5DB8"/>
    <w:rsid w:val="1A963E48"/>
    <w:rsid w:val="1AAB623F"/>
    <w:rsid w:val="1AD11A1D"/>
    <w:rsid w:val="1ADD6884"/>
    <w:rsid w:val="1AF968D9"/>
    <w:rsid w:val="1B067919"/>
    <w:rsid w:val="1B1F6C2C"/>
    <w:rsid w:val="1B26620D"/>
    <w:rsid w:val="1B351FAC"/>
    <w:rsid w:val="1B634D6B"/>
    <w:rsid w:val="1B8371BB"/>
    <w:rsid w:val="1B9F38C9"/>
    <w:rsid w:val="1BC752FA"/>
    <w:rsid w:val="1BE3526B"/>
    <w:rsid w:val="1BEC2FB3"/>
    <w:rsid w:val="1BF65BDF"/>
    <w:rsid w:val="1C5F3784"/>
    <w:rsid w:val="1C8036FB"/>
    <w:rsid w:val="1C8256C5"/>
    <w:rsid w:val="1C9D605B"/>
    <w:rsid w:val="1CA613B3"/>
    <w:rsid w:val="1CA76332"/>
    <w:rsid w:val="1CB21067"/>
    <w:rsid w:val="1CC71F74"/>
    <w:rsid w:val="1CD82637"/>
    <w:rsid w:val="1CDC3027"/>
    <w:rsid w:val="1D04432C"/>
    <w:rsid w:val="1D0936F0"/>
    <w:rsid w:val="1D146F1B"/>
    <w:rsid w:val="1D5F38F9"/>
    <w:rsid w:val="1D752B34"/>
    <w:rsid w:val="1D852295"/>
    <w:rsid w:val="1DC07520"/>
    <w:rsid w:val="1DD261D8"/>
    <w:rsid w:val="1DDF6231"/>
    <w:rsid w:val="1E1265D5"/>
    <w:rsid w:val="1E3218A4"/>
    <w:rsid w:val="1E3B1FCF"/>
    <w:rsid w:val="1E6A6411"/>
    <w:rsid w:val="1EA24A39"/>
    <w:rsid w:val="1EFC4C0E"/>
    <w:rsid w:val="1F0A4067"/>
    <w:rsid w:val="1F1E6E1C"/>
    <w:rsid w:val="1F3276A8"/>
    <w:rsid w:val="1F4629DA"/>
    <w:rsid w:val="1F472F44"/>
    <w:rsid w:val="1F5211D5"/>
    <w:rsid w:val="1F5570C1"/>
    <w:rsid w:val="1F5866E8"/>
    <w:rsid w:val="1F5A6485"/>
    <w:rsid w:val="1F5A6CC9"/>
    <w:rsid w:val="1FBB3C5D"/>
    <w:rsid w:val="200563F1"/>
    <w:rsid w:val="20120B0E"/>
    <w:rsid w:val="201D7B61"/>
    <w:rsid w:val="20403AAB"/>
    <w:rsid w:val="2055476D"/>
    <w:rsid w:val="206D21E8"/>
    <w:rsid w:val="207F0144"/>
    <w:rsid w:val="20866015"/>
    <w:rsid w:val="20B3763C"/>
    <w:rsid w:val="211B7A7F"/>
    <w:rsid w:val="215958B5"/>
    <w:rsid w:val="21956F4B"/>
    <w:rsid w:val="21B300CF"/>
    <w:rsid w:val="21B856E5"/>
    <w:rsid w:val="21DE339D"/>
    <w:rsid w:val="22084A89"/>
    <w:rsid w:val="22202D6E"/>
    <w:rsid w:val="224678CE"/>
    <w:rsid w:val="22635651"/>
    <w:rsid w:val="227E248B"/>
    <w:rsid w:val="228B64C0"/>
    <w:rsid w:val="228D4D34"/>
    <w:rsid w:val="228D6290"/>
    <w:rsid w:val="229F194F"/>
    <w:rsid w:val="22AC7B08"/>
    <w:rsid w:val="22AD3CBB"/>
    <w:rsid w:val="22B1460E"/>
    <w:rsid w:val="23403BC5"/>
    <w:rsid w:val="235356C5"/>
    <w:rsid w:val="23872FC3"/>
    <w:rsid w:val="23913AD4"/>
    <w:rsid w:val="239F30FD"/>
    <w:rsid w:val="23BC7ED6"/>
    <w:rsid w:val="23CB16FF"/>
    <w:rsid w:val="23E80CF6"/>
    <w:rsid w:val="240A245B"/>
    <w:rsid w:val="2429024C"/>
    <w:rsid w:val="2435126F"/>
    <w:rsid w:val="244119C2"/>
    <w:rsid w:val="24457704"/>
    <w:rsid w:val="245604F0"/>
    <w:rsid w:val="245F5833"/>
    <w:rsid w:val="24622025"/>
    <w:rsid w:val="247E49C4"/>
    <w:rsid w:val="24816FA7"/>
    <w:rsid w:val="249A720A"/>
    <w:rsid w:val="24AA4B3A"/>
    <w:rsid w:val="24E426D1"/>
    <w:rsid w:val="251D242F"/>
    <w:rsid w:val="25331B76"/>
    <w:rsid w:val="25407ECB"/>
    <w:rsid w:val="255F65A3"/>
    <w:rsid w:val="2566295A"/>
    <w:rsid w:val="257B0F03"/>
    <w:rsid w:val="25AC6B00"/>
    <w:rsid w:val="25BF281E"/>
    <w:rsid w:val="25C97E3C"/>
    <w:rsid w:val="25D647C5"/>
    <w:rsid w:val="25E06CBE"/>
    <w:rsid w:val="263537A8"/>
    <w:rsid w:val="264B2FCC"/>
    <w:rsid w:val="26746322"/>
    <w:rsid w:val="26DA4B8A"/>
    <w:rsid w:val="26FB0D17"/>
    <w:rsid w:val="270A76AF"/>
    <w:rsid w:val="270F224B"/>
    <w:rsid w:val="27321A96"/>
    <w:rsid w:val="27893C2C"/>
    <w:rsid w:val="27A952B2"/>
    <w:rsid w:val="27C7677B"/>
    <w:rsid w:val="283671F3"/>
    <w:rsid w:val="28481571"/>
    <w:rsid w:val="287D487F"/>
    <w:rsid w:val="28A52D29"/>
    <w:rsid w:val="28C57065"/>
    <w:rsid w:val="28D17008"/>
    <w:rsid w:val="28D77E2B"/>
    <w:rsid w:val="28F06AE4"/>
    <w:rsid w:val="291259B4"/>
    <w:rsid w:val="2918096D"/>
    <w:rsid w:val="29257B04"/>
    <w:rsid w:val="292813A2"/>
    <w:rsid w:val="292C49EE"/>
    <w:rsid w:val="29310257"/>
    <w:rsid w:val="29312352"/>
    <w:rsid w:val="295201CD"/>
    <w:rsid w:val="297939AC"/>
    <w:rsid w:val="29826012"/>
    <w:rsid w:val="2987256D"/>
    <w:rsid w:val="29911D31"/>
    <w:rsid w:val="29B94F60"/>
    <w:rsid w:val="29C46D05"/>
    <w:rsid w:val="29D65264"/>
    <w:rsid w:val="29EE3E7B"/>
    <w:rsid w:val="2A0776C6"/>
    <w:rsid w:val="2A4144C9"/>
    <w:rsid w:val="2A570191"/>
    <w:rsid w:val="2A582BBF"/>
    <w:rsid w:val="2A5E701C"/>
    <w:rsid w:val="2A6A3A04"/>
    <w:rsid w:val="2A7E7657"/>
    <w:rsid w:val="2A7F3244"/>
    <w:rsid w:val="2A8A715A"/>
    <w:rsid w:val="2AC02608"/>
    <w:rsid w:val="2ADD1060"/>
    <w:rsid w:val="2AF27EBA"/>
    <w:rsid w:val="2B153B7F"/>
    <w:rsid w:val="2B3B53BD"/>
    <w:rsid w:val="2B4D4DDE"/>
    <w:rsid w:val="2B7B2C73"/>
    <w:rsid w:val="2B8A6276"/>
    <w:rsid w:val="2B9E594C"/>
    <w:rsid w:val="2BAA5F79"/>
    <w:rsid w:val="2BC730F4"/>
    <w:rsid w:val="2C001BA5"/>
    <w:rsid w:val="2C416A03"/>
    <w:rsid w:val="2C596C35"/>
    <w:rsid w:val="2C622E1D"/>
    <w:rsid w:val="2C643FDD"/>
    <w:rsid w:val="2C691F4B"/>
    <w:rsid w:val="2C9F52C6"/>
    <w:rsid w:val="2CBD0053"/>
    <w:rsid w:val="2CD02AB7"/>
    <w:rsid w:val="2D074F3F"/>
    <w:rsid w:val="2D1063D5"/>
    <w:rsid w:val="2D6F65F8"/>
    <w:rsid w:val="2D8E211C"/>
    <w:rsid w:val="2D9E1C33"/>
    <w:rsid w:val="2DAB3E52"/>
    <w:rsid w:val="2DD6761F"/>
    <w:rsid w:val="2E1761D2"/>
    <w:rsid w:val="2E4647A4"/>
    <w:rsid w:val="2E602BC2"/>
    <w:rsid w:val="2E710B90"/>
    <w:rsid w:val="2E722E13"/>
    <w:rsid w:val="2E76495E"/>
    <w:rsid w:val="2E7664A7"/>
    <w:rsid w:val="2E7F7113"/>
    <w:rsid w:val="2E84033B"/>
    <w:rsid w:val="2E8C5F2F"/>
    <w:rsid w:val="2E9B6172"/>
    <w:rsid w:val="2EC1207D"/>
    <w:rsid w:val="2EF30A18"/>
    <w:rsid w:val="2EFA2B4C"/>
    <w:rsid w:val="2F3565C7"/>
    <w:rsid w:val="2F3D354D"/>
    <w:rsid w:val="2F587352"/>
    <w:rsid w:val="2F651AA7"/>
    <w:rsid w:val="2FBC55DE"/>
    <w:rsid w:val="2FCA6D0F"/>
    <w:rsid w:val="2FE04785"/>
    <w:rsid w:val="2FED27C1"/>
    <w:rsid w:val="30370759"/>
    <w:rsid w:val="303B29E5"/>
    <w:rsid w:val="304C7F59"/>
    <w:rsid w:val="306929CC"/>
    <w:rsid w:val="30986E0D"/>
    <w:rsid w:val="30AC1495"/>
    <w:rsid w:val="310149B3"/>
    <w:rsid w:val="31216E03"/>
    <w:rsid w:val="3148438F"/>
    <w:rsid w:val="315471D8"/>
    <w:rsid w:val="31576CC8"/>
    <w:rsid w:val="317D6963"/>
    <w:rsid w:val="319D4FDA"/>
    <w:rsid w:val="31A33C4D"/>
    <w:rsid w:val="31B83A2B"/>
    <w:rsid w:val="31CD4D39"/>
    <w:rsid w:val="31CF27D1"/>
    <w:rsid w:val="321D2C65"/>
    <w:rsid w:val="32596681"/>
    <w:rsid w:val="32852108"/>
    <w:rsid w:val="329731C8"/>
    <w:rsid w:val="32AA7CFE"/>
    <w:rsid w:val="32D677E9"/>
    <w:rsid w:val="33023314"/>
    <w:rsid w:val="33035127"/>
    <w:rsid w:val="3307027A"/>
    <w:rsid w:val="330813D5"/>
    <w:rsid w:val="330E1609"/>
    <w:rsid w:val="33333DF3"/>
    <w:rsid w:val="334F048D"/>
    <w:rsid w:val="338201E2"/>
    <w:rsid w:val="338B2C59"/>
    <w:rsid w:val="33912606"/>
    <w:rsid w:val="33B36220"/>
    <w:rsid w:val="33D363AB"/>
    <w:rsid w:val="33EA5BD2"/>
    <w:rsid w:val="33F24A86"/>
    <w:rsid w:val="343808DE"/>
    <w:rsid w:val="343B5E57"/>
    <w:rsid w:val="344862FE"/>
    <w:rsid w:val="34781430"/>
    <w:rsid w:val="34A2025B"/>
    <w:rsid w:val="34A57B4B"/>
    <w:rsid w:val="34A9783B"/>
    <w:rsid w:val="34CB5A03"/>
    <w:rsid w:val="34ED401A"/>
    <w:rsid w:val="355359F9"/>
    <w:rsid w:val="35C879D6"/>
    <w:rsid w:val="35E93C67"/>
    <w:rsid w:val="35F5260C"/>
    <w:rsid w:val="361A0DC5"/>
    <w:rsid w:val="361B0F22"/>
    <w:rsid w:val="363C0908"/>
    <w:rsid w:val="364558E7"/>
    <w:rsid w:val="36636DE5"/>
    <w:rsid w:val="3665440F"/>
    <w:rsid w:val="36696FA4"/>
    <w:rsid w:val="36721EAF"/>
    <w:rsid w:val="36853D4B"/>
    <w:rsid w:val="36D11ADC"/>
    <w:rsid w:val="37316A98"/>
    <w:rsid w:val="373F5B47"/>
    <w:rsid w:val="376161AB"/>
    <w:rsid w:val="37621F23"/>
    <w:rsid w:val="37661A13"/>
    <w:rsid w:val="376B28CD"/>
    <w:rsid w:val="376FFAF6"/>
    <w:rsid w:val="37B41185"/>
    <w:rsid w:val="37BF1123"/>
    <w:rsid w:val="37F012DD"/>
    <w:rsid w:val="380354B4"/>
    <w:rsid w:val="38080D1C"/>
    <w:rsid w:val="381C5AC3"/>
    <w:rsid w:val="383621BC"/>
    <w:rsid w:val="38513911"/>
    <w:rsid w:val="38514471"/>
    <w:rsid w:val="388B0F8F"/>
    <w:rsid w:val="390E4110"/>
    <w:rsid w:val="390F1C37"/>
    <w:rsid w:val="39131727"/>
    <w:rsid w:val="396C7089"/>
    <w:rsid w:val="397E7593"/>
    <w:rsid w:val="39A93D78"/>
    <w:rsid w:val="39AC20F1"/>
    <w:rsid w:val="39B737BC"/>
    <w:rsid w:val="39E8389E"/>
    <w:rsid w:val="3A5169AB"/>
    <w:rsid w:val="3A5A5B79"/>
    <w:rsid w:val="3A614714"/>
    <w:rsid w:val="3A714BB1"/>
    <w:rsid w:val="3A7A6567"/>
    <w:rsid w:val="3A821A9E"/>
    <w:rsid w:val="3AAA1C17"/>
    <w:rsid w:val="3B0B5CC7"/>
    <w:rsid w:val="3B3911ED"/>
    <w:rsid w:val="3B515F53"/>
    <w:rsid w:val="3B744032"/>
    <w:rsid w:val="3B965DCB"/>
    <w:rsid w:val="3BB30F9F"/>
    <w:rsid w:val="3BC216B6"/>
    <w:rsid w:val="3C3663D5"/>
    <w:rsid w:val="3C4D2FBD"/>
    <w:rsid w:val="3C5B0F96"/>
    <w:rsid w:val="3C5F4C83"/>
    <w:rsid w:val="3C671F89"/>
    <w:rsid w:val="3C81109D"/>
    <w:rsid w:val="3C885F88"/>
    <w:rsid w:val="3CFD45D1"/>
    <w:rsid w:val="3D50407A"/>
    <w:rsid w:val="3D5642D8"/>
    <w:rsid w:val="3D592923"/>
    <w:rsid w:val="3D7B5AED"/>
    <w:rsid w:val="3D860681"/>
    <w:rsid w:val="3D8A4BDA"/>
    <w:rsid w:val="3D8F419A"/>
    <w:rsid w:val="3DB66B25"/>
    <w:rsid w:val="3DDB2CA2"/>
    <w:rsid w:val="3E10634D"/>
    <w:rsid w:val="3E636CAD"/>
    <w:rsid w:val="3E6F6511"/>
    <w:rsid w:val="3EA547F1"/>
    <w:rsid w:val="3EEA0DF3"/>
    <w:rsid w:val="3EF94F1B"/>
    <w:rsid w:val="3F0F0BE2"/>
    <w:rsid w:val="3F1A5537"/>
    <w:rsid w:val="3F2B709E"/>
    <w:rsid w:val="3F3148A8"/>
    <w:rsid w:val="3F724CCD"/>
    <w:rsid w:val="3F7A3A9E"/>
    <w:rsid w:val="3F9542F2"/>
    <w:rsid w:val="3FB6105E"/>
    <w:rsid w:val="3FD37E62"/>
    <w:rsid w:val="40057FF5"/>
    <w:rsid w:val="4024421A"/>
    <w:rsid w:val="40247A3B"/>
    <w:rsid w:val="40387CC5"/>
    <w:rsid w:val="40750F19"/>
    <w:rsid w:val="40922639"/>
    <w:rsid w:val="40A86B78"/>
    <w:rsid w:val="40B05AAD"/>
    <w:rsid w:val="40DB5220"/>
    <w:rsid w:val="40ED4F53"/>
    <w:rsid w:val="40F57964"/>
    <w:rsid w:val="41015C25"/>
    <w:rsid w:val="41630D72"/>
    <w:rsid w:val="41736EB6"/>
    <w:rsid w:val="4178568F"/>
    <w:rsid w:val="41A424A2"/>
    <w:rsid w:val="41A475B3"/>
    <w:rsid w:val="41A83335"/>
    <w:rsid w:val="41B95686"/>
    <w:rsid w:val="41CE268F"/>
    <w:rsid w:val="41FB36A0"/>
    <w:rsid w:val="42130361"/>
    <w:rsid w:val="421F02D2"/>
    <w:rsid w:val="42641245"/>
    <w:rsid w:val="426D634C"/>
    <w:rsid w:val="42905B96"/>
    <w:rsid w:val="42976F25"/>
    <w:rsid w:val="42AB0C22"/>
    <w:rsid w:val="42AF1F8B"/>
    <w:rsid w:val="42CF2B62"/>
    <w:rsid w:val="434626F9"/>
    <w:rsid w:val="4352068D"/>
    <w:rsid w:val="43525542"/>
    <w:rsid w:val="438751EB"/>
    <w:rsid w:val="438F5E4E"/>
    <w:rsid w:val="442E5667"/>
    <w:rsid w:val="443465D7"/>
    <w:rsid w:val="44487D01"/>
    <w:rsid w:val="445866DF"/>
    <w:rsid w:val="449C6A74"/>
    <w:rsid w:val="449E0F2B"/>
    <w:rsid w:val="44B0183F"/>
    <w:rsid w:val="44F87A23"/>
    <w:rsid w:val="450665E4"/>
    <w:rsid w:val="452803B1"/>
    <w:rsid w:val="453A3B30"/>
    <w:rsid w:val="45596713"/>
    <w:rsid w:val="459B31D0"/>
    <w:rsid w:val="45B147A1"/>
    <w:rsid w:val="45E5444B"/>
    <w:rsid w:val="46236D21"/>
    <w:rsid w:val="463D551C"/>
    <w:rsid w:val="46524165"/>
    <w:rsid w:val="46690BD8"/>
    <w:rsid w:val="466B668B"/>
    <w:rsid w:val="46C26ABE"/>
    <w:rsid w:val="46D66405"/>
    <w:rsid w:val="4703102C"/>
    <w:rsid w:val="471B1A51"/>
    <w:rsid w:val="47833F1C"/>
    <w:rsid w:val="479F077E"/>
    <w:rsid w:val="47A619B8"/>
    <w:rsid w:val="47BC66EA"/>
    <w:rsid w:val="47EE6981"/>
    <w:rsid w:val="47F00E85"/>
    <w:rsid w:val="48140818"/>
    <w:rsid w:val="483F23F9"/>
    <w:rsid w:val="48813B83"/>
    <w:rsid w:val="48BE4F8B"/>
    <w:rsid w:val="48C06AA9"/>
    <w:rsid w:val="48CB5B7A"/>
    <w:rsid w:val="48E46C3C"/>
    <w:rsid w:val="4916491B"/>
    <w:rsid w:val="491D5B77"/>
    <w:rsid w:val="49226FFA"/>
    <w:rsid w:val="4957740E"/>
    <w:rsid w:val="49667651"/>
    <w:rsid w:val="49B82B04"/>
    <w:rsid w:val="49BA4092"/>
    <w:rsid w:val="49CB1BAA"/>
    <w:rsid w:val="4A0D2B28"/>
    <w:rsid w:val="4A0F5F3A"/>
    <w:rsid w:val="4A686790"/>
    <w:rsid w:val="4A86362B"/>
    <w:rsid w:val="4A872D70"/>
    <w:rsid w:val="4A8755B7"/>
    <w:rsid w:val="4A985F30"/>
    <w:rsid w:val="4AB16FF2"/>
    <w:rsid w:val="4ABD3BF4"/>
    <w:rsid w:val="4ACF7478"/>
    <w:rsid w:val="4ADD40C6"/>
    <w:rsid w:val="4B06733D"/>
    <w:rsid w:val="4B125CE2"/>
    <w:rsid w:val="4B2C732F"/>
    <w:rsid w:val="4B565FEC"/>
    <w:rsid w:val="4B6A7E14"/>
    <w:rsid w:val="4B7659E0"/>
    <w:rsid w:val="4B924100"/>
    <w:rsid w:val="4BBD3CED"/>
    <w:rsid w:val="4BC96C81"/>
    <w:rsid w:val="4BFA0524"/>
    <w:rsid w:val="4BFC24EE"/>
    <w:rsid w:val="4C0D4D9E"/>
    <w:rsid w:val="4C102584"/>
    <w:rsid w:val="4C3103EA"/>
    <w:rsid w:val="4C9A7F59"/>
    <w:rsid w:val="4C9D5A49"/>
    <w:rsid w:val="4D275349"/>
    <w:rsid w:val="4D41465D"/>
    <w:rsid w:val="4D9F4272"/>
    <w:rsid w:val="4DB210B7"/>
    <w:rsid w:val="4DD23507"/>
    <w:rsid w:val="4DED20EF"/>
    <w:rsid w:val="4DF07E31"/>
    <w:rsid w:val="4DF56804"/>
    <w:rsid w:val="4E0600DB"/>
    <w:rsid w:val="4E151645"/>
    <w:rsid w:val="4E466818"/>
    <w:rsid w:val="4E7445BE"/>
    <w:rsid w:val="4E7830E6"/>
    <w:rsid w:val="4E8642F1"/>
    <w:rsid w:val="4E8F764A"/>
    <w:rsid w:val="4EB04235"/>
    <w:rsid w:val="4ED86D06"/>
    <w:rsid w:val="4EF478C4"/>
    <w:rsid w:val="4F196F13"/>
    <w:rsid w:val="4F7A3F06"/>
    <w:rsid w:val="4F982324"/>
    <w:rsid w:val="4F9D18F3"/>
    <w:rsid w:val="4FA93293"/>
    <w:rsid w:val="4FAD422B"/>
    <w:rsid w:val="4FDE399A"/>
    <w:rsid w:val="4FE75BB7"/>
    <w:rsid w:val="5000167C"/>
    <w:rsid w:val="503264DF"/>
    <w:rsid w:val="50574197"/>
    <w:rsid w:val="510E6063"/>
    <w:rsid w:val="511D718F"/>
    <w:rsid w:val="517316A3"/>
    <w:rsid w:val="51752B27"/>
    <w:rsid w:val="51E90F7F"/>
    <w:rsid w:val="51F20042"/>
    <w:rsid w:val="51FF4AE6"/>
    <w:rsid w:val="520143BB"/>
    <w:rsid w:val="520256E6"/>
    <w:rsid w:val="52134D90"/>
    <w:rsid w:val="522712D1"/>
    <w:rsid w:val="52556A4B"/>
    <w:rsid w:val="525E7A5F"/>
    <w:rsid w:val="5261683F"/>
    <w:rsid w:val="526A6404"/>
    <w:rsid w:val="52AB2578"/>
    <w:rsid w:val="52B70F1D"/>
    <w:rsid w:val="53063A12"/>
    <w:rsid w:val="53114AD1"/>
    <w:rsid w:val="536C61AC"/>
    <w:rsid w:val="538C4158"/>
    <w:rsid w:val="53A05E55"/>
    <w:rsid w:val="54003FB4"/>
    <w:rsid w:val="544D1B39"/>
    <w:rsid w:val="54645106"/>
    <w:rsid w:val="5476515C"/>
    <w:rsid w:val="547B32F2"/>
    <w:rsid w:val="54845992"/>
    <w:rsid w:val="54B44B9F"/>
    <w:rsid w:val="54C94F38"/>
    <w:rsid w:val="54CE2ADD"/>
    <w:rsid w:val="550F3292"/>
    <w:rsid w:val="5524370F"/>
    <w:rsid w:val="55521C68"/>
    <w:rsid w:val="55585373"/>
    <w:rsid w:val="55A347B8"/>
    <w:rsid w:val="55AA206F"/>
    <w:rsid w:val="55E04A92"/>
    <w:rsid w:val="560621F0"/>
    <w:rsid w:val="563416FC"/>
    <w:rsid w:val="56694C24"/>
    <w:rsid w:val="566C53B8"/>
    <w:rsid w:val="567933B9"/>
    <w:rsid w:val="56C80B30"/>
    <w:rsid w:val="56E0685A"/>
    <w:rsid w:val="56ED315F"/>
    <w:rsid w:val="570606C5"/>
    <w:rsid w:val="574A7696"/>
    <w:rsid w:val="57584857"/>
    <w:rsid w:val="577473DD"/>
    <w:rsid w:val="57A55784"/>
    <w:rsid w:val="57B7551B"/>
    <w:rsid w:val="57B76030"/>
    <w:rsid w:val="57C524B6"/>
    <w:rsid w:val="57CA16F3"/>
    <w:rsid w:val="57CA639C"/>
    <w:rsid w:val="57CA6432"/>
    <w:rsid w:val="5838665C"/>
    <w:rsid w:val="5853793A"/>
    <w:rsid w:val="58574782"/>
    <w:rsid w:val="58646A70"/>
    <w:rsid w:val="58670CF0"/>
    <w:rsid w:val="586C3987"/>
    <w:rsid w:val="58A61818"/>
    <w:rsid w:val="58A92390"/>
    <w:rsid w:val="58B303D9"/>
    <w:rsid w:val="58B84B38"/>
    <w:rsid w:val="58E91C8B"/>
    <w:rsid w:val="58F12E72"/>
    <w:rsid w:val="58F20F01"/>
    <w:rsid w:val="59777658"/>
    <w:rsid w:val="59796F2C"/>
    <w:rsid w:val="59951AFA"/>
    <w:rsid w:val="599E6993"/>
    <w:rsid w:val="59B9557B"/>
    <w:rsid w:val="59BD150F"/>
    <w:rsid w:val="59C2358E"/>
    <w:rsid w:val="59D5546B"/>
    <w:rsid w:val="5A2C606D"/>
    <w:rsid w:val="5A386DE8"/>
    <w:rsid w:val="5A3F7331"/>
    <w:rsid w:val="5A5A6E82"/>
    <w:rsid w:val="5A753B98"/>
    <w:rsid w:val="5A8262B5"/>
    <w:rsid w:val="5A845B89"/>
    <w:rsid w:val="5A977C77"/>
    <w:rsid w:val="5AA8091A"/>
    <w:rsid w:val="5AD0273D"/>
    <w:rsid w:val="5B1038C0"/>
    <w:rsid w:val="5B1E7604"/>
    <w:rsid w:val="5B564F4F"/>
    <w:rsid w:val="5B6634E0"/>
    <w:rsid w:val="5B867F38"/>
    <w:rsid w:val="5BAB5397"/>
    <w:rsid w:val="5BC14BBB"/>
    <w:rsid w:val="5BF22702"/>
    <w:rsid w:val="5BFB7284"/>
    <w:rsid w:val="5C0A47B4"/>
    <w:rsid w:val="5C21284A"/>
    <w:rsid w:val="5C2238AB"/>
    <w:rsid w:val="5C2D76E0"/>
    <w:rsid w:val="5C4A2469"/>
    <w:rsid w:val="5C5B0B6B"/>
    <w:rsid w:val="5C653798"/>
    <w:rsid w:val="5C703B80"/>
    <w:rsid w:val="5C7F0D24"/>
    <w:rsid w:val="5CBF4090"/>
    <w:rsid w:val="5CD03307"/>
    <w:rsid w:val="5CDF179C"/>
    <w:rsid w:val="5CE57681"/>
    <w:rsid w:val="5CF16AD1"/>
    <w:rsid w:val="5CFD0C76"/>
    <w:rsid w:val="5D0A064E"/>
    <w:rsid w:val="5D3513BC"/>
    <w:rsid w:val="5D521F6E"/>
    <w:rsid w:val="5D551A5E"/>
    <w:rsid w:val="5D55380D"/>
    <w:rsid w:val="5D6972B8"/>
    <w:rsid w:val="5D6A375C"/>
    <w:rsid w:val="5D8D7704"/>
    <w:rsid w:val="5DA62E96"/>
    <w:rsid w:val="5DB26D32"/>
    <w:rsid w:val="5DB744C7"/>
    <w:rsid w:val="5E005E6E"/>
    <w:rsid w:val="5E14191A"/>
    <w:rsid w:val="5E4C21C0"/>
    <w:rsid w:val="5E735745"/>
    <w:rsid w:val="5E7B54F5"/>
    <w:rsid w:val="5E910F3D"/>
    <w:rsid w:val="5E9A5716"/>
    <w:rsid w:val="5EAE7678"/>
    <w:rsid w:val="5EEE00D5"/>
    <w:rsid w:val="5F3C2ED6"/>
    <w:rsid w:val="5F4678B1"/>
    <w:rsid w:val="5F5A335C"/>
    <w:rsid w:val="5FC92290"/>
    <w:rsid w:val="5FF4555F"/>
    <w:rsid w:val="5FFF5CB2"/>
    <w:rsid w:val="6008725C"/>
    <w:rsid w:val="60163727"/>
    <w:rsid w:val="603040BD"/>
    <w:rsid w:val="604A35BB"/>
    <w:rsid w:val="604E34DE"/>
    <w:rsid w:val="60685421"/>
    <w:rsid w:val="609C11E4"/>
    <w:rsid w:val="60A64E40"/>
    <w:rsid w:val="60B17355"/>
    <w:rsid w:val="60BE76A0"/>
    <w:rsid w:val="60D81516"/>
    <w:rsid w:val="6109328C"/>
    <w:rsid w:val="610C375F"/>
    <w:rsid w:val="610F331D"/>
    <w:rsid w:val="614B11AE"/>
    <w:rsid w:val="618A0185"/>
    <w:rsid w:val="619830D1"/>
    <w:rsid w:val="61D25FF4"/>
    <w:rsid w:val="61F465FC"/>
    <w:rsid w:val="61FF01EB"/>
    <w:rsid w:val="621D48D8"/>
    <w:rsid w:val="6232236E"/>
    <w:rsid w:val="623D47F9"/>
    <w:rsid w:val="62507C96"/>
    <w:rsid w:val="62764951"/>
    <w:rsid w:val="628726BA"/>
    <w:rsid w:val="628801E0"/>
    <w:rsid w:val="62B90670"/>
    <w:rsid w:val="62F06056"/>
    <w:rsid w:val="630E2CAD"/>
    <w:rsid w:val="63224191"/>
    <w:rsid w:val="63365EBB"/>
    <w:rsid w:val="633914DA"/>
    <w:rsid w:val="633A597E"/>
    <w:rsid w:val="633D390A"/>
    <w:rsid w:val="633F4D43"/>
    <w:rsid w:val="6390559E"/>
    <w:rsid w:val="63D56295"/>
    <w:rsid w:val="63DB21D4"/>
    <w:rsid w:val="63E447DC"/>
    <w:rsid w:val="63ED1042"/>
    <w:rsid w:val="642223CF"/>
    <w:rsid w:val="64264155"/>
    <w:rsid w:val="642A77A1"/>
    <w:rsid w:val="642D4D7B"/>
    <w:rsid w:val="64654C7D"/>
    <w:rsid w:val="64A84B6A"/>
    <w:rsid w:val="64EB6E29"/>
    <w:rsid w:val="653E2285"/>
    <w:rsid w:val="654C7F11"/>
    <w:rsid w:val="65821D2E"/>
    <w:rsid w:val="65947E9E"/>
    <w:rsid w:val="65956E9C"/>
    <w:rsid w:val="65B2766A"/>
    <w:rsid w:val="65DF45BB"/>
    <w:rsid w:val="65E7752A"/>
    <w:rsid w:val="661877D6"/>
    <w:rsid w:val="662E109F"/>
    <w:rsid w:val="66486604"/>
    <w:rsid w:val="665C5E79"/>
    <w:rsid w:val="6681781C"/>
    <w:rsid w:val="66ED4D94"/>
    <w:rsid w:val="66EF35C9"/>
    <w:rsid w:val="670267B3"/>
    <w:rsid w:val="67136644"/>
    <w:rsid w:val="675A65EF"/>
    <w:rsid w:val="67AA4F57"/>
    <w:rsid w:val="67BB5A17"/>
    <w:rsid w:val="68015E0A"/>
    <w:rsid w:val="68016A6B"/>
    <w:rsid w:val="68572B2F"/>
    <w:rsid w:val="68752FB5"/>
    <w:rsid w:val="687E00BB"/>
    <w:rsid w:val="688D63C1"/>
    <w:rsid w:val="68A221C0"/>
    <w:rsid w:val="68B345B9"/>
    <w:rsid w:val="68C77CB4"/>
    <w:rsid w:val="68F17EB2"/>
    <w:rsid w:val="68F25ADB"/>
    <w:rsid w:val="68F30B42"/>
    <w:rsid w:val="69036813"/>
    <w:rsid w:val="691E189E"/>
    <w:rsid w:val="692C3FBB"/>
    <w:rsid w:val="695B21AB"/>
    <w:rsid w:val="69A3798A"/>
    <w:rsid w:val="69F57953"/>
    <w:rsid w:val="6A271653"/>
    <w:rsid w:val="6A276531"/>
    <w:rsid w:val="6A3F1ACC"/>
    <w:rsid w:val="6A946571"/>
    <w:rsid w:val="6ABE50E7"/>
    <w:rsid w:val="6AD42215"/>
    <w:rsid w:val="6AFA1138"/>
    <w:rsid w:val="6B0F3317"/>
    <w:rsid w:val="6B1F4E4B"/>
    <w:rsid w:val="6B2313EE"/>
    <w:rsid w:val="6B4355EC"/>
    <w:rsid w:val="6B7F16A7"/>
    <w:rsid w:val="6BB92D59"/>
    <w:rsid w:val="6C031E71"/>
    <w:rsid w:val="6C042FCD"/>
    <w:rsid w:val="6C2A19DC"/>
    <w:rsid w:val="6C577324"/>
    <w:rsid w:val="6C7D68DC"/>
    <w:rsid w:val="6C9957A7"/>
    <w:rsid w:val="6C9F69FE"/>
    <w:rsid w:val="6CA95648"/>
    <w:rsid w:val="6CAD0F6F"/>
    <w:rsid w:val="6CC463F6"/>
    <w:rsid w:val="6CC83FFB"/>
    <w:rsid w:val="6D260FEF"/>
    <w:rsid w:val="6D28029B"/>
    <w:rsid w:val="6D6F091A"/>
    <w:rsid w:val="6D7101EF"/>
    <w:rsid w:val="6D8E6FF3"/>
    <w:rsid w:val="6D910891"/>
    <w:rsid w:val="6DAA410D"/>
    <w:rsid w:val="6DB903E4"/>
    <w:rsid w:val="6DBD6AB2"/>
    <w:rsid w:val="6DEA1D4F"/>
    <w:rsid w:val="6E625D89"/>
    <w:rsid w:val="6EBD3E11"/>
    <w:rsid w:val="6ECD58F9"/>
    <w:rsid w:val="6ECE20D9"/>
    <w:rsid w:val="6EEA46FD"/>
    <w:rsid w:val="6EF606F5"/>
    <w:rsid w:val="6F5558EE"/>
    <w:rsid w:val="6F8D271E"/>
    <w:rsid w:val="6FB010FF"/>
    <w:rsid w:val="6FC21C2F"/>
    <w:rsid w:val="70FD1A61"/>
    <w:rsid w:val="70FD7FEB"/>
    <w:rsid w:val="710B2708"/>
    <w:rsid w:val="711555A8"/>
    <w:rsid w:val="71573B9F"/>
    <w:rsid w:val="71652223"/>
    <w:rsid w:val="71A32941"/>
    <w:rsid w:val="71B20DD6"/>
    <w:rsid w:val="71D57A28"/>
    <w:rsid w:val="71DB032D"/>
    <w:rsid w:val="71E21700"/>
    <w:rsid w:val="71E2790D"/>
    <w:rsid w:val="71E85D0A"/>
    <w:rsid w:val="720553BD"/>
    <w:rsid w:val="726241D7"/>
    <w:rsid w:val="72655E48"/>
    <w:rsid w:val="72A5093A"/>
    <w:rsid w:val="72D8486C"/>
    <w:rsid w:val="73043513"/>
    <w:rsid w:val="731321AE"/>
    <w:rsid w:val="737F735A"/>
    <w:rsid w:val="73937F30"/>
    <w:rsid w:val="73A0182E"/>
    <w:rsid w:val="73B5412F"/>
    <w:rsid w:val="73C31078"/>
    <w:rsid w:val="73DC65DE"/>
    <w:rsid w:val="73E060CE"/>
    <w:rsid w:val="7420797B"/>
    <w:rsid w:val="743261FE"/>
    <w:rsid w:val="745D771F"/>
    <w:rsid w:val="748F3650"/>
    <w:rsid w:val="74B411B8"/>
    <w:rsid w:val="74E4574A"/>
    <w:rsid w:val="74ED1254"/>
    <w:rsid w:val="74EF3ED1"/>
    <w:rsid w:val="750D1F31"/>
    <w:rsid w:val="750E0A19"/>
    <w:rsid w:val="75247969"/>
    <w:rsid w:val="754B1461"/>
    <w:rsid w:val="75514D81"/>
    <w:rsid w:val="75616D9B"/>
    <w:rsid w:val="75680129"/>
    <w:rsid w:val="75724923"/>
    <w:rsid w:val="757D4E59"/>
    <w:rsid w:val="75B570E6"/>
    <w:rsid w:val="75B74C0D"/>
    <w:rsid w:val="75BA294F"/>
    <w:rsid w:val="75C13CDD"/>
    <w:rsid w:val="75C612F4"/>
    <w:rsid w:val="75F75B09"/>
    <w:rsid w:val="76962A74"/>
    <w:rsid w:val="769A67C1"/>
    <w:rsid w:val="769D3E02"/>
    <w:rsid w:val="76B850E0"/>
    <w:rsid w:val="76C770D1"/>
    <w:rsid w:val="7709593C"/>
    <w:rsid w:val="77456248"/>
    <w:rsid w:val="77B53160"/>
    <w:rsid w:val="782B242A"/>
    <w:rsid w:val="783706F1"/>
    <w:rsid w:val="783855A2"/>
    <w:rsid w:val="786A41B8"/>
    <w:rsid w:val="789C066F"/>
    <w:rsid w:val="78D15FE5"/>
    <w:rsid w:val="78F515D0"/>
    <w:rsid w:val="791D42FE"/>
    <w:rsid w:val="794E7636"/>
    <w:rsid w:val="79627193"/>
    <w:rsid w:val="797040E4"/>
    <w:rsid w:val="79A37362"/>
    <w:rsid w:val="79A951B4"/>
    <w:rsid w:val="79BC1FB5"/>
    <w:rsid w:val="79DF4ED7"/>
    <w:rsid w:val="79F635FA"/>
    <w:rsid w:val="7A0A438D"/>
    <w:rsid w:val="7A0B63CE"/>
    <w:rsid w:val="7A392094"/>
    <w:rsid w:val="7A526F79"/>
    <w:rsid w:val="7A5F3547"/>
    <w:rsid w:val="7AA62104"/>
    <w:rsid w:val="7ACE4ED2"/>
    <w:rsid w:val="7AFF7EB8"/>
    <w:rsid w:val="7B18614D"/>
    <w:rsid w:val="7B1D19B6"/>
    <w:rsid w:val="7B472808"/>
    <w:rsid w:val="7B6432C3"/>
    <w:rsid w:val="7B89704B"/>
    <w:rsid w:val="7BA8553F"/>
    <w:rsid w:val="7BB35E76"/>
    <w:rsid w:val="7BC56E24"/>
    <w:rsid w:val="7BDA3490"/>
    <w:rsid w:val="7BDC6C43"/>
    <w:rsid w:val="7BEF751B"/>
    <w:rsid w:val="7BF5086D"/>
    <w:rsid w:val="7C0329C1"/>
    <w:rsid w:val="7C183F2B"/>
    <w:rsid w:val="7C370855"/>
    <w:rsid w:val="7C594C70"/>
    <w:rsid w:val="7C63789C"/>
    <w:rsid w:val="7C7E0232"/>
    <w:rsid w:val="7CD5368A"/>
    <w:rsid w:val="7D0A4C99"/>
    <w:rsid w:val="7D172435"/>
    <w:rsid w:val="7D617BBC"/>
    <w:rsid w:val="7D6E033C"/>
    <w:rsid w:val="7D8962C2"/>
    <w:rsid w:val="7DBA34EC"/>
    <w:rsid w:val="7DCE51E9"/>
    <w:rsid w:val="7E046ACE"/>
    <w:rsid w:val="7E1E7F1F"/>
    <w:rsid w:val="7E2A5BF7"/>
    <w:rsid w:val="7E445642"/>
    <w:rsid w:val="7E5E7488"/>
    <w:rsid w:val="7E752CDD"/>
    <w:rsid w:val="7E8D1711"/>
    <w:rsid w:val="7E976AA3"/>
    <w:rsid w:val="7EB02B41"/>
    <w:rsid w:val="7EB443DF"/>
    <w:rsid w:val="7EB62338"/>
    <w:rsid w:val="7EDC1B88"/>
    <w:rsid w:val="7EEA7E01"/>
    <w:rsid w:val="7F2C666B"/>
    <w:rsid w:val="7F34107C"/>
    <w:rsid w:val="7F3D6954"/>
    <w:rsid w:val="7FB5609A"/>
    <w:rsid w:val="7FCE4651"/>
    <w:rsid w:val="7FF06C51"/>
    <w:rsid w:val="7FF714B0"/>
    <w:rsid w:val="7FFA5D66"/>
    <w:rsid w:val="E6AA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99"/>
    <w:pPr>
      <w:keepNext/>
      <w:numPr>
        <w:ilvl w:val="0"/>
        <w:numId w:val="1"/>
      </w:numPr>
      <w:overflowPunct w:val="0"/>
      <w:snapToGrid w:val="0"/>
      <w:spacing w:before="120" w:after="160" w:line="259" w:lineRule="auto"/>
      <w:outlineLvl w:val="0"/>
    </w:pPr>
    <w:rPr>
      <w:rFonts w:eastAsia="黑体"/>
      <w:b/>
      <w:bCs/>
      <w:color w:val="000000"/>
      <w:kern w:val="44"/>
      <w:sz w:val="30"/>
      <w:szCs w:val="30"/>
    </w:rPr>
  </w:style>
  <w:style w:type="paragraph" w:styleId="3">
    <w:name w:val="heading 2"/>
    <w:basedOn w:val="1"/>
    <w:next w:val="1"/>
    <w:link w:val="45"/>
    <w:autoRedefine/>
    <w:unhideWhenUsed/>
    <w:qFormat/>
    <w:uiPriority w:val="0"/>
    <w:pPr>
      <w:keepNext/>
      <w:keepLines/>
      <w:numPr>
        <w:ilvl w:val="1"/>
        <w:numId w:val="1"/>
      </w:numPr>
      <w:spacing w:line="460" w:lineRule="exact"/>
      <w:ind w:left="0" w:firstLine="0"/>
      <w:jc w:val="left"/>
      <w:outlineLvl w:val="1"/>
    </w:pPr>
    <w:rPr>
      <w:b/>
      <w:bCs/>
      <w:sz w:val="26"/>
      <w:szCs w:val="32"/>
    </w:rPr>
  </w:style>
  <w:style w:type="paragraph" w:styleId="4">
    <w:name w:val="heading 3"/>
    <w:basedOn w:val="1"/>
    <w:next w:val="1"/>
    <w:link w:val="46"/>
    <w:autoRedefine/>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7"/>
    <w:autoRedefine/>
    <w:semiHidden/>
    <w:unhideWhenUsed/>
    <w:qFormat/>
    <w:uiPriority w:val="0"/>
    <w:pPr>
      <w:keepNext/>
      <w:keepLines/>
      <w:numPr>
        <w:ilvl w:val="3"/>
        <w:numId w:val="1"/>
      </w:numPr>
      <w:spacing w:before="280" w:after="290" w:line="376" w:lineRule="auto"/>
      <w:outlineLvl w:val="3"/>
    </w:pPr>
    <w:rPr>
      <w:rFonts w:ascii="Calibri Light" w:hAnsi="Calibri Light"/>
      <w:b/>
      <w:bCs/>
      <w:sz w:val="28"/>
      <w:szCs w:val="28"/>
    </w:rPr>
  </w:style>
  <w:style w:type="paragraph" w:styleId="6">
    <w:name w:val="heading 5"/>
    <w:basedOn w:val="1"/>
    <w:next w:val="1"/>
    <w:link w:val="103"/>
    <w:autoRedefine/>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04"/>
    <w:autoRedefine/>
    <w:semiHidden/>
    <w:unhideWhenUsed/>
    <w:qFormat/>
    <w:uiPriority w:val="0"/>
    <w:pPr>
      <w:keepNext/>
      <w:keepLines/>
      <w:numPr>
        <w:ilvl w:val="5"/>
        <w:numId w:val="1"/>
      </w:numPr>
      <w:spacing w:before="240" w:after="64" w:line="320" w:lineRule="auto"/>
      <w:outlineLvl w:val="5"/>
    </w:pPr>
    <w:rPr>
      <w:rFonts w:ascii="Calibri Light" w:hAnsi="Calibri Light"/>
      <w:b/>
      <w:bCs/>
      <w:sz w:val="24"/>
    </w:rPr>
  </w:style>
  <w:style w:type="paragraph" w:styleId="8">
    <w:name w:val="heading 7"/>
    <w:basedOn w:val="1"/>
    <w:next w:val="1"/>
    <w:link w:val="105"/>
    <w:autoRedefine/>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06"/>
    <w:autoRedefine/>
    <w:semiHidden/>
    <w:unhideWhenUsed/>
    <w:qFormat/>
    <w:uiPriority w:val="0"/>
    <w:pPr>
      <w:keepNext/>
      <w:keepLines/>
      <w:numPr>
        <w:ilvl w:val="7"/>
        <w:numId w:val="1"/>
      </w:numPr>
      <w:spacing w:before="240" w:after="64" w:line="320" w:lineRule="auto"/>
      <w:outlineLvl w:val="7"/>
    </w:pPr>
    <w:rPr>
      <w:rFonts w:ascii="Calibri Light" w:hAnsi="Calibri Light"/>
      <w:sz w:val="24"/>
    </w:rPr>
  </w:style>
  <w:style w:type="paragraph" w:styleId="10">
    <w:name w:val="heading 9"/>
    <w:basedOn w:val="1"/>
    <w:next w:val="1"/>
    <w:link w:val="107"/>
    <w:autoRedefine/>
    <w:semiHidden/>
    <w:unhideWhenUsed/>
    <w:qFormat/>
    <w:uiPriority w:val="0"/>
    <w:pPr>
      <w:keepNext/>
      <w:keepLines/>
      <w:numPr>
        <w:ilvl w:val="8"/>
        <w:numId w:val="1"/>
      </w:numPr>
      <w:spacing w:before="240" w:after="64" w:line="320" w:lineRule="auto"/>
      <w:outlineLvl w:val="8"/>
    </w:pPr>
    <w:rPr>
      <w:rFonts w:ascii="Calibri Light" w:hAnsi="Calibri Light"/>
      <w:szCs w:val="21"/>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0"/>
    <w:pPr>
      <w:spacing w:line="240" w:lineRule="atLeast"/>
      <w:ind w:firstLine="520" w:firstLineChars="200"/>
    </w:pPr>
    <w:rPr>
      <w:sz w:val="26"/>
      <w:szCs w:val="20"/>
    </w:rPr>
  </w:style>
  <w:style w:type="paragraph" w:styleId="12">
    <w:name w:val="caption"/>
    <w:basedOn w:val="1"/>
    <w:next w:val="1"/>
    <w:link w:val="87"/>
    <w:autoRedefine/>
    <w:unhideWhenUsed/>
    <w:qFormat/>
    <w:uiPriority w:val="99"/>
    <w:pPr>
      <w:spacing w:beforeLines="50"/>
      <w:jc w:val="center"/>
    </w:pPr>
    <w:rPr>
      <w:sz w:val="26"/>
      <w:szCs w:val="20"/>
    </w:rPr>
  </w:style>
  <w:style w:type="paragraph" w:styleId="13">
    <w:name w:val="Document Map"/>
    <w:basedOn w:val="1"/>
    <w:link w:val="131"/>
    <w:autoRedefine/>
    <w:semiHidden/>
    <w:unhideWhenUsed/>
    <w:qFormat/>
    <w:uiPriority w:val="99"/>
    <w:rPr>
      <w:rFonts w:ascii="宋体"/>
      <w:sz w:val="18"/>
      <w:szCs w:val="18"/>
    </w:rPr>
  </w:style>
  <w:style w:type="paragraph" w:styleId="14">
    <w:name w:val="annotation text"/>
    <w:basedOn w:val="1"/>
    <w:link w:val="74"/>
    <w:autoRedefine/>
    <w:unhideWhenUsed/>
    <w:qFormat/>
    <w:uiPriority w:val="0"/>
    <w:pPr>
      <w:jc w:val="left"/>
    </w:pPr>
  </w:style>
  <w:style w:type="paragraph" w:styleId="15">
    <w:name w:val="Body Text 3"/>
    <w:basedOn w:val="1"/>
    <w:link w:val="86"/>
    <w:autoRedefine/>
    <w:qFormat/>
    <w:uiPriority w:val="0"/>
    <w:pPr>
      <w:spacing w:after="120"/>
    </w:pPr>
    <w:rPr>
      <w:sz w:val="16"/>
      <w:szCs w:val="16"/>
    </w:rPr>
  </w:style>
  <w:style w:type="paragraph" w:styleId="16">
    <w:name w:val="Body Text"/>
    <w:basedOn w:val="1"/>
    <w:link w:val="62"/>
    <w:autoRedefine/>
    <w:qFormat/>
    <w:uiPriority w:val="0"/>
    <w:pPr>
      <w:widowControl/>
      <w:snapToGrid w:val="0"/>
      <w:spacing w:before="60" w:after="160" w:line="259" w:lineRule="auto"/>
      <w:ind w:right="113"/>
    </w:pPr>
    <w:rPr>
      <w:rFonts w:asciiTheme="minorHAnsi" w:hAnsiTheme="minorHAnsi" w:eastAsiaTheme="minorEastAsia" w:cstheme="minorBidi"/>
      <w:sz w:val="18"/>
      <w:szCs w:val="22"/>
    </w:rPr>
  </w:style>
  <w:style w:type="paragraph" w:styleId="17">
    <w:name w:val="Body Text Indent"/>
    <w:basedOn w:val="1"/>
    <w:link w:val="71"/>
    <w:autoRedefine/>
    <w:qFormat/>
    <w:uiPriority w:val="0"/>
    <w:pPr>
      <w:spacing w:after="120"/>
      <w:ind w:left="420" w:leftChars="200"/>
    </w:pPr>
    <w:rPr>
      <w:rFonts w:cstheme="minorBidi"/>
      <w:sz w:val="24"/>
      <w:szCs w:val="22"/>
    </w:rPr>
  </w:style>
  <w:style w:type="paragraph" w:styleId="18">
    <w:name w:val="Block Text"/>
    <w:basedOn w:val="1"/>
    <w:autoRedefine/>
    <w:qFormat/>
    <w:uiPriority w:val="99"/>
    <w:pPr>
      <w:adjustRightInd w:val="0"/>
      <w:snapToGrid w:val="0"/>
      <w:spacing w:line="348" w:lineRule="auto"/>
      <w:ind w:left="42" w:leftChars="20" w:right="42" w:rightChars="20" w:firstLine="400" w:firstLineChars="200"/>
    </w:pPr>
    <w:rPr>
      <w:rFonts w:eastAsia="FangSong_GB2312"/>
      <w:kern w:val="0"/>
      <w:sz w:val="28"/>
      <w:szCs w:val="28"/>
    </w:rPr>
  </w:style>
  <w:style w:type="paragraph" w:styleId="19">
    <w:name w:val="Plain Text"/>
    <w:basedOn w:val="1"/>
    <w:link w:val="108"/>
    <w:autoRedefine/>
    <w:qFormat/>
    <w:uiPriority w:val="99"/>
    <w:rPr>
      <w:rFonts w:ascii="宋体" w:hAnsi="Courier New" w:cstheme="minorBidi"/>
      <w:szCs w:val="22"/>
    </w:rPr>
  </w:style>
  <w:style w:type="paragraph" w:styleId="20">
    <w:name w:val="List Bullet 5"/>
    <w:basedOn w:val="1"/>
    <w:autoRedefine/>
    <w:semiHidden/>
    <w:unhideWhenUsed/>
    <w:qFormat/>
    <w:uiPriority w:val="99"/>
    <w:pPr>
      <w:numPr>
        <w:ilvl w:val="0"/>
        <w:numId w:val="2"/>
      </w:numPr>
    </w:pPr>
  </w:style>
  <w:style w:type="paragraph" w:styleId="21">
    <w:name w:val="Date"/>
    <w:basedOn w:val="1"/>
    <w:next w:val="1"/>
    <w:link w:val="59"/>
    <w:autoRedefine/>
    <w:qFormat/>
    <w:uiPriority w:val="0"/>
    <w:pPr>
      <w:ind w:left="100" w:leftChars="2500"/>
    </w:pPr>
    <w:rPr>
      <w:rFonts w:cstheme="minorBidi"/>
      <w:sz w:val="24"/>
      <w:szCs w:val="22"/>
    </w:rPr>
  </w:style>
  <w:style w:type="paragraph" w:styleId="22">
    <w:name w:val="Balloon Text"/>
    <w:basedOn w:val="1"/>
    <w:link w:val="67"/>
    <w:autoRedefine/>
    <w:semiHidden/>
    <w:qFormat/>
    <w:uiPriority w:val="0"/>
    <w:rPr>
      <w:rFonts w:cstheme="minorBidi"/>
      <w:sz w:val="18"/>
      <w:szCs w:val="22"/>
    </w:rPr>
  </w:style>
  <w:style w:type="paragraph" w:styleId="23">
    <w:name w:val="footer"/>
    <w:basedOn w:val="1"/>
    <w:link w:val="51"/>
    <w:autoRedefine/>
    <w:unhideWhenUsed/>
    <w:qFormat/>
    <w:uiPriority w:val="99"/>
    <w:pPr>
      <w:tabs>
        <w:tab w:val="center" w:pos="4153"/>
        <w:tab w:val="right" w:pos="8306"/>
      </w:tabs>
      <w:snapToGrid w:val="0"/>
      <w:jc w:val="left"/>
    </w:pPr>
    <w:rPr>
      <w:sz w:val="18"/>
      <w:szCs w:val="18"/>
    </w:rPr>
  </w:style>
  <w:style w:type="paragraph" w:styleId="24">
    <w:name w:val="header"/>
    <w:basedOn w:val="1"/>
    <w:link w:val="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rPr>
      <w:b/>
    </w:rPr>
  </w:style>
  <w:style w:type="paragraph" w:styleId="26">
    <w:name w:val="List"/>
    <w:basedOn w:val="1"/>
    <w:qFormat/>
    <w:uiPriority w:val="0"/>
    <w:pPr>
      <w:ind w:left="200" w:hanging="200" w:hangingChars="200"/>
    </w:pPr>
  </w:style>
  <w:style w:type="paragraph" w:styleId="27">
    <w:name w:val="Normal (Web)"/>
    <w:basedOn w:val="1"/>
    <w:link w:val="60"/>
    <w:autoRedefine/>
    <w:qFormat/>
    <w:uiPriority w:val="0"/>
    <w:pPr>
      <w:widowControl/>
      <w:spacing w:before="100" w:beforeAutospacing="1" w:after="100" w:afterAutospacing="1"/>
      <w:jc w:val="left"/>
    </w:pPr>
    <w:rPr>
      <w:rFonts w:ascii="宋体" w:hAnsi="宋体" w:cstheme="minorBidi"/>
      <w:sz w:val="24"/>
      <w:szCs w:val="22"/>
    </w:rPr>
  </w:style>
  <w:style w:type="paragraph" w:styleId="28">
    <w:name w:val="Title"/>
    <w:basedOn w:val="1"/>
    <w:next w:val="1"/>
    <w:link w:val="91"/>
    <w:autoRedefine/>
    <w:qFormat/>
    <w:uiPriority w:val="0"/>
    <w:pPr>
      <w:spacing w:before="240" w:after="60"/>
      <w:jc w:val="center"/>
      <w:outlineLvl w:val="0"/>
    </w:pPr>
    <w:rPr>
      <w:rFonts w:ascii="Calibri Light" w:hAnsi="Calibri Light" w:eastAsia="方正小标宋_GBK"/>
      <w:b/>
      <w:bCs/>
      <w:sz w:val="72"/>
      <w:szCs w:val="32"/>
    </w:rPr>
  </w:style>
  <w:style w:type="paragraph" w:styleId="29">
    <w:name w:val="annotation subject"/>
    <w:basedOn w:val="14"/>
    <w:next w:val="14"/>
    <w:link w:val="68"/>
    <w:autoRedefine/>
    <w:semiHidden/>
    <w:qFormat/>
    <w:uiPriority w:val="0"/>
    <w:rPr>
      <w:rFonts w:cstheme="minorBidi"/>
      <w:b/>
      <w:sz w:val="24"/>
      <w:szCs w:val="2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autoRedefine/>
    <w:qFormat/>
    <w:uiPriority w:val="0"/>
  </w:style>
  <w:style w:type="character" w:styleId="35">
    <w:name w:val="Emphasis"/>
    <w:basedOn w:val="33"/>
    <w:autoRedefine/>
    <w:qFormat/>
    <w:uiPriority w:val="20"/>
    <w:rPr>
      <w:i/>
    </w:rPr>
  </w:style>
  <w:style w:type="character" w:styleId="36">
    <w:name w:val="Hyperlink"/>
    <w:basedOn w:val="33"/>
    <w:autoRedefine/>
    <w:semiHidden/>
    <w:unhideWhenUsed/>
    <w:qFormat/>
    <w:uiPriority w:val="99"/>
    <w:rPr>
      <w:color w:val="0000FF"/>
      <w:u w:val="single"/>
    </w:rPr>
  </w:style>
  <w:style w:type="character" w:styleId="37">
    <w:name w:val="annotation reference"/>
    <w:autoRedefine/>
    <w:semiHidden/>
    <w:qFormat/>
    <w:uiPriority w:val="0"/>
    <w:rPr>
      <w:sz w:val="21"/>
    </w:rPr>
  </w:style>
  <w:style w:type="paragraph" w:customStyle="1" w:styleId="38">
    <w:name w:val="正文1"/>
    <w:basedOn w:val="25"/>
    <w:next w:val="1"/>
    <w:autoRedefine/>
    <w:qFormat/>
    <w:uiPriority w:val="0"/>
    <w:rPr>
      <w:szCs w:val="21"/>
    </w:rPr>
  </w:style>
  <w:style w:type="character" w:customStyle="1" w:styleId="39">
    <w:name w:val="标题 3 字符"/>
    <w:basedOn w:val="33"/>
    <w:autoRedefine/>
    <w:semiHidden/>
    <w:qFormat/>
    <w:uiPriority w:val="9"/>
    <w:rPr>
      <w:rFonts w:ascii="Times New Roman" w:hAnsi="Times New Roman" w:eastAsia="宋体" w:cs="Times New Roman"/>
      <w:b/>
      <w:bCs/>
      <w:sz w:val="32"/>
      <w:szCs w:val="32"/>
    </w:rPr>
  </w:style>
  <w:style w:type="paragraph" w:customStyle="1" w:styleId="40">
    <w:name w:val="表内字体111"/>
    <w:basedOn w:val="1"/>
    <w:autoRedefine/>
    <w:qFormat/>
    <w:uiPriority w:val="99"/>
    <w:pPr>
      <w:jc w:val="center"/>
    </w:pPr>
    <w:rPr>
      <w:rFonts w:ascii="Calibri" w:hAnsi="Calibri" w:eastAsiaTheme="minorEastAsia"/>
      <w:kern w:val="0"/>
      <w:sz w:val="22"/>
    </w:rPr>
  </w:style>
  <w:style w:type="paragraph" w:customStyle="1" w:styleId="41">
    <w:name w:val="表格内居中文字"/>
    <w:basedOn w:val="42"/>
    <w:autoRedefine/>
    <w:qFormat/>
    <w:uiPriority w:val="0"/>
  </w:style>
  <w:style w:type="paragraph" w:customStyle="1" w:styleId="42">
    <w:name w:val="表格正文"/>
    <w:basedOn w:val="1"/>
    <w:autoRedefine/>
    <w:qFormat/>
    <w:uiPriority w:val="0"/>
    <w:pPr>
      <w:spacing w:line="360" w:lineRule="exact"/>
      <w:jc w:val="center"/>
    </w:pPr>
  </w:style>
  <w:style w:type="character" w:customStyle="1" w:styleId="43">
    <w:name w:val="标题 2 字符"/>
    <w:basedOn w:val="33"/>
    <w:autoRedefine/>
    <w:semiHidden/>
    <w:qFormat/>
    <w:uiPriority w:val="9"/>
    <w:rPr>
      <w:rFonts w:asciiTheme="majorHAnsi" w:hAnsiTheme="majorHAnsi" w:eastAsiaTheme="majorEastAsia" w:cstheme="majorBidi"/>
      <w:b/>
      <w:bCs/>
      <w:sz w:val="32"/>
      <w:szCs w:val="32"/>
    </w:rPr>
  </w:style>
  <w:style w:type="character" w:customStyle="1" w:styleId="44">
    <w:name w:val="标题 4 字符"/>
    <w:basedOn w:val="33"/>
    <w:autoRedefine/>
    <w:semiHidden/>
    <w:qFormat/>
    <w:uiPriority w:val="9"/>
    <w:rPr>
      <w:rFonts w:asciiTheme="majorHAnsi" w:hAnsiTheme="majorHAnsi" w:eastAsiaTheme="majorEastAsia" w:cstheme="majorBidi"/>
      <w:b/>
      <w:bCs/>
      <w:sz w:val="28"/>
      <w:szCs w:val="28"/>
    </w:rPr>
  </w:style>
  <w:style w:type="character" w:customStyle="1" w:styleId="45">
    <w:name w:val="Heading 2 Char"/>
    <w:link w:val="3"/>
    <w:autoRedefine/>
    <w:qFormat/>
    <w:uiPriority w:val="0"/>
    <w:rPr>
      <w:rFonts w:ascii="Times New Roman" w:hAnsi="Times New Roman" w:eastAsia="宋体" w:cs="Times New Roman"/>
      <w:b/>
      <w:bCs/>
      <w:sz w:val="26"/>
      <w:szCs w:val="32"/>
    </w:rPr>
  </w:style>
  <w:style w:type="character" w:customStyle="1" w:styleId="46">
    <w:name w:val="Heading 3 Char"/>
    <w:link w:val="4"/>
    <w:autoRedefine/>
    <w:semiHidden/>
    <w:qFormat/>
    <w:uiPriority w:val="0"/>
    <w:rPr>
      <w:rFonts w:ascii="Times New Roman" w:hAnsi="Times New Roman" w:eastAsia="宋体" w:cs="Times New Roman"/>
      <w:b/>
      <w:bCs/>
      <w:sz w:val="32"/>
      <w:szCs w:val="32"/>
    </w:rPr>
  </w:style>
  <w:style w:type="character" w:customStyle="1" w:styleId="47">
    <w:name w:val="Heading 4 Char"/>
    <w:link w:val="5"/>
    <w:autoRedefine/>
    <w:semiHidden/>
    <w:qFormat/>
    <w:uiPriority w:val="0"/>
    <w:rPr>
      <w:rFonts w:ascii="Calibri Light" w:hAnsi="Calibri Light" w:eastAsia="宋体" w:cs="Times New Roman"/>
      <w:b/>
      <w:bCs/>
      <w:sz w:val="28"/>
      <w:szCs w:val="28"/>
    </w:rPr>
  </w:style>
  <w:style w:type="paragraph" w:customStyle="1" w:styleId="48">
    <w:name w:val="_Style 1"/>
    <w:autoRedefine/>
    <w:qFormat/>
    <w:uiPriority w:val="1"/>
    <w:pPr>
      <w:widowControl w:val="0"/>
      <w:ind w:right="22" w:rightChars="8" w:firstLine="640"/>
    </w:pPr>
    <w:rPr>
      <w:rFonts w:ascii="FangSong_GB2312" w:hAnsi="宋体" w:eastAsia="FangSong_GB2312" w:cs="Times New Roman"/>
      <w:kern w:val="2"/>
      <w:sz w:val="28"/>
      <w:szCs w:val="28"/>
      <w:lang w:val="en-US" w:eastAsia="zh-CN" w:bidi="ar-SA"/>
    </w:rPr>
  </w:style>
  <w:style w:type="paragraph" w:customStyle="1" w:styleId="49">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Header Char"/>
    <w:basedOn w:val="33"/>
    <w:link w:val="24"/>
    <w:autoRedefine/>
    <w:qFormat/>
    <w:uiPriority w:val="99"/>
    <w:rPr>
      <w:sz w:val="18"/>
      <w:szCs w:val="18"/>
    </w:rPr>
  </w:style>
  <w:style w:type="character" w:customStyle="1" w:styleId="51">
    <w:name w:val="Footer Char"/>
    <w:basedOn w:val="33"/>
    <w:link w:val="23"/>
    <w:autoRedefine/>
    <w:qFormat/>
    <w:uiPriority w:val="99"/>
    <w:rPr>
      <w:sz w:val="18"/>
      <w:szCs w:val="18"/>
    </w:rPr>
  </w:style>
  <w:style w:type="character" w:customStyle="1" w:styleId="52">
    <w:name w:val="Heading 1 Char"/>
    <w:basedOn w:val="33"/>
    <w:link w:val="2"/>
    <w:autoRedefine/>
    <w:qFormat/>
    <w:uiPriority w:val="99"/>
    <w:rPr>
      <w:rFonts w:ascii="Times New Roman" w:hAnsi="Times New Roman" w:eastAsia="黑体" w:cs="Times New Roman"/>
      <w:b/>
      <w:bCs/>
      <w:color w:val="000000"/>
      <w:kern w:val="44"/>
      <w:sz w:val="30"/>
      <w:szCs w:val="30"/>
    </w:rPr>
  </w:style>
  <w:style w:type="character" w:customStyle="1" w:styleId="53">
    <w:name w:val="标题 5 字符"/>
    <w:basedOn w:val="33"/>
    <w:autoRedefine/>
    <w:semiHidden/>
    <w:qFormat/>
    <w:uiPriority w:val="9"/>
    <w:rPr>
      <w:rFonts w:ascii="Times New Roman" w:hAnsi="Times New Roman" w:eastAsia="宋体" w:cs="Times New Roman"/>
      <w:b/>
      <w:bCs/>
      <w:sz w:val="28"/>
      <w:szCs w:val="28"/>
    </w:rPr>
  </w:style>
  <w:style w:type="character" w:customStyle="1" w:styleId="54">
    <w:name w:val="标题 6 字符"/>
    <w:basedOn w:val="33"/>
    <w:autoRedefine/>
    <w:semiHidden/>
    <w:qFormat/>
    <w:uiPriority w:val="9"/>
    <w:rPr>
      <w:rFonts w:asciiTheme="majorHAnsi" w:hAnsiTheme="majorHAnsi" w:eastAsiaTheme="majorEastAsia" w:cstheme="majorBidi"/>
      <w:b/>
      <w:bCs/>
      <w:sz w:val="24"/>
      <w:szCs w:val="24"/>
    </w:rPr>
  </w:style>
  <w:style w:type="character" w:customStyle="1" w:styleId="55">
    <w:name w:val="标题 7 字符"/>
    <w:basedOn w:val="33"/>
    <w:autoRedefine/>
    <w:semiHidden/>
    <w:qFormat/>
    <w:uiPriority w:val="9"/>
    <w:rPr>
      <w:rFonts w:ascii="Times New Roman" w:hAnsi="Times New Roman" w:eastAsia="宋体" w:cs="Times New Roman"/>
      <w:b/>
      <w:bCs/>
      <w:sz w:val="24"/>
      <w:szCs w:val="24"/>
    </w:rPr>
  </w:style>
  <w:style w:type="character" w:customStyle="1" w:styleId="56">
    <w:name w:val="标题 8 字符"/>
    <w:basedOn w:val="33"/>
    <w:autoRedefine/>
    <w:semiHidden/>
    <w:qFormat/>
    <w:uiPriority w:val="9"/>
    <w:rPr>
      <w:rFonts w:asciiTheme="majorHAnsi" w:hAnsiTheme="majorHAnsi" w:eastAsiaTheme="majorEastAsia" w:cstheme="majorBidi"/>
      <w:sz w:val="24"/>
      <w:szCs w:val="24"/>
    </w:rPr>
  </w:style>
  <w:style w:type="character" w:customStyle="1" w:styleId="57">
    <w:name w:val="标题 9 字符"/>
    <w:basedOn w:val="33"/>
    <w:autoRedefine/>
    <w:semiHidden/>
    <w:qFormat/>
    <w:uiPriority w:val="9"/>
    <w:rPr>
      <w:rFonts w:asciiTheme="majorHAnsi" w:hAnsiTheme="majorHAnsi" w:eastAsiaTheme="majorEastAsia" w:cstheme="majorBidi"/>
      <w:szCs w:val="21"/>
    </w:rPr>
  </w:style>
  <w:style w:type="character" w:customStyle="1" w:styleId="58">
    <w:name w:val="页脚 Char"/>
    <w:autoRedefine/>
    <w:qFormat/>
    <w:locked/>
    <w:uiPriority w:val="99"/>
    <w:rPr>
      <w:sz w:val="18"/>
    </w:rPr>
  </w:style>
  <w:style w:type="character" w:customStyle="1" w:styleId="59">
    <w:name w:val="Date Char"/>
    <w:link w:val="21"/>
    <w:autoRedefine/>
    <w:qFormat/>
    <w:locked/>
    <w:uiPriority w:val="0"/>
    <w:rPr>
      <w:rFonts w:ascii="Times New Roman" w:hAnsi="Times New Roman" w:eastAsia="宋体"/>
      <w:sz w:val="24"/>
    </w:rPr>
  </w:style>
  <w:style w:type="character" w:customStyle="1" w:styleId="60">
    <w:name w:val="Normal (Web) Char"/>
    <w:link w:val="27"/>
    <w:autoRedefine/>
    <w:qFormat/>
    <w:locked/>
    <w:uiPriority w:val="0"/>
    <w:rPr>
      <w:rFonts w:ascii="宋体" w:hAnsi="宋体" w:eastAsia="宋体"/>
      <w:sz w:val="24"/>
    </w:rPr>
  </w:style>
  <w:style w:type="character" w:customStyle="1" w:styleId="61">
    <w:name w:val="正文文本 字符1"/>
    <w:autoRedefine/>
    <w:semiHidden/>
    <w:qFormat/>
    <w:uiPriority w:val="0"/>
    <w:rPr>
      <w:rFonts w:ascii="Times New Roman" w:hAnsi="Times New Roman" w:eastAsia="宋体"/>
      <w:sz w:val="24"/>
    </w:rPr>
  </w:style>
  <w:style w:type="character" w:customStyle="1" w:styleId="62">
    <w:name w:val="Body Text Char"/>
    <w:link w:val="16"/>
    <w:autoRedefine/>
    <w:qFormat/>
    <w:locked/>
    <w:uiPriority w:val="0"/>
    <w:rPr>
      <w:sz w:val="18"/>
    </w:rPr>
  </w:style>
  <w:style w:type="character" w:customStyle="1" w:styleId="63">
    <w:name w:val="批注文字 Char"/>
    <w:autoRedefine/>
    <w:qFormat/>
    <w:locked/>
    <w:uiPriority w:val="0"/>
    <w:rPr>
      <w:rFonts w:ascii="Times New Roman" w:hAnsi="Times New Roman" w:eastAsia="宋体"/>
      <w:sz w:val="24"/>
    </w:rPr>
  </w:style>
  <w:style w:type="character" w:customStyle="1" w:styleId="64">
    <w:name w:val="表格 Char"/>
    <w:link w:val="65"/>
    <w:autoRedefine/>
    <w:qFormat/>
    <w:locked/>
    <w:uiPriority w:val="0"/>
    <w:rPr>
      <w:rFonts w:ascii="宋体"/>
    </w:rPr>
  </w:style>
  <w:style w:type="paragraph" w:customStyle="1" w:styleId="65">
    <w:name w:val="表格"/>
    <w:basedOn w:val="1"/>
    <w:link w:val="64"/>
    <w:autoRedefine/>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66">
    <w:name w:val="日期 字符"/>
    <w:autoRedefine/>
    <w:semiHidden/>
    <w:qFormat/>
    <w:uiPriority w:val="0"/>
    <w:rPr>
      <w:rFonts w:ascii="Times New Roman" w:hAnsi="Times New Roman" w:eastAsia="宋体"/>
      <w:sz w:val="24"/>
    </w:rPr>
  </w:style>
  <w:style w:type="character" w:customStyle="1" w:styleId="67">
    <w:name w:val="Balloon Text Char"/>
    <w:link w:val="22"/>
    <w:autoRedefine/>
    <w:semiHidden/>
    <w:qFormat/>
    <w:locked/>
    <w:uiPriority w:val="0"/>
    <w:rPr>
      <w:rFonts w:ascii="Times New Roman" w:hAnsi="Times New Roman" w:eastAsia="宋体"/>
      <w:sz w:val="18"/>
    </w:rPr>
  </w:style>
  <w:style w:type="character" w:customStyle="1" w:styleId="68">
    <w:name w:val="Comment Subject Char"/>
    <w:link w:val="29"/>
    <w:autoRedefine/>
    <w:semiHidden/>
    <w:qFormat/>
    <w:locked/>
    <w:uiPriority w:val="0"/>
    <w:rPr>
      <w:rFonts w:ascii="Times New Roman" w:hAnsi="Times New Roman" w:eastAsia="宋体"/>
      <w:b/>
      <w:sz w:val="24"/>
    </w:rPr>
  </w:style>
  <w:style w:type="character" w:customStyle="1" w:styleId="69">
    <w:name w:val="页眉 Char"/>
    <w:autoRedefine/>
    <w:qFormat/>
    <w:locked/>
    <w:uiPriority w:val="0"/>
    <w:rPr>
      <w:sz w:val="18"/>
    </w:rPr>
  </w:style>
  <w:style w:type="character" w:customStyle="1" w:styleId="70">
    <w:name w:val="批注文字 字符1"/>
    <w:autoRedefine/>
    <w:semiHidden/>
    <w:qFormat/>
    <w:uiPriority w:val="0"/>
    <w:rPr>
      <w:rFonts w:ascii="Times New Roman" w:hAnsi="Times New Roman" w:eastAsia="宋体"/>
      <w:sz w:val="24"/>
    </w:rPr>
  </w:style>
  <w:style w:type="character" w:customStyle="1" w:styleId="71">
    <w:name w:val="Body Text Indent Char"/>
    <w:link w:val="17"/>
    <w:autoRedefine/>
    <w:qFormat/>
    <w:locked/>
    <w:uiPriority w:val="0"/>
    <w:rPr>
      <w:rFonts w:ascii="Times New Roman" w:hAnsi="Times New Roman" w:eastAsia="宋体"/>
      <w:sz w:val="24"/>
    </w:rPr>
  </w:style>
  <w:style w:type="character" w:customStyle="1" w:styleId="72">
    <w:name w:val="正文文本 字符"/>
    <w:basedOn w:val="33"/>
    <w:autoRedefine/>
    <w:semiHidden/>
    <w:qFormat/>
    <w:uiPriority w:val="99"/>
    <w:rPr>
      <w:rFonts w:ascii="Times New Roman" w:hAnsi="Times New Roman" w:eastAsia="宋体" w:cs="Times New Roman"/>
      <w:szCs w:val="24"/>
    </w:rPr>
  </w:style>
  <w:style w:type="character" w:customStyle="1" w:styleId="73">
    <w:name w:val="批注框文本 字符"/>
    <w:basedOn w:val="33"/>
    <w:autoRedefine/>
    <w:semiHidden/>
    <w:qFormat/>
    <w:uiPriority w:val="99"/>
    <w:rPr>
      <w:rFonts w:ascii="Times New Roman" w:hAnsi="Times New Roman" w:eastAsia="宋体" w:cs="Times New Roman"/>
      <w:sz w:val="18"/>
      <w:szCs w:val="18"/>
    </w:rPr>
  </w:style>
  <w:style w:type="character" w:customStyle="1" w:styleId="74">
    <w:name w:val="Comment Text Char"/>
    <w:basedOn w:val="33"/>
    <w:link w:val="14"/>
    <w:autoRedefine/>
    <w:qFormat/>
    <w:uiPriority w:val="99"/>
    <w:rPr>
      <w:rFonts w:ascii="Times New Roman" w:hAnsi="Times New Roman" w:eastAsia="宋体" w:cs="Times New Roman"/>
      <w:szCs w:val="24"/>
    </w:rPr>
  </w:style>
  <w:style w:type="character" w:customStyle="1" w:styleId="75">
    <w:name w:val="批注主题 字符"/>
    <w:basedOn w:val="74"/>
    <w:autoRedefine/>
    <w:semiHidden/>
    <w:qFormat/>
    <w:uiPriority w:val="99"/>
    <w:rPr>
      <w:rFonts w:ascii="Times New Roman" w:hAnsi="Times New Roman" w:eastAsia="宋体" w:cs="Times New Roman"/>
      <w:b/>
      <w:bCs/>
      <w:szCs w:val="24"/>
    </w:rPr>
  </w:style>
  <w:style w:type="character" w:customStyle="1" w:styleId="76">
    <w:name w:val="日期 字符1"/>
    <w:basedOn w:val="33"/>
    <w:autoRedefine/>
    <w:semiHidden/>
    <w:qFormat/>
    <w:uiPriority w:val="99"/>
    <w:rPr>
      <w:rFonts w:ascii="Times New Roman" w:hAnsi="Times New Roman" w:eastAsia="宋体" w:cs="Times New Roman"/>
      <w:szCs w:val="24"/>
    </w:rPr>
  </w:style>
  <w:style w:type="character" w:customStyle="1" w:styleId="77">
    <w:name w:val="正文文本缩进 字符"/>
    <w:basedOn w:val="33"/>
    <w:autoRedefine/>
    <w:semiHidden/>
    <w:qFormat/>
    <w:uiPriority w:val="99"/>
    <w:rPr>
      <w:rFonts w:ascii="Times New Roman" w:hAnsi="Times New Roman" w:eastAsia="宋体" w:cs="Times New Roman"/>
      <w:szCs w:val="24"/>
    </w:rPr>
  </w:style>
  <w:style w:type="paragraph" w:customStyle="1" w:styleId="78">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普通(网站)2"/>
    <w:basedOn w:val="1"/>
    <w:autoRedefine/>
    <w:qFormat/>
    <w:uiPriority w:val="0"/>
    <w:pPr>
      <w:widowControl/>
      <w:spacing w:before="100" w:beforeAutospacing="1" w:after="100" w:afterAutospacing="1"/>
      <w:jc w:val="left"/>
    </w:pPr>
    <w:rPr>
      <w:rFonts w:ascii="宋体" w:hAnsi="宋体"/>
      <w:sz w:val="24"/>
      <w:szCs w:val="20"/>
    </w:rPr>
  </w:style>
  <w:style w:type="table" w:customStyle="1" w:styleId="80">
    <w:name w:val="报告表表格"/>
    <w:basedOn w:val="30"/>
    <w:autoRedefine/>
    <w:qFormat/>
    <w:uiPriority w:val="99"/>
    <w:pPr>
      <w:jc w:val="center"/>
    </w:p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81">
    <w:name w:val="表内正文"/>
    <w:basedOn w:val="1"/>
    <w:link w:val="83"/>
    <w:autoRedefine/>
    <w:qFormat/>
    <w:uiPriority w:val="0"/>
    <w:pPr>
      <w:autoSpaceDE w:val="0"/>
      <w:autoSpaceDN w:val="0"/>
      <w:adjustRightInd w:val="0"/>
      <w:snapToGrid w:val="0"/>
      <w:jc w:val="center"/>
    </w:pPr>
  </w:style>
  <w:style w:type="paragraph" w:customStyle="1" w:styleId="82">
    <w:name w:val="表内文本"/>
    <w:basedOn w:val="1"/>
    <w:link w:val="84"/>
    <w:autoRedefine/>
    <w:qFormat/>
    <w:uiPriority w:val="0"/>
    <w:pPr>
      <w:adjustRightInd w:val="0"/>
      <w:snapToGrid w:val="0"/>
      <w:spacing w:line="460" w:lineRule="atLeast"/>
      <w:ind w:firstLine="200" w:firstLineChars="200"/>
    </w:pPr>
    <w:rPr>
      <w:bCs/>
      <w:sz w:val="26"/>
      <w:szCs w:val="72"/>
    </w:rPr>
  </w:style>
  <w:style w:type="character" w:customStyle="1" w:styleId="83">
    <w:name w:val="表内正文 Char"/>
    <w:link w:val="81"/>
    <w:autoRedefine/>
    <w:qFormat/>
    <w:uiPriority w:val="0"/>
    <w:rPr>
      <w:rFonts w:ascii="Times New Roman" w:hAnsi="Times New Roman" w:eastAsia="宋体" w:cs="Times New Roman"/>
      <w:szCs w:val="24"/>
    </w:rPr>
  </w:style>
  <w:style w:type="character" w:customStyle="1" w:styleId="84">
    <w:name w:val="表内文本 Char"/>
    <w:link w:val="82"/>
    <w:autoRedefine/>
    <w:qFormat/>
    <w:uiPriority w:val="0"/>
    <w:rPr>
      <w:rFonts w:ascii="Times New Roman" w:hAnsi="Times New Roman" w:eastAsia="宋体" w:cs="Times New Roman"/>
      <w:bCs/>
      <w:sz w:val="26"/>
      <w:szCs w:val="72"/>
    </w:rPr>
  </w:style>
  <w:style w:type="character" w:customStyle="1" w:styleId="85">
    <w:name w:val="正文文本 3 字符"/>
    <w:basedOn w:val="33"/>
    <w:autoRedefine/>
    <w:semiHidden/>
    <w:qFormat/>
    <w:uiPriority w:val="99"/>
    <w:rPr>
      <w:rFonts w:ascii="Times New Roman" w:hAnsi="Times New Roman" w:eastAsia="宋体" w:cs="Times New Roman"/>
      <w:sz w:val="16"/>
      <w:szCs w:val="16"/>
    </w:rPr>
  </w:style>
  <w:style w:type="character" w:customStyle="1" w:styleId="86">
    <w:name w:val="Body Text 3 Char"/>
    <w:link w:val="15"/>
    <w:autoRedefine/>
    <w:qFormat/>
    <w:uiPriority w:val="0"/>
    <w:rPr>
      <w:rFonts w:ascii="Times New Roman" w:hAnsi="Times New Roman" w:eastAsia="宋体" w:cs="Times New Roman"/>
      <w:sz w:val="16"/>
      <w:szCs w:val="16"/>
    </w:rPr>
  </w:style>
  <w:style w:type="character" w:customStyle="1" w:styleId="87">
    <w:name w:val="Caption Char"/>
    <w:link w:val="12"/>
    <w:autoRedefine/>
    <w:qFormat/>
    <w:uiPriority w:val="0"/>
    <w:rPr>
      <w:rFonts w:ascii="Times New Roman" w:hAnsi="Times New Roman" w:eastAsia="宋体" w:cs="Times New Roman"/>
      <w:sz w:val="26"/>
      <w:szCs w:val="20"/>
    </w:rPr>
  </w:style>
  <w:style w:type="character" w:customStyle="1" w:styleId="88">
    <w:name w:val="表格名称 Char"/>
    <w:link w:val="89"/>
    <w:autoRedefine/>
    <w:qFormat/>
    <w:uiPriority w:val="0"/>
    <w:rPr>
      <w:b/>
      <w:szCs w:val="21"/>
    </w:rPr>
  </w:style>
  <w:style w:type="paragraph" w:customStyle="1" w:styleId="89">
    <w:name w:val="表格名称"/>
    <w:basedOn w:val="1"/>
    <w:link w:val="88"/>
    <w:autoRedefine/>
    <w:qFormat/>
    <w:uiPriority w:val="0"/>
    <w:pPr>
      <w:spacing w:beforeLines="50"/>
      <w:jc w:val="center"/>
    </w:pPr>
    <w:rPr>
      <w:rFonts w:asciiTheme="minorHAnsi" w:hAnsiTheme="minorHAnsi" w:eastAsiaTheme="minorEastAsia" w:cstheme="minorBidi"/>
      <w:b/>
      <w:szCs w:val="21"/>
    </w:rPr>
  </w:style>
  <w:style w:type="character" w:customStyle="1" w:styleId="90">
    <w:name w:val="标题 字符"/>
    <w:basedOn w:val="33"/>
    <w:autoRedefine/>
    <w:qFormat/>
    <w:uiPriority w:val="10"/>
    <w:rPr>
      <w:rFonts w:asciiTheme="majorHAnsi" w:hAnsiTheme="majorHAnsi" w:eastAsiaTheme="majorEastAsia" w:cstheme="majorBidi"/>
      <w:b/>
      <w:bCs/>
      <w:sz w:val="32"/>
      <w:szCs w:val="32"/>
    </w:rPr>
  </w:style>
  <w:style w:type="character" w:customStyle="1" w:styleId="91">
    <w:name w:val="Title Char"/>
    <w:link w:val="28"/>
    <w:autoRedefine/>
    <w:qFormat/>
    <w:uiPriority w:val="0"/>
    <w:rPr>
      <w:rFonts w:ascii="Calibri Light" w:hAnsi="Calibri Light" w:eastAsia="方正小标宋_GBK" w:cs="Times New Roman"/>
      <w:b/>
      <w:bCs/>
      <w:sz w:val="72"/>
      <w:szCs w:val="32"/>
    </w:rPr>
  </w:style>
  <w:style w:type="character" w:customStyle="1" w:styleId="92">
    <w:name w:val="0正文 Char"/>
    <w:link w:val="93"/>
    <w:autoRedefine/>
    <w:qFormat/>
    <w:locked/>
    <w:uiPriority w:val="0"/>
    <w:rPr>
      <w:color w:val="000000"/>
      <w:sz w:val="26"/>
      <w:szCs w:val="26"/>
    </w:rPr>
  </w:style>
  <w:style w:type="paragraph" w:customStyle="1" w:styleId="93">
    <w:name w:val="0正文"/>
    <w:basedOn w:val="1"/>
    <w:link w:val="92"/>
    <w:autoRedefine/>
    <w:qFormat/>
    <w:uiPriority w:val="0"/>
    <w:pPr>
      <w:adjustRightInd w:val="0"/>
      <w:snapToGrid w:val="0"/>
      <w:spacing w:line="460" w:lineRule="exact"/>
      <w:ind w:firstLine="200" w:firstLineChars="200"/>
    </w:pPr>
    <w:rPr>
      <w:rFonts w:asciiTheme="minorHAnsi" w:hAnsiTheme="minorHAnsi" w:eastAsiaTheme="minorEastAsia" w:cstheme="minorBidi"/>
      <w:color w:val="000000"/>
      <w:sz w:val="26"/>
      <w:szCs w:val="26"/>
    </w:rPr>
  </w:style>
  <w:style w:type="character" w:customStyle="1" w:styleId="94">
    <w:name w:val="表格中文字 Char"/>
    <w:link w:val="95"/>
    <w:autoRedefine/>
    <w:qFormat/>
    <w:uiPriority w:val="0"/>
    <w:rPr>
      <w:snapToGrid w:val="0"/>
      <w:szCs w:val="24"/>
    </w:rPr>
  </w:style>
  <w:style w:type="paragraph" w:customStyle="1" w:styleId="95">
    <w:name w:val="表格中文字"/>
    <w:basedOn w:val="1"/>
    <w:link w:val="94"/>
    <w:autoRedefine/>
    <w:qFormat/>
    <w:uiPriority w:val="0"/>
    <w:pPr>
      <w:adjustRightInd w:val="0"/>
      <w:snapToGrid w:val="0"/>
      <w:spacing w:line="400" w:lineRule="exact"/>
      <w:jc w:val="center"/>
    </w:pPr>
    <w:rPr>
      <w:rFonts w:asciiTheme="minorHAnsi" w:hAnsiTheme="minorHAnsi" w:eastAsiaTheme="minorEastAsia" w:cstheme="minorBidi"/>
      <w:snapToGrid w:val="0"/>
    </w:rPr>
  </w:style>
  <w:style w:type="paragraph" w:customStyle="1" w:styleId="96">
    <w:name w:val="表格内容格式"/>
    <w:basedOn w:val="1"/>
    <w:next w:val="16"/>
    <w:autoRedefine/>
    <w:qFormat/>
    <w:uiPriority w:val="1"/>
    <w:pPr>
      <w:jc w:val="center"/>
    </w:pPr>
    <w:rPr>
      <w:kern w:val="0"/>
      <w:sz w:val="22"/>
      <w:szCs w:val="22"/>
      <w:lang w:eastAsia="en-US"/>
    </w:rPr>
  </w:style>
  <w:style w:type="paragraph" w:customStyle="1" w:styleId="97">
    <w:name w:val="表格图片格式"/>
    <w:next w:val="98"/>
    <w:link w:val="99"/>
    <w:autoRedefine/>
    <w:qFormat/>
    <w:uiPriority w:val="34"/>
    <w:pPr>
      <w:jc w:val="center"/>
    </w:pPr>
    <w:rPr>
      <w:rFonts w:ascii="Times New Roman" w:hAnsi="Times New Roman" w:eastAsia="宋体" w:cs="Times New Roman"/>
      <w:kern w:val="2"/>
      <w:sz w:val="21"/>
      <w:lang w:val="en-US" w:eastAsia="zh-CN" w:bidi="ar-SA"/>
    </w:rPr>
  </w:style>
  <w:style w:type="paragraph" w:styleId="98">
    <w:name w:val="List Paragraph"/>
    <w:basedOn w:val="1"/>
    <w:autoRedefine/>
    <w:qFormat/>
    <w:uiPriority w:val="34"/>
    <w:pPr>
      <w:ind w:firstLine="420" w:firstLineChars="200"/>
    </w:pPr>
  </w:style>
  <w:style w:type="character" w:customStyle="1" w:styleId="99">
    <w:name w:val="列出段落 Char"/>
    <w:link w:val="97"/>
    <w:autoRedefine/>
    <w:qFormat/>
    <w:uiPriority w:val="34"/>
    <w:rPr>
      <w:kern w:val="2"/>
      <w:sz w:val="21"/>
    </w:rPr>
  </w:style>
  <w:style w:type="paragraph" w:customStyle="1" w:styleId="100">
    <w:name w:val="修订1"/>
    <w:autoRedefine/>
    <w:hidden/>
    <w:semiHidden/>
    <w:qFormat/>
    <w:uiPriority w:val="99"/>
    <w:rPr>
      <w:rFonts w:ascii="Times New Roman" w:hAnsi="Times New Roman" w:eastAsia="宋体" w:cs="Times New Roman"/>
      <w:kern w:val="2"/>
      <w:sz w:val="26"/>
      <w:szCs w:val="24"/>
      <w:lang w:val="en-US" w:eastAsia="zh-CN" w:bidi="ar-SA"/>
    </w:rPr>
  </w:style>
  <w:style w:type="paragraph" w:customStyle="1" w:styleId="101">
    <w:name w:val="二级标题"/>
    <w:next w:val="81"/>
    <w:link w:val="102"/>
    <w:autoRedefine/>
    <w:qFormat/>
    <w:uiPriority w:val="0"/>
    <w:pPr>
      <w:spacing w:line="460" w:lineRule="exact"/>
      <w:outlineLvl w:val="1"/>
    </w:pPr>
    <w:rPr>
      <w:rFonts w:ascii="Times New Roman" w:hAnsi="Times New Roman" w:eastAsia="宋体" w:cs="Times New Roman"/>
      <w:bCs/>
      <w:kern w:val="2"/>
      <w:sz w:val="26"/>
      <w:szCs w:val="72"/>
      <w:lang w:val="en-US" w:eastAsia="zh-CN" w:bidi="ar-SA"/>
    </w:rPr>
  </w:style>
  <w:style w:type="character" w:customStyle="1" w:styleId="102">
    <w:name w:val="二级标题 Char"/>
    <w:basedOn w:val="84"/>
    <w:link w:val="101"/>
    <w:autoRedefine/>
    <w:qFormat/>
    <w:uiPriority w:val="0"/>
    <w:rPr>
      <w:rFonts w:ascii="Times New Roman" w:hAnsi="Times New Roman" w:eastAsia="宋体" w:cs="Times New Roman"/>
      <w:sz w:val="26"/>
      <w:szCs w:val="72"/>
    </w:rPr>
  </w:style>
  <w:style w:type="character" w:customStyle="1" w:styleId="103">
    <w:name w:val="Heading 5 Char"/>
    <w:link w:val="6"/>
    <w:autoRedefine/>
    <w:semiHidden/>
    <w:qFormat/>
    <w:uiPriority w:val="0"/>
    <w:rPr>
      <w:rFonts w:ascii="Times New Roman" w:hAnsi="Times New Roman" w:eastAsia="宋体" w:cs="Times New Roman"/>
      <w:b/>
      <w:bCs/>
      <w:sz w:val="28"/>
      <w:szCs w:val="28"/>
    </w:rPr>
  </w:style>
  <w:style w:type="character" w:customStyle="1" w:styleId="104">
    <w:name w:val="Heading 6 Char"/>
    <w:link w:val="7"/>
    <w:autoRedefine/>
    <w:semiHidden/>
    <w:qFormat/>
    <w:uiPriority w:val="0"/>
    <w:rPr>
      <w:rFonts w:ascii="Calibri Light" w:hAnsi="Calibri Light" w:eastAsia="宋体" w:cs="Times New Roman"/>
      <w:b/>
      <w:bCs/>
      <w:sz w:val="24"/>
      <w:szCs w:val="24"/>
    </w:rPr>
  </w:style>
  <w:style w:type="character" w:customStyle="1" w:styleId="105">
    <w:name w:val="Heading 7 Char"/>
    <w:link w:val="8"/>
    <w:autoRedefine/>
    <w:semiHidden/>
    <w:qFormat/>
    <w:uiPriority w:val="0"/>
    <w:rPr>
      <w:rFonts w:ascii="Times New Roman" w:hAnsi="Times New Roman" w:eastAsia="宋体" w:cs="Times New Roman"/>
      <w:b/>
      <w:bCs/>
      <w:sz w:val="24"/>
      <w:szCs w:val="24"/>
    </w:rPr>
  </w:style>
  <w:style w:type="character" w:customStyle="1" w:styleId="106">
    <w:name w:val="Heading 8 Char"/>
    <w:link w:val="9"/>
    <w:autoRedefine/>
    <w:semiHidden/>
    <w:qFormat/>
    <w:uiPriority w:val="0"/>
    <w:rPr>
      <w:rFonts w:ascii="Calibri Light" w:hAnsi="Calibri Light" w:eastAsia="宋体" w:cs="Times New Roman"/>
      <w:sz w:val="24"/>
      <w:szCs w:val="24"/>
    </w:rPr>
  </w:style>
  <w:style w:type="character" w:customStyle="1" w:styleId="107">
    <w:name w:val="Heading 9 Char"/>
    <w:link w:val="10"/>
    <w:autoRedefine/>
    <w:semiHidden/>
    <w:qFormat/>
    <w:uiPriority w:val="0"/>
    <w:rPr>
      <w:rFonts w:ascii="Calibri Light" w:hAnsi="Calibri Light" w:eastAsia="宋体" w:cs="Times New Roman"/>
      <w:szCs w:val="21"/>
    </w:rPr>
  </w:style>
  <w:style w:type="character" w:customStyle="1" w:styleId="108">
    <w:name w:val="Plain Text Char"/>
    <w:link w:val="19"/>
    <w:autoRedefine/>
    <w:qFormat/>
    <w:uiPriority w:val="99"/>
    <w:rPr>
      <w:rFonts w:ascii="宋体" w:hAnsi="Courier New" w:eastAsia="宋体"/>
    </w:rPr>
  </w:style>
  <w:style w:type="character" w:customStyle="1" w:styleId="109">
    <w:name w:val="纯文本 字符1"/>
    <w:basedOn w:val="33"/>
    <w:autoRedefine/>
    <w:semiHidden/>
    <w:qFormat/>
    <w:uiPriority w:val="99"/>
    <w:rPr>
      <w:rFonts w:hAnsi="Courier New" w:cs="Courier New" w:asciiTheme="minorEastAsia"/>
      <w:szCs w:val="24"/>
    </w:rPr>
  </w:style>
  <w:style w:type="character" w:customStyle="1" w:styleId="110">
    <w:name w:val="15"/>
    <w:basedOn w:val="33"/>
    <w:autoRedefine/>
    <w:qFormat/>
    <w:uiPriority w:val="0"/>
    <w:rPr>
      <w:rFonts w:hint="default" w:ascii="Times New Roman" w:hAnsi="Times New Roman" w:eastAsia="宋体" w:cs="Times New Roman"/>
      <w:sz w:val="21"/>
      <w:szCs w:val="21"/>
    </w:rPr>
  </w:style>
  <w:style w:type="paragraph" w:customStyle="1" w:styleId="111">
    <w:name w:val="纯文本1"/>
    <w:basedOn w:val="1"/>
    <w:autoRedefine/>
    <w:qFormat/>
    <w:uiPriority w:val="0"/>
    <w:rPr>
      <w:rFonts w:ascii="ˎ̥" w:hAnsi="ˎ̥" w:cs="宋体"/>
      <w:szCs w:val="21"/>
    </w:rPr>
  </w:style>
  <w:style w:type="paragraph" w:customStyle="1" w:styleId="112">
    <w:name w:val="表格222"/>
    <w:basedOn w:val="1"/>
    <w:autoRedefine/>
    <w:qFormat/>
    <w:uiPriority w:val="0"/>
    <w:pPr>
      <w:adjustRightInd w:val="0"/>
      <w:snapToGrid w:val="0"/>
      <w:spacing w:line="320" w:lineRule="exact"/>
      <w:jc w:val="center"/>
    </w:pPr>
    <w:rPr>
      <w:kern w:val="10"/>
      <w:sz w:val="22"/>
      <w:szCs w:val="22"/>
    </w:rPr>
  </w:style>
  <w:style w:type="paragraph" w:customStyle="1" w:styleId="113">
    <w:name w:val="正文2"/>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14">
    <w:name w:val="font31"/>
    <w:basedOn w:val="33"/>
    <w:autoRedefine/>
    <w:qFormat/>
    <w:uiPriority w:val="0"/>
    <w:rPr>
      <w:rFonts w:hint="default" w:ascii="Times New Roman" w:hAnsi="Times New Roman" w:cs="Times New Roman"/>
      <w:color w:val="000000"/>
      <w:sz w:val="22"/>
      <w:szCs w:val="22"/>
      <w:u w:val="none"/>
    </w:rPr>
  </w:style>
  <w:style w:type="character" w:customStyle="1" w:styleId="115">
    <w:name w:val="font21"/>
    <w:basedOn w:val="33"/>
    <w:autoRedefine/>
    <w:qFormat/>
    <w:uiPriority w:val="0"/>
    <w:rPr>
      <w:rFonts w:hint="default" w:ascii="Times New Roman" w:hAnsi="Times New Roman" w:cs="Times New Roman"/>
      <w:color w:val="000000"/>
      <w:sz w:val="22"/>
      <w:szCs w:val="22"/>
      <w:u w:val="none"/>
      <w:vertAlign w:val="superscript"/>
    </w:rPr>
  </w:style>
  <w:style w:type="character" w:customStyle="1" w:styleId="116">
    <w:name w:val="font11"/>
    <w:basedOn w:val="33"/>
    <w:autoRedefine/>
    <w:qFormat/>
    <w:uiPriority w:val="0"/>
    <w:rPr>
      <w:rFonts w:hint="eastAsia" w:ascii="宋体" w:hAnsi="宋体" w:eastAsia="宋体" w:cs="宋体"/>
      <w:color w:val="000000"/>
      <w:sz w:val="22"/>
      <w:szCs w:val="22"/>
      <w:u w:val="none"/>
    </w:rPr>
  </w:style>
  <w:style w:type="character" w:customStyle="1" w:styleId="117">
    <w:name w:val="font71"/>
    <w:basedOn w:val="33"/>
    <w:autoRedefine/>
    <w:qFormat/>
    <w:uiPriority w:val="0"/>
    <w:rPr>
      <w:rFonts w:hint="eastAsia" w:ascii="宋体" w:hAnsi="宋体" w:eastAsia="宋体" w:cs="宋体"/>
      <w:color w:val="000000"/>
      <w:sz w:val="22"/>
      <w:szCs w:val="22"/>
      <w:u w:val="none"/>
      <w:vertAlign w:val="superscript"/>
    </w:rPr>
  </w:style>
  <w:style w:type="character" w:customStyle="1" w:styleId="118">
    <w:name w:val="font61"/>
    <w:basedOn w:val="33"/>
    <w:autoRedefine/>
    <w:qFormat/>
    <w:uiPriority w:val="0"/>
    <w:rPr>
      <w:rFonts w:hint="default" w:ascii="Times New Roman" w:hAnsi="Times New Roman" w:cs="Times New Roman"/>
      <w:color w:val="000000"/>
      <w:sz w:val="22"/>
      <w:szCs w:val="22"/>
      <w:u w:val="none"/>
    </w:rPr>
  </w:style>
  <w:style w:type="character" w:customStyle="1" w:styleId="119">
    <w:name w:val="font01"/>
    <w:basedOn w:val="33"/>
    <w:autoRedefine/>
    <w:qFormat/>
    <w:uiPriority w:val="0"/>
    <w:rPr>
      <w:rFonts w:hint="default" w:ascii="Times New Roman" w:hAnsi="Times New Roman" w:cs="Times New Roman"/>
      <w:color w:val="000000"/>
      <w:sz w:val="22"/>
      <w:szCs w:val="22"/>
      <w:u w:val="none"/>
      <w:vertAlign w:val="superscript"/>
    </w:rPr>
  </w:style>
  <w:style w:type="character" w:customStyle="1" w:styleId="120">
    <w:name w:val="font81"/>
    <w:basedOn w:val="33"/>
    <w:autoRedefine/>
    <w:qFormat/>
    <w:uiPriority w:val="0"/>
    <w:rPr>
      <w:rFonts w:hint="default" w:ascii="Times New Roman" w:hAnsi="Times New Roman" w:cs="Times New Roman"/>
      <w:color w:val="000000"/>
      <w:sz w:val="22"/>
      <w:szCs w:val="22"/>
      <w:u w:val="none"/>
      <w:vertAlign w:val="superscript"/>
    </w:rPr>
  </w:style>
  <w:style w:type="character" w:customStyle="1" w:styleId="121">
    <w:name w:val="font51"/>
    <w:basedOn w:val="33"/>
    <w:autoRedefine/>
    <w:qFormat/>
    <w:uiPriority w:val="0"/>
    <w:rPr>
      <w:rFonts w:hint="default" w:ascii="Times New Roman" w:hAnsi="Times New Roman" w:cs="Times New Roman"/>
      <w:color w:val="000000"/>
      <w:sz w:val="22"/>
      <w:szCs w:val="22"/>
      <w:u w:val="none"/>
    </w:rPr>
  </w:style>
  <w:style w:type="character" w:customStyle="1" w:styleId="122">
    <w:name w:val="font91"/>
    <w:basedOn w:val="33"/>
    <w:autoRedefine/>
    <w:qFormat/>
    <w:uiPriority w:val="0"/>
    <w:rPr>
      <w:rFonts w:hint="default" w:ascii="Times New Roman" w:hAnsi="Times New Roman" w:cs="Times New Roman"/>
      <w:color w:val="000000"/>
      <w:sz w:val="22"/>
      <w:szCs w:val="22"/>
      <w:u w:val="none"/>
      <w:vertAlign w:val="superscript"/>
    </w:rPr>
  </w:style>
  <w:style w:type="character" w:customStyle="1" w:styleId="123">
    <w:name w:val="font101"/>
    <w:basedOn w:val="33"/>
    <w:autoRedefine/>
    <w:qFormat/>
    <w:uiPriority w:val="0"/>
    <w:rPr>
      <w:rFonts w:hint="eastAsia" w:ascii="宋体" w:hAnsi="宋体" w:eastAsia="宋体" w:cs="宋体"/>
      <w:color w:val="000000"/>
      <w:sz w:val="22"/>
      <w:szCs w:val="22"/>
      <w:u w:val="none"/>
    </w:rPr>
  </w:style>
  <w:style w:type="character" w:customStyle="1" w:styleId="124">
    <w:name w:val="font41"/>
    <w:basedOn w:val="33"/>
    <w:autoRedefine/>
    <w:qFormat/>
    <w:uiPriority w:val="0"/>
    <w:rPr>
      <w:rFonts w:hint="eastAsia" w:ascii="宋体" w:hAnsi="宋体" w:eastAsia="宋体" w:cs="宋体"/>
      <w:color w:val="000000"/>
      <w:sz w:val="24"/>
      <w:szCs w:val="24"/>
      <w:u w:val="none"/>
      <w:vertAlign w:val="superscript"/>
    </w:rPr>
  </w:style>
  <w:style w:type="paragraph" w:customStyle="1" w:styleId="125">
    <w:name w:val="样式 左 首行缩进:  1.01 厘米"/>
    <w:basedOn w:val="1"/>
    <w:autoRedefine/>
    <w:qFormat/>
    <w:uiPriority w:val="0"/>
    <w:pPr>
      <w:adjustRightInd w:val="0"/>
      <w:snapToGrid w:val="0"/>
      <w:spacing w:line="460" w:lineRule="exact"/>
      <w:ind w:firstLine="200" w:firstLineChars="200"/>
    </w:pPr>
    <w:rPr>
      <w:rFonts w:cs="宋体"/>
      <w:sz w:val="26"/>
      <w:szCs w:val="26"/>
    </w:rPr>
  </w:style>
  <w:style w:type="paragraph" w:customStyle="1" w:styleId="126">
    <w:name w:val="表头[BT]"/>
    <w:basedOn w:val="1"/>
    <w:autoRedefine/>
    <w:qFormat/>
    <w:uiPriority w:val="0"/>
    <w:pPr>
      <w:adjustRightInd w:val="0"/>
      <w:spacing w:before="120" w:after="120"/>
      <w:jc w:val="center"/>
      <w:textAlignment w:val="baseline"/>
    </w:pPr>
    <w:rPr>
      <w:rFonts w:ascii="KaiTi_GB2312" w:eastAsia="KaiTi_GB2312"/>
      <w:kern w:val="0"/>
    </w:rPr>
  </w:style>
  <w:style w:type="paragraph" w:customStyle="1" w:styleId="127">
    <w:name w:val="样式10"/>
    <w:basedOn w:val="1"/>
    <w:autoRedefine/>
    <w:qFormat/>
    <w:uiPriority w:val="0"/>
    <w:pPr>
      <w:adjustRightInd w:val="0"/>
      <w:snapToGrid w:val="0"/>
      <w:spacing w:line="480" w:lineRule="exact"/>
      <w:ind w:firstLine="520" w:firstLineChars="200"/>
    </w:pPr>
    <w:rPr>
      <w:sz w:val="26"/>
      <w:szCs w:val="26"/>
    </w:rPr>
  </w:style>
  <w:style w:type="paragraph" w:customStyle="1" w:styleId="128">
    <w:name w:val="样式13"/>
    <w:basedOn w:val="17"/>
    <w:autoRedefine/>
    <w:qFormat/>
    <w:uiPriority w:val="0"/>
    <w:pPr>
      <w:adjustRightInd w:val="0"/>
      <w:snapToGrid w:val="0"/>
      <w:spacing w:after="0" w:line="500" w:lineRule="exact"/>
      <w:ind w:left="0" w:leftChars="0" w:firstLine="780" w:firstLineChars="300"/>
      <w:jc w:val="center"/>
    </w:pPr>
    <w:rPr>
      <w:rFonts w:hAnsi="宋体"/>
      <w:color w:val="000000"/>
      <w:sz w:val="26"/>
      <w:szCs w:val="26"/>
    </w:rPr>
  </w:style>
  <w:style w:type="paragraph" w:customStyle="1" w:styleId="129">
    <w:name w:val="报告正文"/>
    <w:autoRedefine/>
    <w:qFormat/>
    <w:uiPriority w:val="0"/>
    <w:pPr>
      <w:spacing w:line="460" w:lineRule="atLeas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30">
    <w:name w:val="样式6565656"/>
    <w:basedOn w:val="1"/>
    <w:autoRedefine/>
    <w:qFormat/>
    <w:uiPriority w:val="0"/>
    <w:pPr>
      <w:adjustRightInd w:val="0"/>
      <w:snapToGrid w:val="0"/>
      <w:ind w:firstLine="480" w:firstLineChars="200"/>
      <w:jc w:val="left"/>
    </w:pPr>
    <w:rPr>
      <w:rFonts w:hAnsi="宋体"/>
      <w:bCs/>
    </w:rPr>
  </w:style>
  <w:style w:type="character" w:customStyle="1" w:styleId="131">
    <w:name w:val="Document Map Char"/>
    <w:basedOn w:val="33"/>
    <w:link w:val="13"/>
    <w:autoRedefine/>
    <w:semiHidden/>
    <w:qFormat/>
    <w:uiPriority w:val="99"/>
    <w:rPr>
      <w:rFonts w:ascii="宋体"/>
      <w:kern w:val="2"/>
      <w:sz w:val="18"/>
      <w:szCs w:val="18"/>
    </w:rPr>
  </w:style>
  <w:style w:type="paragraph" w:customStyle="1" w:styleId="132">
    <w:name w:val="表内字1"/>
    <w:basedOn w:val="1"/>
    <w:autoRedefine/>
    <w:qFormat/>
    <w:uiPriority w:val="0"/>
    <w:pPr>
      <w:adjustRightInd w:val="0"/>
      <w:snapToGrid w:val="0"/>
      <w:spacing w:line="300" w:lineRule="exact"/>
      <w:jc w:val="center"/>
    </w:pPr>
    <w:rPr>
      <w:color w:val="000000"/>
      <w:sz w:val="22"/>
      <w:szCs w:val="21"/>
    </w:rPr>
  </w:style>
  <w:style w:type="paragraph" w:customStyle="1" w:styleId="133">
    <w:name w:val="默认段落字体 Para Char Char Char Char"/>
    <w:basedOn w:val="1"/>
    <w:autoRedefine/>
    <w:qFormat/>
    <w:uiPriority w:val="0"/>
    <w:rPr>
      <w:szCs w:val="21"/>
    </w:rPr>
  </w:style>
  <w:style w:type="paragraph" w:customStyle="1" w:styleId="134">
    <w:name w:val="环评正文"/>
    <w:basedOn w:val="2"/>
    <w:autoRedefine/>
    <w:qFormat/>
    <w:uiPriority w:val="0"/>
    <w:pPr>
      <w:keepNext w:val="0"/>
      <w:tabs>
        <w:tab w:val="left" w:pos="662"/>
      </w:tabs>
      <w:overflowPunct/>
      <w:ind w:firstLine="578"/>
      <w:outlineLvl w:val="9"/>
    </w:pPr>
    <w:rPr>
      <w:rFonts w:ascii="Calibri" w:hAnsi="Calibri" w:eastAsia="宋体"/>
      <w:b w:val="0"/>
      <w:bCs w:val="0"/>
      <w:color w:val="auto"/>
      <w:kern w:val="2"/>
      <w:sz w:val="28"/>
      <w:szCs w:val="22"/>
    </w:rPr>
  </w:style>
  <w:style w:type="character" w:customStyle="1" w:styleId="135">
    <w:name w:val="ui-provider"/>
    <w:basedOn w:val="33"/>
    <w:autoRedefine/>
    <w:qFormat/>
    <w:uiPriority w:val="0"/>
  </w:style>
  <w:style w:type="paragraph" w:customStyle="1" w:styleId="136">
    <w:name w:val="正文11111"/>
    <w:basedOn w:val="1"/>
    <w:autoRedefine/>
    <w:qFormat/>
    <w:uiPriority w:val="0"/>
    <w:pPr>
      <w:ind w:firstLine="200" w:firstLineChars="200"/>
    </w:pPr>
    <w:rPr>
      <w:kern w:val="0"/>
    </w:rPr>
  </w:style>
  <w:style w:type="paragraph" w:customStyle="1" w:styleId="137">
    <w:name w:val="表格格式"/>
    <w:basedOn w:val="1"/>
    <w:next w:val="1"/>
    <w:autoRedefine/>
    <w:qFormat/>
    <w:uiPriority w:val="0"/>
    <w:pPr>
      <w:jc w:val="center"/>
    </w:pPr>
    <w:rPr>
      <w:kern w:val="0"/>
      <w:szCs w:val="20"/>
    </w:rPr>
  </w:style>
  <w:style w:type="paragraph" w:customStyle="1" w:styleId="138">
    <w:name w:val="0环评正文"/>
    <w:basedOn w:val="1"/>
    <w:autoRedefine/>
    <w:qFormat/>
    <w:uiPriority w:val="0"/>
    <w:pPr>
      <w:adjustRightInd w:val="0"/>
      <w:snapToGrid w:val="0"/>
      <w:spacing w:line="460" w:lineRule="exact"/>
      <w:ind w:firstLine="200" w:firstLineChars="200"/>
    </w:pPr>
    <w:rPr>
      <w:sz w:val="24"/>
      <w:szCs w:val="22"/>
    </w:rPr>
  </w:style>
  <w:style w:type="paragraph" w:customStyle="1" w:styleId="139">
    <w:name w:val="正文首行缩进:  2 字符"/>
    <w:basedOn w:val="1"/>
    <w:autoRedefine/>
    <w:qFormat/>
    <w:uiPriority w:val="0"/>
    <w:pPr>
      <w:spacing w:line="500" w:lineRule="exact"/>
      <w:ind w:firstLine="480" w:firstLineChars="200"/>
    </w:pPr>
    <w:rPr>
      <w:sz w:val="24"/>
      <w:szCs w:val="20"/>
    </w:rPr>
  </w:style>
  <w:style w:type="paragraph" w:customStyle="1" w:styleId="140">
    <w:name w:val="表格内容"/>
    <w:autoRedefine/>
    <w:qFormat/>
    <w:uiPriority w:val="0"/>
    <w:pPr>
      <w:widowControl w:val="0"/>
      <w:spacing w:line="0" w:lineRule="atLeast"/>
      <w:jc w:val="center"/>
    </w:pPr>
    <w:rPr>
      <w:rFonts w:ascii="宋体" w:hAnsi="宋体" w:eastAsia="仿宋" w:cs="Times New Roman"/>
      <w:sz w:val="21"/>
      <w:szCs w:val="21"/>
      <w:lang w:val="en-US" w:eastAsia="zh-CN" w:bidi="ar-SA"/>
    </w:rPr>
  </w:style>
  <w:style w:type="paragraph" w:customStyle="1" w:styleId="141">
    <w:name w:val="表格内容1111111111111111"/>
    <w:basedOn w:val="1"/>
    <w:autoRedefine/>
    <w:qFormat/>
    <w:uiPriority w:val="0"/>
    <w:pPr>
      <w:widowControl/>
      <w:jc w:val="center"/>
    </w:pPr>
    <w:rPr>
      <w:rFonts w:cs="宋体"/>
      <w:szCs w:val="20"/>
    </w:rPr>
  </w:style>
  <w:style w:type="paragraph" w:customStyle="1" w:styleId="142">
    <w:name w:val="表头"/>
    <w:next w:val="1"/>
    <w:autoRedefine/>
    <w:qFormat/>
    <w:uiPriority w:val="0"/>
    <w:pPr>
      <w:jc w:val="center"/>
    </w:pPr>
    <w:rPr>
      <w:rFonts w:ascii="Times New Roman" w:hAnsi="Times New Roman" w:eastAsia="黑体" w:cs="Times New Roman"/>
      <w:kern w:val="2"/>
      <w:sz w:val="21"/>
      <w:szCs w:val="24"/>
      <w:lang w:val="en-US" w:eastAsia="zh-CN" w:bidi="ar-SA"/>
    </w:rPr>
  </w:style>
  <w:style w:type="paragraph" w:customStyle="1" w:styleId="143">
    <w:name w:val="图表文字"/>
    <w:autoRedefine/>
    <w:qFormat/>
    <w:uiPriority w:val="0"/>
    <w:pPr>
      <w:adjustRightInd w:val="0"/>
      <w:snapToGrid w:val="0"/>
      <w:spacing w:line="380" w:lineRule="exact"/>
      <w:jc w:val="center"/>
    </w:pPr>
    <w:rPr>
      <w:rFonts w:ascii="Times New Roman" w:hAnsi="Times New Roman" w:eastAsia="宋体" w:cs="Times New Roman"/>
      <w:sz w:val="21"/>
      <w:lang w:val="en-US" w:eastAsia="zh-CN" w:bidi="ar-SA"/>
    </w:rPr>
  </w:style>
  <w:style w:type="paragraph" w:customStyle="1" w:styleId="144">
    <w:name w:val="MY表内字"/>
    <w:autoRedefine/>
    <w:semiHidden/>
    <w:qFormat/>
    <w:uiPriority w:val="0"/>
    <w:pPr>
      <w:jc w:val="center"/>
    </w:pPr>
    <w:rPr>
      <w:rFonts w:ascii="Times New Roman" w:hAnsi="Times New Roman" w:eastAsia="宋体" w:cs="Times New Roman"/>
      <w:sz w:val="21"/>
      <w:szCs w:val="24"/>
      <w:lang w:val="en-US" w:eastAsia="zh-CN" w:bidi="ar-SA"/>
    </w:rPr>
  </w:style>
  <w:style w:type="paragraph" w:customStyle="1" w:styleId="145">
    <w:name w:val="表中文字"/>
    <w:basedOn w:val="146"/>
    <w:autoRedefine/>
    <w:qFormat/>
    <w:uiPriority w:val="0"/>
    <w:pPr>
      <w:widowControl/>
      <w:adjustRightInd w:val="0"/>
      <w:snapToGrid w:val="0"/>
    </w:pPr>
    <w:rPr>
      <w:rFonts w:eastAsia="Times New Roman"/>
    </w:rPr>
  </w:style>
  <w:style w:type="paragraph" w:customStyle="1" w:styleId="146">
    <w:name w:val="表格文字"/>
    <w:basedOn w:val="11"/>
    <w:next w:val="1"/>
    <w:autoRedefine/>
    <w:qFormat/>
    <w:uiPriority w:val="0"/>
    <w:pPr>
      <w:jc w:val="center"/>
    </w:pPr>
    <w:rPr>
      <w:sz w:val="21"/>
      <w:szCs w:val="21"/>
    </w:rPr>
  </w:style>
  <w:style w:type="paragraph" w:customStyle="1" w:styleId="147">
    <w:name w:val="TT表/图名"/>
    <w:basedOn w:val="1"/>
    <w:next w:val="1"/>
    <w:autoRedefine/>
    <w:qFormat/>
    <w:uiPriority w:val="0"/>
    <w:pPr>
      <w:jc w:val="center"/>
      <w:outlineLvl w:val="3"/>
    </w:pPr>
    <w:rPr>
      <w:b/>
    </w:rPr>
  </w:style>
  <w:style w:type="paragraph" w:customStyle="1" w:styleId="148">
    <w:name w:val="p1"/>
    <w:basedOn w:val="1"/>
    <w:autoRedefine/>
    <w:qFormat/>
    <w:uiPriority w:val="0"/>
    <w:pPr>
      <w:jc w:val="left"/>
    </w:pPr>
    <w:rPr>
      <w:rFonts w:ascii="Helvetica" w:hAnsi="Helvetica" w:eastAsia="Helvetica"/>
      <w:kern w:val="0"/>
      <w:sz w:val="56"/>
      <w:szCs w:val="56"/>
    </w:rPr>
  </w:style>
  <w:style w:type="paragraph" w:customStyle="1" w:styleId="149">
    <w:name w:val="表头1"/>
    <w:basedOn w:val="1"/>
    <w:qFormat/>
    <w:uiPriority w:val="0"/>
    <w:pPr>
      <w:jc w:val="center"/>
    </w:pPr>
    <w:rPr>
      <w:kern w:val="0"/>
    </w:rPr>
  </w:style>
  <w:style w:type="paragraph" w:customStyle="1" w:styleId="150">
    <w:name w:val="1正文"/>
    <w:basedOn w:val="38"/>
    <w:qFormat/>
    <w:uiPriority w:val="0"/>
  </w:style>
  <w:style w:type="paragraph" w:customStyle="1" w:styleId="15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52">
    <w:name w:val="表头 Char Char"/>
    <w:qFormat/>
    <w:uiPriority w:val="0"/>
    <w:rPr>
      <w:rFonts w:ascii="Times New Roman" w:hAnsi="Times New Roman" w:eastAsia="Times New Roman"/>
      <w:bCs/>
      <w:sz w:val="26"/>
      <w:szCs w:val="26"/>
      <w:lang w:val="en-US" w:eastAsia="zh-CN" w:bidi="ar-SA"/>
    </w:rPr>
  </w:style>
  <w:style w:type="paragraph" w:customStyle="1" w:styleId="153">
    <w:name w:val="表格标题"/>
    <w:basedOn w:val="1"/>
    <w:qFormat/>
    <w:uiPriority w:val="0"/>
    <w:pPr>
      <w:spacing w:beforeLines="50"/>
      <w:ind w:firstLine="0" w:firstLineChars="0"/>
      <w:jc w:val="center"/>
    </w:pPr>
    <w:rPr>
      <w:b/>
      <w:snapToGrid w:val="0"/>
      <w:kern w:val="0"/>
      <w:szCs w:val="24"/>
    </w:rPr>
  </w:style>
  <w:style w:type="paragraph" w:customStyle="1" w:styleId="154">
    <w:name w:val="表内字"/>
    <w:basedOn w:val="26"/>
    <w:qFormat/>
    <w:uiPriority w:val="0"/>
    <w:pPr>
      <w:adjustRightInd/>
      <w:snapToGrid/>
      <w:spacing w:line="240" w:lineRule="auto"/>
      <w:jc w:val="center"/>
    </w:pPr>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1117</Words>
  <Characters>1321</Characters>
  <Lines>438</Lines>
  <Paragraphs>123</Paragraphs>
  <TotalTime>0</TotalTime>
  <ScaleCrop>false</ScaleCrop>
  <LinksUpToDate>false</LinksUpToDate>
  <CharactersWithSpaces>1326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2021-07-08T06:20:00Z</dcterms:created>
  <dc:creator>Administrator</dc:creator>
  <cp:lastModifiedBy>HuRong</cp:lastModifiedBy>
  <cp:lastPrinted>2025-02-21T01:55:00Z</cp:lastPrinted>
  <dcterms:modified xsi:type="dcterms:W3CDTF">2025-03-31T09:48:17Z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DEE42186E25344DC958D1AA48A347C91_13</vt:lpwstr>
  </property>
  <property fmtid="{D5CDD505-2E9C-101B-9397-08002B2CF9AE}" pid="4" name="KSOTemplateDocerSaveRecord">
    <vt:lpwstr>eyJoZGlkIjoiNzc5MThiNTI2MTk1MDFiMTM0YzNlZTIyZWUxMjQzNmUiLCJ1c2VySWQiOiIxMDQ4OTQ0MTc0In0=</vt:lpwstr>
  </property>
</Properties>
</file>